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2">
        <w:r>
          <w:rPr>
            <w:rFonts w:ascii="Arial" w:cs="Arial" w:eastAsia="Arial" w:hAnsi="Arial"/>
            <w:sz w:val="16"/>
            <w:szCs w:val="16"/>
            <w:u w:val="single" w:color="auto"/>
            <w:color w:val="0000EE"/>
          </w:rPr>
          <w:t>Table of Contents</w:t>
        </w:r>
      </w:hyperlink>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[X] ANNUAL REPORT UNDER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001-14116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CONSUMER PORTFOLIO SERVICES,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340" w:type="dxa"/>
            <w:vAlign w:val="bottom"/>
          </w:tcPr>
          <w:p>
            <w:pPr>
              <w:jc w:val="center"/>
              <w:ind w:right="1290"/>
              <w:spacing w:after="0"/>
              <w:rPr>
                <w:sz w:val="20"/>
                <w:szCs w:val="20"/>
                <w:color w:val="auto"/>
              </w:rPr>
            </w:pPr>
            <w:r>
              <w:rPr>
                <w:rFonts w:ascii="Arial" w:cs="Arial" w:eastAsia="Arial" w:hAnsi="Arial"/>
                <w:sz w:val="18"/>
                <w:szCs w:val="18"/>
                <w:b w:val="1"/>
                <w:bCs w:val="1"/>
                <w:color w:val="auto"/>
                <w:w w:val="96"/>
              </w:rPr>
              <w:t>California</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33-0459135</w:t>
            </w:r>
          </w:p>
        </w:tc>
        <w:tc>
          <w:tcPr>
            <w:tcW w:w="880" w:type="dxa"/>
            <w:vAlign w:val="bottom"/>
          </w:tcPr>
          <w:p>
            <w:pPr>
              <w:spacing w:after="0"/>
              <w:rPr>
                <w:sz w:val="18"/>
                <w:szCs w:val="18"/>
                <w:color w:val="auto"/>
              </w:rPr>
            </w:pPr>
          </w:p>
        </w:tc>
      </w:tr>
      <w:tr>
        <w:trPr>
          <w:trHeight w:val="234"/>
        </w:trPr>
        <w:tc>
          <w:tcPr>
            <w:tcW w:w="5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22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3800 Howard Hughes Pkwy, Las Vegas, NV</w:t>
            </w:r>
          </w:p>
        </w:tc>
        <w:tc>
          <w:tcPr>
            <w:tcW w:w="3340" w:type="dxa"/>
            <w:vAlign w:val="bottom"/>
          </w:tcPr>
          <w:p>
            <w:pPr>
              <w:jc w:val="right"/>
              <w:ind w:right="170"/>
              <w:spacing w:after="0"/>
              <w:rPr>
                <w:sz w:val="20"/>
                <w:szCs w:val="20"/>
                <w:color w:val="auto"/>
              </w:rPr>
            </w:pPr>
            <w:r>
              <w:rPr>
                <w:rFonts w:ascii="Arial" w:cs="Arial" w:eastAsia="Arial" w:hAnsi="Arial"/>
                <w:sz w:val="18"/>
                <w:szCs w:val="18"/>
                <w:b w:val="1"/>
                <w:bCs w:val="1"/>
                <w:color w:val="auto"/>
              </w:rPr>
              <w:t>89169</w:t>
            </w:r>
          </w:p>
        </w:tc>
        <w:tc>
          <w:tcPr>
            <w:tcW w:w="880" w:type="dxa"/>
            <w:vAlign w:val="bottom"/>
          </w:tcPr>
          <w:p>
            <w:pPr>
              <w:spacing w:after="0"/>
              <w:rPr>
                <w:sz w:val="24"/>
                <w:szCs w:val="24"/>
                <w:color w:val="auto"/>
              </w:rPr>
            </w:pPr>
          </w:p>
        </w:tc>
      </w:tr>
      <w:tr>
        <w:trPr>
          <w:trHeight w:val="234"/>
        </w:trPr>
        <w:tc>
          <w:tcPr>
            <w:tcW w:w="5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22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2"/>
              </w:rPr>
              <w:t>(Zip Code)</w:t>
            </w:r>
          </w:p>
        </w:tc>
      </w:tr>
      <w:tr>
        <w:trPr>
          <w:trHeight w:val="432"/>
        </w:trPr>
        <w:tc>
          <w:tcPr>
            <w:tcW w:w="1380" w:type="dxa"/>
            <w:vAlign w:val="bottom"/>
          </w:tcPr>
          <w:p>
            <w:pPr>
              <w:spacing w:after="0"/>
              <w:rPr>
                <w:sz w:val="24"/>
                <w:szCs w:val="24"/>
                <w:color w:val="auto"/>
              </w:rPr>
            </w:pPr>
          </w:p>
        </w:tc>
        <w:tc>
          <w:tcPr>
            <w:tcW w:w="85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Registrant’s telephone number, including area code: (949) 753-6800</w:t>
            </w:r>
          </w:p>
        </w:tc>
      </w:tr>
      <w:tr>
        <w:trPr>
          <w:trHeight w:val="432"/>
        </w:trPr>
        <w:tc>
          <w:tcPr>
            <w:tcW w:w="1380" w:type="dxa"/>
            <w:vAlign w:val="bottom"/>
          </w:tcPr>
          <w:p>
            <w:pPr>
              <w:spacing w:after="0"/>
              <w:rPr>
                <w:sz w:val="24"/>
                <w:szCs w:val="24"/>
                <w:color w:val="auto"/>
              </w:rPr>
            </w:pPr>
          </w:p>
        </w:tc>
        <w:tc>
          <w:tcPr>
            <w:tcW w:w="85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w w:val="90"/>
              </w:rPr>
              <w:t>Title of Each Class</w:t>
            </w:r>
          </w:p>
        </w:tc>
        <w:tc>
          <w:tcPr>
            <w:tcW w:w="43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0"/>
        </w:trPr>
        <w:tc>
          <w:tcPr>
            <w:tcW w:w="13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720" w:type="dxa"/>
            <w:vAlign w:val="bottom"/>
            <w:gridSpan w:val="2"/>
          </w:tcPr>
          <w:p>
            <w:pPr>
              <w:spacing w:after="0"/>
              <w:rPr>
                <w:sz w:val="20"/>
                <w:szCs w:val="20"/>
                <w:color w:val="auto"/>
              </w:rPr>
            </w:pPr>
            <w:r>
              <w:rPr>
                <w:rFonts w:ascii="Arial" w:cs="Arial" w:eastAsia="Arial" w:hAnsi="Arial"/>
                <w:sz w:val="18"/>
                <w:szCs w:val="18"/>
                <w:color w:val="auto"/>
              </w:rPr>
              <w:t>Common Stock, no par value</w:t>
            </w:r>
          </w:p>
        </w:tc>
        <w:tc>
          <w:tcPr>
            <w:tcW w:w="4220" w:type="dxa"/>
            <w:vAlign w:val="bottom"/>
            <w:gridSpan w:val="2"/>
          </w:tcPr>
          <w:p>
            <w:pPr>
              <w:spacing w:after="0"/>
              <w:rPr>
                <w:sz w:val="20"/>
                <w:szCs w:val="20"/>
                <w:color w:val="auto"/>
              </w:rPr>
            </w:pPr>
            <w:r>
              <w:rPr>
                <w:rFonts w:ascii="Arial" w:cs="Arial" w:eastAsia="Arial" w:hAnsi="Arial"/>
                <w:sz w:val="18"/>
                <w:szCs w:val="18"/>
                <w:color w:val="auto"/>
              </w:rPr>
              <w:t>The Nasdaq Stock Market LLC (Global Market)</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[_] 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p>
    <w:p>
      <w:pPr>
        <w:spacing w:after="0" w:line="23" w:lineRule="exact"/>
        <w:rPr>
          <w:sz w:val="24"/>
          <w:szCs w:val="24"/>
          <w:color w:val="auto"/>
        </w:rPr>
      </w:pPr>
    </w:p>
    <w:p>
      <w:pPr>
        <w:ind w:left="10340"/>
        <w:spacing w:after="0"/>
        <w:rPr>
          <w:sz w:val="20"/>
          <w:szCs w:val="20"/>
          <w:color w:val="auto"/>
        </w:rPr>
      </w:pPr>
      <w:r>
        <w:rPr>
          <w:rFonts w:ascii="Arial" w:cs="Arial" w:eastAsia="Arial" w:hAnsi="Arial"/>
          <w:sz w:val="17"/>
          <w:szCs w:val="17"/>
          <w:color w:val="auto"/>
        </w:rPr>
        <w:t>Yes [_] No [X]</w:t>
      </w:r>
    </w:p>
    <w:p>
      <w:pPr>
        <w:spacing w:after="0" w:line="222" w:lineRule="exact"/>
        <w:rPr>
          <w:sz w:val="24"/>
          <w:szCs w:val="24"/>
          <w:color w:val="auto"/>
        </w:rPr>
      </w:pPr>
    </w:p>
    <w:p>
      <w:pPr>
        <w:ind w:right="3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 days.</w:t>
      </w:r>
    </w:p>
    <w:p>
      <w:pPr>
        <w:ind w:left="10340"/>
        <w:spacing w:after="0"/>
        <w:rPr>
          <w:sz w:val="20"/>
          <w:szCs w:val="20"/>
          <w:color w:val="auto"/>
        </w:rPr>
      </w:pPr>
      <w:r>
        <w:rPr>
          <w:rFonts w:ascii="Arial" w:cs="Arial" w:eastAsia="Arial" w:hAnsi="Arial"/>
          <w:sz w:val="17"/>
          <w:szCs w:val="17"/>
          <w:color w:val="auto"/>
        </w:rPr>
        <w:t>Yes [X] No [_]</w:t>
      </w:r>
    </w:p>
    <w:p>
      <w:pPr>
        <w:spacing w:after="0" w:line="222"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380"/>
        <w:spacing w:after="0"/>
        <w:rPr>
          <w:sz w:val="20"/>
          <w:szCs w:val="20"/>
          <w:color w:val="auto"/>
        </w:rPr>
      </w:pPr>
      <w:r>
        <w:rPr>
          <w:rFonts w:ascii="Arial" w:cs="Arial" w:eastAsia="Arial" w:hAnsi="Arial"/>
          <w:sz w:val="17"/>
          <w:szCs w:val="17"/>
          <w:color w:val="auto"/>
        </w:rPr>
        <w:t>Yes [X] No[_]</w:t>
      </w:r>
    </w:p>
    <w:p>
      <w:pPr>
        <w:spacing w:after="0" w:line="222"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filer”,”accelerated filer" and “smaller reporting company” in Rule 12b-2 of the Exchange Act.</w:t>
      </w:r>
    </w:p>
    <w:p>
      <w:pPr>
        <w:spacing w:after="0" w:line="147" w:lineRule="exact"/>
        <w:rPr>
          <w:sz w:val="24"/>
          <w:szCs w:val="24"/>
          <w:color w:val="auto"/>
        </w:rPr>
      </w:pPr>
    </w:p>
    <w:p>
      <w:pPr>
        <w:ind w:left="260"/>
        <w:spacing w:after="0"/>
        <w:tabs>
          <w:tab w:leader="none" w:pos="2380" w:val="left"/>
          <w:tab w:leader="none" w:pos="4160" w:val="left"/>
          <w:tab w:leader="none" w:pos="6200" w:val="left"/>
        </w:tabs>
        <w:rPr>
          <w:sz w:val="20"/>
          <w:szCs w:val="20"/>
          <w:color w:val="auto"/>
        </w:rPr>
      </w:pPr>
      <w:r>
        <w:rPr>
          <w:rFonts w:ascii="Arial" w:cs="Arial" w:eastAsia="Arial" w:hAnsi="Arial"/>
          <w:sz w:val="18"/>
          <w:szCs w:val="18"/>
          <w:color w:val="auto"/>
        </w:rPr>
        <w:t>Large accelerated filer [_]</w:t>
        <w:tab/>
        <w:t>Accelerated filer [X]</w:t>
      </w:r>
      <w:r>
        <w:rPr>
          <w:sz w:val="20"/>
          <w:szCs w:val="20"/>
          <w:color w:val="auto"/>
        </w:rPr>
        <w:tab/>
      </w:r>
      <w:r>
        <w:rPr>
          <w:rFonts w:ascii="Arial" w:cs="Arial" w:eastAsia="Arial" w:hAnsi="Arial"/>
          <w:sz w:val="18"/>
          <w:szCs w:val="18"/>
          <w:color w:val="auto"/>
        </w:rPr>
        <w:t>Non-accelerated filer [_]</w:t>
      </w:r>
      <w:r>
        <w:rPr>
          <w:sz w:val="20"/>
          <w:szCs w:val="20"/>
          <w:color w:val="auto"/>
        </w:rPr>
        <w:tab/>
      </w:r>
      <w:r>
        <w:rPr>
          <w:rFonts w:ascii="Arial" w:cs="Arial" w:eastAsia="Arial" w:hAnsi="Arial"/>
          <w:sz w:val="16"/>
          <w:szCs w:val="16"/>
          <w:color w:val="auto"/>
        </w:rPr>
        <w:t>Smaller reporting company [_]</w:t>
      </w:r>
    </w:p>
    <w:p>
      <w:pPr>
        <w:spacing w:after="0" w:line="225" w:lineRule="exact"/>
        <w:rPr>
          <w:sz w:val="24"/>
          <w:szCs w:val="24"/>
          <w:color w:val="auto"/>
        </w:rPr>
      </w:pPr>
    </w:p>
    <w:p>
      <w:pPr>
        <w:spacing w:after="0"/>
        <w:tabs>
          <w:tab w:leader="none" w:pos="89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[_]</w:t>
        <w:tab/>
        <w:t>No [X]</w:t>
      </w:r>
    </w:p>
    <w:p>
      <w:pPr>
        <w:spacing w:after="0" w:line="237" w:lineRule="exact"/>
        <w:rPr>
          <w:sz w:val="24"/>
          <w:szCs w:val="24"/>
          <w:color w:val="auto"/>
        </w:rPr>
      </w:pPr>
    </w:p>
    <w:p>
      <w:pPr>
        <w:ind w:right="100"/>
        <w:spacing w:after="0" w:line="257" w:lineRule="auto"/>
        <w:rPr>
          <w:sz w:val="20"/>
          <w:szCs w:val="20"/>
          <w:color w:val="auto"/>
        </w:rPr>
      </w:pPr>
      <w:r>
        <w:rPr>
          <w:rFonts w:ascii="Arial" w:cs="Arial" w:eastAsia="Arial" w:hAnsi="Arial"/>
          <w:sz w:val="18"/>
          <w:szCs w:val="18"/>
          <w:color w:val="auto"/>
        </w:rPr>
        <w:t>The aggregate market value of the 18,906,130 shares of the registrant’s common stock held by non-affiliates as of the date of filing of this report, based upon the closing price of the registrant’s common stock of $3.77 per share reported by Nasdaq as of June 30, 2016, was approximately $71,276,110. For purposes of this computation, a registrant sponsored pension plan and all directors and executive officers are deemed to be affiliates. Such determination is not an admission that such plan, directors and executive officers are, in fact, affiliates of the registrant. The number of shares of the registrant's Common Stock outstanding on March 1, 2017 was 23,607,928.</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proxy statement for registrant’s 2017 annual shareholders meeting is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60" w:type="dxa"/>
            <w:vAlign w:val="bottom"/>
            <w:gridSpan w:val="8"/>
          </w:tcPr>
          <w:p>
            <w:pPr>
              <w:ind w:left="280"/>
              <w:spacing w:after="0"/>
              <w:rPr>
                <w:sz w:val="20"/>
                <w:szCs w:val="20"/>
                <w:color w:val="auto"/>
              </w:rPr>
            </w:pPr>
            <w:r>
              <w:rPr>
                <w:rFonts w:ascii="Arial" w:cs="Arial" w:eastAsia="Arial" w:hAnsi="Arial"/>
                <w:sz w:val="18"/>
                <w:szCs w:val="18"/>
                <w:b w:val="1"/>
                <w:bCs w:val="1"/>
                <w:color w:val="auto"/>
              </w:rPr>
              <w:t>TABLE OF CONTENTS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EEEEEE"/>
            </w:tcBorders>
            <w:shd w:val="clear" w:color="auto" w:fill="EEEEEE"/>
          </w:tcPr>
          <w:p>
            <w:pPr>
              <w:ind w:left="160"/>
              <w:spacing w:after="0" w:line="17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040" w:type="dxa"/>
            <w:vAlign w:val="bottom"/>
            <w:tcBorders>
              <w:bottom w:val="single" w:sz="8" w:color="EEEEEE"/>
            </w:tcBorders>
            <w:gridSpan w:val="20"/>
            <w:shd w:val="clear" w:color="auto" w:fill="EEEEEE"/>
          </w:tcPr>
          <w:p>
            <w:pPr>
              <w:spacing w:after="0"/>
              <w:rPr>
                <w:sz w:val="17"/>
                <w:szCs w:val="17"/>
                <w:color w:val="auto"/>
              </w:rPr>
            </w:pPr>
          </w:p>
        </w:tc>
        <w:tc>
          <w:tcPr>
            <w:tcW w:w="158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ind w:left="160"/>
              <w:spacing w:after="0" w:line="176" w:lineRule="exact"/>
              <w:rPr>
                <w:sz w:val="20"/>
                <w:szCs w:val="20"/>
                <w:color w:val="auto"/>
              </w:rPr>
            </w:pPr>
            <w:r>
              <w:rPr>
                <w:rFonts w:ascii="Arial" w:cs="Arial" w:eastAsia="Arial" w:hAnsi="Arial"/>
                <w:sz w:val="18"/>
                <w:szCs w:val="18"/>
                <w:color w:val="auto"/>
              </w:rPr>
              <w:t>Item 1A.</w:t>
            </w:r>
          </w:p>
        </w:tc>
        <w:tc>
          <w:tcPr>
            <w:tcW w:w="8680" w:type="dxa"/>
            <w:vAlign w:val="bottom"/>
            <w:gridSpan w:val="21"/>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58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EEEEEE"/>
          </w:tcPr>
          <w:p>
            <w:pPr>
              <w:ind w:left="160"/>
              <w:spacing w:after="0" w:line="176" w:lineRule="exact"/>
              <w:rPr>
                <w:sz w:val="20"/>
                <w:szCs w:val="20"/>
                <w:color w:val="auto"/>
              </w:rPr>
            </w:pPr>
            <w:r>
              <w:rPr>
                <w:rFonts w:ascii="Arial" w:cs="Arial" w:eastAsia="Arial" w:hAnsi="Arial"/>
                <w:sz w:val="18"/>
                <w:szCs w:val="18"/>
                <w:color w:val="auto"/>
              </w:rPr>
              <w:t>Item 1B.</w:t>
            </w:r>
          </w:p>
        </w:tc>
        <w:tc>
          <w:tcPr>
            <w:tcW w:w="8680" w:type="dxa"/>
            <w:vAlign w:val="bottom"/>
            <w:gridSpan w:val="21"/>
            <w:shd w:val="clear" w:color="auto" w:fill="EEEEEE"/>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c>
          <w:tcPr>
            <w:tcW w:w="158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EEEEEE"/>
            </w:tcBorders>
          </w:tcPr>
          <w:p>
            <w:pPr>
              <w:ind w:left="160"/>
              <w:spacing w:after="0" w:line="17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6640" w:type="dxa"/>
            <w:vAlign w:val="bottom"/>
            <w:tcBorders>
              <w:top w:val="single" w:sz="8" w:color="EEEEEE"/>
            </w:tcBorders>
            <w:gridSpan w:val="12"/>
          </w:tcPr>
          <w:p>
            <w:pPr>
              <w:spacing w:after="0"/>
              <w:rPr>
                <w:sz w:val="15"/>
                <w:szCs w:val="15"/>
                <w:color w:val="auto"/>
              </w:rPr>
            </w:pPr>
          </w:p>
        </w:tc>
        <w:tc>
          <w:tcPr>
            <w:tcW w:w="1580" w:type="dxa"/>
            <w:vAlign w:val="bottom"/>
            <w:tcBorders>
              <w:top w:val="single" w:sz="8" w:color="EEEEEE"/>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EEEEEE"/>
            </w:tcBorders>
            <w:shd w:val="clear" w:color="auto" w:fill="EEEEEE"/>
          </w:tcPr>
          <w:p>
            <w:pPr>
              <w:ind w:left="160"/>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shd w:val="clear" w:color="auto" w:fill="EEEEEE"/>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7340" w:type="dxa"/>
            <w:vAlign w:val="bottom"/>
            <w:tcBorders>
              <w:bottom w:val="single" w:sz="8" w:color="EEEEEE"/>
            </w:tcBorders>
            <w:gridSpan w:val="16"/>
            <w:shd w:val="clear" w:color="auto" w:fill="EEEEEE"/>
          </w:tcPr>
          <w:p>
            <w:pPr>
              <w:spacing w:after="0"/>
              <w:rPr>
                <w:sz w:val="17"/>
                <w:szCs w:val="17"/>
                <w:color w:val="auto"/>
              </w:rPr>
            </w:pPr>
          </w:p>
        </w:tc>
        <w:tc>
          <w:tcPr>
            <w:tcW w:w="158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ind w:left="160"/>
              <w:spacing w:after="0" w:line="176" w:lineRule="exact"/>
              <w:rPr>
                <w:sz w:val="20"/>
                <w:szCs w:val="20"/>
                <w:color w:val="auto"/>
              </w:rPr>
            </w:pPr>
            <w:r>
              <w:rPr>
                <w:rFonts w:ascii="Arial" w:cs="Arial" w:eastAsia="Arial" w:hAnsi="Arial"/>
                <w:sz w:val="18"/>
                <w:szCs w:val="18"/>
                <w:color w:val="auto"/>
              </w:rPr>
              <w:t>Item 4.</w:t>
            </w:r>
          </w:p>
        </w:tc>
        <w:tc>
          <w:tcPr>
            <w:tcW w:w="8680" w:type="dxa"/>
            <w:vAlign w:val="bottom"/>
            <w:gridSpan w:val="21"/>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580" w:type="dxa"/>
            <w:vAlign w:val="bottom"/>
          </w:tcPr>
          <w:p>
            <w:pPr>
              <w:jc w:val="right"/>
              <w:spacing w:after="0" w:line="176" w:lineRule="exact"/>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8680" w:type="dxa"/>
            <w:vAlign w:val="bottom"/>
            <w:gridSpan w:val="21"/>
            <w:shd w:val="clear" w:color="auto" w:fill="EEEEEE"/>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Executive Officers of the Registrant</w:t>
              </w:r>
            </w:hyperlink>
          </w:p>
        </w:tc>
        <w:tc>
          <w:tcPr>
            <w:tcW w:w="158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8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EEEEEE"/>
          </w:tcPr>
          <w:p>
            <w:pPr>
              <w:spacing w:after="0"/>
              <w:rPr>
                <w:sz w:val="20"/>
                <w:szCs w:val="20"/>
                <w:color w:val="auto"/>
              </w:rPr>
            </w:pPr>
            <w:r>
              <w:rPr>
                <w:rFonts w:ascii="Arial" w:cs="Arial" w:eastAsia="Arial" w:hAnsi="Arial"/>
                <w:sz w:val="18"/>
                <w:szCs w:val="18"/>
                <w:color w:val="auto"/>
              </w:rPr>
              <w:t>PART II</w:t>
            </w:r>
          </w:p>
        </w:tc>
        <w:tc>
          <w:tcPr>
            <w:tcW w:w="6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ind w:left="160"/>
              <w:spacing w:after="0" w:line="176" w:lineRule="exact"/>
              <w:rPr>
                <w:sz w:val="20"/>
                <w:szCs w:val="20"/>
                <w:color w:val="auto"/>
              </w:rPr>
            </w:pPr>
            <w:r>
              <w:rPr>
                <w:rFonts w:ascii="Arial" w:cs="Arial" w:eastAsia="Arial" w:hAnsi="Arial"/>
                <w:sz w:val="18"/>
                <w:szCs w:val="18"/>
                <w:color w:val="auto"/>
              </w:rPr>
              <w:t>Item 5.</w:t>
            </w:r>
          </w:p>
        </w:tc>
        <w:tc>
          <w:tcPr>
            <w:tcW w:w="8680" w:type="dxa"/>
            <w:vAlign w:val="bottom"/>
            <w:gridSpan w:val="21"/>
          </w:tcPr>
          <w:p>
            <w:pPr>
              <w:spacing w:after="0" w:line="176" w:lineRule="exact"/>
              <w:rPr>
                <w:rFonts w:ascii="Arial" w:cs="Arial" w:eastAsia="Arial" w:hAnsi="Arial"/>
                <w:sz w:val="18"/>
                <w:szCs w:val="18"/>
                <w:color w:val="0000EE"/>
                <w:w w:val="96"/>
              </w:rPr>
            </w:pPr>
            <w:hyperlink w:anchor="page28">
              <w:r>
                <w:rPr>
                  <w:rFonts w:ascii="Arial" w:cs="Arial" w:eastAsia="Arial" w:hAnsi="Arial"/>
                  <w:sz w:val="18"/>
                  <w:szCs w:val="18"/>
                  <w:color w:val="0000EE"/>
                  <w:w w:val="96"/>
                </w:rPr>
                <w:t>Market for Registrant’s Common Equity, Related Stockholder Matters, and Issuer Purchases of Equity Securities</w:t>
              </w:r>
            </w:hyperlink>
          </w:p>
        </w:tc>
        <w:tc>
          <w:tcPr>
            <w:tcW w:w="158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EEEEEE"/>
          </w:tcPr>
          <w:p>
            <w:pPr>
              <w:ind w:left="160"/>
              <w:spacing w:after="0" w:line="176" w:lineRule="exact"/>
              <w:rPr>
                <w:sz w:val="20"/>
                <w:szCs w:val="20"/>
                <w:color w:val="auto"/>
              </w:rPr>
            </w:pPr>
            <w:r>
              <w:rPr>
                <w:rFonts w:ascii="Arial" w:cs="Arial" w:eastAsia="Arial" w:hAnsi="Arial"/>
                <w:sz w:val="18"/>
                <w:szCs w:val="18"/>
                <w:color w:val="auto"/>
              </w:rPr>
              <w:t>Item 6.</w:t>
            </w:r>
          </w:p>
        </w:tc>
        <w:tc>
          <w:tcPr>
            <w:tcW w:w="8680" w:type="dxa"/>
            <w:vAlign w:val="bottom"/>
            <w:gridSpan w:val="21"/>
            <w:shd w:val="clear" w:color="auto" w:fill="EEEEEE"/>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158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5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ind w:left="160"/>
              <w:spacing w:after="0" w:line="176" w:lineRule="exact"/>
              <w:rPr>
                <w:sz w:val="20"/>
                <w:szCs w:val="20"/>
                <w:color w:val="auto"/>
              </w:rPr>
            </w:pPr>
            <w:r>
              <w:rPr>
                <w:rFonts w:ascii="Arial" w:cs="Arial" w:eastAsia="Arial" w:hAnsi="Arial"/>
                <w:sz w:val="18"/>
                <w:szCs w:val="18"/>
                <w:color w:val="auto"/>
              </w:rPr>
              <w:t>Item 7.</w:t>
            </w:r>
          </w:p>
        </w:tc>
        <w:tc>
          <w:tcPr>
            <w:tcW w:w="8680" w:type="dxa"/>
            <w:vAlign w:val="bottom"/>
            <w:gridSpan w:val="21"/>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158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EEEEEE"/>
            </w:tcBorders>
            <w:shd w:val="clear" w:color="auto" w:fill="EEEEEE"/>
          </w:tcPr>
          <w:p>
            <w:pPr>
              <w:ind w:left="160"/>
              <w:spacing w:after="0" w:line="17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shd w:val="clear" w:color="auto" w:fill="EEEEEE"/>
          </w:tcPr>
          <w:p>
            <w:pPr>
              <w:spacing w:after="0" w:line="17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4320" w:type="dxa"/>
            <w:vAlign w:val="bottom"/>
            <w:tcBorders>
              <w:bottom w:val="single" w:sz="8" w:color="EEEEEE"/>
            </w:tcBorders>
            <w:gridSpan w:val="6"/>
            <w:shd w:val="clear" w:color="auto" w:fill="EEEEEE"/>
          </w:tcPr>
          <w:p>
            <w:pPr>
              <w:spacing w:after="0"/>
              <w:rPr>
                <w:sz w:val="17"/>
                <w:szCs w:val="17"/>
                <w:color w:val="auto"/>
              </w:rPr>
            </w:pPr>
          </w:p>
        </w:tc>
        <w:tc>
          <w:tcPr>
            <w:tcW w:w="158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ind w:left="160"/>
              <w:spacing w:after="0" w:line="176" w:lineRule="exact"/>
              <w:rPr>
                <w:sz w:val="20"/>
                <w:szCs w:val="20"/>
                <w:color w:val="auto"/>
              </w:rPr>
            </w:pPr>
            <w:r>
              <w:rPr>
                <w:rFonts w:ascii="Arial" w:cs="Arial" w:eastAsia="Arial" w:hAnsi="Arial"/>
                <w:sz w:val="18"/>
                <w:szCs w:val="18"/>
                <w:color w:val="auto"/>
              </w:rPr>
              <w:t>Item 8.</w:t>
            </w:r>
          </w:p>
        </w:tc>
        <w:tc>
          <w:tcPr>
            <w:tcW w:w="8680" w:type="dxa"/>
            <w:vAlign w:val="bottom"/>
            <w:gridSpan w:val="21"/>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158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EEEEEE"/>
          </w:tcPr>
          <w:p>
            <w:pPr>
              <w:ind w:left="160"/>
              <w:spacing w:after="0" w:line="176" w:lineRule="exact"/>
              <w:rPr>
                <w:sz w:val="20"/>
                <w:szCs w:val="20"/>
                <w:color w:val="auto"/>
              </w:rPr>
            </w:pPr>
            <w:r>
              <w:rPr>
                <w:rFonts w:ascii="Arial" w:cs="Arial" w:eastAsia="Arial" w:hAnsi="Arial"/>
                <w:sz w:val="18"/>
                <w:szCs w:val="18"/>
                <w:color w:val="auto"/>
              </w:rPr>
              <w:t>Item 9.</w:t>
            </w:r>
          </w:p>
        </w:tc>
        <w:tc>
          <w:tcPr>
            <w:tcW w:w="8680" w:type="dxa"/>
            <w:vAlign w:val="bottom"/>
            <w:gridSpan w:val="21"/>
            <w:shd w:val="clear" w:color="auto" w:fill="EEEEEE"/>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Changes in and Disagreements With Accountants on Accounting and Financial Disclosure</w:t>
              </w:r>
            </w:hyperlink>
          </w:p>
        </w:tc>
        <w:tc>
          <w:tcPr>
            <w:tcW w:w="158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EEEEEE"/>
            </w:tcBorders>
          </w:tcPr>
          <w:p>
            <w:pPr>
              <w:ind w:left="160"/>
              <w:spacing w:after="0" w:line="17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2180" w:type="dxa"/>
            <w:vAlign w:val="bottom"/>
            <w:tcBorders>
              <w:top w:val="single" w:sz="8" w:color="EEEEEE"/>
            </w:tcBorders>
            <w:gridSpan w:val="3"/>
          </w:tcPr>
          <w:p>
            <w:pPr>
              <w:spacing w:after="0"/>
              <w:rPr>
                <w:sz w:val="15"/>
                <w:szCs w:val="15"/>
                <w:color w:val="auto"/>
              </w:rPr>
            </w:pPr>
          </w:p>
        </w:tc>
        <w:tc>
          <w:tcPr>
            <w:tcW w:w="1580" w:type="dxa"/>
            <w:vAlign w:val="bottom"/>
            <w:tcBorders>
              <w:top w:val="single" w:sz="8" w:color="EEEEEE"/>
            </w:tcBorders>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EEEEEE"/>
          </w:tcPr>
          <w:p>
            <w:pPr>
              <w:ind w:left="160"/>
              <w:spacing w:after="0" w:line="176" w:lineRule="exact"/>
              <w:rPr>
                <w:sz w:val="20"/>
                <w:szCs w:val="20"/>
                <w:color w:val="auto"/>
              </w:rPr>
            </w:pPr>
            <w:r>
              <w:rPr>
                <w:rFonts w:ascii="Arial" w:cs="Arial" w:eastAsia="Arial" w:hAnsi="Arial"/>
                <w:sz w:val="18"/>
                <w:szCs w:val="18"/>
                <w:color w:val="auto"/>
              </w:rPr>
              <w:t>Item 9B.</w:t>
            </w:r>
          </w:p>
        </w:tc>
        <w:tc>
          <w:tcPr>
            <w:tcW w:w="8680" w:type="dxa"/>
            <w:vAlign w:val="bottom"/>
            <w:gridSpan w:val="21"/>
            <w:shd w:val="clear" w:color="auto" w:fill="EEEEEE"/>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158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84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EEEEEE"/>
          </w:tcPr>
          <w:p>
            <w:pPr>
              <w:spacing w:after="0"/>
              <w:rPr>
                <w:sz w:val="20"/>
                <w:szCs w:val="20"/>
                <w:color w:val="auto"/>
              </w:rPr>
            </w:pPr>
            <w:r>
              <w:rPr>
                <w:rFonts w:ascii="Arial" w:cs="Arial" w:eastAsia="Arial" w:hAnsi="Arial"/>
                <w:sz w:val="18"/>
                <w:szCs w:val="18"/>
                <w:color w:val="auto"/>
              </w:rPr>
              <w:t>PART III</w:t>
            </w:r>
          </w:p>
        </w:tc>
        <w:tc>
          <w:tcPr>
            <w:tcW w:w="6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ind w:left="160"/>
              <w:spacing w:after="0" w:line="176" w:lineRule="exact"/>
              <w:rPr>
                <w:sz w:val="20"/>
                <w:szCs w:val="20"/>
                <w:color w:val="auto"/>
              </w:rPr>
            </w:pPr>
            <w:r>
              <w:rPr>
                <w:rFonts w:ascii="Arial" w:cs="Arial" w:eastAsia="Arial" w:hAnsi="Arial"/>
                <w:sz w:val="18"/>
                <w:szCs w:val="18"/>
                <w:color w:val="auto"/>
              </w:rPr>
              <w:t>Item 10.</w:t>
            </w:r>
          </w:p>
        </w:tc>
        <w:tc>
          <w:tcPr>
            <w:tcW w:w="8680" w:type="dxa"/>
            <w:vAlign w:val="bottom"/>
            <w:gridSpan w:val="21"/>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Directors, Executive Officers and Corporate Governance</w:t>
              </w:r>
            </w:hyperlink>
          </w:p>
        </w:tc>
        <w:tc>
          <w:tcPr>
            <w:tcW w:w="1580" w:type="dxa"/>
            <w:vAlign w:val="bottom"/>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EEEEEE"/>
          </w:tcPr>
          <w:p>
            <w:pPr>
              <w:ind w:left="160"/>
              <w:spacing w:after="0" w:line="176" w:lineRule="exact"/>
              <w:rPr>
                <w:sz w:val="20"/>
                <w:szCs w:val="20"/>
                <w:color w:val="auto"/>
              </w:rPr>
            </w:pPr>
            <w:r>
              <w:rPr>
                <w:rFonts w:ascii="Arial" w:cs="Arial" w:eastAsia="Arial" w:hAnsi="Arial"/>
                <w:sz w:val="18"/>
                <w:szCs w:val="18"/>
                <w:color w:val="auto"/>
              </w:rPr>
              <w:t>Item 11.</w:t>
            </w:r>
          </w:p>
        </w:tc>
        <w:tc>
          <w:tcPr>
            <w:tcW w:w="8680" w:type="dxa"/>
            <w:vAlign w:val="bottom"/>
            <w:gridSpan w:val="21"/>
            <w:shd w:val="clear" w:color="auto" w:fill="EEEEEE"/>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Executive Compensation</w:t>
              </w:r>
            </w:hyperlink>
          </w:p>
        </w:tc>
        <w:tc>
          <w:tcPr>
            <w:tcW w:w="158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5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ind w:left="160"/>
              <w:spacing w:after="0" w:line="176" w:lineRule="exact"/>
              <w:rPr>
                <w:sz w:val="20"/>
                <w:szCs w:val="20"/>
                <w:color w:val="auto"/>
              </w:rPr>
            </w:pPr>
            <w:r>
              <w:rPr>
                <w:rFonts w:ascii="Arial" w:cs="Arial" w:eastAsia="Arial" w:hAnsi="Arial"/>
                <w:sz w:val="18"/>
                <w:szCs w:val="18"/>
                <w:color w:val="auto"/>
              </w:rPr>
              <w:t>Item 12.</w:t>
            </w:r>
          </w:p>
        </w:tc>
        <w:tc>
          <w:tcPr>
            <w:tcW w:w="8680" w:type="dxa"/>
            <w:vAlign w:val="bottom"/>
            <w:gridSpan w:val="21"/>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Security Ownership of Certain Beneficial Owners and Management and Related Stockholder Matters</w:t>
              </w:r>
            </w:hyperlink>
          </w:p>
        </w:tc>
        <w:tc>
          <w:tcPr>
            <w:tcW w:w="1580" w:type="dxa"/>
            <w:vAlign w:val="bottom"/>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EEEEEE"/>
          </w:tcPr>
          <w:p>
            <w:pPr>
              <w:ind w:left="160"/>
              <w:spacing w:after="0" w:line="176" w:lineRule="exact"/>
              <w:rPr>
                <w:sz w:val="20"/>
                <w:szCs w:val="20"/>
                <w:color w:val="auto"/>
              </w:rPr>
            </w:pPr>
            <w:r>
              <w:rPr>
                <w:rFonts w:ascii="Arial" w:cs="Arial" w:eastAsia="Arial" w:hAnsi="Arial"/>
                <w:sz w:val="18"/>
                <w:szCs w:val="18"/>
                <w:color w:val="auto"/>
              </w:rPr>
              <w:t>Item 13.</w:t>
            </w:r>
          </w:p>
        </w:tc>
        <w:tc>
          <w:tcPr>
            <w:tcW w:w="8680" w:type="dxa"/>
            <w:vAlign w:val="bottom"/>
            <w:gridSpan w:val="21"/>
            <w:shd w:val="clear" w:color="auto" w:fill="EEEEEE"/>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Certain Relationships and Related Transactions, and Director Independence</w:t>
              </w:r>
            </w:hyperlink>
          </w:p>
        </w:tc>
        <w:tc>
          <w:tcPr>
            <w:tcW w:w="158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EEEEEE"/>
            </w:tcBorders>
          </w:tcPr>
          <w:p>
            <w:pPr>
              <w:ind w:left="160"/>
              <w:spacing w:after="0" w:line="17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Principal Accountant Fees and Services</w:t>
              </w:r>
            </w:hyperlink>
          </w:p>
        </w:tc>
        <w:tc>
          <w:tcPr>
            <w:tcW w:w="3240" w:type="dxa"/>
            <w:vAlign w:val="bottom"/>
            <w:tcBorders>
              <w:top w:val="single" w:sz="8" w:color="EEEEEE"/>
            </w:tcBorders>
            <w:gridSpan w:val="5"/>
          </w:tcPr>
          <w:p>
            <w:pPr>
              <w:spacing w:after="0"/>
              <w:rPr>
                <w:sz w:val="15"/>
                <w:szCs w:val="15"/>
                <w:color w:val="auto"/>
              </w:rPr>
            </w:pPr>
          </w:p>
        </w:tc>
        <w:tc>
          <w:tcPr>
            <w:tcW w:w="1580" w:type="dxa"/>
            <w:vAlign w:val="bottom"/>
            <w:tcBorders>
              <w:top w:val="single" w:sz="8" w:color="EEEEEE"/>
            </w:tcBorders>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EEEEEE"/>
          </w:tcPr>
          <w:p>
            <w:pPr>
              <w:ind w:left="160"/>
              <w:spacing w:after="0" w:line="176" w:lineRule="exact"/>
              <w:rPr>
                <w:sz w:val="20"/>
                <w:szCs w:val="20"/>
                <w:color w:val="auto"/>
              </w:rPr>
            </w:pPr>
            <w:r>
              <w:rPr>
                <w:rFonts w:ascii="Arial" w:cs="Arial" w:eastAsia="Arial" w:hAnsi="Arial"/>
                <w:sz w:val="18"/>
                <w:szCs w:val="18"/>
                <w:color w:val="auto"/>
              </w:rPr>
              <w:t>Item 15.</w:t>
            </w:r>
          </w:p>
        </w:tc>
        <w:tc>
          <w:tcPr>
            <w:tcW w:w="8680" w:type="dxa"/>
            <w:vAlign w:val="bottom"/>
            <w:gridSpan w:val="21"/>
            <w:shd w:val="clear" w:color="auto" w:fill="EEEEEE"/>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Exhibits, Financial Statement Schedules</w:t>
              </w:r>
            </w:hyperlink>
          </w:p>
        </w:tc>
        <w:tc>
          <w:tcPr>
            <w:tcW w:w="158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1"/>
        </w:trPr>
        <w:tc>
          <w:tcPr>
            <w:tcW w:w="20" w:type="dxa"/>
            <w:vAlign w:val="bottom"/>
          </w:tcPr>
          <w:p>
            <w:pPr>
              <w:spacing w:after="0"/>
              <w:rPr>
                <w:sz w:val="24"/>
                <w:szCs w:val="24"/>
                <w:color w:val="auto"/>
              </w:rPr>
            </w:pPr>
          </w:p>
        </w:tc>
        <w:tc>
          <w:tcPr>
            <w:tcW w:w="1140" w:type="dxa"/>
            <w:vAlign w:val="bottom"/>
            <w:tcBorders>
              <w:top w:val="single" w:sz="8" w:color="EEEE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EEEEEE"/>
              <w:bottom w:val="single" w:sz="8" w:color="auto"/>
            </w:tcBorders>
          </w:tcPr>
          <w:p>
            <w:pPr>
              <w:spacing w:after="0"/>
              <w:rPr>
                <w:sz w:val="24"/>
                <w:szCs w:val="24"/>
                <w:color w:val="auto"/>
              </w:rPr>
            </w:pPr>
          </w:p>
        </w:tc>
        <w:tc>
          <w:tcPr>
            <w:tcW w:w="780" w:type="dxa"/>
            <w:vAlign w:val="bottom"/>
            <w:tcBorders>
              <w:top w:val="single" w:sz="8" w:color="EEEEEE"/>
              <w:bottom w:val="single" w:sz="8" w:color="auto"/>
            </w:tcBorders>
          </w:tcPr>
          <w:p>
            <w:pPr>
              <w:spacing w:after="0"/>
              <w:rPr>
                <w:sz w:val="24"/>
                <w:szCs w:val="24"/>
                <w:color w:val="auto"/>
              </w:rPr>
            </w:pPr>
          </w:p>
        </w:tc>
        <w:tc>
          <w:tcPr>
            <w:tcW w:w="260" w:type="dxa"/>
            <w:vAlign w:val="bottom"/>
            <w:tcBorders>
              <w:top w:val="single" w:sz="8" w:color="EEEEEE"/>
              <w:bottom w:val="single" w:sz="8" w:color="auto"/>
            </w:tcBorders>
          </w:tcPr>
          <w:p>
            <w:pPr>
              <w:spacing w:after="0"/>
              <w:rPr>
                <w:sz w:val="24"/>
                <w:szCs w:val="24"/>
                <w:color w:val="auto"/>
              </w:rPr>
            </w:pPr>
          </w:p>
        </w:tc>
        <w:tc>
          <w:tcPr>
            <w:tcW w:w="1080" w:type="dxa"/>
            <w:vAlign w:val="bottom"/>
            <w:tcBorders>
              <w:top w:val="single" w:sz="8" w:color="EEEEEE"/>
              <w:bottom w:val="single" w:sz="8" w:color="auto"/>
            </w:tcBorders>
          </w:tcPr>
          <w:p>
            <w:pPr>
              <w:spacing w:after="0"/>
              <w:rPr>
                <w:sz w:val="24"/>
                <w:szCs w:val="24"/>
                <w:color w:val="auto"/>
              </w:rPr>
            </w:pPr>
          </w:p>
        </w:tc>
        <w:tc>
          <w:tcPr>
            <w:tcW w:w="1020" w:type="dxa"/>
            <w:vAlign w:val="bottom"/>
            <w:tcBorders>
              <w:top w:val="single" w:sz="8" w:color="EEEEEE"/>
              <w:bottom w:val="single" w:sz="8" w:color="auto"/>
            </w:tcBorders>
          </w:tcPr>
          <w:p>
            <w:pPr>
              <w:spacing w:after="0"/>
              <w:rPr>
                <w:sz w:val="24"/>
                <w:szCs w:val="24"/>
                <w:color w:val="auto"/>
              </w:rPr>
            </w:pPr>
          </w:p>
        </w:tc>
        <w:tc>
          <w:tcPr>
            <w:tcW w:w="40" w:type="dxa"/>
            <w:vAlign w:val="bottom"/>
            <w:tcBorders>
              <w:top w:val="single" w:sz="8" w:color="EEEEEE"/>
              <w:bottom w:val="single" w:sz="8" w:color="auto"/>
            </w:tcBorders>
          </w:tcPr>
          <w:p>
            <w:pPr>
              <w:spacing w:after="0"/>
              <w:rPr>
                <w:sz w:val="24"/>
                <w:szCs w:val="24"/>
                <w:color w:val="auto"/>
              </w:rPr>
            </w:pPr>
          </w:p>
        </w:tc>
        <w:tc>
          <w:tcPr>
            <w:tcW w:w="780" w:type="dxa"/>
            <w:vAlign w:val="bottom"/>
            <w:tcBorders>
              <w:top w:val="single" w:sz="8" w:color="EEEEEE"/>
              <w:bottom w:val="single" w:sz="8" w:color="auto"/>
            </w:tcBorders>
          </w:tcPr>
          <w:p>
            <w:pPr>
              <w:spacing w:after="0"/>
              <w:rPr>
                <w:sz w:val="24"/>
                <w:szCs w:val="24"/>
                <w:color w:val="auto"/>
              </w:rPr>
            </w:pPr>
          </w:p>
        </w:tc>
        <w:tc>
          <w:tcPr>
            <w:tcW w:w="840" w:type="dxa"/>
            <w:vAlign w:val="bottom"/>
            <w:tcBorders>
              <w:top w:val="single" w:sz="8" w:color="EEEEEE"/>
              <w:bottom w:val="single" w:sz="8" w:color="auto"/>
            </w:tcBorders>
          </w:tcPr>
          <w:p>
            <w:pPr>
              <w:spacing w:after="0"/>
              <w:rPr>
                <w:sz w:val="24"/>
                <w:szCs w:val="24"/>
                <w:color w:val="auto"/>
              </w:rPr>
            </w:pPr>
          </w:p>
        </w:tc>
        <w:tc>
          <w:tcPr>
            <w:tcW w:w="560" w:type="dxa"/>
            <w:vAlign w:val="bottom"/>
            <w:tcBorders>
              <w:top w:val="single" w:sz="8" w:color="EEEEEE"/>
              <w:bottom w:val="single" w:sz="8" w:color="auto"/>
            </w:tcBorders>
          </w:tcPr>
          <w:p>
            <w:pPr>
              <w:spacing w:after="0"/>
              <w:rPr>
                <w:sz w:val="24"/>
                <w:szCs w:val="24"/>
                <w:color w:val="auto"/>
              </w:rPr>
            </w:pPr>
          </w:p>
        </w:tc>
        <w:tc>
          <w:tcPr>
            <w:tcW w:w="1580" w:type="dxa"/>
            <w:vAlign w:val="bottom"/>
            <w:tcBorders>
              <w:top w:val="single" w:sz="8" w:color="EEEE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We are a specialty finance company. Our primary business is to purchase and service retail automobile contracts originated primarily by franchised automobile dealers and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acquired installment purchase contracts in four merger and acquisition transactions. We also offer financing directly to sub-prime consumers to facilitate their purchase of a new or used automobile, light truck or passenger van. In this report, we refer to all of such contracts and loans as "automobile contracts" and all such purchases or acquisitions as “originations” or “acquisitions”.</w:t>
      </w:r>
    </w:p>
    <w:p>
      <w:pPr>
        <w:spacing w:after="0" w:line="182"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We were incorporated and began our operations in March 1991. We consist of Consumer Portfolio Services, Inc. and subsidiaries (collectively, “we,” “us,” “CPS” or “the Company”). From inception through December 31, 2016, we have purchased a total of approximately $13.5 billion of automobile contracts from dealers.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Contract purchase volumes and managed portfolio levels for the five years ended December 31, 2016 are shown in the table below:</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2980" w:type="dxa"/>
        <w:tblCellMar>
          <w:top w:w="0" w:type="dxa"/>
          <w:left w:w="0" w:type="dxa"/>
          <w:bottom w:w="0" w:type="dxa"/>
          <w:right w:w="0" w:type="dxa"/>
        </w:tblCellMar>
      </w:tblPr>
      <w:tr>
        <w:trPr>
          <w:trHeight w:val="230"/>
        </w:trPr>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gridSpan w:val="4"/>
          </w:tcPr>
          <w:p>
            <w:pPr>
              <w:ind w:left="12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Contracts Purchased</w:t>
            </w:r>
          </w:p>
        </w:tc>
        <w:tc>
          <w:tcPr>
            <w:tcW w:w="1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20" w:type="dxa"/>
            <w:vAlign w:val="bottom"/>
          </w:tcPr>
          <w:p>
            <w:pPr>
              <w:spacing w:after="0"/>
              <w:rPr>
                <w:sz w:val="16"/>
                <w:szCs w:val="16"/>
                <w:color w:val="auto"/>
              </w:rPr>
            </w:pPr>
          </w:p>
        </w:tc>
      </w:tr>
      <w:tr>
        <w:trPr>
          <w:trHeight w:val="234"/>
        </w:trPr>
        <w:tc>
          <w:tcPr>
            <w:tcW w:w="1880" w:type="dxa"/>
            <w:vAlign w:val="bottom"/>
            <w:gridSpan w:val="2"/>
          </w:tcPr>
          <w:p>
            <w:pPr>
              <w:ind w:left="600"/>
              <w:spacing w:after="0"/>
              <w:rPr>
                <w:sz w:val="20"/>
                <w:szCs w:val="20"/>
                <w:color w:val="auto"/>
              </w:rPr>
            </w:pPr>
            <w:r>
              <w:rPr>
                <w:rFonts w:ascii="Arial" w:cs="Arial" w:eastAsia="Arial" w:hAnsi="Arial"/>
                <w:sz w:val="18"/>
                <w:szCs w:val="18"/>
                <w:b w:val="1"/>
                <w:bCs w:val="1"/>
                <w:color w:val="auto"/>
              </w:rPr>
              <w:t>Year</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in Period</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at Period End</w:t>
            </w:r>
          </w:p>
        </w:tc>
      </w:tr>
      <w:tr>
        <w:trPr>
          <w:trHeight w:val="210"/>
        </w:trPr>
        <w:tc>
          <w:tcPr>
            <w:tcW w:w="1560" w:type="dxa"/>
            <w:vAlign w:val="bottom"/>
            <w:tcBorders>
              <w:top w:val="single" w:sz="8" w:color="auto"/>
            </w:tcBorders>
            <w:shd w:val="clear" w:color="auto" w:fill="EEEEEE"/>
          </w:tcPr>
          <w:p>
            <w:pPr>
              <w:jc w:val="right"/>
              <w:ind w:right="450"/>
              <w:spacing w:after="0"/>
              <w:rPr>
                <w:sz w:val="20"/>
                <w:szCs w:val="20"/>
                <w:color w:val="auto"/>
              </w:rPr>
            </w:pPr>
            <w:r>
              <w:rPr>
                <w:rFonts w:ascii="Arial" w:cs="Arial" w:eastAsia="Arial" w:hAnsi="Arial"/>
                <w:sz w:val="18"/>
                <w:szCs w:val="18"/>
                <w:color w:val="333333"/>
              </w:rPr>
              <w:t>2012</w:t>
            </w:r>
          </w:p>
        </w:tc>
        <w:tc>
          <w:tcPr>
            <w:tcW w:w="32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551,742</w:t>
            </w:r>
          </w:p>
        </w:tc>
        <w:tc>
          <w:tcPr>
            <w:tcW w:w="20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560" w:type="dxa"/>
            <w:vAlign w:val="bottom"/>
          </w:tcPr>
          <w:p>
            <w:pPr>
              <w:jc w:val="right"/>
              <w:ind w:right="450"/>
              <w:spacing w:after="0"/>
              <w:rPr>
                <w:sz w:val="20"/>
                <w:szCs w:val="20"/>
                <w:color w:val="auto"/>
              </w:rPr>
            </w:pPr>
            <w:r>
              <w:rPr>
                <w:rFonts w:ascii="Arial" w:cs="Arial" w:eastAsia="Arial" w:hAnsi="Arial"/>
                <w:sz w:val="18"/>
                <w:szCs w:val="18"/>
                <w:color w:val="333333"/>
              </w:rPr>
              <w:t>2013</w:t>
            </w:r>
          </w:p>
        </w:tc>
        <w:tc>
          <w:tcPr>
            <w:tcW w:w="3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764,087</w:t>
            </w:r>
          </w:p>
        </w:tc>
        <w:tc>
          <w:tcPr>
            <w:tcW w:w="1620" w:type="dxa"/>
            <w:vAlign w:val="bottom"/>
          </w:tcPr>
          <w:p>
            <w:pPr>
              <w:jc w:val="right"/>
              <w:spacing w:after="0"/>
              <w:rPr>
                <w:sz w:val="20"/>
                <w:szCs w:val="20"/>
                <w:color w:val="auto"/>
              </w:rPr>
            </w:pPr>
            <w:r>
              <w:rPr>
                <w:rFonts w:ascii="Arial" w:cs="Arial" w:eastAsia="Arial" w:hAnsi="Arial"/>
                <w:sz w:val="18"/>
                <w:szCs w:val="18"/>
                <w:color w:val="auto"/>
              </w:rPr>
              <w:t>1,231,422</w:t>
            </w:r>
          </w:p>
        </w:tc>
        <w:tc>
          <w:tcPr>
            <w:tcW w:w="120" w:type="dxa"/>
            <w:vAlign w:val="bottom"/>
          </w:tcPr>
          <w:p>
            <w:pPr>
              <w:spacing w:after="0"/>
              <w:rPr>
                <w:sz w:val="18"/>
                <w:szCs w:val="18"/>
                <w:color w:val="auto"/>
              </w:rPr>
            </w:pPr>
          </w:p>
        </w:tc>
      </w:tr>
      <w:tr>
        <w:trPr>
          <w:trHeight w:val="216"/>
        </w:trPr>
        <w:tc>
          <w:tcPr>
            <w:tcW w:w="156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333333"/>
              </w:rPr>
              <w:t>2014</w:t>
            </w:r>
          </w:p>
        </w:tc>
        <w:tc>
          <w:tcPr>
            <w:tcW w:w="3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944,944</w:t>
            </w:r>
          </w:p>
        </w:tc>
        <w:tc>
          <w:tcPr>
            <w:tcW w:w="1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120" w:type="dxa"/>
            <w:vAlign w:val="bottom"/>
            <w:shd w:val="clear" w:color="auto" w:fill="EEEEEE"/>
          </w:tcPr>
          <w:p>
            <w:pPr>
              <w:spacing w:after="0"/>
              <w:rPr>
                <w:sz w:val="18"/>
                <w:szCs w:val="18"/>
                <w:color w:val="auto"/>
              </w:rPr>
            </w:pPr>
          </w:p>
        </w:tc>
      </w:tr>
      <w:tr>
        <w:trPr>
          <w:trHeight w:val="216"/>
        </w:trPr>
        <w:tc>
          <w:tcPr>
            <w:tcW w:w="1560" w:type="dxa"/>
            <w:vAlign w:val="bottom"/>
          </w:tcPr>
          <w:p>
            <w:pPr>
              <w:jc w:val="right"/>
              <w:ind w:right="450"/>
              <w:spacing w:after="0"/>
              <w:rPr>
                <w:sz w:val="20"/>
                <w:szCs w:val="20"/>
                <w:color w:val="auto"/>
              </w:rPr>
            </w:pPr>
            <w:r>
              <w:rPr>
                <w:rFonts w:ascii="Arial" w:cs="Arial" w:eastAsia="Arial" w:hAnsi="Arial"/>
                <w:sz w:val="18"/>
                <w:szCs w:val="18"/>
                <w:color w:val="333333"/>
              </w:rPr>
              <w:t>2015</w:t>
            </w:r>
          </w:p>
        </w:tc>
        <w:tc>
          <w:tcPr>
            <w:tcW w:w="3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1,060,538</w:t>
            </w:r>
          </w:p>
        </w:tc>
        <w:tc>
          <w:tcPr>
            <w:tcW w:w="1620" w:type="dxa"/>
            <w:vAlign w:val="bottom"/>
          </w:tcPr>
          <w:p>
            <w:pPr>
              <w:jc w:val="right"/>
              <w:spacing w:after="0"/>
              <w:rPr>
                <w:sz w:val="20"/>
                <w:szCs w:val="20"/>
                <w:color w:val="auto"/>
              </w:rPr>
            </w:pPr>
            <w:r>
              <w:rPr>
                <w:rFonts w:ascii="Arial" w:cs="Arial" w:eastAsia="Arial" w:hAnsi="Arial"/>
                <w:sz w:val="18"/>
                <w:szCs w:val="18"/>
                <w:color w:val="auto"/>
              </w:rPr>
              <w:t>2,031,136</w:t>
            </w:r>
          </w:p>
        </w:tc>
        <w:tc>
          <w:tcPr>
            <w:tcW w:w="120" w:type="dxa"/>
            <w:vAlign w:val="bottom"/>
          </w:tcPr>
          <w:p>
            <w:pPr>
              <w:spacing w:after="0"/>
              <w:rPr>
                <w:sz w:val="18"/>
                <w:szCs w:val="18"/>
                <w:color w:val="auto"/>
              </w:rPr>
            </w:pPr>
          </w:p>
        </w:tc>
      </w:tr>
      <w:tr>
        <w:trPr>
          <w:trHeight w:val="216"/>
        </w:trPr>
        <w:tc>
          <w:tcPr>
            <w:tcW w:w="156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333333"/>
              </w:rPr>
              <w:t>2016</w:t>
            </w:r>
          </w:p>
        </w:tc>
        <w:tc>
          <w:tcPr>
            <w:tcW w:w="32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1,088,785</w:t>
            </w:r>
          </w:p>
        </w:tc>
        <w:tc>
          <w:tcPr>
            <w:tcW w:w="1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2,308,070</w:t>
            </w:r>
          </w:p>
        </w:tc>
        <w:tc>
          <w:tcPr>
            <w:tcW w:w="12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66"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The majority of our contract acquisitions volume results from our purchases of retail installment sales contracts from franchised or independent automobile dealers. We establish relationships with dealers through our employee marketing representatives, who contact prospective dealers to explain our automobile contract purchase programs, and thereafter provide dealer training and support services. Our marketing representatives represent us exclusively. They may be located in our Irvine branch, in our Las Vegas branch, or in the field, in which case they work from their homes and support dealers in their geographic area. Our marketing representatives present dealers with a marketing package, which includes our promotional material containing the terms offered by us for the purchase of automobile contracts, a copy of our standard-form dealer agreement, and required documentation relating to automobile contracts. As of December 31, 2016, we had 77 marketing representatives and in that month we received applications from 7,320 dealers in 46 states. As of December 31, 2016, approximately 67% of our active dealers were franchised new car dealers that sell both new and used vehicles, and the remainder were independent used car 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3" w:name="page4"/>
    <w:bookmarkEnd w:id="3"/>
    <w:p>
      <w:pPr>
        <w:ind w:right="20" w:firstLine="360"/>
        <w:spacing w:after="0" w:line="272" w:lineRule="auto"/>
        <w:rPr>
          <w:sz w:val="20"/>
          <w:szCs w:val="20"/>
          <w:color w:val="auto"/>
        </w:rPr>
      </w:pPr>
      <w:r>
        <w:rPr>
          <w:rFonts w:ascii="Arial" w:cs="Arial" w:eastAsia="Arial" w:hAnsi="Arial"/>
          <w:sz w:val="17"/>
          <w:szCs w:val="17"/>
          <w:color w:val="auto"/>
        </w:rPr>
        <w:t>We also solicit credit applications directly from prospective automobile consumers through the internet under a program we refer to as our direct lending platform. For qualified applicants we offer terms similar to those that we offer through dealers, though without a down payment requirement and with more restrictive loan-to-value and credit score requirements. Applicants approved in this fashion are free to shop for and purchase a vehicle from a dealer of their choosing, after which we enter into a note and security agreement directly with the consumer. Regardless of whether an automobile contract is originated from one of our dealers or through our direct lending platform, the discussion that follows regarding our acquisitions guidelines, procedures and demographic statistics applies to all of our originated contracts. During the year ended December 31, 2016 automobile contracts originated under the direct lending platform represented 0.9% of our total acquisitions and represented 0.4% of our outstanding managed portfolio.</w:t>
      </w:r>
    </w:p>
    <w:p>
      <w:pPr>
        <w:spacing w:after="0" w:line="178" w:lineRule="exact"/>
        <w:rPr>
          <w:sz w:val="20"/>
          <w:szCs w:val="20"/>
          <w:color w:val="auto"/>
        </w:rPr>
      </w:pPr>
    </w:p>
    <w:p>
      <w:pPr>
        <w:jc w:val="both"/>
        <w:ind w:right="220" w:firstLine="360"/>
        <w:spacing w:after="0" w:line="342" w:lineRule="auto"/>
        <w:rPr>
          <w:sz w:val="20"/>
          <w:szCs w:val="20"/>
          <w:color w:val="auto"/>
        </w:rPr>
      </w:pPr>
      <w:r>
        <w:rPr>
          <w:rFonts w:ascii="Arial" w:cs="Arial" w:eastAsia="Arial" w:hAnsi="Arial"/>
          <w:sz w:val="16"/>
          <w:szCs w:val="16"/>
          <w:color w:val="auto"/>
        </w:rPr>
        <w:t>For the year ended December 31, 2016, approximately 76% of the automobile contracts originated under our programs consisted of financing for used cars and 24% consisted of financing for new cars, as compared to 78% financing for used cars and 22% for new cars in the year ended December 31, 2015.</w:t>
      </w:r>
    </w:p>
    <w:p>
      <w:pPr>
        <w:spacing w:after="0" w:line="124"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originate automobile contracts with the intention of financing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72 term securitizations of approximately $11.4 billion in automobile contracts. We depend upon the availability of short-term warehouse credit facilities as interim financing for our contract purchases prior to the time we pool those contracts for a securitization. As of December 31, 2016 we have three such short-term warehouse facilities, each with a maximum borrowing amount of $100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Sub-Prime Auto Finance Industry</w:t>
      </w:r>
    </w:p>
    <w:p>
      <w:pPr>
        <w:spacing w:after="0" w:line="225"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Automobile financing is the second largest consumer finance market in the United States. The automobile finance industry can be considered a continuum where participants choose to provide financing to consumers in various segments of the spectrum of creditworthiness depending on each participant’s business strategy. We operate in a segment of the spectrum that is frequently referred to as sub-prime since we provide financing to less credit-worthy borrowers at higher rates of interest than more credit-worthy borrowers are likely to obtain.</w:t>
      </w:r>
    </w:p>
    <w:p>
      <w:pPr>
        <w:spacing w:after="0" w:line="17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Traditional automobile finance companies, such as banks, their subsidiaries, credit unions and captive finance subsidiaries of automobile manufacturers, generally lend to the most creditworthy, or so-called prime, borrowers, although some traditional lenders are significant participants in the sub-prime segment in which we operate. Historically, independent companies specializing in sub-prime automobile financing and subsidiaries of larger financial services companies have competed in the sub-prime segment which we believe remains highly fragmented, with no single company having a dominant position in the market.</w:t>
      </w:r>
    </w:p>
    <w:p>
      <w:pPr>
        <w:spacing w:after="0" w:line="188" w:lineRule="exact"/>
        <w:rPr>
          <w:sz w:val="20"/>
          <w:szCs w:val="20"/>
          <w:color w:val="auto"/>
        </w:rPr>
      </w:pPr>
    </w:p>
    <w:p>
      <w:pPr>
        <w:jc w:val="both"/>
        <w:ind w:right="380" w:firstLine="360"/>
        <w:spacing w:after="0" w:line="312" w:lineRule="auto"/>
        <w:rPr>
          <w:sz w:val="20"/>
          <w:szCs w:val="20"/>
          <w:color w:val="auto"/>
        </w:rPr>
      </w:pPr>
      <w:r>
        <w:rPr>
          <w:rFonts w:ascii="Arial" w:cs="Arial" w:eastAsia="Arial" w:hAnsi="Arial"/>
          <w:sz w:val="16"/>
          <w:szCs w:val="16"/>
          <w:color w:val="auto"/>
        </w:rPr>
        <w:t>Our automobile financing programs are designed to serve sub-prime customers, who generally have limited credit histories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interest rate and monthly payment made available to the dealer's customer; (ii) any fees to be charged to (or paid to) the dealer by the financing source; (iii) the timeliness, consistency and predictability of response; (iv) funding turnaround time; (v) any conditions to purchase; and (vi) the financial stability of the financing source. Dealers can send credit applications to us by entering the necessary data on our website or through one of two third-party application aggregators. For the year ended December 31, 2016, we received approximately 76% of all applications through DealerTrack (the industry leading dealership application aggregator), 3% via our website and 21% via another aggregator, Route One. Our automated application decisioning system produced our initial decision within seconds on approximately 99% of those applications.</w:t>
      </w:r>
    </w:p>
    <w:p>
      <w:pPr>
        <w:spacing w:after="0" w:line="179"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Upon receipt of information from a dealer, we immediately order two credit reports to document the buyer's credit history. If, upon review by our proprietary automated decisioning system, or in some cases, one of our credit analysts, we determine that the automobile contract meets our underwriting criteria, we advise the dealer of our decision to approve the contract and the terms under which we will purchase it. In some cases where we don’t grant an approval, we may suggest alternatives from the terms proposed by the dealer or request and review further information from the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 w:name="page5"/>
    <w:bookmarkEnd w:id="4"/>
    <w:p>
      <w:pPr>
        <w:jc w:val="both"/>
        <w:ind w:right="240" w:firstLine="360"/>
        <w:spacing w:after="0" w:line="264" w:lineRule="auto"/>
        <w:rPr>
          <w:sz w:val="20"/>
          <w:szCs w:val="20"/>
          <w:color w:val="auto"/>
        </w:rPr>
      </w:pPr>
      <w:r>
        <w:rPr>
          <w:rFonts w:ascii="Arial" w:cs="Arial" w:eastAsia="Arial" w:hAnsi="Arial"/>
          <w:sz w:val="18"/>
          <w:szCs w:val="18"/>
          <w:color w:val="auto"/>
        </w:rPr>
        <w:t>Dealers with which we do business are under no obligation to submit any automobile contracts to us, nor are we obligated to purchase any automobile contracts from them. During the year ended December 31, 2016, no dealer accounted for more than 0.47% of the total number of automobile contracts we purchased.</w:t>
      </w:r>
    </w:p>
    <w:p>
      <w:pPr>
        <w:spacing w:after="0" w:line="181"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Under our direct lending platform, the applicant submits a credit application directly to us via our website, or in some cases, through a third-party who accepts such applications and refers them to us for a fee. In either case, we order two credit reports and process the application with the same automated application decisioning process as described above for applications from dealers. We then advise the applicant as to whether or not we would grant them credit and on what terms.</w:t>
      </w:r>
    </w:p>
    <w:p>
      <w:pPr>
        <w:spacing w:after="0" w:line="18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following table sets forth the geographical sources of the automobile contracts we originated (based on the addresses of the customers as stated on our records) during the years ended December 31, 2016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5340" w:type="dxa"/>
            <w:vAlign w:val="bottom"/>
            <w:gridSpan w:val="9"/>
          </w:tcPr>
          <w:p>
            <w:pPr>
              <w:ind w:left="900"/>
              <w:spacing w:after="0"/>
              <w:rPr>
                <w:sz w:val="20"/>
                <w:szCs w:val="20"/>
                <w:color w:val="auto"/>
              </w:rPr>
            </w:pPr>
            <w:r>
              <w:rPr>
                <w:rFonts w:ascii="Arial" w:cs="Arial" w:eastAsia="Arial" w:hAnsi="Arial"/>
                <w:sz w:val="18"/>
                <w:szCs w:val="18"/>
                <w:b w:val="1"/>
                <w:bCs w:val="1"/>
                <w:color w:val="auto"/>
              </w:rPr>
              <w:t>Contracts Purchased During the Year Ended</w:t>
            </w:r>
          </w:p>
        </w:tc>
      </w:tr>
      <w:tr>
        <w:trPr>
          <w:trHeight w:val="223"/>
        </w:trPr>
        <w:tc>
          <w:tcPr>
            <w:tcW w:w="6080" w:type="dxa"/>
            <w:vAlign w:val="bottom"/>
          </w:tcPr>
          <w:p>
            <w:pPr>
              <w:spacing w:after="0"/>
              <w:rPr>
                <w:sz w:val="19"/>
                <w:szCs w:val="19"/>
                <w:color w:val="auto"/>
              </w:rPr>
            </w:pPr>
          </w:p>
        </w:tc>
        <w:tc>
          <w:tcPr>
            <w:tcW w:w="2740" w:type="dxa"/>
            <w:vAlign w:val="bottom"/>
            <w:tcBorders>
              <w:top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rPr>
              <w:t>December 31, 2016</w:t>
            </w:r>
          </w:p>
        </w:tc>
        <w:tc>
          <w:tcPr>
            <w:tcW w:w="250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2015</w:t>
            </w:r>
          </w:p>
        </w:tc>
        <w:tc>
          <w:tcPr>
            <w:tcW w:w="100" w:type="dxa"/>
            <w:vAlign w:val="bottom"/>
            <w:gridSpan w:val="2"/>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140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 (1)</w:t>
            </w:r>
          </w:p>
        </w:tc>
        <w:tc>
          <w:tcPr>
            <w:tcW w:w="20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 (1)</w:t>
            </w:r>
          </w:p>
        </w:tc>
        <w:tc>
          <w:tcPr>
            <w:tcW w:w="100" w:type="dxa"/>
            <w:vAlign w:val="bottom"/>
            <w:gridSpan w:val="2"/>
          </w:tcPr>
          <w:p>
            <w:pPr>
              <w:spacing w:after="0"/>
              <w:rPr>
                <w:sz w:val="19"/>
                <w:szCs w:val="19"/>
                <w:color w:val="auto"/>
              </w:rPr>
            </w:pPr>
          </w:p>
        </w:tc>
      </w:tr>
      <w:tr>
        <w:trPr>
          <w:trHeight w:val="210"/>
        </w:trPr>
        <w:tc>
          <w:tcPr>
            <w:tcW w:w="6080" w:type="dxa"/>
            <w:vAlign w:val="bottom"/>
            <w:tcBorders>
              <w:top w:val="single" w:sz="8" w:color="EEEEEE"/>
            </w:tcBorders>
            <w:shd w:val="clear" w:color="auto" w:fill="EEEEEE"/>
          </w:tcPr>
          <w:p>
            <w:pPr>
              <w:ind w:left="1160"/>
              <w:spacing w:after="0"/>
              <w:rPr>
                <w:sz w:val="20"/>
                <w:szCs w:val="20"/>
                <w:color w:val="auto"/>
              </w:rPr>
            </w:pPr>
            <w:r>
              <w:rPr>
                <w:rFonts w:ascii="Arial" w:cs="Arial" w:eastAsia="Arial" w:hAnsi="Arial"/>
                <w:sz w:val="18"/>
                <w:szCs w:val="18"/>
                <w:color w:val="333333"/>
              </w:rPr>
              <w:t>Texas</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4,889</w:t>
            </w:r>
          </w:p>
        </w:tc>
        <w:tc>
          <w:tcPr>
            <w:tcW w:w="2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5,077</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6080" w:type="dxa"/>
            <w:vAlign w:val="bottom"/>
          </w:tcPr>
          <w:p>
            <w:pPr>
              <w:ind w:left="1160"/>
              <w:spacing w:after="0"/>
              <w:rPr>
                <w:sz w:val="20"/>
                <w:szCs w:val="20"/>
                <w:color w:val="auto"/>
              </w:rPr>
            </w:pPr>
            <w:r>
              <w:rPr>
                <w:rFonts w:ascii="Arial" w:cs="Arial" w:eastAsia="Arial" w:hAnsi="Arial"/>
                <w:sz w:val="18"/>
                <w:szCs w:val="18"/>
                <w:color w:val="333333"/>
              </w:rPr>
              <w:t>California</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4,807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5,775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r>
      <w:tr>
        <w:trPr>
          <w:trHeight w:val="216"/>
        </w:trPr>
        <w:tc>
          <w:tcPr>
            <w:tcW w:w="6080" w:type="dxa"/>
            <w:vAlign w:val="bottom"/>
            <w:shd w:val="clear" w:color="auto" w:fill="EEEEEE"/>
          </w:tcPr>
          <w:p>
            <w:pPr>
              <w:ind w:left="1160"/>
              <w:spacing w:after="0"/>
              <w:rPr>
                <w:sz w:val="20"/>
                <w:szCs w:val="20"/>
                <w:color w:val="auto"/>
              </w:rPr>
            </w:pPr>
            <w:r>
              <w:rPr>
                <w:rFonts w:ascii="Arial" w:cs="Arial" w:eastAsia="Arial" w:hAnsi="Arial"/>
                <w:sz w:val="18"/>
                <w:szCs w:val="18"/>
                <w:color w:val="333333"/>
              </w:rPr>
              <w:t>Ohio</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4,492</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6.8%</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4,227</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EEEEEE"/>
          </w:tcPr>
          <w:p>
            <w:pPr>
              <w:spacing w:after="0"/>
              <w:rPr>
                <w:sz w:val="18"/>
                <w:szCs w:val="18"/>
                <w:color w:val="auto"/>
              </w:rPr>
            </w:pPr>
          </w:p>
        </w:tc>
      </w:tr>
      <w:tr>
        <w:trPr>
          <w:trHeight w:val="216"/>
        </w:trPr>
        <w:tc>
          <w:tcPr>
            <w:tcW w:w="6080" w:type="dxa"/>
            <w:vAlign w:val="bottom"/>
          </w:tcPr>
          <w:p>
            <w:pPr>
              <w:ind w:left="1160"/>
              <w:spacing w:after="0"/>
              <w:rPr>
                <w:sz w:val="20"/>
                <w:szCs w:val="20"/>
                <w:color w:val="auto"/>
              </w:rPr>
            </w:pPr>
            <w:r>
              <w:rPr>
                <w:rFonts w:ascii="Arial" w:cs="Arial" w:eastAsia="Arial" w:hAnsi="Arial"/>
                <w:sz w:val="18"/>
                <w:szCs w:val="18"/>
                <w:color w:val="333333"/>
              </w:rPr>
              <w:t>Florida</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3,750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3,397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r>
      <w:tr>
        <w:trPr>
          <w:trHeight w:val="216"/>
        </w:trPr>
        <w:tc>
          <w:tcPr>
            <w:tcW w:w="6080" w:type="dxa"/>
            <w:vAlign w:val="bottom"/>
            <w:shd w:val="clear" w:color="auto" w:fill="EEEEEE"/>
          </w:tcPr>
          <w:p>
            <w:pPr>
              <w:ind w:left="1160"/>
              <w:spacing w:after="0"/>
              <w:rPr>
                <w:sz w:val="20"/>
                <w:szCs w:val="20"/>
                <w:color w:val="auto"/>
              </w:rPr>
            </w:pPr>
            <w:r>
              <w:rPr>
                <w:rFonts w:ascii="Arial" w:cs="Arial" w:eastAsia="Arial" w:hAnsi="Arial"/>
                <w:sz w:val="18"/>
                <w:szCs w:val="18"/>
                <w:color w:val="333333"/>
              </w:rPr>
              <w:t>Georgia</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3,587</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5.4%</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3,361</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EEEEEE"/>
          </w:tcPr>
          <w:p>
            <w:pPr>
              <w:spacing w:after="0"/>
              <w:rPr>
                <w:sz w:val="18"/>
                <w:szCs w:val="18"/>
                <w:color w:val="auto"/>
              </w:rPr>
            </w:pPr>
          </w:p>
        </w:tc>
      </w:tr>
      <w:tr>
        <w:trPr>
          <w:trHeight w:val="216"/>
        </w:trPr>
        <w:tc>
          <w:tcPr>
            <w:tcW w:w="6080" w:type="dxa"/>
            <w:vAlign w:val="bottom"/>
          </w:tcPr>
          <w:p>
            <w:pPr>
              <w:ind w:left="1160"/>
              <w:spacing w:after="0"/>
              <w:rPr>
                <w:sz w:val="20"/>
                <w:szCs w:val="20"/>
                <w:color w:val="auto"/>
              </w:rPr>
            </w:pPr>
            <w:r>
              <w:rPr>
                <w:rFonts w:ascii="Arial" w:cs="Arial" w:eastAsia="Arial" w:hAnsi="Arial"/>
                <w:sz w:val="18"/>
                <w:szCs w:val="18"/>
                <w:color w:val="333333"/>
              </w:rPr>
              <w:t>North Carolina</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3,539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3,167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r>
      <w:tr>
        <w:trPr>
          <w:trHeight w:val="230"/>
        </w:trPr>
        <w:tc>
          <w:tcPr>
            <w:tcW w:w="6080" w:type="dxa"/>
            <w:vAlign w:val="bottom"/>
            <w:shd w:val="clear" w:color="auto" w:fill="EEEEEE"/>
          </w:tcPr>
          <w:p>
            <w:pPr>
              <w:ind w:left="1160"/>
              <w:spacing w:after="0"/>
              <w:rPr>
                <w:sz w:val="20"/>
                <w:szCs w:val="20"/>
                <w:color w:val="auto"/>
              </w:rPr>
            </w:pPr>
            <w:r>
              <w:rPr>
                <w:rFonts w:ascii="Arial" w:cs="Arial" w:eastAsia="Arial" w:hAnsi="Arial"/>
                <w:sz w:val="18"/>
                <w:szCs w:val="18"/>
                <w:color w:val="333333"/>
              </w:rPr>
              <w:t>Other States</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41,463</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62.3%</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39,553</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61.3%</w:t>
            </w:r>
          </w:p>
        </w:tc>
        <w:tc>
          <w:tcPr>
            <w:tcW w:w="80" w:type="dxa"/>
            <w:vAlign w:val="bottom"/>
            <w:shd w:val="clear" w:color="auto" w:fill="EEEEEE"/>
          </w:tcPr>
          <w:p>
            <w:pPr>
              <w:spacing w:after="0"/>
              <w:rPr>
                <w:sz w:val="19"/>
                <w:szCs w:val="19"/>
                <w:color w:val="auto"/>
              </w:rPr>
            </w:pPr>
          </w:p>
        </w:tc>
      </w:tr>
      <w:tr>
        <w:trPr>
          <w:trHeight w:val="223"/>
        </w:trPr>
        <w:tc>
          <w:tcPr>
            <w:tcW w:w="6080" w:type="dxa"/>
            <w:vAlign w:val="bottom"/>
          </w:tcPr>
          <w:p>
            <w:pPr>
              <w:ind w:left="3360"/>
              <w:spacing w:after="0"/>
              <w:rPr>
                <w:sz w:val="20"/>
                <w:szCs w:val="20"/>
                <w:color w:val="auto"/>
              </w:rPr>
            </w:pPr>
            <w:r>
              <w:rPr>
                <w:rFonts w:ascii="Arial" w:cs="Arial" w:eastAsia="Arial" w:hAnsi="Arial"/>
                <w:sz w:val="18"/>
                <w:szCs w:val="18"/>
                <w:color w:val="333333"/>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3333"/>
              </w:rPr>
              <w:t>66,527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3333"/>
              </w:rPr>
              <w:t>64,557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-1611630</wp:posOffset>
            </wp:positionV>
            <wp:extent cx="728980" cy="1595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595120"/>
                    </a:xfrm>
                    <a:prstGeom prst="rect">
                      <a:avLst/>
                    </a:prstGeom>
                    <a:noFill/>
                  </pic:spPr>
                </pic:pic>
              </a:graphicData>
            </a:graphic>
          </wp:anchor>
        </w:drawing>
      </w:r>
    </w:p>
    <w:p>
      <w:pPr>
        <w:spacing w:after="0" w:line="182" w:lineRule="exact"/>
        <w:rPr>
          <w:sz w:val="20"/>
          <w:szCs w:val="20"/>
          <w:color w:val="auto"/>
        </w:rPr>
      </w:pPr>
    </w:p>
    <w:p>
      <w:pPr>
        <w:ind w:left="1720" w:hanging="564"/>
        <w:spacing w:after="0"/>
        <w:tabs>
          <w:tab w:leader="none" w:pos="172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geographic concentrations of our outstanding managed portfolio as of December 31, 2016 and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4"/>
          </w:tcPr>
          <w:p>
            <w:pPr>
              <w:ind w:left="380"/>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tcPr>
          <w:p>
            <w:pPr>
              <w:spacing w:after="0"/>
              <w:rPr>
                <w:sz w:val="20"/>
                <w:szCs w:val="20"/>
                <w:color w:val="auto"/>
              </w:rPr>
            </w:pPr>
          </w:p>
        </w:tc>
        <w:tc>
          <w:tcPr>
            <w:tcW w:w="2420" w:type="dxa"/>
            <w:vAlign w:val="bottom"/>
            <w:gridSpan w:val="4"/>
          </w:tcPr>
          <w:p>
            <w:pPr>
              <w:ind w:left="34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23"/>
        </w:trPr>
        <w:tc>
          <w:tcPr>
            <w:tcW w:w="5500" w:type="dxa"/>
            <w:vAlign w:val="bottom"/>
            <w:gridSpan w:val="3"/>
            <w:vMerge w:val="restart"/>
          </w:tcPr>
          <w:p>
            <w:pPr>
              <w:jc w:val="center"/>
              <w:ind w:left="1510"/>
              <w:spacing w:after="0"/>
              <w:rPr>
                <w:sz w:val="20"/>
                <w:szCs w:val="20"/>
                <w:color w:val="auto"/>
              </w:rPr>
            </w:pPr>
            <w:r>
              <w:rPr>
                <w:rFonts w:ascii="Arial" w:cs="Arial" w:eastAsia="Arial" w:hAnsi="Arial"/>
                <w:sz w:val="18"/>
                <w:szCs w:val="18"/>
                <w:b w:val="1"/>
                <w:bCs w:val="1"/>
                <w:color w:val="auto"/>
                <w:w w:val="87"/>
              </w:rPr>
              <w:t>State Based on Obligor's Residence</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 (1)</w:t>
            </w:r>
          </w:p>
        </w:tc>
        <w:tc>
          <w:tcPr>
            <w:tcW w:w="2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 (1)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50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5"/>
          </w:tcPr>
          <w:p>
            <w:pPr>
              <w:jc w:val="right"/>
              <w:ind w:right="960"/>
              <w:spacing w:after="0" w:line="170" w:lineRule="exact"/>
              <w:rPr>
                <w:sz w:val="20"/>
                <w:szCs w:val="20"/>
                <w:color w:val="auto"/>
              </w:rPr>
            </w:pPr>
            <w:r>
              <w:rPr>
                <w:rFonts w:ascii="Arial" w:cs="Arial" w:eastAsia="Arial" w:hAnsi="Arial"/>
                <w:sz w:val="18"/>
                <w:szCs w:val="18"/>
                <w:b w:val="1"/>
                <w:bCs w:val="1"/>
                <w:color w:val="auto"/>
              </w:rPr>
              <w:t>($ in millions)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27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shd w:val="clear" w:color="auto" w:fill="EEEEEE"/>
          </w:tcPr>
          <w:p>
            <w:pPr>
              <w:spacing w:after="0"/>
              <w:rPr>
                <w:sz w:val="18"/>
                <w:szCs w:val="18"/>
                <w:color w:val="auto"/>
              </w:rPr>
            </w:pPr>
          </w:p>
        </w:tc>
        <w:tc>
          <w:tcPr>
            <w:tcW w:w="3300" w:type="dxa"/>
            <w:vAlign w:val="bottom"/>
            <w:gridSpan w:val="2"/>
            <w:shd w:val="clear" w:color="auto" w:fill="EEEEEE"/>
          </w:tcPr>
          <w:p>
            <w:pPr>
              <w:jc w:val="center"/>
              <w:ind w:right="600"/>
              <w:spacing w:after="0"/>
              <w:rPr>
                <w:sz w:val="20"/>
                <w:szCs w:val="20"/>
                <w:color w:val="auto"/>
              </w:rPr>
            </w:pPr>
            <w:r>
              <w:rPr>
                <w:rFonts w:ascii="Arial" w:cs="Arial" w:eastAsia="Arial" w:hAnsi="Arial"/>
                <w:sz w:val="18"/>
                <w:szCs w:val="18"/>
                <w:color w:val="auto"/>
                <w:w w:val="97"/>
              </w:rPr>
              <w:t>California</w:t>
            </w:r>
          </w:p>
        </w:tc>
        <w:tc>
          <w:tcPr>
            <w:tcW w:w="74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203.6</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201.7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300" w:type="dxa"/>
            <w:vAlign w:val="bottom"/>
            <w:gridSpan w:val="2"/>
          </w:tcPr>
          <w:p>
            <w:pPr>
              <w:jc w:val="center"/>
              <w:ind w:right="600"/>
              <w:spacing w:after="0"/>
              <w:rPr>
                <w:sz w:val="20"/>
                <w:szCs w:val="20"/>
                <w:color w:val="auto"/>
              </w:rPr>
            </w:pPr>
            <w:r>
              <w:rPr>
                <w:rFonts w:ascii="Arial" w:cs="Arial" w:eastAsia="Arial" w:hAnsi="Arial"/>
                <w:sz w:val="18"/>
                <w:szCs w:val="18"/>
                <w:color w:val="auto"/>
                <w:w w:val="85"/>
              </w:rPr>
              <w:t>Texas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188.3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200" w:type="dxa"/>
            <w:vAlign w:val="bottom"/>
            <w:shd w:val="clear" w:color="auto" w:fill="EEEEEE"/>
          </w:tcPr>
          <w:p>
            <w:pPr>
              <w:spacing w:after="0"/>
              <w:rPr>
                <w:sz w:val="18"/>
                <w:szCs w:val="18"/>
                <w:color w:val="auto"/>
              </w:rPr>
            </w:pPr>
          </w:p>
        </w:tc>
        <w:tc>
          <w:tcPr>
            <w:tcW w:w="3300" w:type="dxa"/>
            <w:vAlign w:val="bottom"/>
            <w:gridSpan w:val="2"/>
            <w:shd w:val="clear" w:color="auto" w:fill="EEEEEE"/>
          </w:tcPr>
          <w:p>
            <w:pPr>
              <w:jc w:val="center"/>
              <w:ind w:right="580"/>
              <w:spacing w:after="0"/>
              <w:rPr>
                <w:sz w:val="20"/>
                <w:szCs w:val="20"/>
                <w:color w:val="auto"/>
              </w:rPr>
            </w:pPr>
            <w:r>
              <w:rPr>
                <w:rFonts w:ascii="Arial" w:cs="Arial" w:eastAsia="Arial" w:hAnsi="Arial"/>
                <w:sz w:val="18"/>
                <w:szCs w:val="18"/>
                <w:color w:val="auto"/>
                <w:w w:val="94"/>
              </w:rPr>
              <w:t>Ohio</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138.8</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113.0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30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Georgia</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127.9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200" w:type="dxa"/>
            <w:vAlign w:val="bottom"/>
            <w:shd w:val="clear" w:color="auto" w:fill="EEEEEE"/>
          </w:tcPr>
          <w:p>
            <w:pPr>
              <w:spacing w:after="0"/>
              <w:rPr>
                <w:sz w:val="18"/>
                <w:szCs w:val="18"/>
                <w:color w:val="auto"/>
              </w:rPr>
            </w:pPr>
          </w:p>
        </w:tc>
        <w:tc>
          <w:tcPr>
            <w:tcW w:w="3300" w:type="dxa"/>
            <w:vAlign w:val="bottom"/>
            <w:gridSpan w:val="2"/>
            <w:shd w:val="clear" w:color="auto" w:fill="EEEEEE"/>
          </w:tcPr>
          <w:p>
            <w:pPr>
              <w:jc w:val="center"/>
              <w:ind w:right="580"/>
              <w:spacing w:after="0"/>
              <w:rPr>
                <w:sz w:val="20"/>
                <w:szCs w:val="20"/>
                <w:color w:val="auto"/>
              </w:rPr>
            </w:pPr>
            <w:r>
              <w:rPr>
                <w:rFonts w:ascii="Arial" w:cs="Arial" w:eastAsia="Arial" w:hAnsi="Arial"/>
                <w:sz w:val="18"/>
                <w:szCs w:val="18"/>
                <w:color w:val="auto"/>
                <w:w w:val="94"/>
              </w:rPr>
              <w:t>Florida</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119.5</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98.9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3300" w:type="dxa"/>
            <w:vAlign w:val="bottom"/>
            <w:gridSpan w:val="2"/>
          </w:tcPr>
          <w:p>
            <w:pPr>
              <w:jc w:val="center"/>
              <w:ind w:right="580"/>
              <w:spacing w:after="0"/>
              <w:rPr>
                <w:sz w:val="20"/>
                <w:szCs w:val="20"/>
                <w:color w:val="auto"/>
              </w:rPr>
            </w:pPr>
            <w:r>
              <w:rPr>
                <w:rFonts w:ascii="Arial" w:cs="Arial" w:eastAsia="Arial" w:hAnsi="Arial"/>
                <w:sz w:val="18"/>
                <w:szCs w:val="18"/>
                <w:color w:val="auto"/>
                <w:w w:val="95"/>
              </w:rPr>
              <w:t>All others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1,530.0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1,326.7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3"/>
        </w:trPr>
        <w:tc>
          <w:tcPr>
            <w:tcW w:w="2200" w:type="dxa"/>
            <w:vAlign w:val="bottom"/>
            <w:tcBorders>
              <w:top w:val="single" w:sz="8" w:color="EEEEEE"/>
              <w:bottom w:val="single" w:sz="8" w:color="EEEEEE"/>
            </w:tcBorders>
            <w:shd w:val="clear" w:color="auto" w:fill="EEEEEE"/>
          </w:tcPr>
          <w:p>
            <w:pPr>
              <w:spacing w:after="0"/>
              <w:rPr>
                <w:sz w:val="19"/>
                <w:szCs w:val="19"/>
                <w:color w:val="auto"/>
              </w:rPr>
            </w:pPr>
          </w:p>
        </w:tc>
        <w:tc>
          <w:tcPr>
            <w:tcW w:w="3300" w:type="dxa"/>
            <w:vAlign w:val="bottom"/>
            <w:tcBorders>
              <w:top w:val="single" w:sz="8" w:color="EEEEEE"/>
              <w:bottom w:val="single" w:sz="8" w:color="EEEEEE"/>
            </w:tcBorders>
            <w:gridSpan w:val="2"/>
            <w:shd w:val="clear" w:color="auto" w:fill="EEEEEE"/>
          </w:tcPr>
          <w:p>
            <w:pPr>
              <w:jc w:val="center"/>
              <w:ind w:right="600"/>
              <w:spacing w:after="0"/>
              <w:rPr>
                <w:sz w:val="20"/>
                <w:szCs w:val="20"/>
                <w:color w:val="auto"/>
              </w:rPr>
            </w:pPr>
            <w:r>
              <w:rPr>
                <w:rFonts w:ascii="Arial" w:cs="Arial" w:eastAsia="Arial" w:hAnsi="Arial"/>
                <w:sz w:val="18"/>
                <w:szCs w:val="18"/>
                <w:color w:val="auto"/>
                <w:w w:val="94"/>
              </w:rPr>
              <w:t>Total</w:t>
            </w:r>
          </w:p>
        </w:tc>
        <w:tc>
          <w:tcPr>
            <w:tcW w:w="5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2,308.1</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2,031.1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20" w:hanging="564"/>
        <w:spacing w:after="0"/>
        <w:tabs>
          <w:tab w:leader="none" w:pos="17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ind w:right="80" w:firstLine="360"/>
        <w:spacing w:after="0" w:line="257" w:lineRule="auto"/>
        <w:rPr>
          <w:sz w:val="20"/>
          <w:szCs w:val="20"/>
          <w:color w:val="auto"/>
        </w:rPr>
      </w:pPr>
      <w:r>
        <w:rPr>
          <w:rFonts w:ascii="Arial" w:cs="Arial" w:eastAsia="Arial" w:hAnsi="Arial"/>
          <w:sz w:val="18"/>
          <w:szCs w:val="18"/>
          <w:color w:val="auto"/>
        </w:rPr>
        <w:t>We purchase automobile contracts from dealers at a price generally computed as the total amount financed under the automobile contracts, adjusted for an acquisition fee,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our purchased contracts for the periods shown: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Average net acquisition fee amount (1)</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418</w:t>
            </w:r>
          </w:p>
        </w:tc>
        <w:tc>
          <w:tcPr>
            <w:tcW w:w="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w w:val="99"/>
              </w:rPr>
              <w:t>Average net acquisition fee as % of amount financed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jc w:val="right"/>
              <w:ind w:right="385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annual percentage interest rate</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Not applicable to direct lending platform</w:t>
      </w:r>
    </w:p>
    <w:p>
      <w:pPr>
        <w:spacing w:after="0" w:line="225"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believe that levels of acquisition fees are determined partially by competition in the marketplace, which has increased over the periods presented, and also by our pricing strategy. Our pricing strategy is driven by our objectives for new contract purchase quantities and yield.</w:t>
      </w:r>
    </w:p>
    <w:p>
      <w:pPr>
        <w:spacing w:after="0" w:line="17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We offer eight different financing programs, and price each program according to the relative credit risk. Our programs cover a wide band of the credit spectrum and are labeled as follows:</w:t>
      </w:r>
    </w:p>
    <w:p>
      <w:pPr>
        <w:spacing w:after="0" w:line="170" w:lineRule="exact"/>
        <w:rPr>
          <w:sz w:val="20"/>
          <w:szCs w:val="20"/>
          <w:color w:val="auto"/>
        </w:rPr>
      </w:pPr>
    </w:p>
    <w:p>
      <w:pPr>
        <w:ind w:left="360" w:right="80" w:firstLine="360"/>
        <w:spacing w:after="0" w:line="259" w:lineRule="auto"/>
        <w:rPr>
          <w:sz w:val="20"/>
          <w:szCs w:val="20"/>
          <w:color w:val="auto"/>
        </w:rPr>
      </w:pPr>
      <w:r>
        <w:rPr>
          <w:rFonts w:ascii="Arial" w:cs="Arial" w:eastAsia="Arial" w:hAnsi="Arial"/>
          <w:sz w:val="18"/>
          <w:szCs w:val="18"/>
          <w:u w:val="single" w:color="auto"/>
          <w:color w:val="auto"/>
        </w:rPr>
        <w:t>Bravo</w:t>
      </w:r>
      <w:r>
        <w:rPr>
          <w:rFonts w:ascii="Arial" w:cs="Arial" w:eastAsia="Arial" w:hAnsi="Arial"/>
          <w:sz w:val="18"/>
          <w:szCs w:val="18"/>
          <w:color w:val="auto"/>
        </w:rPr>
        <w:t xml:space="preserve"> - this program accommodates an applicant with significant past non-performing credit including recent derogatory credit. Advance rates are lowest of all of our programs to offset the greater risk. To offset the low up-front advance to the dealer, we agree to pay the dealer a portion of future payments we receive from the obligor, depending on loan performance. The Bravo program was introduced in November of 2015 and for the 12 months ended December 31, 2016 represented only 0.5% of our total acquisitions.</w:t>
      </w:r>
    </w:p>
    <w:p>
      <w:pPr>
        <w:spacing w:after="0" w:line="187" w:lineRule="exact"/>
        <w:rPr>
          <w:sz w:val="20"/>
          <w:szCs w:val="20"/>
          <w:color w:val="auto"/>
        </w:rPr>
      </w:pPr>
    </w:p>
    <w:p>
      <w:pPr>
        <w:jc w:val="both"/>
        <w:ind w:left="360" w:right="60" w:firstLine="360"/>
        <w:spacing w:after="0" w:line="286" w:lineRule="auto"/>
        <w:rPr>
          <w:sz w:val="20"/>
          <w:szCs w:val="20"/>
          <w:color w:val="auto"/>
        </w:rPr>
      </w:pPr>
      <w:r>
        <w:rPr>
          <w:rFonts w:ascii="Arial" w:cs="Arial" w:eastAsia="Arial" w:hAnsi="Arial"/>
          <w:sz w:val="17"/>
          <w:szCs w:val="17"/>
          <w:u w:val="single" w:color="auto"/>
          <w:color w:val="auto"/>
        </w:rPr>
        <w:t>First Time Buyer</w:t>
      </w:r>
      <w:r>
        <w:rPr>
          <w:rFonts w:ascii="Arial" w:cs="Arial" w:eastAsia="Arial" w:hAnsi="Arial"/>
          <w:sz w:val="17"/>
          <w:szCs w:val="17"/>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166" w:lineRule="exact"/>
        <w:rPr>
          <w:sz w:val="20"/>
          <w:szCs w:val="20"/>
          <w:color w:val="auto"/>
        </w:rPr>
      </w:pPr>
    </w:p>
    <w:p>
      <w:pPr>
        <w:ind w:left="360" w:right="140" w:firstLine="360"/>
        <w:spacing w:after="0" w:line="264" w:lineRule="auto"/>
        <w:rPr>
          <w:sz w:val="20"/>
          <w:szCs w:val="20"/>
          <w:color w:val="auto"/>
        </w:rPr>
      </w:pPr>
      <w:r>
        <w:rPr>
          <w:rFonts w:ascii="Arial" w:cs="Arial" w:eastAsia="Arial" w:hAnsi="Arial"/>
          <w:sz w:val="18"/>
          <w:szCs w:val="18"/>
          <w:u w:val="single" w:color="auto"/>
          <w:color w:val="auto"/>
        </w:rPr>
        <w:t>Mercury / Delta</w:t>
      </w:r>
      <w:r>
        <w:rPr>
          <w:rFonts w:ascii="Arial" w:cs="Arial" w:eastAsia="Arial" w:hAnsi="Arial"/>
          <w:sz w:val="18"/>
          <w:szCs w:val="18"/>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181" w:lineRule="exact"/>
        <w:rPr>
          <w:sz w:val="20"/>
          <w:szCs w:val="20"/>
          <w:color w:val="auto"/>
        </w:rPr>
      </w:pPr>
    </w:p>
    <w:p>
      <w:pPr>
        <w:jc w:val="both"/>
        <w:ind w:left="360" w:right="560" w:firstLine="360"/>
        <w:spacing w:after="0" w:line="264" w:lineRule="auto"/>
        <w:rPr>
          <w:sz w:val="20"/>
          <w:szCs w:val="20"/>
          <w:color w:val="auto"/>
        </w:rPr>
      </w:pP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and loan-to-value ratio requirements are somewhat less restrictive.</w:t>
      </w:r>
    </w:p>
    <w:p>
      <w:pPr>
        <w:spacing w:after="0" w:line="181" w:lineRule="exact"/>
        <w:rPr>
          <w:sz w:val="20"/>
          <w:szCs w:val="20"/>
          <w:color w:val="auto"/>
        </w:rPr>
      </w:pPr>
    </w:p>
    <w:p>
      <w:pPr>
        <w:ind w:left="360" w:right="40" w:firstLine="360"/>
        <w:spacing w:after="0" w:line="312" w:lineRule="auto"/>
        <w:rPr>
          <w:sz w:val="20"/>
          <w:szCs w:val="20"/>
          <w:color w:val="auto"/>
        </w:rPr>
      </w:pPr>
      <w:r>
        <w:rPr>
          <w:rFonts w:ascii="Arial" w:cs="Arial" w:eastAsia="Arial" w:hAnsi="Arial"/>
          <w:sz w:val="16"/>
          <w:szCs w:val="16"/>
          <w:u w:val="single" w:color="auto"/>
          <w:color w:val="auto"/>
        </w:rPr>
        <w:t>Alpha</w:t>
      </w:r>
      <w:r>
        <w:rPr>
          <w:rFonts w:ascii="Arial" w:cs="Arial" w:eastAsia="Arial" w:hAnsi="Arial"/>
          <w:sz w:val="16"/>
          <w:szCs w:val="16"/>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147" w:lineRule="exact"/>
        <w:rPr>
          <w:sz w:val="20"/>
          <w:szCs w:val="20"/>
          <w:color w:val="auto"/>
        </w:rPr>
      </w:pPr>
    </w:p>
    <w:p>
      <w:pPr>
        <w:ind w:left="360" w:right="120" w:firstLine="360"/>
        <w:spacing w:after="0" w:line="264" w:lineRule="auto"/>
        <w:rPr>
          <w:sz w:val="20"/>
          <w:szCs w:val="20"/>
          <w:color w:val="auto"/>
        </w:rPr>
      </w:pPr>
      <w:r>
        <w:rPr>
          <w:rFonts w:ascii="Arial" w:cs="Arial" w:eastAsia="Arial" w:hAnsi="Arial"/>
          <w:sz w:val="18"/>
          <w:szCs w:val="18"/>
          <w:u w:val="single" w:color="auto"/>
          <w:color w:val="auto"/>
        </w:rPr>
        <w:t>Alpha Plus</w:t>
      </w:r>
      <w:r>
        <w:rPr>
          <w:rFonts w:ascii="Arial" w:cs="Arial" w:eastAsia="Arial" w:hAnsi="Arial"/>
          <w:sz w:val="18"/>
          <w:szCs w:val="18"/>
          <w:color w:val="auto"/>
        </w:rPr>
        <w:t xml:space="preserve"> – This program accommodates applicants with past non-performing credit, but with a stronger history of recent performing credit, such as auto or mortgage related credit, and higher incomes than the Alpha program. Contract interest rates and dealer acquisition fees are lower than the Alpha program.</w:t>
      </w:r>
    </w:p>
    <w:p>
      <w:pPr>
        <w:spacing w:after="0" w:line="181" w:lineRule="exact"/>
        <w:rPr>
          <w:sz w:val="20"/>
          <w:szCs w:val="20"/>
          <w:color w:val="auto"/>
        </w:rPr>
      </w:pPr>
    </w:p>
    <w:p>
      <w:pPr>
        <w:jc w:val="both"/>
        <w:ind w:left="360" w:right="100" w:firstLine="360"/>
        <w:spacing w:after="0" w:line="264" w:lineRule="auto"/>
        <w:rPr>
          <w:sz w:val="20"/>
          <w:szCs w:val="20"/>
          <w:color w:val="auto"/>
        </w:rPr>
      </w:pPr>
      <w:r>
        <w:rPr>
          <w:rFonts w:ascii="Arial" w:cs="Arial" w:eastAsia="Arial" w:hAnsi="Arial"/>
          <w:sz w:val="18"/>
          <w:szCs w:val="18"/>
          <w:u w:val="single" w:color="auto"/>
          <w:color w:val="auto"/>
        </w:rPr>
        <w:t>Super Alpha</w:t>
      </w:r>
      <w:r>
        <w:rPr>
          <w:rFonts w:ascii="Arial" w:cs="Arial" w:eastAsia="Arial" w:hAnsi="Arial"/>
          <w:sz w:val="18"/>
          <w:szCs w:val="18"/>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81" w:lineRule="exact"/>
        <w:rPr>
          <w:sz w:val="20"/>
          <w:szCs w:val="20"/>
          <w:color w:val="auto"/>
        </w:rPr>
      </w:pPr>
    </w:p>
    <w:p>
      <w:pPr>
        <w:ind w:left="360" w:right="320" w:firstLine="360"/>
        <w:spacing w:after="0" w:line="264" w:lineRule="auto"/>
        <w:rPr>
          <w:sz w:val="20"/>
          <w:szCs w:val="20"/>
          <w:color w:val="auto"/>
        </w:rPr>
      </w:pP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 This program accommodates applicants with past non-performing credit, but who demonstrate a somewhat stronger history of recent performing credit than the Super Alpha program. Contract interest rates and dealer acquisition fees are lower, and the maximum loan amount is somewhat higher than the Super Alpha program.</w:t>
      </w:r>
    </w:p>
    <w:p>
      <w:pPr>
        <w:spacing w:after="0" w:line="181"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Our upper credit tier products, which are our Preferred, Super Alpha, Alpha Plus and Alpha programs, accounted for approximately 73% of our new contract acquisitions in 2016, 77% in 2015 and 74% in 2014, measured by aggregate amount financed.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ind w:firstLine="360"/>
        <w:spacing w:after="0" w:line="277" w:lineRule="auto"/>
        <w:rPr>
          <w:sz w:val="20"/>
          <w:szCs w:val="20"/>
          <w:color w:val="auto"/>
        </w:rPr>
      </w:pPr>
      <w:r>
        <w:rPr>
          <w:rFonts w:ascii="Arial" w:cs="Arial" w:eastAsia="Arial" w:hAnsi="Arial"/>
          <w:sz w:val="18"/>
          <w:szCs w:val="18"/>
          <w:color w:val="auto"/>
        </w:rPr>
        <w:t>The following table identifies the credit program, sorted from highest to lowest credit quality, under which we originated automobile contracts during the years ended December 31, 2016 and 2015.</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gridSpan w:val="9"/>
          </w:tcPr>
          <w:p>
            <w:pPr>
              <w:jc w:val="center"/>
              <w:ind w:right="240"/>
              <w:spacing w:after="0"/>
              <w:rPr>
                <w:sz w:val="20"/>
                <w:szCs w:val="20"/>
                <w:color w:val="auto"/>
              </w:rPr>
            </w:pPr>
            <w:r>
              <w:rPr>
                <w:rFonts w:ascii="Arial" w:cs="Arial" w:eastAsia="Arial" w:hAnsi="Arial"/>
                <w:sz w:val="18"/>
                <w:szCs w:val="18"/>
                <w:b w:val="1"/>
                <w:bCs w:val="1"/>
                <w:color w:val="auto"/>
                <w:w w:val="90"/>
              </w:rPr>
              <w:t>Contracts Purchased During the Year Ended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December 31, 2016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gridSpan w:val="5"/>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20" w:type="dxa"/>
            <w:vAlign w:val="bottom"/>
            <w:gridSpan w:val="3"/>
            <w:vMerge w:val="restart"/>
          </w:tcPr>
          <w:p>
            <w:pPr>
              <w:jc w:val="right"/>
              <w:ind w:right="1565"/>
              <w:spacing w:after="0"/>
              <w:rPr>
                <w:sz w:val="20"/>
                <w:szCs w:val="20"/>
                <w:color w:val="auto"/>
              </w:rPr>
            </w:pPr>
            <w:r>
              <w:rPr>
                <w:rFonts w:ascii="Arial" w:cs="Arial" w:eastAsia="Arial" w:hAnsi="Arial"/>
                <w:sz w:val="18"/>
                <w:szCs w:val="18"/>
                <w:b w:val="1"/>
                <w:bCs w:val="1"/>
                <w:color w:val="auto"/>
                <w:w w:val="89"/>
              </w:rPr>
              <w:t>Program</w:t>
            </w: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gridSpan w:val="3"/>
            <w:vMerge w:val="continue"/>
          </w:tcPr>
          <w:p>
            <w:pPr>
              <w:spacing w:after="0"/>
              <w:rPr>
                <w:sz w:val="15"/>
                <w:szCs w:val="15"/>
                <w:color w:val="auto"/>
              </w:rPr>
            </w:pPr>
          </w:p>
        </w:tc>
        <w:tc>
          <w:tcPr>
            <w:tcW w:w="1300" w:type="dxa"/>
            <w:vAlign w:val="bottom"/>
            <w:gridSpan w:val="2"/>
          </w:tcPr>
          <w:p>
            <w:pPr>
              <w:jc w:val="center"/>
              <w:ind w:right="460"/>
              <w:spacing w:after="0" w:line="160" w:lineRule="exact"/>
              <w:rPr>
                <w:sz w:val="20"/>
                <w:szCs w:val="20"/>
                <w:color w:val="auto"/>
              </w:rPr>
            </w:pPr>
            <w:r>
              <w:rPr>
                <w:rFonts w:ascii="Arial" w:cs="Arial" w:eastAsia="Arial" w:hAnsi="Arial"/>
                <w:sz w:val="18"/>
                <w:szCs w:val="18"/>
                <w:b w:val="1"/>
                <w:bCs w:val="1"/>
                <w:color w:val="auto"/>
                <w:w w:val="91"/>
              </w:rPr>
              <w:t>Financed</w:t>
            </w:r>
          </w:p>
        </w:tc>
        <w:tc>
          <w:tcPr>
            <w:tcW w:w="1140" w:type="dxa"/>
            <w:vAlign w:val="bottom"/>
          </w:tcPr>
          <w:p>
            <w:pPr>
              <w:jc w:val="right"/>
              <w:ind w:right="70"/>
              <w:spacing w:after="0" w:line="160" w:lineRule="exact"/>
              <w:rPr>
                <w:sz w:val="20"/>
                <w:szCs w:val="20"/>
                <w:color w:val="auto"/>
              </w:rPr>
            </w:pPr>
            <w:r>
              <w:rPr>
                <w:rFonts w:ascii="Arial" w:cs="Arial" w:eastAsia="Arial" w:hAnsi="Arial"/>
                <w:sz w:val="18"/>
                <w:szCs w:val="18"/>
                <w:b w:val="1"/>
                <w:bCs w:val="1"/>
                <w:color w:val="auto"/>
              </w:rPr>
              <w:t>Percent (1)</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520"/>
              <w:spacing w:after="0" w:line="160" w:lineRule="exact"/>
              <w:rPr>
                <w:sz w:val="20"/>
                <w:szCs w:val="20"/>
                <w:color w:val="auto"/>
              </w:rPr>
            </w:pPr>
            <w:r>
              <w:rPr>
                <w:rFonts w:ascii="Arial" w:cs="Arial" w:eastAsia="Arial" w:hAnsi="Arial"/>
                <w:sz w:val="18"/>
                <w:szCs w:val="18"/>
                <w:b w:val="1"/>
                <w:bCs w:val="1"/>
                <w:color w:val="auto"/>
                <w:w w:val="91"/>
              </w:rPr>
              <w:t>Financed</w:t>
            </w:r>
          </w:p>
        </w:tc>
        <w:tc>
          <w:tcPr>
            <w:tcW w:w="1260" w:type="dxa"/>
            <w:vAlign w:val="bottom"/>
            <w:gridSpan w:val="2"/>
          </w:tcPr>
          <w:p>
            <w:pPr>
              <w:ind w:left="140"/>
              <w:spacing w:after="0" w:line="160" w:lineRule="exact"/>
              <w:rPr>
                <w:sz w:val="20"/>
                <w:szCs w:val="20"/>
                <w:color w:val="auto"/>
              </w:rPr>
            </w:pPr>
            <w:r>
              <w:rPr>
                <w:rFonts w:ascii="Arial" w:cs="Arial" w:eastAsia="Arial" w:hAnsi="Arial"/>
                <w:sz w:val="18"/>
                <w:szCs w:val="18"/>
                <w:b w:val="1"/>
                <w:bCs w:val="1"/>
                <w:color w:val="auto"/>
              </w:rPr>
              <w:t>Percent (1)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60" w:type="dxa"/>
            <w:vAlign w:val="bottom"/>
            <w:tcBorders>
              <w:bottom w:val="single" w:sz="8" w:color="EEEEEE"/>
            </w:tcBorders>
          </w:tcPr>
          <w:p>
            <w:pPr>
              <w:spacing w:after="0"/>
              <w:rPr>
                <w:sz w:val="2"/>
                <w:szCs w:val="2"/>
                <w:color w:val="auto"/>
              </w:rPr>
            </w:pPr>
          </w:p>
        </w:tc>
        <w:tc>
          <w:tcPr>
            <w:tcW w:w="680" w:type="dxa"/>
            <w:vAlign w:val="bottom"/>
            <w:tcBorders>
              <w:top w:val="single" w:sz="8" w:color="auto"/>
              <w:bottom w:val="single" w:sz="8" w:color="EEEEEE"/>
            </w:tcBorders>
          </w:tcPr>
          <w:p>
            <w:pPr>
              <w:spacing w:after="0"/>
              <w:rPr>
                <w:sz w:val="2"/>
                <w:szCs w:val="2"/>
                <w:color w:val="auto"/>
              </w:rPr>
            </w:pPr>
          </w:p>
        </w:tc>
        <w:tc>
          <w:tcPr>
            <w:tcW w:w="1500" w:type="dxa"/>
            <w:vAlign w:val="bottom"/>
            <w:tcBorders>
              <w:bottom w:val="single" w:sz="8" w:color="EEEEEE"/>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EEEEEE"/>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EEEEEE"/>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EEEEEE"/>
          </w:tcPr>
          <w:p>
            <w:pPr>
              <w:spacing w:after="0"/>
              <w:rPr>
                <w:sz w:val="20"/>
                <w:szCs w:val="20"/>
                <w:color w:val="auto"/>
              </w:rPr>
            </w:pPr>
            <w:r>
              <w:rPr>
                <w:rFonts w:ascii="Arial" w:cs="Arial" w:eastAsia="Arial" w:hAnsi="Arial"/>
                <w:sz w:val="18"/>
                <w:szCs w:val="18"/>
                <w:color w:val="auto"/>
              </w:rPr>
              <w:t>Preferred</w:t>
            </w:r>
          </w:p>
        </w:tc>
        <w:tc>
          <w:tcPr>
            <w:tcW w:w="6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37,758</w:t>
            </w: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44,881</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Super Alpha</w:t>
            </w: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99,951</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119,705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spacing w:after="0"/>
              <w:rPr>
                <w:sz w:val="20"/>
                <w:szCs w:val="20"/>
                <w:color w:val="auto"/>
              </w:rPr>
            </w:pPr>
            <w:r>
              <w:rPr>
                <w:rFonts w:ascii="Arial" w:cs="Arial" w:eastAsia="Arial" w:hAnsi="Arial"/>
                <w:sz w:val="18"/>
                <w:szCs w:val="18"/>
                <w:color w:val="auto"/>
              </w:rPr>
              <w:t>Alpha Plus</w:t>
            </w:r>
          </w:p>
        </w:tc>
        <w:tc>
          <w:tcPr>
            <w:tcW w:w="6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153,826</w:t>
            </w: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169,470</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Alpha</w:t>
            </w: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506,951</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483,050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spacing w:after="0"/>
              <w:rPr>
                <w:sz w:val="20"/>
                <w:szCs w:val="20"/>
                <w:color w:val="auto"/>
              </w:rPr>
            </w:pPr>
            <w:r>
              <w:rPr>
                <w:rFonts w:ascii="Arial" w:cs="Arial" w:eastAsia="Arial" w:hAnsi="Arial"/>
                <w:sz w:val="18"/>
                <w:szCs w:val="18"/>
                <w:color w:val="auto"/>
              </w:rPr>
              <w:t>Standard</w:t>
            </w:r>
          </w:p>
        </w:tc>
        <w:tc>
          <w:tcPr>
            <w:tcW w:w="6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148,931</w:t>
            </w: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111,956</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Mercury / Delta</w:t>
            </w: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103,670</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91,101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EEEEEE"/>
          </w:tcPr>
          <w:p>
            <w:pPr>
              <w:spacing w:after="0"/>
              <w:rPr>
                <w:sz w:val="20"/>
                <w:szCs w:val="20"/>
                <w:color w:val="auto"/>
              </w:rPr>
            </w:pPr>
            <w:r>
              <w:rPr>
                <w:rFonts w:ascii="Arial" w:cs="Arial" w:eastAsia="Arial" w:hAnsi="Arial"/>
                <w:sz w:val="18"/>
                <w:szCs w:val="18"/>
                <w:color w:val="auto"/>
                <w:w w:val="93"/>
              </w:rPr>
              <w:t>First Time Buyer</w:t>
            </w:r>
          </w:p>
        </w:tc>
        <w:tc>
          <w:tcPr>
            <w:tcW w:w="6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31,992</w:t>
            </w: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40,335</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Bravo</w:t>
            </w:r>
          </w:p>
        </w:tc>
        <w:tc>
          <w:tcPr>
            <w:tcW w:w="680" w:type="dxa"/>
            <w:vAlign w:val="bottom"/>
            <w:tcBorders>
              <w:bottom w:val="single" w:sz="8" w:color="EEEEEE"/>
            </w:tcBorders>
          </w:tcPr>
          <w:p>
            <w:pPr>
              <w:spacing w:after="0"/>
              <w:rPr>
                <w:sz w:val="19"/>
                <w:szCs w:val="19"/>
                <w:color w:val="auto"/>
              </w:rPr>
            </w:pPr>
          </w:p>
        </w:tc>
        <w:tc>
          <w:tcPr>
            <w:tcW w:w="150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30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EEEEEE"/>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EEEEEE"/>
            </w:tcBorders>
            <w:shd w:val="clear" w:color="auto" w:fill="EEEEEE"/>
          </w:tcPr>
          <w:p>
            <w:pPr>
              <w:spacing w:after="0"/>
              <w:rPr>
                <w:sz w:val="19"/>
                <w:szCs w:val="19"/>
                <w:color w:val="auto"/>
              </w:rPr>
            </w:pPr>
          </w:p>
        </w:tc>
        <w:tc>
          <w:tcPr>
            <w:tcW w:w="680" w:type="dxa"/>
            <w:vAlign w:val="bottom"/>
            <w:tcBorders>
              <w:bottom w:val="single" w:sz="8" w:color="EEEEEE"/>
            </w:tcBorders>
            <w:shd w:val="clear" w:color="auto" w:fill="EEEEEE"/>
          </w:tcPr>
          <w:p>
            <w:pPr>
              <w:spacing w:after="0"/>
              <w:rPr>
                <w:sz w:val="19"/>
                <w:szCs w:val="19"/>
                <w:color w:val="auto"/>
              </w:rPr>
            </w:pPr>
          </w:p>
        </w:tc>
        <w:tc>
          <w:tcPr>
            <w:tcW w:w="15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1,088,785</w:t>
            </w:r>
          </w:p>
        </w:tc>
        <w:tc>
          <w:tcPr>
            <w:tcW w:w="30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1,060,538</w:t>
            </w:r>
          </w:p>
        </w:tc>
        <w:tc>
          <w:tcPr>
            <w:tcW w:w="34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Percentages may not total to 100.0% due to rounding.</w:t>
      </w:r>
    </w:p>
    <w:p>
      <w:pPr>
        <w:spacing w:after="0" w:line="225"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We attempt to control misrepresentation regarding the customer's credit worthiness by carefully screening the automobile contracts we originate, by establishing and maintaining professional business relationships with dealers, and by including certain representations and warranties by the dealer in the dealer agreement. Pursuant to the dealer agreement, we may require the dealer to repurchase any automobile contract in the event that the dealer breaches its representations or warranties. There can be no assurance, however, that any dealer will have the willingness or the financial resources to satisfy its repurchase obligations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For automobile contracts that we purchase from dealers, we require that the contract be originated by a dealer that has entered into a dealer agreement with us. Under our direct lending platform, we require the customer to sign a note and security agreement. In each case, the contract is secured by a first priority lien on a new or used automobile, light truck or passenger van and must meet our underwriting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193"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We believe that our underwriting criteria enable us to evaluate effectively the creditworthiness of sub-prime customers and the adequacy of the financed vehicle as security for an automobile contract. The underwriting criteria include standards for price, term, amount of down payment, installment payment and interest rate; mileage, age and type of vehicle; principal amount of the automobile contract in relation to the value of the vehicle; customer income level, employment and residence stability, credit history and debt service ability, as well as other factors. Specifically, our underwriting guidelines generally limit the maximum principal amount of a purchased automobile contract to 115% of wholesale book value in the case of used vehicles or to 115% of the manufacturer's invoice in the case of new vehicles, plus, in each case, sales tax, licensing and, when the customer purchases such additional items, a service contract or a product to supplement the customer’s casualty policy in the event of a total loss of the related vehicle. We generally do not finance vehicles that are more than 11 model years old or have in excess of 150,000 miles. The maximum term of a purchased contract is 72 months, although we consider the loan to value and mileage as significant factors in determining the maximum term of a contract. Automobile contract purchase criteria are subject to change from time to time as circumstances may warrant. Prior to purchasing an automobile contract, our underwriters verify the customer's employment, income, residency, insurance coverage,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 ended questions about his application and the contract, which may uncover potential misrepresentations.</w:t>
      </w:r>
    </w:p>
    <w:p>
      <w:pPr>
        <w:spacing w:after="0" w:line="185"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i w:val="1"/>
          <w:iCs w:val="1"/>
          <w:color w:val="auto"/>
        </w:rPr>
        <w:t>Credit Scoring</w:t>
      </w:r>
      <w:r>
        <w:rPr>
          <w:rFonts w:ascii="Arial" w:cs="Arial" w:eastAsia="Arial" w:hAnsi="Arial"/>
          <w:sz w:val="16"/>
          <w:szCs w:val="16"/>
          <w:color w:val="auto"/>
        </w:rPr>
        <w:t>. We use proprietary scoring models to assign each automobile contract two internal "credit scores" at the time the application is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customer's credit information is retrieved from the credit reporting agencies. These proprietary scores are used to help determine whether or not we want to approve the application and, if so, the program and pricing we will offer either to the dealer, or in the case of our direct lending platform, directly to the customer. Our internal credit scores are based on a variety of parameters including the customer's credit history, length of employment, residence stability and total income. Once a vehicle is selected by the customer and a proposed deal structure is provided to us, our scores will then consider various deal structure parameters such as down payment amount, loan to value and the make and mileage of the vehicle. We have developed our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7" w:name="page8"/>
    <w:bookmarkEnd w:id="7"/>
    <w:p>
      <w:pPr>
        <w:ind w:right="320" w:firstLine="360"/>
        <w:spacing w:after="0" w:line="264" w:lineRule="auto"/>
        <w:rPr>
          <w:sz w:val="20"/>
          <w:szCs w:val="20"/>
          <w:color w:val="auto"/>
        </w:rPr>
      </w:pPr>
      <w:r>
        <w:rPr>
          <w:rFonts w:ascii="Arial" w:cs="Arial" w:eastAsia="Arial" w:hAnsi="Arial"/>
          <w:sz w:val="18"/>
          <w:szCs w:val="18"/>
          <w:i w:val="1"/>
          <w:iCs w:val="1"/>
          <w:color w:val="auto"/>
        </w:rPr>
        <w:t xml:space="preserve">Characteristics of Contracts. </w:t>
      </w:r>
      <w:r>
        <w:rPr>
          <w:rFonts w:ascii="Arial" w:cs="Arial" w:eastAsia="Arial" w:hAnsi="Arial"/>
          <w:sz w:val="18"/>
          <w:szCs w:val="18"/>
          <w:color w:val="auto"/>
        </w:rPr>
        <w:t>All of the automobile contracts we purchase are fully amortizing and provide for level payments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contract. All automobile contracts may be prepaid at any time without penalty. The table below compares certain characteristics, at the time of origination, of our contract purchases for the years ended December 31, 2016 and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gridSpan w:val="6"/>
          </w:tcPr>
          <w:p>
            <w:pPr>
              <w:ind w:left="80"/>
              <w:spacing w:after="0"/>
              <w:rPr>
                <w:sz w:val="20"/>
                <w:szCs w:val="20"/>
                <w:color w:val="auto"/>
              </w:rPr>
            </w:pPr>
            <w:r>
              <w:rPr>
                <w:rFonts w:ascii="Arial" w:cs="Arial" w:eastAsia="Arial" w:hAnsi="Arial"/>
                <w:sz w:val="18"/>
                <w:szCs w:val="18"/>
                <w:b w:val="1"/>
                <w:bCs w:val="1"/>
                <w:color w:val="auto"/>
              </w:rPr>
              <w:t>Contracts Purchased During the Year</w:t>
            </w:r>
          </w:p>
        </w:tc>
      </w:tr>
      <w:tr>
        <w:trPr>
          <w:trHeight w:val="234"/>
        </w:trPr>
        <w:tc>
          <w:tcPr>
            <w:tcW w:w="7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Ended</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900" w:type="dxa"/>
            <w:vAlign w:val="bottom"/>
          </w:tcPr>
          <w:p>
            <w:pPr>
              <w:spacing w:after="0"/>
              <w:rPr>
                <w:sz w:val="19"/>
                <w:szCs w:val="19"/>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2016</w:t>
            </w:r>
          </w:p>
        </w:tc>
        <w:tc>
          <w:tcPr>
            <w:tcW w:w="1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2015</w:t>
            </w:r>
          </w:p>
        </w:tc>
        <w:tc>
          <w:tcPr>
            <w:tcW w:w="100" w:type="dxa"/>
            <w:vAlign w:val="bottom"/>
          </w:tcPr>
          <w:p>
            <w:pPr>
              <w:spacing w:after="0"/>
              <w:rPr>
                <w:sz w:val="19"/>
                <w:szCs w:val="19"/>
                <w:color w:val="auto"/>
              </w:rPr>
            </w:pPr>
          </w:p>
        </w:tc>
      </w:tr>
      <w:tr>
        <w:trPr>
          <w:trHeight w:val="210"/>
        </w:trPr>
        <w:tc>
          <w:tcPr>
            <w:tcW w:w="7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EEEEEE"/>
          </w:tcPr>
          <w:p>
            <w:pPr>
              <w:ind w:left="1040"/>
              <w:spacing w:after="0"/>
              <w:rPr>
                <w:sz w:val="20"/>
                <w:szCs w:val="20"/>
                <w:color w:val="auto"/>
              </w:rPr>
            </w:pPr>
            <w:r>
              <w:rPr>
                <w:rFonts w:ascii="Arial" w:cs="Arial" w:eastAsia="Arial" w:hAnsi="Arial"/>
                <w:sz w:val="18"/>
                <w:szCs w:val="18"/>
                <w:color w:val="auto"/>
              </w:rPr>
              <w:t>Average Original Amount Financed</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16,366</w:t>
            </w:r>
          </w:p>
        </w:tc>
        <w:tc>
          <w:tcPr>
            <w:tcW w:w="4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16,447</w:t>
            </w:r>
          </w:p>
        </w:tc>
      </w:tr>
      <w:tr>
        <w:trPr>
          <w:trHeight w:val="216"/>
        </w:trPr>
        <w:tc>
          <w:tcPr>
            <w:tcW w:w="7900" w:type="dxa"/>
            <w:vAlign w:val="bottom"/>
          </w:tcPr>
          <w:p>
            <w:pPr>
              <w:ind w:left="1040"/>
              <w:spacing w:after="0"/>
              <w:rPr>
                <w:sz w:val="20"/>
                <w:szCs w:val="20"/>
                <w:color w:val="auto"/>
              </w:rPr>
            </w:pPr>
            <w:r>
              <w:rPr>
                <w:rFonts w:ascii="Arial" w:cs="Arial" w:eastAsia="Arial" w:hAnsi="Arial"/>
                <w:sz w:val="18"/>
                <w:szCs w:val="18"/>
                <w:color w:val="auto"/>
              </w:rPr>
              <w:t>Average Original Term</w:t>
            </w:r>
          </w:p>
        </w:tc>
        <w:tc>
          <w:tcPr>
            <w:tcW w:w="18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67 months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65 months</w:t>
            </w:r>
          </w:p>
        </w:tc>
      </w:tr>
      <w:tr>
        <w:trPr>
          <w:trHeight w:val="216"/>
        </w:trPr>
        <w:tc>
          <w:tcPr>
            <w:tcW w:w="7900" w:type="dxa"/>
            <w:vAlign w:val="bottom"/>
            <w:shd w:val="clear" w:color="auto" w:fill="EEEEEE"/>
          </w:tcPr>
          <w:p>
            <w:pPr>
              <w:ind w:left="1040"/>
              <w:spacing w:after="0"/>
              <w:rPr>
                <w:sz w:val="20"/>
                <w:szCs w:val="20"/>
                <w:color w:val="auto"/>
              </w:rPr>
            </w:pPr>
            <w:r>
              <w:rPr>
                <w:rFonts w:ascii="Arial" w:cs="Arial" w:eastAsia="Arial" w:hAnsi="Arial"/>
                <w:sz w:val="18"/>
                <w:szCs w:val="18"/>
                <w:color w:val="auto"/>
              </w:rPr>
              <w:t>Average Down Payment Percent</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7900" w:type="dxa"/>
            <w:vAlign w:val="bottom"/>
          </w:tcPr>
          <w:p>
            <w:pPr>
              <w:ind w:left="1040"/>
              <w:spacing w:after="0"/>
              <w:rPr>
                <w:sz w:val="20"/>
                <w:szCs w:val="20"/>
                <w:color w:val="auto"/>
              </w:rPr>
            </w:pPr>
            <w:r>
              <w:rPr>
                <w:rFonts w:ascii="Arial" w:cs="Arial" w:eastAsia="Arial" w:hAnsi="Arial"/>
                <w:sz w:val="18"/>
                <w:szCs w:val="18"/>
                <w:color w:val="auto"/>
              </w:rPr>
              <w:t>Average Vehicle Purchase Price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16,273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16,377</w:t>
            </w:r>
          </w:p>
        </w:tc>
      </w:tr>
      <w:tr>
        <w:trPr>
          <w:trHeight w:val="216"/>
        </w:trPr>
        <w:tc>
          <w:tcPr>
            <w:tcW w:w="7900" w:type="dxa"/>
            <w:vAlign w:val="bottom"/>
            <w:shd w:val="clear" w:color="auto" w:fill="EEEEEE"/>
          </w:tcPr>
          <w:p>
            <w:pPr>
              <w:ind w:left="1040"/>
              <w:spacing w:after="0"/>
              <w:rPr>
                <w:sz w:val="20"/>
                <w:szCs w:val="20"/>
                <w:color w:val="auto"/>
              </w:rPr>
            </w:pPr>
            <w:r>
              <w:rPr>
                <w:rFonts w:ascii="Arial" w:cs="Arial" w:eastAsia="Arial" w:hAnsi="Arial"/>
                <w:sz w:val="18"/>
                <w:szCs w:val="18"/>
                <w:color w:val="auto"/>
              </w:rPr>
              <w:t>Average Age of Vehicle</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8"/>
              </w:rPr>
              <w:t>4 years</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center"/>
              <w:ind w:right="280"/>
              <w:spacing w:after="0"/>
              <w:rPr>
                <w:sz w:val="20"/>
                <w:szCs w:val="20"/>
                <w:color w:val="auto"/>
              </w:rPr>
            </w:pPr>
            <w:r>
              <w:rPr>
                <w:rFonts w:ascii="Arial" w:cs="Arial" w:eastAsia="Arial" w:hAnsi="Arial"/>
                <w:sz w:val="18"/>
                <w:szCs w:val="18"/>
                <w:color w:val="auto"/>
                <w:w w:val="88"/>
              </w:rPr>
              <w:t>5 years</w:t>
            </w:r>
          </w:p>
        </w:tc>
      </w:tr>
      <w:tr>
        <w:trPr>
          <w:trHeight w:val="216"/>
        </w:trPr>
        <w:tc>
          <w:tcPr>
            <w:tcW w:w="7900" w:type="dxa"/>
            <w:vAlign w:val="bottom"/>
          </w:tcPr>
          <w:p>
            <w:pPr>
              <w:ind w:left="1040"/>
              <w:spacing w:after="0"/>
              <w:rPr>
                <w:sz w:val="20"/>
                <w:szCs w:val="20"/>
                <w:color w:val="auto"/>
              </w:rPr>
            </w:pPr>
            <w:r>
              <w:rPr>
                <w:rFonts w:ascii="Arial" w:cs="Arial" w:eastAsia="Arial" w:hAnsi="Arial"/>
                <w:sz w:val="18"/>
                <w:szCs w:val="18"/>
                <w:color w:val="auto"/>
              </w:rPr>
              <w:t>Average Age of Customer</w:t>
            </w:r>
          </w:p>
        </w:tc>
        <w:tc>
          <w:tcPr>
            <w:tcW w:w="18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42 years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43 years</w:t>
            </w:r>
          </w:p>
        </w:tc>
      </w:tr>
      <w:tr>
        <w:trPr>
          <w:trHeight w:val="216"/>
        </w:trPr>
        <w:tc>
          <w:tcPr>
            <w:tcW w:w="7900" w:type="dxa"/>
            <w:vAlign w:val="bottom"/>
            <w:shd w:val="clear" w:color="auto" w:fill="EEEEEE"/>
          </w:tcPr>
          <w:p>
            <w:pPr>
              <w:ind w:left="1040"/>
              <w:spacing w:after="0"/>
              <w:rPr>
                <w:sz w:val="20"/>
                <w:szCs w:val="20"/>
                <w:color w:val="auto"/>
              </w:rPr>
            </w:pPr>
            <w:r>
              <w:rPr>
                <w:rFonts w:ascii="Arial" w:cs="Arial" w:eastAsia="Arial" w:hAnsi="Arial"/>
                <w:sz w:val="18"/>
                <w:szCs w:val="18"/>
                <w:color w:val="auto"/>
              </w:rPr>
              <w:t>Average Time in Current Job</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8"/>
              </w:rPr>
              <w:t>6 years</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center"/>
              <w:ind w:right="280"/>
              <w:spacing w:after="0"/>
              <w:rPr>
                <w:sz w:val="20"/>
                <w:szCs w:val="20"/>
                <w:color w:val="auto"/>
              </w:rPr>
            </w:pPr>
            <w:r>
              <w:rPr>
                <w:rFonts w:ascii="Arial" w:cs="Arial" w:eastAsia="Arial" w:hAnsi="Arial"/>
                <w:sz w:val="18"/>
                <w:szCs w:val="18"/>
                <w:color w:val="auto"/>
                <w:w w:val="88"/>
              </w:rPr>
              <w:t>6 years</w:t>
            </w:r>
          </w:p>
        </w:tc>
      </w:tr>
      <w:tr>
        <w:trPr>
          <w:trHeight w:val="230"/>
        </w:trPr>
        <w:tc>
          <w:tcPr>
            <w:tcW w:w="7900" w:type="dxa"/>
            <w:vAlign w:val="bottom"/>
          </w:tcPr>
          <w:p>
            <w:pPr>
              <w:ind w:left="1040"/>
              <w:spacing w:after="0"/>
              <w:rPr>
                <w:sz w:val="20"/>
                <w:szCs w:val="20"/>
                <w:color w:val="auto"/>
              </w:rPr>
            </w:pPr>
            <w:r>
              <w:rPr>
                <w:rFonts w:ascii="Arial" w:cs="Arial" w:eastAsia="Arial" w:hAnsi="Arial"/>
                <w:sz w:val="18"/>
                <w:szCs w:val="18"/>
                <w:color w:val="auto"/>
              </w:rPr>
              <w:t>Average Household Annual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51,000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-1680845</wp:posOffset>
            </wp:positionV>
            <wp:extent cx="660400" cy="167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400" cy="1672590"/>
                    </a:xfrm>
                    <a:prstGeom prst="rect">
                      <a:avLst/>
                    </a:prstGeom>
                    <a:noFill/>
                  </pic:spPr>
                </pic:pic>
              </a:graphicData>
            </a:graphic>
          </wp:anchor>
        </w:drawing>
      </w:r>
    </w:p>
    <w:p>
      <w:pPr>
        <w:spacing w:after="0" w:line="16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i w:val="1"/>
          <w:iCs w:val="1"/>
          <w:color w:val="auto"/>
        </w:rPr>
        <w:t>Dealer Compliance</w:t>
      </w:r>
      <w:r>
        <w:rPr>
          <w:rFonts w:ascii="Arial" w:cs="Arial" w:eastAsia="Arial" w:hAnsi="Arial"/>
          <w:sz w:val="18"/>
          <w:szCs w:val="18"/>
          <w:color w:val="auto"/>
        </w:rPr>
        <w:t>. The dealer agreement and related assignment contain representations and warranties by the dealer that an application for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in an attempt to rectify the situation. If these efforts are unsuccessful, we generally will require the dealer to repurchase the automobile contract.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and Collection</w:t>
      </w:r>
    </w:p>
    <w:p>
      <w:pPr>
        <w:spacing w:after="0" w:line="225"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We currently service all automobile contracts that we own as well as those automobile contracts that are included in portfolios that we have sold in securitizations or service for third parties. We organize our servicing activities based on the tasks performed by our personnel. Our servicing activities consist of mailing monthly billing statements; collecting, accounting for and posting of all payments received; responding to customer inquiries; taking all necessary action to maintain the security interest granted in the financed vehicle or other collateral; investigating delinquencies; communicating with the customer to obtain timely payments; repossessing and liquidating the collateral when necessary; collecting deficiency balances; and generally monitoring each automobile contract and the related collateral. We are typically entitled to receive a base monthly servicing fee equal to 2.5% per annum computed as a percentage of the declining outstanding principal balance of the non-charged-off automobile contracts in the securitization pools</w:t>
      </w:r>
      <w:r>
        <w:rPr>
          <w:rFonts w:ascii="Arial" w:cs="Arial" w:eastAsia="Arial" w:hAnsi="Arial"/>
          <w:sz w:val="17"/>
          <w:szCs w:val="17"/>
          <w:b w:val="1"/>
          <w:bCs w:val="1"/>
          <w:color w:val="auto"/>
        </w:rPr>
        <w:t>.</w:t>
      </w:r>
      <w:r>
        <w:rPr>
          <w:rFonts w:ascii="Arial" w:cs="Arial" w:eastAsia="Arial" w:hAnsi="Arial"/>
          <w:sz w:val="17"/>
          <w:szCs w:val="17"/>
          <w:color w:val="auto"/>
        </w:rPr>
        <w:t xml:space="preserve"> The servicing fee is included in interest income for contracts that are pledged to a warehouse credit facility or a securitization transaction.</w:t>
      </w:r>
    </w:p>
    <w:p>
      <w:pPr>
        <w:spacing w:after="0" w:line="179"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i w:val="1"/>
          <w:iCs w:val="1"/>
          <w:color w:val="auto"/>
        </w:rPr>
        <w:t xml:space="preserve">Collection Procedures. </w:t>
      </w:r>
      <w:r>
        <w:rPr>
          <w:rFonts w:ascii="Arial" w:cs="Arial" w:eastAsia="Arial" w:hAnsi="Arial"/>
          <w:sz w:val="17"/>
          <w:szCs w:val="17"/>
          <w:color w:val="auto"/>
        </w:rPr>
        <w:t>We believe that our ability to monitor performance and collect payments owed from sub-prime customers is primarily a function</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maintaining good credit;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firstLine="360"/>
        <w:spacing w:after="0" w:line="289" w:lineRule="auto"/>
        <w:rPr>
          <w:sz w:val="20"/>
          <w:szCs w:val="20"/>
          <w:color w:val="auto"/>
        </w:rPr>
      </w:pPr>
      <w:r>
        <w:rPr>
          <w:rFonts w:ascii="Arial" w:cs="Arial" w:eastAsia="Arial" w:hAnsi="Arial"/>
          <w:sz w:val="16"/>
          <w:szCs w:val="16"/>
          <w:color w:val="auto"/>
        </w:rPr>
        <w:t>We attempt to make telephonic contact with delinquent customers from one to 15 days after their monthly payment due date, depending on our proprietary behavioral scorecards which assess the customer’s likelihood of payment during early stages of delinquency. If a customer has authorized us to do so, we may also send automated text message reminders at various stages of delinquency and our collectors may also choose to contact a customer via text message instead of, or in addition to, via telephone. Our contact priorities may be based on the customers' physical location, stage of delinquency, size of balance or other parameters. Our collectors inquire of the customer the reason for the delinquency and when we can expect to receive the payment. The collector will attempt to get the customer to make an electronic payment over the phone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a collector’s queue for subsequent contacts.</w:t>
      </w:r>
    </w:p>
    <w:p>
      <w:pPr>
        <w:spacing w:after="0" w:line="167" w:lineRule="exact"/>
        <w:rPr>
          <w:sz w:val="20"/>
          <w:szCs w:val="20"/>
          <w:color w:val="auto"/>
        </w:rPr>
      </w:pPr>
    </w:p>
    <w:p>
      <w:pPr>
        <w:ind w:right="200" w:firstLine="360"/>
        <w:spacing w:after="0" w:line="297" w:lineRule="auto"/>
        <w:rPr>
          <w:sz w:val="20"/>
          <w:szCs w:val="20"/>
          <w:color w:val="auto"/>
        </w:rPr>
      </w:pPr>
      <w:r>
        <w:rPr>
          <w:rFonts w:ascii="Arial" w:cs="Arial" w:eastAsia="Arial" w:hAnsi="Arial"/>
          <w:sz w:val="16"/>
          <w:szCs w:val="16"/>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At the time the vehicle is repossessed we will stop accruing interest on this automobile contract, and reclassify the remaining automobile contract balance to other assets. In addition we will apply a specific reserve to this automobile contract so that the net balance represents the estimated fair value less costs to sell.</w:t>
      </w:r>
    </w:p>
    <w:p>
      <w:pPr>
        <w:spacing w:after="0" w:line="158"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If we elect to repossess the vehicle, we assign the task to an independent local repossession service. Such services are licensed and/or bonded as required by law. When the vehicle is recovered, the repossession service delivers it to a wholesale automobile auction, where it is kept until sold.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 From time to time, we sell certain charged off accounts to unaffiliated purchasers who specialize in collecting such accounts.</w:t>
      </w:r>
    </w:p>
    <w:p>
      <w:pPr>
        <w:spacing w:after="0" w:line="165" w:lineRule="exact"/>
        <w:rPr>
          <w:sz w:val="20"/>
          <w:szCs w:val="20"/>
          <w:color w:val="auto"/>
        </w:rPr>
      </w:pPr>
    </w:p>
    <w:p>
      <w:pPr>
        <w:ind w:right="420" w:firstLine="360"/>
        <w:spacing w:after="0" w:line="264" w:lineRule="auto"/>
        <w:rPr>
          <w:sz w:val="20"/>
          <w:szCs w:val="20"/>
          <w:color w:val="auto"/>
        </w:rPr>
      </w:pPr>
      <w:r>
        <w:rPr>
          <w:rFonts w:ascii="Arial" w:cs="Arial" w:eastAsia="Arial" w:hAnsi="Arial"/>
          <w:sz w:val="18"/>
          <w:szCs w:val="18"/>
          <w:color w:val="auto"/>
        </w:rPr>
        <w:t>Once an automobile contract becomes greater than 90 days delinquent, we do not recognize additional interest income until the borrower makes sufficient payments to be less than 90 days delinquent. Any payments received by a borrower that are greater than 90 days delinquent are first applied to accrued interest and then to principal reduction.</w:t>
      </w:r>
    </w:p>
    <w:p>
      <w:pPr>
        <w:spacing w:after="0" w:line="18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We generally charge off the balance of any contract by the earlier of the end of the month in which the automobile contract becomes five scheduled installments past due or, in the case of repossessions, the month that after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Experience</w:t>
      </w:r>
    </w:p>
    <w:p>
      <w:pPr>
        <w:spacing w:after="0" w:line="225" w:lineRule="exact"/>
        <w:rPr>
          <w:sz w:val="20"/>
          <w:szCs w:val="20"/>
          <w:color w:val="auto"/>
        </w:rPr>
      </w:pPr>
    </w:p>
    <w:p>
      <w:pPr>
        <w:ind w:right="120" w:firstLine="360"/>
        <w:spacing w:after="0" w:line="269" w:lineRule="auto"/>
        <w:rPr>
          <w:sz w:val="20"/>
          <w:szCs w:val="20"/>
          <w:color w:val="auto"/>
        </w:rPr>
      </w:pPr>
      <w:r>
        <w:rPr>
          <w:rFonts w:ascii="Arial" w:cs="Arial" w:eastAsia="Arial" w:hAnsi="Arial"/>
          <w:sz w:val="17"/>
          <w:szCs w:val="17"/>
          <w:color w:val="auto"/>
        </w:rPr>
        <w:t>Our primary method of monitoring ongoing credit quality of our portfolio is to closely review monthly delinquency, default and net charge off activity and the related trends.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weighted average seasoning of our total owned portfolio, represented in the tables below, was 18 months, 16 months and 14 months as of December 31, 2016, December 31, 2015, and December 31, 2014, respectively. 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In addition, in June 2014 we became subject to a consent decree that required that we implement procedural changes in our servicing practices, which changes may have contributed to somewhat higher delinquencies, extensions and net losses compared to prior periods. The tables below document the delinquency, repossession and net credit loss experience of all such automobile contracts that we were servicing as of the respective dates shown. The tables do not include the experience of third party servicing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620" w:type="dxa"/>
            <w:vAlign w:val="bottom"/>
            <w:gridSpan w:val="10"/>
          </w:tcPr>
          <w:p>
            <w:pPr>
              <w:ind w:left="400"/>
              <w:spacing w:after="0"/>
              <w:rPr>
                <w:sz w:val="20"/>
                <w:szCs w:val="20"/>
                <w:color w:val="auto"/>
              </w:rPr>
            </w:pPr>
            <w:r>
              <w:rPr>
                <w:rFonts w:ascii="Arial" w:cs="Arial" w:eastAsia="Arial" w:hAnsi="Arial"/>
                <w:sz w:val="18"/>
                <w:szCs w:val="18"/>
                <w:b w:val="1"/>
                <w:bCs w:val="1"/>
                <w:color w:val="auto"/>
              </w:rPr>
              <w:t>Delinquency, Repossession and Extension Experience</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80" w:type="dxa"/>
            <w:vAlign w:val="bottom"/>
            <w:gridSpan w:val="7"/>
          </w:tcPr>
          <w:p>
            <w:pPr>
              <w:jc w:val="center"/>
              <w:ind w:left="370"/>
              <w:spacing w:after="0"/>
              <w:rPr>
                <w:sz w:val="20"/>
                <w:szCs w:val="20"/>
                <w:color w:val="auto"/>
              </w:rPr>
            </w:pPr>
            <w:r>
              <w:rPr>
                <w:rFonts w:ascii="Arial" w:cs="Arial" w:eastAsia="Arial" w:hAnsi="Arial"/>
                <w:sz w:val="18"/>
                <w:szCs w:val="18"/>
                <w:b w:val="1"/>
                <w:bCs w:val="1"/>
                <w:color w:val="auto"/>
                <w:w w:val="89"/>
              </w:rPr>
              <w:t>Delinquency and Extension Experience (1)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91"/>
              </w:rPr>
              <w:t>Total Owned Portfolio</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9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December 31, 2016</w:t>
            </w:r>
          </w:p>
        </w:tc>
        <w:tc>
          <w:tcPr>
            <w:tcW w:w="27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 2015</w:t>
            </w:r>
          </w:p>
        </w:tc>
        <w:tc>
          <w:tcPr>
            <w:tcW w:w="2460" w:type="dxa"/>
            <w:vAlign w:val="bottom"/>
            <w:gridSpan w:val="6"/>
          </w:tcPr>
          <w:p>
            <w:pPr>
              <w:ind w:left="44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top w:val="single" w:sz="8" w:color="auto"/>
            </w:tcBorders>
            <w:gridSpan w:val="2"/>
          </w:tcPr>
          <w:p>
            <w:pPr>
              <w:jc w:val="center"/>
              <w:ind w:right="160"/>
              <w:spacing w:after="0" w:line="205" w:lineRule="exact"/>
              <w:rPr>
                <w:sz w:val="20"/>
                <w:szCs w:val="20"/>
                <w:color w:val="auto"/>
              </w:rPr>
            </w:pPr>
            <w:r>
              <w:rPr>
                <w:rFonts w:ascii="Arial" w:cs="Arial" w:eastAsia="Arial" w:hAnsi="Arial"/>
                <w:sz w:val="18"/>
                <w:szCs w:val="18"/>
                <w:b w:val="1"/>
                <w:bCs w:val="1"/>
                <w:color w:val="auto"/>
                <w:w w:val="91"/>
              </w:rPr>
              <w:t>Number of</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Amount</w:t>
            </w: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Contracts</w:t>
            </w: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Gross servicing portfolio (1)</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169,720</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2,308,058</w:t>
            </w:r>
          </w:p>
        </w:tc>
        <w:tc>
          <w:tcPr>
            <w:tcW w:w="4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149,138</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2,031,099</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123,944</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Period of delinquency (2)</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31-60 days</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8,673</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116,073</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5,375</w:t>
            </w: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70,041</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3,684</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61-90 days</w:t>
            </w:r>
          </w:p>
        </w:tc>
        <w:tc>
          <w:tcPr>
            <w:tcW w:w="1040" w:type="dxa"/>
            <w:vAlign w:val="bottom"/>
          </w:tcPr>
          <w:p>
            <w:pPr>
              <w:jc w:val="right"/>
              <w:spacing w:after="0"/>
              <w:rPr>
                <w:sz w:val="20"/>
                <w:szCs w:val="20"/>
                <w:color w:val="auto"/>
              </w:rPr>
            </w:pPr>
            <w:r>
              <w:rPr>
                <w:rFonts w:ascii="Arial" w:cs="Arial" w:eastAsia="Arial" w:hAnsi="Arial"/>
                <w:sz w:val="18"/>
                <w:szCs w:val="18"/>
                <w:color w:val="auto"/>
              </w:rPr>
              <w:t>3,998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52,403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3,140</w:t>
            </w: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41,142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91+ days</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3,407</w:t>
            </w: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44,384</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3,364</w:t>
            </w:r>
          </w:p>
        </w:tc>
        <w:tc>
          <w:tcPr>
            <w:tcW w:w="1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43,484</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1,935</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delinquencies (2)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16,078</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212,860</w:t>
            </w:r>
          </w:p>
        </w:tc>
        <w:tc>
          <w:tcPr>
            <w:tcW w:w="4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11,879</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154,667</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Amount in repossession (3)</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3,162</w:t>
            </w: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40,125</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3,138</w:t>
            </w:r>
          </w:p>
        </w:tc>
        <w:tc>
          <w:tcPr>
            <w:tcW w:w="1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38,939</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2,665</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28,250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0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repossession (2)</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19,240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252,985</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193,606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10,150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118,043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EEEEEE"/>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920" w:type="dxa"/>
            <w:vAlign w:val="bottom"/>
            <w:tcBorders>
              <w:top w:val="single" w:sz="8" w:color="auto"/>
            </w:tcBorders>
            <w:shd w:val="clear" w:color="auto" w:fill="EEEEEE"/>
          </w:tcPr>
          <w:p>
            <w:pPr>
              <w:spacing w:after="0"/>
              <w:rPr>
                <w:sz w:val="17"/>
                <w:szCs w:val="17"/>
                <w:color w:val="auto"/>
              </w:rPr>
            </w:pPr>
          </w:p>
        </w:tc>
        <w:tc>
          <w:tcPr>
            <w:tcW w:w="480" w:type="dxa"/>
            <w:vAlign w:val="bottom"/>
            <w:tcBorders>
              <w:top w:val="single" w:sz="8" w:color="EEEEEE"/>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88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8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Delinquencies as a percentage of gross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servicing portfolio</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9.2%</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repossession as a percentage of gross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services portfolio</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11.0%</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w w:val="98"/>
              </w:rPr>
              <w:t>Contracts with one extension, accruing (4)</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34,354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479,237</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26,682</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361,338</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18,377</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accruing (4)</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30,450</w:t>
            </w:r>
          </w:p>
        </w:tc>
        <w:tc>
          <w:tcPr>
            <w:tcW w:w="120" w:type="dxa"/>
            <w:vAlign w:val="bottom"/>
          </w:tcPr>
          <w:p>
            <w:pPr>
              <w:spacing w:after="0"/>
              <w:rPr>
                <w:sz w:val="21"/>
                <w:szCs w:val="21"/>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407,631</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16,638</w:t>
            </w:r>
          </w:p>
        </w:tc>
        <w:tc>
          <w:tcPr>
            <w:tcW w:w="14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219,175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7,840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64,804</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886,868</w:t>
            </w:r>
          </w:p>
        </w:tc>
        <w:tc>
          <w:tcPr>
            <w:tcW w:w="48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43,320</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580,513</w:t>
            </w:r>
          </w:p>
        </w:tc>
        <w:tc>
          <w:tcPr>
            <w:tcW w:w="3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26,217</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332,678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Contracts with one extension, non-accrual</w:t>
            </w:r>
          </w:p>
        </w:tc>
        <w:tc>
          <w:tcPr>
            <w:tcW w:w="10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(4)</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1,676</w:t>
            </w:r>
          </w:p>
        </w:tc>
        <w:tc>
          <w:tcPr>
            <w:tcW w:w="3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22,335</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1,784</w:t>
            </w:r>
          </w:p>
        </w:tc>
        <w:tc>
          <w:tcPr>
            <w:tcW w:w="14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22,725</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1,285</w:t>
            </w: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non-accrual (4)</w:t>
            </w:r>
          </w:p>
        </w:tc>
        <w:tc>
          <w:tcPr>
            <w:tcW w:w="1040" w:type="dxa"/>
            <w:vAlign w:val="bottom"/>
          </w:tcPr>
          <w:p>
            <w:pPr>
              <w:jc w:val="right"/>
              <w:spacing w:after="0"/>
              <w:rPr>
                <w:sz w:val="20"/>
                <w:szCs w:val="20"/>
                <w:color w:val="auto"/>
              </w:rPr>
            </w:pPr>
            <w:r>
              <w:rPr>
                <w:rFonts w:ascii="Arial" w:cs="Arial" w:eastAsia="Arial" w:hAnsi="Arial"/>
                <w:sz w:val="18"/>
                <w:szCs w:val="18"/>
                <w:color w:val="auto"/>
              </w:rPr>
              <w:t>1,999</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25,617</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1,444</w:t>
            </w:r>
          </w:p>
        </w:tc>
        <w:tc>
          <w:tcPr>
            <w:tcW w:w="14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18,527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3,675</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47,952</w:t>
            </w:r>
          </w:p>
        </w:tc>
        <w:tc>
          <w:tcPr>
            <w:tcW w:w="48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3,228</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41,252</w:t>
            </w:r>
          </w:p>
        </w:tc>
        <w:tc>
          <w:tcPr>
            <w:tcW w:w="3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1,897</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21,222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with extensions</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68,479</w:t>
            </w:r>
          </w:p>
        </w:tc>
        <w:tc>
          <w:tcPr>
            <w:tcW w:w="34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934,820</w:t>
            </w:r>
          </w:p>
        </w:tc>
        <w:tc>
          <w:tcPr>
            <w:tcW w:w="48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46,548</w:t>
            </w:r>
          </w:p>
        </w:tc>
        <w:tc>
          <w:tcPr>
            <w:tcW w:w="34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621,765</w:t>
            </w:r>
          </w:p>
        </w:tc>
        <w:tc>
          <w:tcPr>
            <w:tcW w:w="32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28,114</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353,900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60" w:hanging="352"/>
        <w:spacing w:after="0" w:line="259" w:lineRule="auto"/>
        <w:tabs>
          <w:tab w:leader="none" w:pos="3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third-parties on which we earn servicing fees only, and have no credit risk.</w:t>
      </w:r>
    </w:p>
    <w:p>
      <w:pPr>
        <w:spacing w:after="0" w:line="78" w:lineRule="exact"/>
        <w:rPr>
          <w:rFonts w:ascii="Arial" w:cs="Arial" w:eastAsia="Arial" w:hAnsi="Arial"/>
          <w:sz w:val="18"/>
          <w:szCs w:val="18"/>
          <w:i w:val="1"/>
          <w:iCs w:val="1"/>
          <w:color w:val="auto"/>
        </w:rPr>
      </w:pPr>
    </w:p>
    <w:p>
      <w:pPr>
        <w:jc w:val="both"/>
        <w:ind w:left="360" w:hanging="352"/>
        <w:spacing w:after="0" w:line="259" w:lineRule="auto"/>
        <w:tabs>
          <w:tab w:leader="none" w:pos="3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78" w:lineRule="exact"/>
        <w:rPr>
          <w:rFonts w:ascii="Arial" w:cs="Arial" w:eastAsia="Arial" w:hAnsi="Arial"/>
          <w:sz w:val="18"/>
          <w:szCs w:val="18"/>
          <w:i w:val="1"/>
          <w:iCs w:val="1"/>
          <w:color w:val="auto"/>
        </w:rPr>
      </w:pPr>
    </w:p>
    <w:p>
      <w:pPr>
        <w:ind w:left="360" w:hanging="352"/>
        <w:spacing w:after="0"/>
        <w:tabs>
          <w:tab w:leader="none" w:pos="3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the contract balance on financed vehicles that have been repossessed but not yet liquidated.</w:t>
      </w:r>
    </w:p>
    <w:p>
      <w:pPr>
        <w:spacing w:after="0" w:line="117" w:lineRule="exact"/>
        <w:rPr>
          <w:rFonts w:ascii="Arial" w:cs="Arial" w:eastAsia="Arial" w:hAnsi="Arial"/>
          <w:sz w:val="18"/>
          <w:szCs w:val="18"/>
          <w:i w:val="1"/>
          <w:iCs w:val="1"/>
          <w:color w:val="auto"/>
        </w:rPr>
      </w:pPr>
    </w:p>
    <w:p>
      <w:pPr>
        <w:ind w:left="360" w:hanging="352"/>
        <w:spacing w:after="0"/>
        <w:tabs>
          <w:tab w:leader="none" w:pos="3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Net Credit Loss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2,226,056</w:t>
            </w:r>
          </w:p>
        </w:tc>
        <w:tc>
          <w:tcPr>
            <w:tcW w:w="6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1,847,764</w:t>
            </w:r>
          </w:p>
        </w:tc>
        <w:tc>
          <w:tcPr>
            <w:tcW w:w="3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1,421,587</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charge-offs as a percentage of average servicing portfolio (2)</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64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bl>
    <w:p>
      <w:pPr>
        <w:spacing w:after="0" w:line="187" w:lineRule="exact"/>
        <w:rPr>
          <w:sz w:val="20"/>
          <w:szCs w:val="20"/>
          <w:color w:val="auto"/>
        </w:rPr>
      </w:pPr>
    </w:p>
    <w:p>
      <w:pPr>
        <w:jc w:val="both"/>
        <w:ind w:left="360" w:right="20" w:hanging="352"/>
        <w:spacing w:after="0" w:line="264" w:lineRule="auto"/>
        <w:tabs>
          <w:tab w:leader="none" w:pos="3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contracts. The information in the table represents all automobile contracts we service, excluding certain contracts we have serviced for third-parties on which we earn servicing fees only, and have no credit risk.</w:t>
      </w:r>
    </w:p>
    <w:p>
      <w:pPr>
        <w:spacing w:after="0" w:line="73" w:lineRule="exact"/>
        <w:rPr>
          <w:rFonts w:ascii="Arial" w:cs="Arial" w:eastAsia="Arial" w:hAnsi="Arial"/>
          <w:sz w:val="18"/>
          <w:szCs w:val="18"/>
          <w:i w:val="1"/>
          <w:iCs w:val="1"/>
          <w:color w:val="auto"/>
        </w:rPr>
      </w:pPr>
    </w:p>
    <w:p>
      <w:pPr>
        <w:jc w:val="both"/>
        <w:ind w:left="360" w:hanging="352"/>
        <w:spacing w:after="0" w:line="264" w:lineRule="auto"/>
        <w:tabs>
          <w:tab w:leader="none" w:pos="3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Extensions</w:t>
      </w:r>
    </w:p>
    <w:p>
      <w:pPr>
        <w:spacing w:after="0" w:line="225"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The basic question in deciding to grant an extension is whether or not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 Fees collected in conjunction with an extension are credited to obligors’ outstanding accrued interest.</w:t>
      </w:r>
    </w:p>
    <w:p>
      <w:pPr>
        <w:spacing w:after="0" w:line="179"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w:t>
      </w:r>
    </w:p>
    <w:p>
      <w:pPr>
        <w:ind w:right="200" w:firstLine="8"/>
        <w:spacing w:after="0" w:line="29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ind w:right="360" w:firstLine="360"/>
        <w:spacing w:after="0" w:line="308" w:lineRule="auto"/>
        <w:rPr>
          <w:sz w:val="20"/>
          <w:szCs w:val="20"/>
          <w:color w:val="auto"/>
        </w:rPr>
      </w:pPr>
      <w:r>
        <w:rPr>
          <w:rFonts w:ascii="Arial" w:cs="Arial" w:eastAsia="Arial" w:hAnsi="Arial"/>
          <w:sz w:val="17"/>
          <w:szCs w:val="17"/>
          <w:color w:val="auto"/>
        </w:rPr>
        <w:t>We believe that a prudent extension program is an integral component to mitigating losses in our portfolio of sub-prime automobile receivables. The table below summarizes the status, as of December 31, 2016, for accounts that received extensions from 2008 through 2015: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19"/>
                <w:szCs w:val="19"/>
                <w:color w:val="auto"/>
              </w:rPr>
            </w:pPr>
          </w:p>
        </w:tc>
        <w:tc>
          <w:tcPr>
            <w:tcW w:w="960" w:type="dxa"/>
            <w:vAlign w:val="bottom"/>
            <w:gridSpan w:val="4"/>
            <w:vMerge w:val="restart"/>
          </w:tcPr>
          <w:p>
            <w:pPr>
              <w:jc w:val="center"/>
              <w:ind w:right="220"/>
              <w:spacing w:after="0"/>
              <w:rPr>
                <w:sz w:val="20"/>
                <w:szCs w:val="20"/>
                <w:color w:val="auto"/>
              </w:rPr>
            </w:pPr>
            <w:r>
              <w:rPr>
                <w:rFonts w:ascii="Arial" w:cs="Arial" w:eastAsia="Arial" w:hAnsi="Arial"/>
                <w:sz w:val="18"/>
                <w:szCs w:val="18"/>
                <w:color w:val="auto"/>
                <w:w w:val="91"/>
              </w:rPr>
              <w:t>Period of</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 of</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3"/>
              </w:rPr>
              <w:t>Active or Paid Off at</w:t>
            </w:r>
          </w:p>
        </w:tc>
        <w:tc>
          <w:tcPr>
            <w:tcW w:w="180" w:type="dxa"/>
            <w:vAlign w:val="bottom"/>
            <w:vMerge w:val="restart"/>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Active or Paid</w:t>
            </w:r>
          </w:p>
        </w:tc>
        <w:tc>
          <w:tcPr>
            <w:tcW w:w="180" w:type="dxa"/>
            <w:vAlign w:val="bottom"/>
            <w:vMerge w:val="restart"/>
          </w:tcPr>
          <w:p>
            <w:pPr>
              <w:spacing w:after="0"/>
              <w:rPr>
                <w:sz w:val="19"/>
                <w:szCs w:val="19"/>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Charged Off &gt; 6</w:t>
            </w:r>
          </w:p>
        </w:tc>
        <w:tc>
          <w:tcPr>
            <w:tcW w:w="100" w:type="dxa"/>
            <w:vAlign w:val="bottom"/>
          </w:tcPr>
          <w:p>
            <w:pPr>
              <w:spacing w:after="0"/>
              <w:rPr>
                <w:sz w:val="19"/>
                <w:szCs w:val="19"/>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2"/>
              </w:rPr>
              <w:t>% Charged Off &gt;</w:t>
            </w:r>
          </w:p>
        </w:tc>
        <w:tc>
          <w:tcPr>
            <w:tcW w:w="60" w:type="dxa"/>
            <w:vAlign w:val="bottom"/>
            <w:vMerge w:val="restart"/>
          </w:tcPr>
          <w:p>
            <w:pPr>
              <w:spacing w:after="0"/>
              <w:rPr>
                <w:sz w:val="19"/>
                <w:szCs w:val="19"/>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Charged Off &lt;=</w:t>
            </w: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 Charged Off</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Avg Months to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020" w:type="dxa"/>
            <w:vAlign w:val="bottom"/>
            <w:gridSpan w:val="6"/>
            <w:vMerge w:val="restart"/>
          </w:tcPr>
          <w:p>
            <w:pPr>
              <w:jc w:val="center"/>
              <w:ind w:right="240"/>
              <w:spacing w:after="0" w:line="196" w:lineRule="exact"/>
              <w:rPr>
                <w:sz w:val="20"/>
                <w:szCs w:val="20"/>
                <w:color w:val="auto"/>
              </w:rPr>
            </w:pPr>
            <w:r>
              <w:rPr>
                <w:rFonts w:ascii="Arial" w:cs="Arial" w:eastAsia="Arial" w:hAnsi="Arial"/>
                <w:sz w:val="18"/>
                <w:szCs w:val="18"/>
                <w:color w:val="auto"/>
                <w:w w:val="88"/>
              </w:rPr>
              <w:t>Extensions</w:t>
            </w:r>
          </w:p>
        </w:tc>
        <w:tc>
          <w:tcPr>
            <w:tcW w:w="15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auto"/>
                <w:w w:val="90"/>
              </w:rPr>
              <w:t>Off at December</w:t>
            </w:r>
          </w:p>
        </w:tc>
        <w:tc>
          <w:tcPr>
            <w:tcW w:w="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5"/>
            <w:vMerge w:val="restart"/>
          </w:tcPr>
          <w:p>
            <w:pPr>
              <w:jc w:val="center"/>
              <w:ind w:right="200"/>
              <w:spacing w:after="0" w:line="196" w:lineRule="exact"/>
              <w:rPr>
                <w:sz w:val="20"/>
                <w:szCs w:val="20"/>
                <w:color w:val="auto"/>
              </w:rPr>
            </w:pPr>
            <w:r>
              <w:rPr>
                <w:rFonts w:ascii="Arial" w:cs="Arial" w:eastAsia="Arial" w:hAnsi="Arial"/>
                <w:sz w:val="18"/>
                <w:szCs w:val="18"/>
                <w:color w:val="auto"/>
                <w:w w:val="95"/>
              </w:rPr>
              <w:t>Months After</w:t>
            </w:r>
          </w:p>
        </w:tc>
        <w:tc>
          <w:tcPr>
            <w:tcW w:w="60" w:type="dxa"/>
            <w:vAlign w:val="bottom"/>
          </w:tcPr>
          <w:p>
            <w:pPr>
              <w:spacing w:after="0"/>
              <w:rPr>
                <w:sz w:val="7"/>
                <w:szCs w:val="7"/>
                <w:color w:val="auto"/>
              </w:rPr>
            </w:pPr>
          </w:p>
        </w:tc>
        <w:tc>
          <w:tcPr>
            <w:tcW w:w="1180" w:type="dxa"/>
            <w:vAlign w:val="bottom"/>
            <w:gridSpan w:val="4"/>
            <w:vMerge w:val="restart"/>
          </w:tcPr>
          <w:p>
            <w:pPr>
              <w:jc w:val="center"/>
              <w:ind w:right="60"/>
              <w:spacing w:after="0" w:line="196" w:lineRule="exact"/>
              <w:rPr>
                <w:sz w:val="20"/>
                <w:szCs w:val="20"/>
                <w:color w:val="auto"/>
              </w:rPr>
            </w:pPr>
            <w:r>
              <w:rPr>
                <w:rFonts w:ascii="Arial" w:cs="Arial" w:eastAsia="Arial" w:hAnsi="Arial"/>
                <w:sz w:val="18"/>
                <w:szCs w:val="18"/>
                <w:color w:val="auto"/>
                <w:w w:val="95"/>
              </w:rPr>
              <w:t>6 Months After</w:t>
            </w:r>
          </w:p>
        </w:tc>
        <w:tc>
          <w:tcPr>
            <w:tcW w:w="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restart"/>
          </w:tcPr>
          <w:p>
            <w:pPr>
              <w:jc w:val="center"/>
              <w:ind w:right="120"/>
              <w:spacing w:after="0" w:line="196" w:lineRule="exact"/>
              <w:rPr>
                <w:sz w:val="20"/>
                <w:szCs w:val="20"/>
                <w:color w:val="auto"/>
              </w:rPr>
            </w:pPr>
            <w:r>
              <w:rPr>
                <w:rFonts w:ascii="Arial" w:cs="Arial" w:eastAsia="Arial" w:hAnsi="Arial"/>
                <w:sz w:val="18"/>
                <w:szCs w:val="18"/>
                <w:color w:val="auto"/>
                <w:w w:val="93"/>
              </w:rPr>
              <w:t>6 Months After</w:t>
            </w:r>
          </w:p>
        </w:tc>
        <w:tc>
          <w:tcPr>
            <w:tcW w:w="20" w:type="dxa"/>
            <w:vAlign w:val="bottom"/>
            <w:vMerge w:val="continue"/>
          </w:tcPr>
          <w:p>
            <w:pPr>
              <w:spacing w:after="0"/>
              <w:rPr>
                <w:sz w:val="7"/>
                <w:szCs w:val="7"/>
                <w:color w:val="auto"/>
              </w:rPr>
            </w:pPr>
          </w:p>
        </w:tc>
        <w:tc>
          <w:tcPr>
            <w:tcW w:w="1260" w:type="dxa"/>
            <w:vAlign w:val="bottom"/>
            <w:gridSpan w:val="5"/>
            <w:vMerge w:val="restart"/>
          </w:tcPr>
          <w:p>
            <w:pPr>
              <w:jc w:val="center"/>
              <w:ind w:right="160"/>
              <w:spacing w:after="0" w:line="196" w:lineRule="exact"/>
              <w:rPr>
                <w:sz w:val="20"/>
                <w:szCs w:val="20"/>
                <w:color w:val="auto"/>
              </w:rPr>
            </w:pPr>
            <w:r>
              <w:rPr>
                <w:rFonts w:ascii="Arial" w:cs="Arial" w:eastAsia="Arial" w:hAnsi="Arial"/>
                <w:sz w:val="18"/>
                <w:szCs w:val="18"/>
                <w:color w:val="auto"/>
                <w:w w:val="93"/>
              </w:rPr>
              <w:t>&lt;= 6 Months</w:t>
            </w:r>
          </w:p>
        </w:tc>
        <w:tc>
          <w:tcPr>
            <w:tcW w:w="1160" w:type="dxa"/>
            <w:vAlign w:val="bottom"/>
            <w:gridSpan w:val="4"/>
            <w:vMerge w:val="restart"/>
          </w:tcPr>
          <w:p>
            <w:pPr>
              <w:jc w:val="center"/>
              <w:ind w:right="40"/>
              <w:spacing w:after="0" w:line="196" w:lineRule="exact"/>
              <w:rPr>
                <w:sz w:val="20"/>
                <w:szCs w:val="20"/>
                <w:color w:val="auto"/>
              </w:rPr>
            </w:pPr>
            <w:r>
              <w:rPr>
                <w:rFonts w:ascii="Arial" w:cs="Arial" w:eastAsia="Arial" w:hAnsi="Arial"/>
                <w:sz w:val="18"/>
                <w:szCs w:val="18"/>
                <w:color w:val="auto"/>
                <w:w w:val="86"/>
              </w:rPr>
              <w:t>Charge Off Post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6"/>
            <w:vMerge w:val="continue"/>
          </w:tcPr>
          <w:p>
            <w:pPr>
              <w:spacing w:after="0" w:line="20" w:lineRule="exact"/>
              <w:rPr>
                <w:sz w:val="1"/>
                <w:szCs w:val="1"/>
                <w:color w:val="auto"/>
              </w:rPr>
            </w:pPr>
          </w:p>
        </w:tc>
        <w:tc>
          <w:tcPr>
            <w:tcW w:w="1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80" w:type="dxa"/>
            <w:vAlign w:val="bottom"/>
            <w:gridSpan w:val="5"/>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60" w:type="dxa"/>
            <w:vAlign w:val="bottom"/>
            <w:gridSpan w:val="5"/>
            <w:vMerge w:val="continue"/>
          </w:tcPr>
          <w:p>
            <w:pPr>
              <w:spacing w:after="0" w:line="20" w:lineRule="exact"/>
              <w:rPr>
                <w:sz w:val="1"/>
                <w:szCs w:val="1"/>
                <w:color w:val="auto"/>
              </w:rPr>
            </w:pPr>
          </w:p>
        </w:tc>
        <w:tc>
          <w:tcPr>
            <w:tcW w:w="11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60" w:type="dxa"/>
            <w:vAlign w:val="bottom"/>
            <w:gridSpan w:val="5"/>
            <w:vMerge w:val="restart"/>
          </w:tcPr>
          <w:p>
            <w:pPr>
              <w:jc w:val="center"/>
              <w:ind w:right="140"/>
              <w:spacing w:after="0" w:line="196" w:lineRule="exact"/>
              <w:rPr>
                <w:sz w:val="20"/>
                <w:szCs w:val="20"/>
                <w:color w:val="auto"/>
              </w:rPr>
            </w:pPr>
            <w:r>
              <w:rPr>
                <w:rFonts w:ascii="Arial" w:cs="Arial" w:eastAsia="Arial" w:hAnsi="Arial"/>
                <w:sz w:val="18"/>
                <w:szCs w:val="18"/>
                <w:color w:val="auto"/>
                <w:w w:val="91"/>
              </w:rPr>
              <w:t>Extension</w:t>
            </w:r>
          </w:p>
        </w:tc>
        <w:tc>
          <w:tcPr>
            <w:tcW w:w="1020" w:type="dxa"/>
            <w:vAlign w:val="bottom"/>
            <w:gridSpan w:val="6"/>
            <w:vMerge w:val="continue"/>
          </w:tcPr>
          <w:p>
            <w:pPr>
              <w:spacing w:after="0"/>
              <w:rPr>
                <w:sz w:val="7"/>
                <w:szCs w:val="7"/>
                <w:color w:val="auto"/>
              </w:rPr>
            </w:pPr>
          </w:p>
        </w:tc>
        <w:tc>
          <w:tcPr>
            <w:tcW w:w="15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89"/>
              </w:rPr>
              <w:t>December 31, 2016</w:t>
            </w:r>
          </w:p>
        </w:tc>
        <w:tc>
          <w:tcPr>
            <w:tcW w:w="180" w:type="dxa"/>
            <w:vAlign w:val="bottom"/>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180" w:type="dxa"/>
            <w:vAlign w:val="bottom"/>
            <w:gridSpan w:val="5"/>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20" w:type="dxa"/>
            <w:vAlign w:val="bottom"/>
            <w:gridSpan w:val="5"/>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60" w:type="dxa"/>
            <w:vAlign w:val="bottom"/>
            <w:gridSpan w:val="5"/>
            <w:vMerge w:val="continue"/>
          </w:tcPr>
          <w:p>
            <w:pPr>
              <w:spacing w:after="0"/>
              <w:rPr>
                <w:sz w:val="7"/>
                <w:szCs w:val="7"/>
                <w:color w:val="auto"/>
              </w:rPr>
            </w:pPr>
          </w:p>
        </w:tc>
        <w:tc>
          <w:tcPr>
            <w:tcW w:w="11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gridSpan w:val="5"/>
            <w:vMerge w:val="continu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60" w:type="dxa"/>
            <w:vAlign w:val="bottom"/>
            <w:gridSpan w:val="5"/>
            <w:vMerge w:val="continue"/>
          </w:tcPr>
          <w:p>
            <w:pPr>
              <w:spacing w:after="0"/>
              <w:rPr>
                <w:sz w:val="7"/>
                <w:szCs w:val="7"/>
                <w:color w:val="auto"/>
              </w:rPr>
            </w:pPr>
          </w:p>
        </w:tc>
        <w:tc>
          <w:tcPr>
            <w:tcW w:w="780" w:type="dxa"/>
            <w:vAlign w:val="bottom"/>
            <w:gridSpan w:val="5"/>
            <w:vMerge w:val="restart"/>
          </w:tcPr>
          <w:p>
            <w:pPr>
              <w:jc w:val="center"/>
              <w:spacing w:after="0" w:line="196" w:lineRule="exact"/>
              <w:rPr>
                <w:sz w:val="20"/>
                <w:szCs w:val="20"/>
                <w:color w:val="auto"/>
              </w:rPr>
            </w:pPr>
            <w:r>
              <w:rPr>
                <w:rFonts w:ascii="Arial" w:cs="Arial" w:eastAsia="Arial" w:hAnsi="Arial"/>
                <w:sz w:val="18"/>
                <w:szCs w:val="18"/>
                <w:color w:val="auto"/>
                <w:w w:val="89"/>
              </w:rPr>
              <w:t>Granted</w:t>
            </w:r>
          </w:p>
        </w:tc>
        <w:tc>
          <w:tcPr>
            <w:tcW w:w="240" w:type="dxa"/>
            <w:vAlign w:val="bottom"/>
            <w:vMerge w:val="restart"/>
          </w:tcPr>
          <w:p>
            <w:pPr>
              <w:spacing w:after="0"/>
              <w:rPr>
                <w:sz w:val="7"/>
                <w:szCs w:val="7"/>
                <w:color w:val="auto"/>
              </w:rPr>
            </w:pPr>
          </w:p>
        </w:tc>
        <w:tc>
          <w:tcPr>
            <w:tcW w:w="1500" w:type="dxa"/>
            <w:vAlign w:val="bottom"/>
            <w:vMerge w:val="continue"/>
          </w:tcPr>
          <w:p>
            <w:pPr>
              <w:spacing w:after="0"/>
              <w:rPr>
                <w:sz w:val="7"/>
                <w:szCs w:val="7"/>
                <w:color w:val="auto"/>
              </w:rPr>
            </w:pPr>
          </w:p>
        </w:tc>
        <w:tc>
          <w:tcPr>
            <w:tcW w:w="180" w:type="dxa"/>
            <w:vAlign w:val="bottom"/>
            <w:vMerge w:val="restart"/>
          </w:tcPr>
          <w:p>
            <w:pPr>
              <w:spacing w:after="0"/>
              <w:rPr>
                <w:sz w:val="7"/>
                <w:szCs w:val="7"/>
                <w:color w:val="auto"/>
              </w:rPr>
            </w:pPr>
          </w:p>
        </w:tc>
        <w:tc>
          <w:tcPr>
            <w:tcW w:w="1220" w:type="dxa"/>
            <w:vAlign w:val="bottom"/>
            <w:gridSpan w:val="3"/>
            <w:vMerge w:val="restart"/>
          </w:tcPr>
          <w:p>
            <w:pPr>
              <w:jc w:val="center"/>
              <w:spacing w:after="0" w:line="196" w:lineRule="exact"/>
              <w:rPr>
                <w:sz w:val="20"/>
                <w:szCs w:val="20"/>
                <w:color w:val="auto"/>
              </w:rPr>
            </w:pPr>
            <w:r>
              <w:rPr>
                <w:rFonts w:ascii="Arial" w:cs="Arial" w:eastAsia="Arial" w:hAnsi="Arial"/>
                <w:sz w:val="18"/>
                <w:szCs w:val="18"/>
                <w:color w:val="auto"/>
                <w:w w:val="88"/>
              </w:rPr>
              <w:t>31, 2016</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restart"/>
          </w:tcPr>
          <w:p>
            <w:pPr>
              <w:jc w:val="center"/>
              <w:ind w:right="140"/>
              <w:spacing w:after="0" w:line="196" w:lineRule="exact"/>
              <w:rPr>
                <w:sz w:val="20"/>
                <w:szCs w:val="20"/>
                <w:color w:val="auto"/>
              </w:rPr>
            </w:pPr>
            <w:r>
              <w:rPr>
                <w:rFonts w:ascii="Arial" w:cs="Arial" w:eastAsia="Arial" w:hAnsi="Arial"/>
                <w:sz w:val="18"/>
                <w:szCs w:val="18"/>
                <w:color w:val="auto"/>
                <w:w w:val="91"/>
              </w:rPr>
              <w:t>Extension</w:t>
            </w:r>
          </w:p>
        </w:tc>
        <w:tc>
          <w:tcPr>
            <w:tcW w:w="200" w:type="dxa"/>
            <w:vAlign w:val="bottom"/>
            <w:gridSpan w:val="2"/>
            <w:vMerge w:val="restart"/>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2"/>
            <w:vMerge w:val="restart"/>
          </w:tcPr>
          <w:p>
            <w:pPr>
              <w:jc w:val="center"/>
              <w:ind w:right="200"/>
              <w:spacing w:after="0" w:line="196" w:lineRule="exact"/>
              <w:rPr>
                <w:sz w:val="20"/>
                <w:szCs w:val="20"/>
                <w:color w:val="auto"/>
              </w:rPr>
            </w:pPr>
            <w:r>
              <w:rPr>
                <w:rFonts w:ascii="Arial" w:cs="Arial" w:eastAsia="Arial" w:hAnsi="Arial"/>
                <w:sz w:val="18"/>
                <w:szCs w:val="18"/>
                <w:color w:val="auto"/>
                <w:w w:val="91"/>
              </w:rPr>
              <w:t>Extension</w:t>
            </w:r>
          </w:p>
        </w:tc>
        <w:tc>
          <w:tcPr>
            <w:tcW w:w="6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restart"/>
          </w:tcPr>
          <w:p>
            <w:pPr>
              <w:jc w:val="center"/>
              <w:ind w:right="180"/>
              <w:spacing w:after="0" w:line="196" w:lineRule="exact"/>
              <w:rPr>
                <w:sz w:val="20"/>
                <w:szCs w:val="20"/>
                <w:color w:val="auto"/>
              </w:rPr>
            </w:pPr>
            <w:r>
              <w:rPr>
                <w:rFonts w:ascii="Arial" w:cs="Arial" w:eastAsia="Arial" w:hAnsi="Arial"/>
                <w:sz w:val="18"/>
                <w:szCs w:val="18"/>
                <w:color w:val="auto"/>
                <w:w w:val="91"/>
              </w:rPr>
              <w:t>Extension</w:t>
            </w:r>
          </w:p>
        </w:tc>
        <w:tc>
          <w:tcPr>
            <w:tcW w:w="120" w:type="dxa"/>
            <w:vAlign w:val="bottom"/>
            <w:gridSpan w:val="2"/>
            <w:vMerge w:val="restart"/>
          </w:tcPr>
          <w:p>
            <w:pPr>
              <w:spacing w:after="0"/>
              <w:rPr>
                <w:sz w:val="7"/>
                <w:szCs w:val="7"/>
                <w:color w:val="auto"/>
              </w:rPr>
            </w:pPr>
          </w:p>
        </w:tc>
        <w:tc>
          <w:tcPr>
            <w:tcW w:w="1280" w:type="dxa"/>
            <w:vAlign w:val="bottom"/>
            <w:gridSpan w:val="6"/>
            <w:vMerge w:val="restart"/>
          </w:tcPr>
          <w:p>
            <w:pPr>
              <w:jc w:val="center"/>
              <w:ind w:right="140"/>
              <w:spacing w:after="0" w:line="196" w:lineRule="exact"/>
              <w:rPr>
                <w:sz w:val="20"/>
                <w:szCs w:val="20"/>
                <w:color w:val="auto"/>
              </w:rPr>
            </w:pPr>
            <w:r>
              <w:rPr>
                <w:rFonts w:ascii="Arial" w:cs="Arial" w:eastAsia="Arial" w:hAnsi="Arial"/>
                <w:sz w:val="18"/>
                <w:szCs w:val="18"/>
                <w:color w:val="auto"/>
                <w:w w:val="93"/>
              </w:rPr>
              <w:t>After Extension</w:t>
            </w:r>
          </w:p>
        </w:tc>
        <w:tc>
          <w:tcPr>
            <w:tcW w:w="180" w:type="dxa"/>
            <w:vAlign w:val="bottom"/>
          </w:tcPr>
          <w:p>
            <w:pPr>
              <w:spacing w:after="0"/>
              <w:rPr>
                <w:sz w:val="7"/>
                <w:szCs w:val="7"/>
                <w:color w:val="auto"/>
              </w:rPr>
            </w:pPr>
          </w:p>
        </w:tc>
        <w:tc>
          <w:tcPr>
            <w:tcW w:w="980" w:type="dxa"/>
            <w:vAlign w:val="bottom"/>
            <w:gridSpan w:val="3"/>
            <w:vMerge w:val="restart"/>
          </w:tcPr>
          <w:p>
            <w:pPr>
              <w:jc w:val="center"/>
              <w:ind w:right="260"/>
              <w:spacing w:after="0" w:line="196" w:lineRule="exact"/>
              <w:rPr>
                <w:sz w:val="20"/>
                <w:szCs w:val="20"/>
                <w:color w:val="auto"/>
              </w:rPr>
            </w:pPr>
            <w:r>
              <w:rPr>
                <w:rFonts w:ascii="Arial" w:cs="Arial" w:eastAsia="Arial" w:hAnsi="Arial"/>
                <w:sz w:val="18"/>
                <w:szCs w:val="18"/>
                <w:color w:val="auto"/>
                <w:w w:val="91"/>
              </w:rPr>
              <w:t>Extension</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gridSpan w:val="5"/>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1280" w:type="dxa"/>
            <w:vAlign w:val="bottom"/>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gridSpan w:val="3"/>
            <w:shd w:val="clear" w:color="auto" w:fill="EEEEEE"/>
          </w:tcPr>
          <w:p>
            <w:pPr>
              <w:jc w:val="center"/>
              <w:ind w:left="30"/>
              <w:spacing w:after="0"/>
              <w:rPr>
                <w:sz w:val="20"/>
                <w:szCs w:val="20"/>
                <w:color w:val="auto"/>
              </w:rPr>
            </w:pPr>
            <w:r>
              <w:rPr>
                <w:rFonts w:ascii="Arial" w:cs="Arial" w:eastAsia="Arial" w:hAnsi="Arial"/>
                <w:sz w:val="18"/>
                <w:szCs w:val="18"/>
                <w:color w:val="auto"/>
                <w:w w:val="89"/>
              </w:rPr>
              <w:t>2008</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center"/>
              <w:ind w:left="10"/>
              <w:spacing w:after="0"/>
              <w:rPr>
                <w:sz w:val="20"/>
                <w:szCs w:val="20"/>
                <w:color w:val="auto"/>
              </w:rPr>
            </w:pPr>
            <w:r>
              <w:rPr>
                <w:rFonts w:ascii="Arial" w:cs="Arial" w:eastAsia="Arial" w:hAnsi="Arial"/>
                <w:sz w:val="18"/>
                <w:szCs w:val="18"/>
                <w:color w:val="auto"/>
                <w:w w:val="90"/>
              </w:rPr>
              <w:t>35,588</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00" w:type="dxa"/>
            <w:vAlign w:val="bottom"/>
            <w:tcBorders>
              <w:left w:val="single" w:sz="8" w:color="EEEEEE"/>
              <w:right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10,711</w:t>
            </w:r>
          </w:p>
        </w:tc>
        <w:tc>
          <w:tcPr>
            <w:tcW w:w="1100" w:type="dxa"/>
            <w:vAlign w:val="bottom"/>
            <w:gridSpan w:val="3"/>
            <w:shd w:val="clear" w:color="auto" w:fill="EEEEEE"/>
          </w:tcPr>
          <w:p>
            <w:pPr>
              <w:jc w:val="center"/>
              <w:ind w:left="390"/>
              <w:spacing w:after="0"/>
              <w:rPr>
                <w:sz w:val="20"/>
                <w:szCs w:val="20"/>
                <w:color w:val="auto"/>
              </w:rPr>
            </w:pPr>
            <w:r>
              <w:rPr>
                <w:rFonts w:ascii="Arial" w:cs="Arial" w:eastAsia="Arial" w:hAnsi="Arial"/>
                <w:sz w:val="18"/>
                <w:szCs w:val="18"/>
                <w:color w:val="auto"/>
                <w:w w:val="90"/>
              </w:rPr>
              <w:t>30.1%</w:t>
            </w:r>
          </w:p>
        </w:tc>
        <w:tc>
          <w:tcPr>
            <w:tcW w:w="30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20,058</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center"/>
              <w:ind w:left="190"/>
              <w:spacing w:after="0"/>
              <w:rPr>
                <w:sz w:val="20"/>
                <w:szCs w:val="20"/>
                <w:color w:val="auto"/>
              </w:rPr>
            </w:pPr>
            <w:r>
              <w:rPr>
                <w:rFonts w:ascii="Arial" w:cs="Arial" w:eastAsia="Arial" w:hAnsi="Arial"/>
                <w:sz w:val="18"/>
                <w:szCs w:val="18"/>
                <w:color w:val="auto"/>
                <w:w w:val="90"/>
              </w:rPr>
              <w:t>56.4%</w:t>
            </w: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4,819</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center"/>
              <w:ind w:left="10"/>
              <w:spacing w:after="0"/>
              <w:rPr>
                <w:sz w:val="20"/>
                <w:szCs w:val="20"/>
                <w:color w:val="auto"/>
              </w:rPr>
            </w:pPr>
            <w:r>
              <w:rPr>
                <w:rFonts w:ascii="Arial" w:cs="Arial" w:eastAsia="Arial" w:hAnsi="Arial"/>
                <w:sz w:val="18"/>
                <w:szCs w:val="18"/>
                <w:color w:val="auto"/>
                <w:w w:val="90"/>
              </w:rPr>
              <w:t>13.5%</w:t>
            </w: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center"/>
              <w:ind w:left="70"/>
              <w:spacing w:after="0"/>
              <w:rPr>
                <w:sz w:val="20"/>
                <w:szCs w:val="20"/>
                <w:color w:val="auto"/>
              </w:rPr>
            </w:pPr>
            <w:r>
              <w:rPr>
                <w:rFonts w:ascii="Arial" w:cs="Arial" w:eastAsia="Arial" w:hAnsi="Arial"/>
                <w:sz w:val="18"/>
                <w:szCs w:val="18"/>
                <w:color w:val="auto"/>
                <w:w w:val="89"/>
              </w:rPr>
              <w:t>19</w:t>
            </w:r>
          </w:p>
        </w:tc>
        <w:tc>
          <w:tcPr>
            <w:tcW w:w="22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2009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32,226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10,279</w:t>
            </w:r>
          </w:p>
        </w:tc>
        <w:tc>
          <w:tcPr>
            <w:tcW w:w="110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31.9%</w:t>
            </w:r>
          </w:p>
        </w:tc>
        <w:tc>
          <w:tcPr>
            <w:tcW w:w="300" w:type="dxa"/>
            <w:vAlign w:val="bottom"/>
          </w:tcPr>
          <w:p>
            <w:pPr>
              <w:spacing w:after="0"/>
              <w:rPr>
                <w:sz w:val="18"/>
                <w:szCs w:val="18"/>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16,164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50.2%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5,783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17.9%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17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3"/>
            <w:shd w:val="clear" w:color="auto" w:fill="EEEEEE"/>
          </w:tcPr>
          <w:p>
            <w:pPr>
              <w:jc w:val="center"/>
              <w:ind w:left="30"/>
              <w:spacing w:after="0"/>
              <w:rPr>
                <w:sz w:val="20"/>
                <w:szCs w:val="20"/>
                <w:color w:val="auto"/>
              </w:rPr>
            </w:pPr>
            <w:r>
              <w:rPr>
                <w:rFonts w:ascii="Arial" w:cs="Arial" w:eastAsia="Arial" w:hAnsi="Arial"/>
                <w:sz w:val="18"/>
                <w:szCs w:val="18"/>
                <w:color w:val="auto"/>
                <w:w w:val="89"/>
              </w:rPr>
              <w:t>2010</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center"/>
              <w:ind w:left="10"/>
              <w:spacing w:after="0"/>
              <w:rPr>
                <w:sz w:val="20"/>
                <w:szCs w:val="20"/>
                <w:color w:val="auto"/>
              </w:rPr>
            </w:pPr>
            <w:r>
              <w:rPr>
                <w:rFonts w:ascii="Arial" w:cs="Arial" w:eastAsia="Arial" w:hAnsi="Arial"/>
                <w:sz w:val="18"/>
                <w:szCs w:val="18"/>
                <w:color w:val="auto"/>
                <w:w w:val="90"/>
              </w:rPr>
              <w:t>26,167</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00" w:type="dxa"/>
            <w:vAlign w:val="bottom"/>
            <w:tcBorders>
              <w:left w:val="single" w:sz="8" w:color="EEEEEE"/>
              <w:right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90"/>
              </w:rPr>
              <w:t>12,177</w:t>
            </w:r>
          </w:p>
        </w:tc>
        <w:tc>
          <w:tcPr>
            <w:tcW w:w="1100" w:type="dxa"/>
            <w:vAlign w:val="bottom"/>
            <w:gridSpan w:val="3"/>
            <w:shd w:val="clear" w:color="auto" w:fill="EEEEEE"/>
          </w:tcPr>
          <w:p>
            <w:pPr>
              <w:jc w:val="center"/>
              <w:ind w:left="390"/>
              <w:spacing w:after="0"/>
              <w:rPr>
                <w:sz w:val="20"/>
                <w:szCs w:val="20"/>
                <w:color w:val="auto"/>
              </w:rPr>
            </w:pPr>
            <w:r>
              <w:rPr>
                <w:rFonts w:ascii="Arial" w:cs="Arial" w:eastAsia="Arial" w:hAnsi="Arial"/>
                <w:sz w:val="18"/>
                <w:szCs w:val="18"/>
                <w:color w:val="auto"/>
                <w:w w:val="90"/>
              </w:rPr>
              <w:t>46.5%</w:t>
            </w:r>
          </w:p>
        </w:tc>
        <w:tc>
          <w:tcPr>
            <w:tcW w:w="30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11,991</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center"/>
              <w:ind w:left="190"/>
              <w:spacing w:after="0"/>
              <w:rPr>
                <w:sz w:val="20"/>
                <w:szCs w:val="20"/>
                <w:color w:val="auto"/>
              </w:rPr>
            </w:pPr>
            <w:r>
              <w:rPr>
                <w:rFonts w:ascii="Arial" w:cs="Arial" w:eastAsia="Arial" w:hAnsi="Arial"/>
                <w:sz w:val="18"/>
                <w:szCs w:val="18"/>
                <w:color w:val="auto"/>
                <w:w w:val="90"/>
              </w:rPr>
              <w:t>45.8%</w:t>
            </w: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1,999</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center"/>
              <w:ind w:left="10"/>
              <w:spacing w:after="0"/>
              <w:rPr>
                <w:sz w:val="20"/>
                <w:szCs w:val="20"/>
                <w:color w:val="auto"/>
              </w:rPr>
            </w:pPr>
            <w:r>
              <w:rPr>
                <w:rFonts w:ascii="Arial" w:cs="Arial" w:eastAsia="Arial" w:hAnsi="Arial"/>
                <w:sz w:val="18"/>
                <w:szCs w:val="18"/>
                <w:color w:val="auto"/>
                <w:w w:val="92"/>
              </w:rPr>
              <w:t>7.6%</w:t>
            </w: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center"/>
              <w:ind w:left="70"/>
              <w:spacing w:after="0"/>
              <w:rPr>
                <w:sz w:val="20"/>
                <w:szCs w:val="20"/>
                <w:color w:val="auto"/>
              </w:rPr>
            </w:pPr>
            <w:r>
              <w:rPr>
                <w:rFonts w:ascii="Arial" w:cs="Arial" w:eastAsia="Arial" w:hAnsi="Arial"/>
                <w:sz w:val="18"/>
                <w:szCs w:val="18"/>
                <w:color w:val="auto"/>
                <w:w w:val="89"/>
              </w:rPr>
              <w:t>19</w:t>
            </w:r>
          </w:p>
        </w:tc>
        <w:tc>
          <w:tcPr>
            <w:tcW w:w="22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3"/>
          </w:tcPr>
          <w:p>
            <w:pPr>
              <w:jc w:val="center"/>
              <w:ind w:left="50"/>
              <w:spacing w:after="0"/>
              <w:rPr>
                <w:sz w:val="20"/>
                <w:szCs w:val="20"/>
                <w:color w:val="auto"/>
              </w:rPr>
            </w:pPr>
            <w:r>
              <w:rPr>
                <w:rFonts w:ascii="Arial" w:cs="Arial" w:eastAsia="Arial" w:hAnsi="Arial"/>
                <w:sz w:val="18"/>
                <w:szCs w:val="18"/>
                <w:color w:val="auto"/>
                <w:w w:val="84"/>
              </w:rPr>
              <w:t>2011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18,786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11,009</w:t>
            </w:r>
          </w:p>
        </w:tc>
        <w:tc>
          <w:tcPr>
            <w:tcW w:w="110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58.6%</w:t>
            </w:r>
          </w:p>
        </w:tc>
        <w:tc>
          <w:tcPr>
            <w:tcW w:w="300" w:type="dxa"/>
            <w:vAlign w:val="bottom"/>
          </w:tcPr>
          <w:p>
            <w:pPr>
              <w:spacing w:after="0"/>
              <w:rPr>
                <w:sz w:val="18"/>
                <w:szCs w:val="18"/>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6,845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36.4%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932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3"/>
            <w:shd w:val="clear" w:color="auto" w:fill="EEEEEE"/>
          </w:tcPr>
          <w:p>
            <w:pPr>
              <w:jc w:val="center"/>
              <w:ind w:left="30"/>
              <w:spacing w:after="0"/>
              <w:rPr>
                <w:sz w:val="20"/>
                <w:szCs w:val="20"/>
                <w:color w:val="auto"/>
              </w:rPr>
            </w:pPr>
            <w:r>
              <w:rPr>
                <w:rFonts w:ascii="Arial" w:cs="Arial" w:eastAsia="Arial" w:hAnsi="Arial"/>
                <w:sz w:val="18"/>
                <w:szCs w:val="18"/>
                <w:color w:val="auto"/>
                <w:w w:val="89"/>
              </w:rPr>
              <w:t>2012</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center"/>
              <w:ind w:left="10"/>
              <w:spacing w:after="0"/>
              <w:rPr>
                <w:sz w:val="20"/>
                <w:szCs w:val="20"/>
                <w:color w:val="auto"/>
              </w:rPr>
            </w:pPr>
            <w:r>
              <w:rPr>
                <w:rFonts w:ascii="Arial" w:cs="Arial" w:eastAsia="Arial" w:hAnsi="Arial"/>
                <w:sz w:val="18"/>
                <w:szCs w:val="18"/>
                <w:color w:val="auto"/>
                <w:w w:val="90"/>
              </w:rPr>
              <w:t>18,783</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00" w:type="dxa"/>
            <w:vAlign w:val="bottom"/>
            <w:tcBorders>
              <w:left w:val="single" w:sz="8" w:color="EEEEEE"/>
              <w:right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11,514</w:t>
            </w:r>
          </w:p>
        </w:tc>
        <w:tc>
          <w:tcPr>
            <w:tcW w:w="1100" w:type="dxa"/>
            <w:vAlign w:val="bottom"/>
            <w:gridSpan w:val="3"/>
            <w:shd w:val="clear" w:color="auto" w:fill="EEEEEE"/>
          </w:tcPr>
          <w:p>
            <w:pPr>
              <w:jc w:val="center"/>
              <w:ind w:left="390"/>
              <w:spacing w:after="0"/>
              <w:rPr>
                <w:sz w:val="20"/>
                <w:szCs w:val="20"/>
                <w:color w:val="auto"/>
              </w:rPr>
            </w:pPr>
            <w:r>
              <w:rPr>
                <w:rFonts w:ascii="Arial" w:cs="Arial" w:eastAsia="Arial" w:hAnsi="Arial"/>
                <w:sz w:val="18"/>
                <w:szCs w:val="18"/>
                <w:color w:val="auto"/>
                <w:w w:val="90"/>
              </w:rPr>
              <w:t>61.3%</w:t>
            </w:r>
          </w:p>
        </w:tc>
        <w:tc>
          <w:tcPr>
            <w:tcW w:w="30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6,473</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center"/>
              <w:ind w:left="190"/>
              <w:spacing w:after="0"/>
              <w:rPr>
                <w:sz w:val="20"/>
                <w:szCs w:val="20"/>
                <w:color w:val="auto"/>
              </w:rPr>
            </w:pPr>
            <w:r>
              <w:rPr>
                <w:rFonts w:ascii="Arial" w:cs="Arial" w:eastAsia="Arial" w:hAnsi="Arial"/>
                <w:sz w:val="18"/>
                <w:szCs w:val="18"/>
                <w:color w:val="auto"/>
                <w:w w:val="90"/>
              </w:rPr>
              <w:t>34.5%</w:t>
            </w: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796</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center"/>
              <w:ind w:left="10"/>
              <w:spacing w:after="0"/>
              <w:rPr>
                <w:sz w:val="20"/>
                <w:szCs w:val="20"/>
                <w:color w:val="auto"/>
              </w:rPr>
            </w:pPr>
            <w:r>
              <w:rPr>
                <w:rFonts w:ascii="Arial" w:cs="Arial" w:eastAsia="Arial" w:hAnsi="Arial"/>
                <w:sz w:val="18"/>
                <w:szCs w:val="18"/>
                <w:color w:val="auto"/>
                <w:w w:val="92"/>
              </w:rPr>
              <w:t>4.2%</w:t>
            </w: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center"/>
              <w:ind w:left="70"/>
              <w:spacing w:after="0"/>
              <w:rPr>
                <w:sz w:val="20"/>
                <w:szCs w:val="20"/>
                <w:color w:val="auto"/>
              </w:rPr>
            </w:pPr>
            <w:r>
              <w:rPr>
                <w:rFonts w:ascii="Arial" w:cs="Arial" w:eastAsia="Arial" w:hAnsi="Arial"/>
                <w:sz w:val="18"/>
                <w:szCs w:val="18"/>
                <w:color w:val="auto"/>
                <w:w w:val="89"/>
              </w:rPr>
              <w:t>17</w:t>
            </w:r>
          </w:p>
        </w:tc>
        <w:tc>
          <w:tcPr>
            <w:tcW w:w="22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23,398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12,948</w:t>
            </w:r>
          </w:p>
        </w:tc>
        <w:tc>
          <w:tcPr>
            <w:tcW w:w="110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55.3%</w:t>
            </w:r>
          </w:p>
        </w:tc>
        <w:tc>
          <w:tcPr>
            <w:tcW w:w="300" w:type="dxa"/>
            <w:vAlign w:val="bottom"/>
          </w:tcPr>
          <w:p>
            <w:pPr>
              <w:spacing w:after="0"/>
              <w:rPr>
                <w:sz w:val="18"/>
                <w:szCs w:val="18"/>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40.5%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18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3"/>
            <w:shd w:val="clear" w:color="auto" w:fill="EEEEEE"/>
          </w:tcPr>
          <w:p>
            <w:pPr>
              <w:jc w:val="center"/>
              <w:ind w:left="30"/>
              <w:spacing w:after="0"/>
              <w:rPr>
                <w:sz w:val="20"/>
                <w:szCs w:val="20"/>
                <w:color w:val="auto"/>
              </w:rPr>
            </w:pPr>
            <w:r>
              <w:rPr>
                <w:rFonts w:ascii="Arial" w:cs="Arial" w:eastAsia="Arial" w:hAnsi="Arial"/>
                <w:sz w:val="18"/>
                <w:szCs w:val="18"/>
                <w:color w:val="auto"/>
                <w:w w:val="89"/>
              </w:rPr>
              <w:t>2014</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center"/>
              <w:ind w:left="10"/>
              <w:spacing w:after="0"/>
              <w:rPr>
                <w:sz w:val="20"/>
                <w:szCs w:val="20"/>
                <w:color w:val="auto"/>
              </w:rPr>
            </w:pPr>
            <w:r>
              <w:rPr>
                <w:rFonts w:ascii="Arial" w:cs="Arial" w:eastAsia="Arial" w:hAnsi="Arial"/>
                <w:sz w:val="18"/>
                <w:szCs w:val="18"/>
                <w:color w:val="auto"/>
                <w:w w:val="90"/>
              </w:rPr>
              <w:t>25,773</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00" w:type="dxa"/>
            <w:vAlign w:val="bottom"/>
            <w:tcBorders>
              <w:left w:val="single" w:sz="8" w:color="EEEEEE"/>
              <w:right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90"/>
              </w:rPr>
              <w:t>15,248</w:t>
            </w:r>
          </w:p>
        </w:tc>
        <w:tc>
          <w:tcPr>
            <w:tcW w:w="1100" w:type="dxa"/>
            <w:vAlign w:val="bottom"/>
            <w:gridSpan w:val="3"/>
            <w:shd w:val="clear" w:color="auto" w:fill="EEEEEE"/>
          </w:tcPr>
          <w:p>
            <w:pPr>
              <w:jc w:val="center"/>
              <w:ind w:left="390"/>
              <w:spacing w:after="0"/>
              <w:rPr>
                <w:sz w:val="20"/>
                <w:szCs w:val="20"/>
                <w:color w:val="auto"/>
              </w:rPr>
            </w:pPr>
            <w:r>
              <w:rPr>
                <w:rFonts w:ascii="Arial" w:cs="Arial" w:eastAsia="Arial" w:hAnsi="Arial"/>
                <w:sz w:val="18"/>
                <w:szCs w:val="18"/>
                <w:color w:val="auto"/>
                <w:w w:val="90"/>
              </w:rPr>
              <w:t>59.2%</w:t>
            </w:r>
          </w:p>
        </w:tc>
        <w:tc>
          <w:tcPr>
            <w:tcW w:w="30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9,699</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center"/>
              <w:ind w:left="190"/>
              <w:spacing w:after="0"/>
              <w:rPr>
                <w:sz w:val="20"/>
                <w:szCs w:val="20"/>
                <w:color w:val="auto"/>
              </w:rPr>
            </w:pPr>
            <w:r>
              <w:rPr>
                <w:rFonts w:ascii="Arial" w:cs="Arial" w:eastAsia="Arial" w:hAnsi="Arial"/>
                <w:sz w:val="18"/>
                <w:szCs w:val="18"/>
                <w:color w:val="auto"/>
                <w:w w:val="90"/>
              </w:rPr>
              <w:t>37.6%</w:t>
            </w:r>
          </w:p>
        </w:tc>
        <w:tc>
          <w:tcPr>
            <w:tcW w:w="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826</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center"/>
              <w:ind w:left="10"/>
              <w:spacing w:after="0"/>
              <w:rPr>
                <w:sz w:val="20"/>
                <w:szCs w:val="20"/>
                <w:color w:val="auto"/>
              </w:rPr>
            </w:pPr>
            <w:r>
              <w:rPr>
                <w:rFonts w:ascii="Arial" w:cs="Arial" w:eastAsia="Arial" w:hAnsi="Arial"/>
                <w:sz w:val="18"/>
                <w:szCs w:val="18"/>
                <w:color w:val="auto"/>
                <w:w w:val="92"/>
              </w:rPr>
              <w:t>3.2%</w:t>
            </w: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center"/>
              <w:ind w:left="70"/>
              <w:spacing w:after="0"/>
              <w:rPr>
                <w:sz w:val="20"/>
                <w:szCs w:val="20"/>
                <w:color w:val="auto"/>
              </w:rPr>
            </w:pPr>
            <w:r>
              <w:rPr>
                <w:rFonts w:ascii="Arial" w:cs="Arial" w:eastAsia="Arial" w:hAnsi="Arial"/>
                <w:sz w:val="18"/>
                <w:szCs w:val="18"/>
                <w:color w:val="auto"/>
                <w:w w:val="89"/>
              </w:rPr>
              <w:t>15</w:t>
            </w:r>
          </w:p>
        </w:tc>
        <w:tc>
          <w:tcPr>
            <w:tcW w:w="22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2015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53,319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40,779</w:t>
            </w:r>
          </w:p>
        </w:tc>
        <w:tc>
          <w:tcPr>
            <w:tcW w:w="1100" w:type="dxa"/>
            <w:vAlign w:val="bottom"/>
            <w:gridSpan w:val="3"/>
          </w:tcPr>
          <w:p>
            <w:pPr>
              <w:jc w:val="center"/>
              <w:ind w:left="390"/>
              <w:spacing w:after="0"/>
              <w:rPr>
                <w:sz w:val="20"/>
                <w:szCs w:val="20"/>
                <w:color w:val="auto"/>
              </w:rPr>
            </w:pPr>
            <w:r>
              <w:rPr>
                <w:rFonts w:ascii="Arial" w:cs="Arial" w:eastAsia="Arial" w:hAnsi="Arial"/>
                <w:sz w:val="18"/>
                <w:szCs w:val="18"/>
                <w:color w:val="auto"/>
                <w:w w:val="90"/>
              </w:rPr>
              <w:t>76.5%</w:t>
            </w:r>
          </w:p>
        </w:tc>
        <w:tc>
          <w:tcPr>
            <w:tcW w:w="300" w:type="dxa"/>
            <w:vAlign w:val="bottom"/>
          </w:tcPr>
          <w:p>
            <w:pPr>
              <w:spacing w:after="0"/>
              <w:rPr>
                <w:sz w:val="20"/>
                <w:szCs w:val="20"/>
                <w:color w:val="auto"/>
              </w:rPr>
            </w:pP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21.5%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left="90"/>
              <w:spacing w:after="0"/>
              <w:rPr>
                <w:sz w:val="20"/>
                <w:szCs w:val="20"/>
                <w:color w:val="auto"/>
              </w:rPr>
            </w:pPr>
            <w:r>
              <w:rPr>
                <w:rFonts w:ascii="Arial" w:cs="Arial" w:eastAsia="Arial" w:hAnsi="Arial"/>
                <w:sz w:val="18"/>
                <w:szCs w:val="18"/>
                <w:color w:val="auto"/>
                <w:w w:val="79"/>
              </w:rPr>
              <w:t>11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We view these results as a confirmation of the effectiveness of our extension program. We consider accounts that have had extensions and were active or paid off at December 31, 2016 to be successful. Successful extensions result in continued payments of interest and principal (including payment in full in many cases). Without the extension, however, we would have likely incurred a substantial loss and no additional interest revenue.</w:t>
      </w:r>
    </w:p>
    <w:p>
      <w:pPr>
        <w:spacing w:after="0" w:line="166"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For extension accounts that ultimately charged off, we consider accounts that charged off more than six months after the extension to be at least partially successful. In such cases, in spite of the ultimate loss, we received additional payments of principal and interest that otherwise we would not have received.</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7"/>
          </w:tcPr>
          <w:p>
            <w:pPr>
              <w:ind w:left="320"/>
              <w:spacing w:after="0"/>
              <w:rPr>
                <w:sz w:val="20"/>
                <w:szCs w:val="20"/>
                <w:color w:val="auto"/>
              </w:rPr>
            </w:pPr>
            <w:r>
              <w:rPr>
                <w:rFonts w:ascii="Arial" w:cs="Arial" w:eastAsia="Arial" w:hAnsi="Arial"/>
                <w:sz w:val="18"/>
                <w:szCs w:val="18"/>
                <w:color w:val="auto"/>
              </w:rPr>
              <w:t>For the Year Ended</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80" w:type="dxa"/>
            <w:vAlign w:val="bottom"/>
            <w:gridSpan w:val="8"/>
          </w:tcPr>
          <w:p>
            <w:pPr>
              <w:ind w:left="180"/>
              <w:spacing w:after="0" w:line="195" w:lineRule="exact"/>
              <w:rPr>
                <w:sz w:val="20"/>
                <w:szCs w:val="20"/>
                <w:color w:val="auto"/>
              </w:rPr>
            </w:pPr>
            <w:r>
              <w:rPr>
                <w:rFonts w:ascii="Arial" w:cs="Arial" w:eastAsia="Arial" w:hAnsi="Arial"/>
                <w:sz w:val="18"/>
                <w:szCs w:val="18"/>
                <w:color w:val="auto"/>
              </w:rPr>
              <w:t>December 31,</w:t>
            </w:r>
          </w:p>
        </w:tc>
        <w:tc>
          <w:tcPr>
            <w:tcW w:w="1540" w:type="dxa"/>
            <w:vAlign w:val="bottom"/>
            <w:gridSpan w:val="4"/>
          </w:tcPr>
          <w:p>
            <w:pPr>
              <w:ind w:left="20"/>
              <w:spacing w:after="0" w:line="195" w:lineRule="exact"/>
              <w:rPr>
                <w:sz w:val="20"/>
                <w:szCs w:val="20"/>
                <w:color w:val="auto"/>
              </w:rPr>
            </w:pPr>
            <w:r>
              <w:rPr>
                <w:rFonts w:ascii="Arial" w:cs="Arial" w:eastAsia="Arial" w:hAnsi="Arial"/>
                <w:sz w:val="18"/>
                <w:szCs w:val="18"/>
                <w:color w:val="auto"/>
              </w:rPr>
              <w:t>December 31,</w:t>
            </w:r>
          </w:p>
        </w:tc>
        <w:tc>
          <w:tcPr>
            <w:tcW w:w="1360" w:type="dxa"/>
            <w:vAlign w:val="bottom"/>
            <w:gridSpan w:val="3"/>
          </w:tcPr>
          <w:p>
            <w:pPr>
              <w:jc w:val="right"/>
              <w:ind w:right="90"/>
              <w:spacing w:after="0" w:line="195"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2016</w:t>
            </w:r>
          </w:p>
        </w:tc>
        <w:tc>
          <w:tcPr>
            <w:tcW w:w="4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EEEEEE"/>
          </w:tcPr>
          <w:p>
            <w:pPr>
              <w:ind w:left="100"/>
              <w:spacing w:after="0"/>
              <w:rPr>
                <w:sz w:val="20"/>
                <w:szCs w:val="20"/>
                <w:color w:val="auto"/>
              </w:rPr>
            </w:pPr>
            <w:r>
              <w:rPr>
                <w:rFonts w:ascii="Arial" w:cs="Arial" w:eastAsia="Arial" w:hAnsi="Arial"/>
                <w:sz w:val="18"/>
                <w:szCs w:val="18"/>
                <w:color w:val="auto"/>
              </w:rPr>
              <w:t>Average number of extensions granted per month</w:t>
            </w: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w w:val="93"/>
              </w:rPr>
              <w:t>6,741</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EEEEEE"/>
          </w:tcPr>
          <w:p>
            <w:pPr>
              <w:ind w:left="100"/>
              <w:spacing w:after="0"/>
              <w:rPr>
                <w:sz w:val="20"/>
                <w:szCs w:val="20"/>
                <w:color w:val="auto"/>
              </w:rPr>
            </w:pPr>
            <w:r>
              <w:rPr>
                <w:rFonts w:ascii="Arial" w:cs="Arial" w:eastAsia="Arial" w:hAnsi="Arial"/>
                <w:sz w:val="18"/>
                <w:szCs w:val="18"/>
                <w:color w:val="auto"/>
              </w:rPr>
              <w:t>Average number of outstanding accounts</w:t>
            </w: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270"/>
              <w:spacing w:after="0"/>
              <w:rPr>
                <w:sz w:val="20"/>
                <w:szCs w:val="20"/>
                <w:color w:val="auto"/>
              </w:rPr>
            </w:pPr>
            <w:r>
              <w:rPr>
                <w:rFonts w:ascii="Arial" w:cs="Arial" w:eastAsia="Arial" w:hAnsi="Arial"/>
                <w:sz w:val="18"/>
                <w:szCs w:val="18"/>
                <w:color w:val="auto"/>
              </w:rPr>
              <w:t>163,050</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137,306</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shd w:val="clear" w:color="auto" w:fill="EEEEEE"/>
          </w:tcPr>
          <w:p>
            <w:pPr>
              <w:ind w:left="100"/>
              <w:spacing w:after="0"/>
              <w:rPr>
                <w:sz w:val="20"/>
                <w:szCs w:val="20"/>
                <w:color w:val="auto"/>
              </w:rPr>
            </w:pPr>
            <w:r>
              <w:rPr>
                <w:rFonts w:ascii="Arial" w:cs="Arial" w:eastAsia="Arial" w:hAnsi="Arial"/>
                <w:sz w:val="18"/>
                <w:szCs w:val="18"/>
                <w:color w:val="auto"/>
                <w:w w:val="92"/>
              </w:rPr>
              <w:t>Average monthly extensions as % of average outstandings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40" w:type="dxa"/>
            <w:vAlign w:val="bottom"/>
            <w:gridSpan w:val="5"/>
          </w:tcPr>
          <w:p>
            <w:pPr>
              <w:jc w:val="right"/>
              <w:ind w:right="980"/>
              <w:spacing w:after="0"/>
              <w:rPr>
                <w:sz w:val="20"/>
                <w:szCs w:val="20"/>
                <w:color w:val="auto"/>
              </w:rPr>
            </w:pPr>
            <w:r>
              <w:rPr>
                <w:rFonts w:ascii="Arial" w:cs="Arial" w:eastAsia="Arial" w:hAnsi="Arial"/>
                <w:sz w:val="18"/>
                <w:szCs w:val="18"/>
                <w:color w:val="auto"/>
              </w:rPr>
              <w:t>December 31, 2016</w:t>
            </w:r>
          </w:p>
        </w:tc>
        <w:tc>
          <w:tcPr>
            <w:tcW w:w="2640" w:type="dxa"/>
            <w:vAlign w:val="bottom"/>
            <w:gridSpan w:val="9"/>
          </w:tcPr>
          <w:p>
            <w:pPr>
              <w:ind w:left="600"/>
              <w:spacing w:after="0"/>
              <w:rPr>
                <w:sz w:val="20"/>
                <w:szCs w:val="20"/>
                <w:color w:val="auto"/>
              </w:rPr>
            </w:pPr>
            <w:r>
              <w:rPr>
                <w:rFonts w:ascii="Arial" w:cs="Arial" w:eastAsia="Arial" w:hAnsi="Arial"/>
                <w:sz w:val="18"/>
                <w:szCs w:val="18"/>
                <w:color w:val="auto"/>
              </w:rPr>
              <w:t>December 31, 2015</w:t>
            </w:r>
          </w:p>
        </w:tc>
        <w:tc>
          <w:tcPr>
            <w:tcW w:w="300" w:type="dxa"/>
            <w:vAlign w:val="bottom"/>
          </w:tcPr>
          <w:p>
            <w:pPr>
              <w:spacing w:after="0"/>
              <w:rPr>
                <w:sz w:val="24"/>
                <w:szCs w:val="24"/>
                <w:color w:val="auto"/>
              </w:rPr>
            </w:pPr>
          </w:p>
        </w:tc>
        <w:tc>
          <w:tcPr>
            <w:tcW w:w="2700" w:type="dxa"/>
            <w:vAlign w:val="bottom"/>
            <w:gridSpan w:val="7"/>
          </w:tcPr>
          <w:p>
            <w:pPr>
              <w:ind w:left="580"/>
              <w:spacing w:after="0"/>
              <w:rPr>
                <w:sz w:val="20"/>
                <w:szCs w:val="20"/>
                <w:color w:val="auto"/>
              </w:rPr>
            </w:pPr>
            <w:r>
              <w:rPr>
                <w:rFonts w:ascii="Arial" w:cs="Arial" w:eastAsia="Arial" w:hAnsi="Arial"/>
                <w:sz w:val="18"/>
                <w:szCs w:val="18"/>
                <w:color w:val="auto"/>
              </w:rPr>
              <w:t>December 31, 2014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2"/>
              </w:rPr>
              <w:t>Number of</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2"/>
              </w:rPr>
              <w:t>Number of</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2"/>
              </w:rPr>
              <w:t>Number of</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Contracts</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2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Contracts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4"/>
          </w:tcPr>
          <w:p>
            <w:pPr>
              <w:ind w:left="8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Contracts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9"/>
          </w:tcPr>
          <w:p>
            <w:pPr>
              <w:ind w:left="460"/>
              <w:spacing w:after="0"/>
              <w:rPr>
                <w:sz w:val="20"/>
                <w:szCs w:val="20"/>
                <w:color w:val="auto"/>
              </w:rPr>
            </w:pPr>
            <w:r>
              <w:rPr>
                <w:rFonts w:ascii="Arial" w:cs="Arial" w:eastAsia="Arial" w:hAnsi="Arial"/>
                <w:sz w:val="18"/>
                <w:szCs w:val="18"/>
                <w:color w:val="auto"/>
              </w:rPr>
              <w:t>(Dollars in thousands)</w:t>
            </w: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36,030</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501,572</w:t>
            </w: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28,466</w:t>
            </w:r>
          </w:p>
        </w:tc>
        <w:tc>
          <w:tcPr>
            <w:tcW w:w="48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384,064</w:t>
            </w:r>
          </w:p>
        </w:tc>
        <w:tc>
          <w:tcPr>
            <w:tcW w:w="15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19,662</w:t>
            </w:r>
          </w:p>
        </w:tc>
        <w:tc>
          <w:tcPr>
            <w:tcW w:w="4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17,800</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242,216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11,763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156,840</w:t>
            </w:r>
          </w:p>
        </w:tc>
        <w:tc>
          <w:tcPr>
            <w:tcW w:w="1540" w:type="dxa"/>
            <w:vAlign w:val="bottom"/>
            <w:gridSpan w:val="4"/>
          </w:tcPr>
          <w:p>
            <w:pPr>
              <w:jc w:val="right"/>
              <w:ind w:right="100"/>
              <w:spacing w:after="0"/>
              <w:rPr>
                <w:sz w:val="20"/>
                <w:szCs w:val="20"/>
                <w:color w:val="auto"/>
              </w:rPr>
            </w:pPr>
            <w:r>
              <w:rPr>
                <w:rFonts w:ascii="Arial" w:cs="Arial" w:eastAsia="Arial" w:hAnsi="Arial"/>
                <w:sz w:val="18"/>
                <w:szCs w:val="18"/>
                <w:color w:val="auto"/>
              </w:rPr>
              <w:t>6,378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8,794</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116,929</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4,567</w:t>
            </w: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59,255</w:t>
            </w:r>
          </w:p>
        </w:tc>
        <w:tc>
          <w:tcPr>
            <w:tcW w:w="15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1,603</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4,032</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52,368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1,401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17,734</w:t>
            </w:r>
          </w:p>
        </w:tc>
        <w:tc>
          <w:tcPr>
            <w:tcW w:w="1540" w:type="dxa"/>
            <w:vAlign w:val="bottom"/>
            <w:gridSpan w:val="4"/>
          </w:tcPr>
          <w:p>
            <w:pPr>
              <w:jc w:val="right"/>
              <w:ind w:right="100"/>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1,426</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17,190</w:t>
            </w: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3,351</w:t>
            </w:r>
          </w:p>
        </w:tc>
        <w:tc>
          <w:tcPr>
            <w:tcW w:w="15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4,545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521</w:t>
            </w:r>
          </w:p>
        </w:tc>
        <w:tc>
          <w:tcPr>
            <w:tcW w:w="1540" w:type="dxa"/>
            <w:vAlign w:val="bottom"/>
            <w:gridSpan w:val="4"/>
          </w:tcPr>
          <w:p>
            <w:pPr>
              <w:jc w:val="right"/>
              <w:ind w:right="1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68,479</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934,820</w:t>
            </w:r>
          </w:p>
        </w:tc>
        <w:tc>
          <w:tcPr>
            <w:tcW w:w="3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46,548</w:t>
            </w:r>
          </w:p>
        </w:tc>
        <w:tc>
          <w:tcPr>
            <w:tcW w:w="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621,765</w:t>
            </w: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353,901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169,720</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2,308,058</w:t>
            </w:r>
          </w:p>
        </w:tc>
        <w:tc>
          <w:tcPr>
            <w:tcW w:w="3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149,138</w:t>
            </w:r>
          </w:p>
        </w:tc>
        <w:tc>
          <w:tcPr>
            <w:tcW w:w="4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2,031,099</w:t>
            </w:r>
          </w:p>
        </w:tc>
        <w:tc>
          <w:tcPr>
            <w:tcW w:w="15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123,944</w:t>
            </w:r>
          </w:p>
        </w:tc>
        <w:tc>
          <w:tcPr>
            <w:tcW w:w="4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1,643,471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Non-Accrual Receivables</w:t>
      </w:r>
    </w:p>
    <w:p>
      <w:pPr>
        <w:spacing w:after="0" w:line="22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in order to avoid losing their vehicle to repossession. Through our experience, we have learned that once a contract becomes greater than 90 days past due, it is more likely than not that the delinquency will not be resolved and will ultimately result in a charge-off. As a result, we do not recognize any interest income for contracts that are greater than 90 days past due.</w:t>
      </w:r>
    </w:p>
    <w:p>
      <w:pPr>
        <w:spacing w:after="0" w:line="158"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78"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of Automobile Contracts</w:t>
      </w:r>
    </w:p>
    <w:p>
      <w:pPr>
        <w:spacing w:after="0" w:line="225"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3" w:lineRule="exact"/>
        <w:rPr>
          <w:sz w:val="20"/>
          <w:szCs w:val="20"/>
          <w:color w:val="auto"/>
        </w:rPr>
      </w:pPr>
    </w:p>
    <w:p>
      <w:pPr>
        <w:jc w:val="both"/>
        <w:ind w:right="160" w:firstLine="360"/>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Since 1994 we have conducted 72 term securitizations of automobile contracts that we originated under our regular programs. As of December 31, 2016, 18 of those securitizations are active and all but one are structured as secured financings. The exception is our September 2010 transaction, which is structured as a sale of the related contracts. We have generally conducted our securitizations on a quarterly basis, near the end of each calendar quarter, resulting in four securitizations per calendar year. In recent years, we have found that the securitizations we conducted in December of those years, had a tendency toward less investor demand in the related bonds than the securitizations we conducted in other times of the year. As a result, in 2015, we elected to defer what would have been our December securitization in favor of a securitization in January 2016, and since then have conducted our securitizations near the beginning of each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3" w:name="page14"/>
    <w:bookmarkEnd w:id="13"/>
    <w:p>
      <w:pPr>
        <w:ind w:left="3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60" w:type="dxa"/>
            <w:vAlign w:val="bottom"/>
            <w:gridSpan w:val="5"/>
          </w:tcPr>
          <w:p>
            <w:pPr>
              <w:jc w:val="center"/>
              <w:ind w:left="530"/>
              <w:spacing w:after="0"/>
              <w:rPr>
                <w:sz w:val="20"/>
                <w:szCs w:val="20"/>
                <w:color w:val="auto"/>
              </w:rPr>
            </w:pPr>
            <w:r>
              <w:rPr>
                <w:rFonts w:ascii="Arial" w:cs="Arial" w:eastAsia="Arial" w:hAnsi="Arial"/>
                <w:sz w:val="18"/>
                <w:szCs w:val="18"/>
                <w:color w:val="auto"/>
                <w:w w:val="90"/>
              </w:rPr>
              <w:t>Recent Asset-Backed Securitizations</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8"/>
              </w:rPr>
              <w:t>Period</w:t>
            </w:r>
          </w:p>
        </w:tc>
        <w:tc>
          <w:tcPr>
            <w:tcW w:w="1780" w:type="dxa"/>
            <w:vAlign w:val="bottom"/>
          </w:tcPr>
          <w:p>
            <w:pPr>
              <w:spacing w:after="0"/>
              <w:rPr>
                <w:sz w:val="24"/>
                <w:szCs w:val="24"/>
                <w:color w:val="auto"/>
              </w:rPr>
            </w:pPr>
          </w:p>
        </w:tc>
        <w:tc>
          <w:tcPr>
            <w:tcW w:w="2380" w:type="dxa"/>
            <w:vAlign w:val="bottom"/>
            <w:gridSpan w:val="4"/>
          </w:tcPr>
          <w:p>
            <w:pPr>
              <w:jc w:val="center"/>
              <w:ind w:right="1180"/>
              <w:spacing w:after="0"/>
              <w:rPr>
                <w:sz w:val="20"/>
                <w:szCs w:val="20"/>
                <w:color w:val="auto"/>
              </w:rPr>
            </w:pPr>
            <w:r>
              <w:rPr>
                <w:rFonts w:ascii="Arial" w:cs="Arial" w:eastAsia="Arial" w:hAnsi="Arial"/>
                <w:sz w:val="18"/>
                <w:szCs w:val="18"/>
                <w:color w:val="auto"/>
                <w:w w:val="91"/>
              </w:rPr>
              <w:t>Number of Term</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Amount of Receivables</w:t>
            </w:r>
          </w:p>
        </w:tc>
        <w:tc>
          <w:tcPr>
            <w:tcW w:w="3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900" w:type="dxa"/>
            <w:vAlign w:val="bottom"/>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17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140" w:type="dxa"/>
            <w:vAlign w:val="bottom"/>
            <w:tcBorders>
              <w:top w:val="single" w:sz="8" w:color="auto"/>
              <w:bottom w:val="single" w:sz="8" w:color="auto"/>
            </w:tcBorders>
            <w:gridSpan w:val="2"/>
            <w:vMerge w:val="restart"/>
          </w:tcPr>
          <w:p>
            <w:pPr>
              <w:jc w:val="center"/>
              <w:ind w:right="60"/>
              <w:spacing w:after="0" w:line="196" w:lineRule="exact"/>
              <w:rPr>
                <w:sz w:val="20"/>
                <w:szCs w:val="20"/>
                <w:color w:val="auto"/>
              </w:rPr>
            </w:pPr>
            <w:r>
              <w:rPr>
                <w:rFonts w:ascii="Arial" w:cs="Arial" w:eastAsia="Arial" w:hAnsi="Arial"/>
                <w:sz w:val="18"/>
                <w:szCs w:val="18"/>
                <w:color w:val="auto"/>
                <w:w w:val="92"/>
              </w:rPr>
              <w:t>Securitizations</w:t>
            </w:r>
          </w:p>
        </w:tc>
        <w:tc>
          <w:tcPr>
            <w:tcW w:w="1180" w:type="dxa"/>
            <w:vAlign w:val="bottom"/>
            <w:vMerge w:val="restart"/>
          </w:tcPr>
          <w:p>
            <w:pPr>
              <w:spacing w:after="0"/>
              <w:rPr>
                <w:sz w:val="7"/>
                <w:szCs w:val="7"/>
                <w:color w:val="auto"/>
              </w:rPr>
            </w:pPr>
          </w:p>
        </w:tc>
        <w:tc>
          <w:tcPr>
            <w:tcW w:w="1700" w:type="dxa"/>
            <w:vAlign w:val="bottom"/>
            <w:tcBorders>
              <w:bottom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000" w:type="dxa"/>
            <w:vAlign w:val="bottom"/>
            <w:gridSpan w:val="2"/>
            <w:vMerge w:val="restart"/>
          </w:tcPr>
          <w:p>
            <w:pPr>
              <w:jc w:val="center"/>
              <w:ind w:right="320"/>
              <w:spacing w:after="0"/>
              <w:rPr>
                <w:sz w:val="20"/>
                <w:szCs w:val="20"/>
                <w:color w:val="auto"/>
              </w:rPr>
            </w:pPr>
            <w:r>
              <w:rPr>
                <w:rFonts w:ascii="Arial" w:cs="Arial" w:eastAsia="Arial" w:hAnsi="Arial"/>
                <w:sz w:val="18"/>
                <w:szCs w:val="18"/>
                <w:i w:val="1"/>
                <w:iCs w:val="1"/>
                <w:color w:val="auto"/>
                <w:w w:val="88"/>
              </w:rPr>
              <w:t>$ in thousands</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EEEEEE"/>
          </w:tcPr>
          <w:p>
            <w:pPr>
              <w:jc w:val="center"/>
              <w:ind w:left="830"/>
              <w:spacing w:after="0"/>
              <w:rPr>
                <w:sz w:val="20"/>
                <w:szCs w:val="20"/>
                <w:color w:val="auto"/>
              </w:rPr>
            </w:pPr>
            <w:r>
              <w:rPr>
                <w:rFonts w:ascii="Arial" w:cs="Arial" w:eastAsia="Arial" w:hAnsi="Arial"/>
                <w:sz w:val="18"/>
                <w:szCs w:val="18"/>
                <w:color w:val="auto"/>
                <w:w w:val="89"/>
              </w:rPr>
              <w:t>2007</w:t>
            </w:r>
          </w:p>
        </w:tc>
        <w:tc>
          <w:tcPr>
            <w:tcW w:w="2920" w:type="dxa"/>
            <w:vAlign w:val="bottom"/>
            <w:gridSpan w:val="3"/>
            <w:shd w:val="clear" w:color="auto" w:fill="EEEEEE"/>
          </w:tcPr>
          <w:p>
            <w:pPr>
              <w:jc w:val="center"/>
              <w:ind w:left="1750"/>
              <w:spacing w:after="0"/>
              <w:rPr>
                <w:sz w:val="20"/>
                <w:szCs w:val="20"/>
                <w:color w:val="auto"/>
              </w:rPr>
            </w:pPr>
            <w:r>
              <w:rPr>
                <w:rFonts w:ascii="Arial" w:cs="Arial" w:eastAsia="Arial" w:hAnsi="Arial"/>
                <w:sz w:val="18"/>
                <w:szCs w:val="18"/>
                <w:color w:val="auto"/>
                <w:w w:val="79"/>
              </w:rPr>
              <w:t>4</w:t>
            </w:r>
          </w:p>
        </w:tc>
        <w:tc>
          <w:tcPr>
            <w:tcW w:w="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1,118,097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2008</w:t>
            </w:r>
          </w:p>
        </w:tc>
        <w:tc>
          <w:tcPr>
            <w:tcW w:w="2920" w:type="dxa"/>
            <w:vAlign w:val="bottom"/>
            <w:gridSpan w:val="3"/>
          </w:tcPr>
          <w:p>
            <w:pPr>
              <w:jc w:val="center"/>
              <w:ind w:left="1750"/>
              <w:spacing w:after="0"/>
              <w:rPr>
                <w:sz w:val="20"/>
                <w:szCs w:val="20"/>
                <w:color w:val="auto"/>
              </w:rPr>
            </w:pPr>
            <w:r>
              <w:rPr>
                <w:rFonts w:ascii="Arial" w:cs="Arial" w:eastAsia="Arial" w:hAnsi="Arial"/>
                <w:sz w:val="18"/>
                <w:szCs w:val="18"/>
                <w:color w:val="auto"/>
                <w:w w:val="79"/>
              </w:rPr>
              <w:t>2</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509,022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EEEEEE"/>
          </w:tcPr>
          <w:p>
            <w:pPr>
              <w:jc w:val="center"/>
              <w:ind w:left="830"/>
              <w:spacing w:after="0"/>
              <w:rPr>
                <w:sz w:val="20"/>
                <w:szCs w:val="20"/>
                <w:color w:val="auto"/>
              </w:rPr>
            </w:pPr>
            <w:r>
              <w:rPr>
                <w:rFonts w:ascii="Arial" w:cs="Arial" w:eastAsia="Arial" w:hAnsi="Arial"/>
                <w:sz w:val="18"/>
                <w:szCs w:val="18"/>
                <w:color w:val="auto"/>
                <w:w w:val="89"/>
              </w:rPr>
              <w:t>2009</w:t>
            </w:r>
          </w:p>
        </w:tc>
        <w:tc>
          <w:tcPr>
            <w:tcW w:w="2920" w:type="dxa"/>
            <w:vAlign w:val="bottom"/>
            <w:gridSpan w:val="3"/>
            <w:shd w:val="clear" w:color="auto" w:fill="EEEEEE"/>
          </w:tcPr>
          <w:p>
            <w:pPr>
              <w:jc w:val="center"/>
              <w:ind w:left="1750"/>
              <w:spacing w:after="0"/>
              <w:rPr>
                <w:sz w:val="20"/>
                <w:szCs w:val="20"/>
                <w:color w:val="auto"/>
              </w:rPr>
            </w:pPr>
            <w:r>
              <w:rPr>
                <w:rFonts w:ascii="Arial" w:cs="Arial" w:eastAsia="Arial" w:hAnsi="Arial"/>
                <w:sz w:val="18"/>
                <w:szCs w:val="18"/>
                <w:color w:val="auto"/>
                <w:w w:val="79"/>
              </w:rPr>
              <w:t>0</w:t>
            </w:r>
          </w:p>
        </w:tc>
        <w:tc>
          <w:tcPr>
            <w:tcW w:w="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2010</w:t>
            </w:r>
          </w:p>
        </w:tc>
        <w:tc>
          <w:tcPr>
            <w:tcW w:w="2920" w:type="dxa"/>
            <w:vAlign w:val="bottom"/>
            <w:gridSpan w:val="3"/>
          </w:tcPr>
          <w:p>
            <w:pPr>
              <w:jc w:val="center"/>
              <w:ind w:left="1750"/>
              <w:spacing w:after="0"/>
              <w:rPr>
                <w:sz w:val="20"/>
                <w:szCs w:val="20"/>
                <w:color w:val="auto"/>
              </w:rPr>
            </w:pPr>
            <w:r>
              <w:rPr>
                <w:rFonts w:ascii="Arial" w:cs="Arial" w:eastAsia="Arial" w:hAnsi="Arial"/>
                <w:sz w:val="18"/>
                <w:szCs w:val="18"/>
                <w:color w:val="auto"/>
                <w:w w:val="79"/>
              </w:rPr>
              <w:t>1</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103,772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EEEEEE"/>
          </w:tcPr>
          <w:p>
            <w:pPr>
              <w:jc w:val="center"/>
              <w:ind w:left="830"/>
              <w:spacing w:after="0"/>
              <w:rPr>
                <w:sz w:val="20"/>
                <w:szCs w:val="20"/>
                <w:color w:val="auto"/>
              </w:rPr>
            </w:pPr>
            <w:r>
              <w:rPr>
                <w:rFonts w:ascii="Arial" w:cs="Arial" w:eastAsia="Arial" w:hAnsi="Arial"/>
                <w:sz w:val="18"/>
                <w:szCs w:val="18"/>
                <w:color w:val="auto"/>
                <w:w w:val="89"/>
              </w:rPr>
              <w:t>2011</w:t>
            </w:r>
          </w:p>
        </w:tc>
        <w:tc>
          <w:tcPr>
            <w:tcW w:w="2920" w:type="dxa"/>
            <w:vAlign w:val="bottom"/>
            <w:gridSpan w:val="3"/>
            <w:shd w:val="clear" w:color="auto" w:fill="EEEEEE"/>
          </w:tcPr>
          <w:p>
            <w:pPr>
              <w:jc w:val="center"/>
              <w:ind w:left="1750"/>
              <w:spacing w:after="0"/>
              <w:rPr>
                <w:sz w:val="20"/>
                <w:szCs w:val="20"/>
                <w:color w:val="auto"/>
              </w:rPr>
            </w:pPr>
            <w:r>
              <w:rPr>
                <w:rFonts w:ascii="Arial" w:cs="Arial" w:eastAsia="Arial" w:hAnsi="Arial"/>
                <w:sz w:val="18"/>
                <w:szCs w:val="18"/>
                <w:color w:val="auto"/>
                <w:w w:val="79"/>
              </w:rPr>
              <w:t>3</w:t>
            </w:r>
          </w:p>
        </w:tc>
        <w:tc>
          <w:tcPr>
            <w:tcW w:w="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335,593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2012</w:t>
            </w:r>
          </w:p>
        </w:tc>
        <w:tc>
          <w:tcPr>
            <w:tcW w:w="2920" w:type="dxa"/>
            <w:vAlign w:val="bottom"/>
            <w:gridSpan w:val="3"/>
          </w:tcPr>
          <w:p>
            <w:pPr>
              <w:jc w:val="center"/>
              <w:ind w:left="1750"/>
              <w:spacing w:after="0"/>
              <w:rPr>
                <w:sz w:val="20"/>
                <w:szCs w:val="20"/>
                <w:color w:val="auto"/>
              </w:rPr>
            </w:pPr>
            <w:r>
              <w:rPr>
                <w:rFonts w:ascii="Arial" w:cs="Arial" w:eastAsia="Arial" w:hAnsi="Arial"/>
                <w:sz w:val="18"/>
                <w:szCs w:val="18"/>
                <w:color w:val="auto"/>
                <w:w w:val="79"/>
              </w:rPr>
              <w:t>4</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603,500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EEEEEE"/>
          </w:tcPr>
          <w:p>
            <w:pPr>
              <w:jc w:val="center"/>
              <w:ind w:left="830"/>
              <w:spacing w:after="0"/>
              <w:rPr>
                <w:sz w:val="20"/>
                <w:szCs w:val="20"/>
                <w:color w:val="auto"/>
              </w:rPr>
            </w:pPr>
            <w:r>
              <w:rPr>
                <w:rFonts w:ascii="Arial" w:cs="Arial" w:eastAsia="Arial" w:hAnsi="Arial"/>
                <w:sz w:val="18"/>
                <w:szCs w:val="18"/>
                <w:color w:val="auto"/>
                <w:w w:val="89"/>
              </w:rPr>
              <w:t>2013</w:t>
            </w:r>
          </w:p>
        </w:tc>
        <w:tc>
          <w:tcPr>
            <w:tcW w:w="2920" w:type="dxa"/>
            <w:vAlign w:val="bottom"/>
            <w:gridSpan w:val="3"/>
            <w:shd w:val="clear" w:color="auto" w:fill="EEEEEE"/>
          </w:tcPr>
          <w:p>
            <w:pPr>
              <w:jc w:val="center"/>
              <w:ind w:left="1750"/>
              <w:spacing w:after="0"/>
              <w:rPr>
                <w:sz w:val="20"/>
                <w:szCs w:val="20"/>
                <w:color w:val="auto"/>
              </w:rPr>
            </w:pPr>
            <w:r>
              <w:rPr>
                <w:rFonts w:ascii="Arial" w:cs="Arial" w:eastAsia="Arial" w:hAnsi="Arial"/>
                <w:sz w:val="18"/>
                <w:szCs w:val="18"/>
                <w:color w:val="auto"/>
                <w:w w:val="79"/>
              </w:rPr>
              <w:t>4</w:t>
            </w:r>
          </w:p>
        </w:tc>
        <w:tc>
          <w:tcPr>
            <w:tcW w:w="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778,000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2014</w:t>
            </w:r>
          </w:p>
        </w:tc>
        <w:tc>
          <w:tcPr>
            <w:tcW w:w="2920" w:type="dxa"/>
            <w:vAlign w:val="bottom"/>
            <w:gridSpan w:val="3"/>
          </w:tcPr>
          <w:p>
            <w:pPr>
              <w:jc w:val="center"/>
              <w:ind w:left="1750"/>
              <w:spacing w:after="0"/>
              <w:rPr>
                <w:sz w:val="20"/>
                <w:szCs w:val="20"/>
                <w:color w:val="auto"/>
              </w:rPr>
            </w:pPr>
            <w:r>
              <w:rPr>
                <w:rFonts w:ascii="Arial" w:cs="Arial" w:eastAsia="Arial" w:hAnsi="Arial"/>
                <w:sz w:val="18"/>
                <w:szCs w:val="18"/>
                <w:color w:val="auto"/>
                <w:w w:val="79"/>
              </w:rPr>
              <w:t>4</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923,000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EEEEEE"/>
          </w:tcPr>
          <w:p>
            <w:pPr>
              <w:jc w:val="center"/>
              <w:ind w:left="830"/>
              <w:spacing w:after="0"/>
              <w:rPr>
                <w:sz w:val="20"/>
                <w:szCs w:val="20"/>
                <w:color w:val="auto"/>
              </w:rPr>
            </w:pPr>
            <w:r>
              <w:rPr>
                <w:rFonts w:ascii="Arial" w:cs="Arial" w:eastAsia="Arial" w:hAnsi="Arial"/>
                <w:sz w:val="18"/>
                <w:szCs w:val="18"/>
                <w:color w:val="auto"/>
                <w:w w:val="89"/>
              </w:rPr>
              <w:t>2015</w:t>
            </w:r>
          </w:p>
        </w:tc>
        <w:tc>
          <w:tcPr>
            <w:tcW w:w="2920" w:type="dxa"/>
            <w:vAlign w:val="bottom"/>
            <w:gridSpan w:val="3"/>
            <w:shd w:val="clear" w:color="auto" w:fill="EEEEEE"/>
          </w:tcPr>
          <w:p>
            <w:pPr>
              <w:jc w:val="center"/>
              <w:ind w:left="1750"/>
              <w:spacing w:after="0"/>
              <w:rPr>
                <w:sz w:val="20"/>
                <w:szCs w:val="20"/>
                <w:color w:val="auto"/>
              </w:rPr>
            </w:pPr>
            <w:r>
              <w:rPr>
                <w:rFonts w:ascii="Arial" w:cs="Arial" w:eastAsia="Arial" w:hAnsi="Arial"/>
                <w:sz w:val="18"/>
                <w:szCs w:val="18"/>
                <w:color w:val="auto"/>
                <w:w w:val="79"/>
              </w:rPr>
              <w:t>3</w:t>
            </w:r>
          </w:p>
        </w:tc>
        <w:tc>
          <w:tcPr>
            <w:tcW w:w="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jc w:val="center"/>
              <w:ind w:left="830"/>
              <w:spacing w:after="0"/>
              <w:rPr>
                <w:sz w:val="20"/>
                <w:szCs w:val="20"/>
                <w:color w:val="auto"/>
              </w:rPr>
            </w:pPr>
            <w:r>
              <w:rPr>
                <w:rFonts w:ascii="Arial" w:cs="Arial" w:eastAsia="Arial" w:hAnsi="Arial"/>
                <w:sz w:val="18"/>
                <w:szCs w:val="18"/>
                <w:color w:val="auto"/>
                <w:w w:val="89"/>
              </w:rPr>
              <w:t>2016</w:t>
            </w:r>
          </w:p>
        </w:tc>
        <w:tc>
          <w:tcPr>
            <w:tcW w:w="2920" w:type="dxa"/>
            <w:vAlign w:val="bottom"/>
            <w:gridSpan w:val="3"/>
          </w:tcPr>
          <w:p>
            <w:pPr>
              <w:jc w:val="center"/>
              <w:ind w:left="1750"/>
              <w:spacing w:after="0"/>
              <w:rPr>
                <w:sz w:val="20"/>
                <w:szCs w:val="20"/>
                <w:color w:val="auto"/>
              </w:rPr>
            </w:pPr>
            <w:r>
              <w:rPr>
                <w:rFonts w:ascii="Arial" w:cs="Arial" w:eastAsia="Arial" w:hAnsi="Arial"/>
                <w:sz w:val="18"/>
                <w:szCs w:val="18"/>
                <w:color w:val="auto"/>
                <w:w w:val="79"/>
              </w:rPr>
              <w:t>4</w:t>
            </w: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1,214,997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From time to time we have also completed financings of our residual interests in other securitizations that we and our affiliates previously sponsored. As of December 31, 2015 we had one such residual interest financing outstanding which was repaid in full in November 2016.</w:t>
      </w:r>
    </w:p>
    <w:p>
      <w:pPr>
        <w:spacing w:after="0" w:line="17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Generally, prior to a securitization transaction we fund our automobile contract acquisitions primarily with proceeds from warehouse credit facilities. Our current short-term funding capacity is $300 million, comprising three credit facilities. The first $100 million credit facility was established in May 2012. This facility was renewed in August 2016, extending the revolving period to August 2018, and adding an amortization period through August 2019. In April 2015, we entered into a $100 million facility with a revolving period extending to April 2017 followed by an amortization period to April 2019. In November 2015, we entered into a third $100 million facility, which has a revolving period extending to November 2017, followed by an amortization period to November 2019.</w:t>
      </w:r>
    </w:p>
    <w:p>
      <w:pPr>
        <w:spacing w:after="0" w:line="193"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8"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2016 we were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automobile financing business is highly competitive. We compete with a number of national, regional and local finance companies with operations similar to ours. In addition, competitors or potential competitors include other types of financial services companies, such as banks, leasing companies, credit unions providing retail loan financing and lease financing for new and used vehicles, and captive finance companies affiliated with major automobile manufacturers. Many of our competitors and potential competitors possess substantially greater financial, marketing,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18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w:t>
      </w:r>
    </w:p>
    <w:p>
      <w:pPr>
        <w:spacing w:after="0" w:line="225"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Numerous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most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173"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Dodd-Frank Wall Street Reform and Consumer Protection Act (the “Dodd-Frank Act”) was enacted in July 2010, and many of its provisions became effective in July 2011. The Dodd-Frank Act restructured the regulation and supervision of the financial services industry and created the Consumer Financial Protection Bureau (the “CFPB”). The CFPB has rulemaking, supervisory and enforcement authority over “non-banks,” including us. The CFPB is specifically authorized, among other things, to take actions to prevent companies from engaging in “unfair, deceptive or abusive” acts or practices in connection with consumer financial products and services, and to issue rules requiring enhanced disclosures for consumer financial products or services. Under the Dodd-Frank Act, the CFPB also may restrict the use of pre-dispute mandatory arbitration clauses in contracts for a consumer financial product or service. The CFPB also has authority to interpret, enforce and issue regulations implementing enumerated consumer laws, including certain laws that apply to us. Further, the CFPB has general supervisory and examination authority over non-depository “larger participants” in the market for automotive finance companies. We are subject to such supervision and examination.</w:t>
      </w:r>
    </w:p>
    <w:p>
      <w:pPr>
        <w:spacing w:after="0" w:line="18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Dodd-Frank Act and related regulations are likely to affect our cost of doing business, may limit or expand our permissible activities, may affect the competitive balance within our industry and market areas and could have a material adverse effect on us. For example, in March 2013, the CFPB stated its view that policies of indirect auto lenders that allow auto dealers to mark up lender-established buy rates and that compensate dealers for those markups could present a risk of impermissible pricing disparities on the basis of race and national origin, and potentially other prohibited bases. We continue to assess the Dodd-Frank Act’s probable effect on our business, financial condition and results of operations, and to monitor developments involving the entities charged with promulgating regulations. However, the ultimate effect of the Dodd-Frank Act on the financial services industry in general, and on us in particular, is uncertain at this time.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ind w:right="120" w:firstLine="360"/>
        <w:spacing w:after="0" w:line="259" w:lineRule="auto"/>
        <w:rPr>
          <w:sz w:val="20"/>
          <w:szCs w:val="20"/>
          <w:color w:val="auto"/>
        </w:rPr>
      </w:pPr>
      <w:r>
        <w:rPr>
          <w:rFonts w:ascii="Arial" w:cs="Arial" w:eastAsia="Arial" w:hAnsi="Arial"/>
          <w:sz w:val="18"/>
          <w:szCs w:val="18"/>
          <w:color w:val="auto"/>
        </w:rPr>
        <w:t>In addition to the CFPB, other state and federal agencies have the ability to regulate aspects of our business. For example, the Dodd-Frank Act provides a mechanism for state Attorneys General to investigate us. In addition, the Federal Trade Commission has jurisdiction to investigate aspects of our business. We expect that regulatory investigation by both state and federal agencies will continue, and there can be no assurance that the results of such investigations will not have a material adverse effect on us.</w:t>
      </w:r>
    </w:p>
    <w:p>
      <w:pPr>
        <w:spacing w:after="0" w:line="187"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As of December 31, 2016, we had 960 employees. The breakdown of the employees is as follows: 11 were senior management personnel; 542 were servicing personnel; 215 were automobile contract origination personnel; 114 were marketing personnel and program development (77 of whom were marketing representatives); 78 were various administration personnel including human resources, legal, accounting and systems. We believe that our relations with our employees are good. We are not a party to any collective bargaining agreement.</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Our business, operating results and financial condition could be adversely affected by any of the following specific risks. The trading price of our common stock could decline due to any of these risks and other industry risks. This listing of risks by its nature cannot be exhaustive, and the order in which the risks appear is not intended as an indication of their relative weight or importance. In addition to the risks described below, we may encounter risks that we do not currently recognize or that we currently deem immaterial, which may also impair our business operations and the value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Substantial Amount of Cash to Service Our Substantial Debt.</w:t>
      </w:r>
    </w:p>
    <w:p>
      <w:pPr>
        <w:spacing w:after="0" w:line="22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8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economic and competitive conditions in the asset-backed securities market;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current and future automobile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residual interests from our securitizations and warehouse credit facilities;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operating difficulties or pricing pressures we may experience;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credit enhancement for our securitizations;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and maintain dealer relationships;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passage of laws or regulations that affect us adversely;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with our competitors;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acquire and finance automobile contracts.</w:t>
      </w:r>
    </w:p>
    <w:p>
      <w:pPr>
        <w:spacing w:after="0" w:line="211"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We Need Substantial Liquidity to Operate Our Business.</w:t>
      </w:r>
    </w:p>
    <w:p>
      <w:pPr>
        <w:spacing w:after="0" w:line="229"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While our access to such funding has improved since then, our results of operations, financial condition and cash flows have been and may continue to be materially and adversely affected. We require a substantial amount of cash liquidity to operate our business. Among other things, we use such cash liquidity to:</w:t>
      </w:r>
    </w:p>
    <w:p>
      <w:pPr>
        <w:spacing w:after="0" w:line="178"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automobile contracts;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 overcollateralization in warehouse credit facilities and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securitization fees and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 spread accounts in connection with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satisfy working capital requirements and pay operating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taxes;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interest expense.</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of Significant Losses.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From time to time throughout our history we have incurred net losses, most recently over the period beginning with the quarter ended September 30,</w:t>
      </w:r>
    </w:p>
    <w:p>
      <w:pPr>
        <w:spacing w:after="0" w:line="35"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77"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We expect to earn quarterly profits during 2017; however, there can be no assurance as to that expectation. Our expectation of profitability is a forward-looking statement. We discuss the assumptions underlying that expectation under the caption “Forward-Looking Statements” in this report. We identify important factors that could cause actual results to differ, generally in the “Risk Factors” section of this report, and also under the caption “Forward-Looking Statements.” One reason for our expectation is that we have had positive net income throughout the five years ended December 31, 2016.</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Will Depend on Our Ability to Secure and Maintain Adequate Credit and Warehouse Financing on Favorable Terms.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 strategy requires that warehouse credit facilities be available in order to purchase significant volumes of receivables.</w:t>
      </w:r>
    </w:p>
    <w:p>
      <w:pPr>
        <w:spacing w:after="0" w:line="225"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sale of the notes, funds advanced under one or more warehouse credit facilities are repaid from the proceeds. Our current short-term funding capacity is $300 million, comprising three credit facilities, each with a maximum credit limit of $100 million. Each of the three warehouse credit facilities includes a revolving period during which we may receive advances secured by contributed automobile contracts, followed by an amortization period during which no further advances may be made, but prior to which outstanding advances are due and payable. See “Management’s Discussion and Analysis of Financial Condition and Results of Operations – Liquidity and Capital Resources – Liquidity”.</w:t>
      </w:r>
    </w:p>
    <w:p>
      <w:pPr>
        <w:spacing w:after="0" w:line="178"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If we are unable to maintain warehouse financing on acceptable terms, we might curtail or cease our purchases of new automobile contracts, which could lead to a material adverse effect on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8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by all parties of the terms of the securitization;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acquire a sufficient number of automobile contracts for securitization.</w:t>
      </w:r>
    </w:p>
    <w:p>
      <w:pPr>
        <w:spacing w:after="0" w:line="21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As stated elsewhere in this report, 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Although we have seen improvements in the capital markets from 2010 and thereafter, as compared to 2008 and 2009, if the market conditions for asset-backed securitizations should reverse, we could expect a material adverse effect on our results of operations.</w:t>
      </w:r>
    </w:p>
    <w:p>
      <w:pPr>
        <w:spacing w:after="0" w:line="15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Our Results of Operations Will Depend on Cash Flows from Our Residual Interests in Our Securitization Program and Our Warehouse Credit Facilities.</w:t>
      </w:r>
    </w:p>
    <w:p>
      <w:pPr>
        <w:spacing w:after="0" w:line="166"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9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81"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171" w:lineRule="exact"/>
        <w:rPr>
          <w:sz w:val="20"/>
          <w:szCs w:val="20"/>
          <w:color w:val="auto"/>
        </w:rPr>
      </w:pPr>
    </w:p>
    <w:p>
      <w:pPr>
        <w:ind w:left="340" w:right="80" w:hanging="332"/>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require increased credit enhancement, including an increase in the amount required to be on deposit in the spread account to be accumulated for the particular pool; and</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circumstances, may permit affected parties to require the transfer of servicing on some or all of the securitized or warehoused contracts from us to an unaffiliated servicer.</w:t>
      </w:r>
    </w:p>
    <w:p>
      <w:pPr>
        <w:spacing w:after="0" w:line="184" w:lineRule="exact"/>
        <w:rPr>
          <w:sz w:val="20"/>
          <w:szCs w:val="20"/>
          <w:color w:val="auto"/>
        </w:rPr>
      </w:pPr>
    </w:p>
    <w:p>
      <w:pPr>
        <w:ind w:right="180" w:firstLine="360"/>
        <w:spacing w:after="0" w:line="291" w:lineRule="auto"/>
        <w:rPr>
          <w:sz w:val="20"/>
          <w:szCs w:val="20"/>
          <w:color w:val="auto"/>
        </w:rPr>
      </w:pPr>
      <w:r>
        <w:rPr>
          <w:rFonts w:ascii="Arial" w:cs="Arial" w:eastAsia="Arial" w:hAnsi="Arial"/>
          <w:sz w:val="16"/>
          <w:szCs w:val="16"/>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higher than expected losses occurred in 2008 through 2010, which had an adverse effect on our operations, financial condition and cash flows. Should significant increases in losses reoccur, such recurrence might have material adverse effects on our future results of operations, financial condition and cash flows.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If We Are Unable to Obtain Credit Enhancement for Our Securitizations Upon Favorable Terms, Our Results of Operations Would Be Impaired.</w:t>
      </w:r>
    </w:p>
    <w:p>
      <w:pPr>
        <w:spacing w:after="0" w:line="252"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In our securitizations from 1994 through 2008, we utilized credit enhancement in the form of one or more financial guaranty insurance policies issued by financial guaranty insurance companies. Each of these policies unconditionally and irrevocably guaranteed timely interest and ultimate principal payments on the senior classes of the securities issued in those securitizations. These guarantees enabled those securities to achieve the highest credit rating available. This form of credit enhancement reduced the costs of our securitizations relative to alternative forms of credit enhancement available to us at the time. Due to significantly reduced investor demand for securities carrying such a financial guaranty, this form of credit enhancement may not be economical for us in the future. The 23 securitization transactions we executed from 2010 through 2016 did not utilize financial guaranty insurance policies. Prior to the second quarter of 2014, none of the securities issued in those transactions received the highest possible credit rating from any rating agency. As we pursue future securitizations, we may not be able to obtain:</w:t>
      </w:r>
    </w:p>
    <w:p>
      <w:pPr>
        <w:spacing w:after="0" w:line="17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enhancement in any form on terms acceptable to us, or at all;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similar highest available credit ratings for senior classes of securities to be issued in future securitizations.</w:t>
      </w:r>
    </w:p>
    <w:p>
      <w:pPr>
        <w:spacing w:after="0" w:line="21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credit spread between the interest rates payable on our securitization trust debt and the rates payable on risk-free investments has varied. As of the date of this report, it is the consensus of market observers that interest rates on risk-free debt will rise within the next year. If interest rates on risk-free debt do increase, or if our spread above risk-free rates should increase, or both, we would expect increased interest expense, which would adversely affect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Corporation. Many of our competitors and potential competitors possess substantially greater financial, marketing,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6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If Our Dealers Do Not Submit a Sufficient Number of Suitable Automobile Contracts to Us for Purchase, Our Results of Operations May Be Impaired.</w:t>
      </w:r>
    </w:p>
    <w:p>
      <w:pPr>
        <w:spacing w:after="0" w:line="166"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We are dependent upon establishing and maintaining relationships with a large number of unaffiliated automobile dealers to supply us with automobile contracts. During the years ended December 31, 2016 and 2015, no single dealer accounted for more than 0.47% and 0.75%, respectively,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173"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 We maintain an allowance for credit losses on automobile contracts held on our balance sheet, which reflects our estimates of probable credit losses that can be reasonably estimated for securitizations that are accounted for as financings and warehoused automobile contracts. If the allowance is inadequate, then we would recognize the losses in excess of the allowance as an expense and our results of operations could be adversely affected. 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2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generally to observe and perform our responsibilities and other covenants;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bankruptcy events;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11"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Key Personnel, Our Results of Operations May Be Impaired.</w:t>
      </w:r>
    </w:p>
    <w:p>
      <w:pPr>
        <w:spacing w:after="0" w:line="22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Our senior management team averages over 20 years of service with us. Charles E. Bradley, Jr., our President and CEO, has been our President since our formation in 1991.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Regulations, Our Results of Operations May Be Impaired.</w:t>
      </w:r>
    </w:p>
    <w:p>
      <w:pPr>
        <w:spacing w:after="0" w:line="229"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Failure to materially comply with all laws and regulations applicable to us could materially and adversely affect our ability to operate our business. Our business is subject to numerous federal and state consumer protection laws and regulations, which, among other things:</w:t>
      </w:r>
    </w:p>
    <w:p>
      <w:pPr>
        <w:spacing w:after="0" w:line="170"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ind w:firstLine="360"/>
        <w:spacing w:after="0" w:line="270" w:lineRule="auto"/>
        <w:rPr>
          <w:sz w:val="20"/>
          <w:szCs w:val="20"/>
          <w:color w:val="auto"/>
        </w:rPr>
      </w:pPr>
      <w:r>
        <w:rPr>
          <w:rFonts w:ascii="Arial" w:cs="Arial" w:eastAsia="Arial" w:hAnsi="Arial"/>
          <w:sz w:val="17"/>
          <w:szCs w:val="17"/>
          <w:color w:val="auto"/>
        </w:rPr>
        <w:t xml:space="preserve">Our industry is also at times investigated by regulators and offices of state attorneys general, which could lead to enforcement actions, fines and penalties, or the assertion of private claims and law suits against us. The Federal Trade Commission (“FTC”) has the authority to investigate consumer complaints against us, to conduct inquiries at its own instance, and to recommend enforcement actions and seek monetary penalties. The FTC has conducted an inquiry into our practices, and proposed remedial action against us in 2014, to which we consented. </w:t>
      </w:r>
      <w:r>
        <w:rPr>
          <w:rFonts w:ascii="Arial" w:cs="Arial" w:eastAsia="Arial" w:hAnsi="Arial"/>
          <w:sz w:val="17"/>
          <w:szCs w:val="17"/>
          <w:i w:val="1"/>
          <w:iCs w:val="1"/>
          <w:color w:val="auto"/>
        </w:rPr>
        <w:t>See</w:t>
      </w:r>
      <w:r>
        <w:rPr>
          <w:rFonts w:ascii="Arial" w:cs="Arial" w:eastAsia="Arial" w:hAnsi="Arial"/>
          <w:sz w:val="17"/>
          <w:szCs w:val="17"/>
          <w:color w:val="auto"/>
        </w:rPr>
        <w:t xml:space="preserve"> “Legal Proceedings – FTC Action.” The CFPB has adopted regulations that place us and other companies similar to us under its supervision. Our industry is also under investigation by the United States Department of Justice, which is conducting an inquiry that appears to be focused on securitization practices. In that inquiry, we received a subpoena in January 2015, which required that we produce specified documents. We are cooperating with that inquiry. Such inquiry could in the future result in the imposition of damages, fines or civil or criminal claims and/or penalties. No assurance can be given as to the ultimate outcome of the inquiry or any resulting proceeding(s), which might materially and adversely affect us.</w:t>
      </w:r>
    </w:p>
    <w:p>
      <w:pPr>
        <w:spacing w:after="0" w:line="182"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65" w:lineRule="exact"/>
        <w:rPr>
          <w:sz w:val="20"/>
          <w:szCs w:val="20"/>
          <w:color w:val="auto"/>
        </w:rPr>
      </w:pPr>
    </w:p>
    <w:p>
      <w:pPr>
        <w:ind w:right="60" w:firstLine="360"/>
        <w:spacing w:after="0" w:line="308" w:lineRule="auto"/>
        <w:rPr>
          <w:sz w:val="20"/>
          <w:szCs w:val="20"/>
          <w:color w:val="auto"/>
        </w:rPr>
      </w:pPr>
      <w:r>
        <w:rPr>
          <w:rFonts w:ascii="Arial" w:cs="Arial" w:eastAsia="Arial" w:hAnsi="Arial"/>
          <w:sz w:val="17"/>
          <w:szCs w:val="17"/>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4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 and Regulations May Have an Adverse Effect on Our Business.</w:t>
      </w:r>
    </w:p>
    <w:p>
      <w:pPr>
        <w:spacing w:after="0" w:line="229"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Dodd-Frank Wall Street Reform and Consumer Protection Act ("Dodd-Frank"), adopted in 2010, mandates the most wide-ranging overhaul of financial industry regulation in decades. The law provides a regulatory framework and requires that regulators, some of which are new regulatory bodies created by Dodd-Frank, draft, review and approve more than 200 implementing regulations and conduct numerous studies that are likely to lead to still more regulations.</w:t>
      </w:r>
    </w:p>
    <w:p>
      <w:pPr>
        <w:spacing w:after="0" w:line="187"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The Dodd-Frank Act includes risk retention requirements. A rule implementing these requirements became effective in December 2015. That rule generally requires sponsors of asset-backed securities (ABS), such as us, to retain not less than five percent of the credit risk of the assets collateralizing the ABS issuance. The rule also sets forth prohibitions on transferring or hedging the credit risk that the sponsor is required to retain. Our future securitization structures may be adversely affected by the risk retention requirement.</w:t>
      </w:r>
    </w:p>
    <w:p>
      <w:pPr>
        <w:spacing w:after="0" w:line="18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Compliance with these new laws and regulations may be or likely will be costly and can affect operating results. Compliance requires forms, processes, procedures, controls and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88"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Federal Trade Commission, the Consumer Financial Protection Bureau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19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66"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Negative publicity associated with litigation, governmental investigations, regulatory actions, and other public statements could damage our reputation.</w:t>
      </w:r>
    </w:p>
    <w:p>
      <w:pPr>
        <w:spacing w:after="0" w:line="166"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We are dependent on our receivables originations, accounting and collection systems to service our portfolio of automobile contracts. Such systems are vulnerable to damage or interruption from natural disasters, power loss, telecommunication failures, terrorist 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Despite any precautions we may take, such problems could result in interruptions in our services,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breach in the security of our systems could result in the disclosure of confidential information or subject us to liability</w:t>
      </w:r>
    </w:p>
    <w:p>
      <w:pPr>
        <w:spacing w:after="0" w:line="22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2" w:name="page23"/>
    <w:bookmarkEnd w:id="22"/>
    <w:p>
      <w:pPr>
        <w:ind w:right="20" w:firstLine="360"/>
        <w:spacing w:after="0" w:line="259" w:lineRule="auto"/>
        <w:rPr>
          <w:sz w:val="20"/>
          <w:szCs w:val="20"/>
          <w:color w:val="auto"/>
        </w:rPr>
      </w:pPr>
      <w:r>
        <w:rPr>
          <w:rFonts w:ascii="Arial" w:cs="Arial" w:eastAsia="Arial" w:hAnsi="Arial"/>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Such persons may also attempt to fraudulently induce employees or other users of our systems to disclose sensitive information in order to gain access to our data or that of our customers.</w:t>
      </w:r>
    </w:p>
    <w:p>
      <w:pPr>
        <w:spacing w:after="0" w:line="170"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These risks may increase in the future as we continue to increase our mobile-payment and other internet-based product offerings and expands our use of web-based products and applications.</w:t>
      </w:r>
    </w:p>
    <w:p>
      <w:pPr>
        <w:spacing w:after="0" w:line="170"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exposure and harm to our reputation, any or all of which could have a material adverse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Substantial Indebtedness.</w:t>
      </w:r>
    </w:p>
    <w:p>
      <w:pPr>
        <w:spacing w:after="0" w:line="22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currently have and will continue to have a substantial amount of indebtedness. At December 31, 2016, we had approximately $2,199.2 million of debt outstanding. Such debt consisted primarily of $2,080.9 million of securitization trust debt, $103.4 million of warehouse lines of credit and $14.9 million in subordinated renewable notes. We are also currently offering the subordinated renewable notes to the public on a continuous basis, and such notes have maturities that range from three months to 10 years.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payments on our indebtedness, thereby reducing amounts available for working capital, capital expenditures and other general corporate purposes;</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1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66"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4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incurring or guaranteeing additional indebtedness;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capital expenditures in excess of agreed upon amounts;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paying dividends or other distributions to our shareholders or redeeming, repurchasing or retiring our capital stock or subordinated obligations;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investments;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or permitting liens on our assets or the assets of our subsidiaries;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issuing or selling capital stock of our subsidiaries;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transferring or selling our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mergers or consolidations;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permitting a change of control of our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liquidating, winding up or dissolving our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our name or the nature of our business, or the names or nature of the business of our subsidiaries;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transactions with our affiliates outside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ind w:right="40" w:firstLine="360"/>
        <w:spacing w:after="0" w:line="272" w:lineRule="auto"/>
        <w:rPr>
          <w:sz w:val="20"/>
          <w:szCs w:val="20"/>
          <w:color w:val="auto"/>
        </w:rPr>
      </w:pPr>
      <w:r>
        <w:rPr>
          <w:rFonts w:ascii="Arial" w:cs="Arial" w:eastAsia="Arial" w:hAnsi="Arial"/>
          <w:sz w:val="17"/>
          <w:szCs w:val="17"/>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178" w:lineRule="exact"/>
        <w:rPr>
          <w:sz w:val="20"/>
          <w:szCs w:val="20"/>
          <w:color w:val="auto"/>
        </w:rPr>
      </w:pPr>
    </w:p>
    <w:p>
      <w:pPr>
        <w:jc w:val="both"/>
        <w:ind w:right="220" w:firstLine="360"/>
        <w:spacing w:after="0" w:line="286" w:lineRule="auto"/>
        <w:rPr>
          <w:sz w:val="20"/>
          <w:szCs w:val="20"/>
          <w:color w:val="auto"/>
        </w:rPr>
      </w:pPr>
      <w:r>
        <w:rPr>
          <w:rFonts w:ascii="Arial" w:cs="Arial" w:eastAsia="Arial" w:hAnsi="Arial"/>
          <w:sz w:val="16"/>
          <w:szCs w:val="16"/>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These restrictions may limit our ability to receive distributions in respect of the residual interests from our securitization facilities, which may limit our ability to generate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Texas, Ohio, Georgia, Florida and Pennsylvania,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Impaired as a Result of Natural Disasters.</w:t>
      </w:r>
    </w:p>
    <w:p>
      <w:pPr>
        <w:spacing w:after="0" w:line="229"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Our automobile contracts are geographically concentrated in the states of California and Texas. Such states may be particularly susceptible to natural disasters: earthquake in the case of California, and hurricanes and flooding in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an Increase in Interest Rates Results in a Decrease in Our Cash Flows from Excess Spread, Our Results of Operations May Be Impaired.</w:t>
      </w:r>
    </w:p>
    <w:p>
      <w:pPr>
        <w:spacing w:after="0" w:line="241"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Thinly-Traded.</w:t>
      </w:r>
    </w:p>
    <w:p>
      <w:pPr>
        <w:spacing w:after="0" w:line="22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2016, our directors and executive officers collectively owned 4,891,832 shares of our common stock, or approximately 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w:t>
      </w:r>
    </w:p>
    <w:p>
      <w:pPr>
        <w:spacing w:after="0" w:line="229"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and do not expect to pay any dividends in the foreseeable future. See "Dividend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performance of our automobile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of losses incurred on contracts in our managed portfolio;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decisions by courts or regulators</w:t>
      </w:r>
    </w:p>
    <w:p>
      <w:pPr>
        <w:spacing w:after="0" w:line="21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Our principal executive offices are located in Las Vegas, Nevada. Our operating headquarters are located in Irvine, California, where we currently lease approximately 129,000 square feet of general office space from an unaffiliated lessor. The annual base rent is approximately $3.8 million, increasing to approximately $4.5 million through 2022.</w:t>
      </w:r>
    </w:p>
    <w:p>
      <w:pPr>
        <w:spacing w:after="0" w:line="181" w:lineRule="exact"/>
        <w:rPr>
          <w:sz w:val="20"/>
          <w:szCs w:val="20"/>
          <w:color w:val="auto"/>
        </w:rPr>
      </w:pPr>
    </w:p>
    <w:p>
      <w:pPr>
        <w:ind w:right="60" w:firstLine="360"/>
        <w:spacing w:after="0" w:line="308" w:lineRule="auto"/>
        <w:rPr>
          <w:sz w:val="20"/>
          <w:szCs w:val="20"/>
          <w:color w:val="auto"/>
        </w:rPr>
      </w:pPr>
      <w:r>
        <w:rPr>
          <w:rFonts w:ascii="Arial" w:cs="Arial" w:eastAsia="Arial" w:hAnsi="Arial"/>
          <w:sz w:val="17"/>
          <w:szCs w:val="17"/>
          <w:color w:val="auto"/>
        </w:rPr>
        <w:t>In March 1997, we established a branch collection facility in Chesapeake, Virginia. We lease approximately 16,500 square feet of general office space in Chesapeake, Virginia, at a base rent that is approximately $315,000 per year, increasing to approximately $325,000 through 2018.</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ind w:right="280" w:firstLine="360"/>
        <w:spacing w:after="0" w:line="264" w:lineRule="auto"/>
        <w:rPr>
          <w:sz w:val="20"/>
          <w:szCs w:val="20"/>
          <w:color w:val="auto"/>
        </w:rPr>
      </w:pPr>
      <w:r>
        <w:rPr>
          <w:rFonts w:ascii="Arial" w:cs="Arial" w:eastAsia="Arial" w:hAnsi="Arial"/>
          <w:sz w:val="18"/>
          <w:szCs w:val="18"/>
          <w:color w:val="auto"/>
        </w:rPr>
        <w:t>The remaining three regional servicing centers occupy a total of approximately 68,000 square feet of leased space in Las Vegas, Nevada; Maitland, Florida; and Lombard, Illinois. The termination dates of such leases range from 2018 to 2019. The annual base rent for these facilities total approximately $1.4 million increasing to approximately $1.6 million through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As of December 31, 2016, we were subject to one such class action, which had been settled by agreement with the plaintiffs. Subsequent to year-end, we made the payments and performed our other obligations under the settlement, and the matter is not a contingency as of the date of this report.</w:t>
      </w:r>
    </w:p>
    <w:p>
      <w:pPr>
        <w:spacing w:after="0" w:line="14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i w:val="1"/>
          <w:iCs w:val="1"/>
          <w:color w:val="auto"/>
        </w:rPr>
        <w:t>FTC Action</w:t>
      </w:r>
      <w:r>
        <w:rPr>
          <w:rFonts w:ascii="Arial" w:cs="Arial" w:eastAsia="Arial" w:hAnsi="Arial"/>
          <w:sz w:val="17"/>
          <w:szCs w:val="17"/>
          <w:color w:val="auto"/>
        </w:rPr>
        <w:t>. In May 2014, we consented to the FTC’s filing of a lawsuit against us, and to the simultaneous settlement of that lawsuit pursuant to a</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decree. The agreed judgment, entered June 11, 2014, required that we make restitutionary payments to certain of its our customers, that we pay a $2 million penalty to the U.S. government, and that we implement procedural changes relating to compliance with fair debt collection practices and credit reporting. We have retained an independent third party to monitor our compliance with the judgment, and we must file certain periodic reports with the FTC. The payments to past and present customers have been completed and paid, partially in cash and partially in the form of credits against amounts owed. The total of such customer payments, cash and credit, was approximately $3.5 million, all of which have been paid.</w:t>
      </w:r>
    </w:p>
    <w:p>
      <w:pPr>
        <w:spacing w:after="0" w:line="178"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i w:val="1"/>
          <w:iCs w:val="1"/>
          <w:color w:val="auto"/>
        </w:rPr>
        <w:t xml:space="preserve">Department of Justice Subpoena. </w:t>
      </w:r>
      <w:r>
        <w:rPr>
          <w:rFonts w:ascii="Arial" w:cs="Arial" w:eastAsia="Arial" w:hAnsi="Arial"/>
          <w:sz w:val="16"/>
          <w:szCs w:val="16"/>
          <w:color w:val="auto"/>
        </w:rPr>
        <w:t>In January 2015, we were served with a subpoena by the U.S. Department of Justice directing us to produce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We are among several other securitizers of sub-prime automobile receivables who received such subpoenas in 2014 and 2015. Among other matters, the subpoena requested information relating to the underwriting criteria used to originate these automobile contracts and the representations and warranties relating to those underwriting criteria that were made in connection with the securitization of the automobile contracts. We have produced documents in response to the subpoena, and we are unaware of any subsequent material developments in the government’s investigation. The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67"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i w:val="1"/>
          <w:iCs w:val="1"/>
          <w:color w:val="auto"/>
        </w:rPr>
        <w:t>In General</w:t>
      </w:r>
      <w:r>
        <w:rPr>
          <w:rFonts w:ascii="Arial" w:cs="Arial" w:eastAsia="Arial" w:hAnsi="Arial"/>
          <w:sz w:val="17"/>
          <w:szCs w:val="17"/>
          <w:color w:val="auto"/>
        </w:rPr>
        <w:t>. There can be no assurance as to the outcomes of the matters referenced above. We have recorded a liability as of December 31, 2016,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December 31, 2016, and in excess of the liability we have recorded, does not exceed $1 million.</w:t>
      </w:r>
    </w:p>
    <w:p>
      <w:pPr>
        <w:spacing w:after="0" w:line="173"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jc w:val="both"/>
        <w:ind w:right="640" w:firstLine="360"/>
        <w:spacing w:after="0" w:line="288" w:lineRule="auto"/>
        <w:rPr>
          <w:sz w:val="20"/>
          <w:szCs w:val="20"/>
          <w:color w:val="auto"/>
        </w:rPr>
      </w:pPr>
      <w:r>
        <w:rPr>
          <w:rFonts w:ascii="Arial" w:cs="Arial" w:eastAsia="Arial" w:hAnsi="Arial"/>
          <w:sz w:val="16"/>
          <w:szCs w:val="16"/>
          <w:i w:val="1"/>
          <w:iCs w:val="1"/>
          <w:color w:val="auto"/>
        </w:rPr>
        <w:t>Charles E. Bradley, Jr</w:t>
      </w:r>
      <w:r>
        <w:rPr>
          <w:rFonts w:ascii="Arial" w:cs="Arial" w:eastAsia="Arial" w:hAnsi="Arial"/>
          <w:sz w:val="16"/>
          <w:szCs w:val="16"/>
          <w:color w:val="auto"/>
        </w:rPr>
        <w:t>., 57, has been our President and a director since our formation in March 1991, and was elected Chairman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in July 2001. In January 1992, Mr. Bradley was appointed Chief Executive Officer. From April 1989 to November 1990, he served as Chief Operating Officer of Barnard and Company, a private investment firm. From September 1987 to March 1989, Mr. Bradley, Jr. was an associate of</w:t>
      </w:r>
    </w:p>
    <w:p>
      <w:pPr>
        <w:jc w:val="center"/>
        <w:spacing w:after="0"/>
        <w:rPr>
          <w:sz w:val="20"/>
          <w:szCs w:val="20"/>
          <w:color w:val="auto"/>
        </w:rPr>
      </w:pPr>
      <w:r>
        <w:rPr>
          <w:rFonts w:ascii="Arial" w:cs="Arial" w:eastAsia="Arial" w:hAnsi="Arial"/>
          <w:sz w:val="16"/>
          <w:szCs w:val="16"/>
          <w:color w:val="auto"/>
        </w:rPr>
        <w:t>The Harding Group, a private investment banking firm. Mr. Bradley does not currently serve on the board of directors of any other publicly-traded companies.</w:t>
      </w:r>
    </w:p>
    <w:p>
      <w:pPr>
        <w:spacing w:after="0" w:line="23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i w:val="1"/>
          <w:iCs w:val="1"/>
          <w:color w:val="auto"/>
        </w:rPr>
        <w:t xml:space="preserve">Jeffrey P. Fritz, </w:t>
      </w:r>
      <w:r>
        <w:rPr>
          <w:rFonts w:ascii="Arial" w:cs="Arial" w:eastAsia="Arial" w:hAnsi="Arial"/>
          <w:sz w:val="18"/>
          <w:szCs w:val="18"/>
          <w:color w:val="auto"/>
        </w:rPr>
        <w:t>57</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Executive Vice President and Chief Financial Officer since March 2014. Prior to that, he was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since April 2006. He was Senior Vice President of Accounting from August 2004 through March 2006 and served as a consultant to us from May 2004 to August 2004. He also served as our Chief Financial Officer from our inception through May 1999. He is a licensed Certified Public Accountant and has previously practiced public accounting.</w:t>
      </w:r>
    </w:p>
    <w:p>
      <w:pPr>
        <w:spacing w:after="0" w:line="187"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i w:val="1"/>
          <w:iCs w:val="1"/>
          <w:color w:val="auto"/>
        </w:rPr>
        <w:t xml:space="preserve">Michael T. Lavin, </w:t>
      </w:r>
      <w:r>
        <w:rPr>
          <w:rFonts w:ascii="Arial" w:cs="Arial" w:eastAsia="Arial" w:hAnsi="Arial"/>
          <w:sz w:val="17"/>
          <w:szCs w:val="17"/>
          <w:color w:val="auto"/>
        </w:rPr>
        <w:t>44, has been Executive Vice President - Chief Legal Officer since March 2014. Prior to that, he was our Senior Vice President –</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Counsel since March 2013, Senior Vice President and Corporate Counsel since May 2009 and our Vice President- Legal since joining the Company in November of 2001. Mr. Lavin was previously engaged as a law clerk and an associate with the San Diego based large law firm (now defunct) of Edwards, Sooy &amp; Byron from 1996 through 2000 and then as an associate with the Orange County based firm of Trachtman &amp; Trachtman from 2000 through 2001. Mr. Lavin also clerked for the San Diego District Attorney’s office and Orange County Public Defender’s office.</w:t>
      </w:r>
    </w:p>
    <w:p>
      <w:pPr>
        <w:spacing w:after="0" w:line="17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 xml:space="preserve">Curtis K. Powell, </w:t>
      </w:r>
      <w:r>
        <w:rPr>
          <w:rFonts w:ascii="Arial" w:cs="Arial" w:eastAsia="Arial" w:hAnsi="Arial"/>
          <w:sz w:val="18"/>
          <w:szCs w:val="18"/>
          <w:color w:val="auto"/>
        </w:rPr>
        <w:t>60, has been Senior Vice President – Project Development since May 2010. Previously he was our Senior Vice President –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March 2007 to May 2010. Prior to that, he was our Senior Vice President of Originations from June 2001 to March 2007. Prior to that, he was our Senior Vice President – Marketing, from April 1995 to June 2001. He joined us in January 1993 as an independent marketing representative until being appointed Regional Vice President of Marketing for Southern California in November 1994. From June 1985 through January 1993, Mr. Powell was in the retail automobile sales and leasing business.</w:t>
      </w:r>
    </w:p>
    <w:p>
      <w:pPr>
        <w:spacing w:after="0" w:line="188"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i w:val="1"/>
          <w:iCs w:val="1"/>
          <w:color w:val="auto"/>
        </w:rPr>
        <w:t xml:space="preserve">Mark A. Creatura, </w:t>
      </w:r>
      <w:r>
        <w:rPr>
          <w:rFonts w:ascii="Arial" w:cs="Arial" w:eastAsia="Arial" w:hAnsi="Arial"/>
          <w:sz w:val="16"/>
          <w:szCs w:val="16"/>
          <w:color w:val="auto"/>
        </w:rPr>
        <w:t>57, has been Senior Vice President – General Counsel since October 1996. From October 1993 through October 1996, he was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General Counsel at Urethane Technologies, Inc., a polyurethane chemicals formulator. Mr. Creatura was previously engaged in the private practice of law with the Los Angeles law firm of Troy &amp; Gould Professional Corporation, from October 1985 through October 1993.</w:t>
      </w:r>
    </w:p>
    <w:p>
      <w:pPr>
        <w:spacing w:after="0" w:line="14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i w:val="1"/>
          <w:iCs w:val="1"/>
          <w:color w:val="auto"/>
        </w:rPr>
        <w:t xml:space="preserve">Christopher Terry, </w:t>
      </w:r>
      <w:r>
        <w:rPr>
          <w:rFonts w:ascii="Arial" w:cs="Arial" w:eastAsia="Arial" w:hAnsi="Arial"/>
          <w:sz w:val="18"/>
          <w:szCs w:val="18"/>
          <w:color w:val="auto"/>
        </w:rPr>
        <w:t>49, has been Senior Vice President – Asset Recovery since August 2013. Prior to that was our Senior Vice President of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May 2005, and prior to that was Senior Vice President - Asset Recovery since January 2003.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87" w:lineRule="exact"/>
        <w:rPr>
          <w:sz w:val="20"/>
          <w:szCs w:val="20"/>
          <w:color w:val="auto"/>
        </w:rPr>
      </w:pPr>
    </w:p>
    <w:p>
      <w:pPr>
        <w:ind w:right="620" w:firstLine="360"/>
        <w:spacing w:after="0" w:line="264" w:lineRule="auto"/>
        <w:rPr>
          <w:sz w:val="20"/>
          <w:szCs w:val="20"/>
          <w:color w:val="auto"/>
        </w:rPr>
      </w:pPr>
      <w:r>
        <w:rPr>
          <w:rFonts w:ascii="Arial" w:cs="Arial" w:eastAsia="Arial" w:hAnsi="Arial"/>
          <w:sz w:val="18"/>
          <w:szCs w:val="18"/>
          <w:i w:val="1"/>
          <w:iCs w:val="1"/>
          <w:color w:val="auto"/>
        </w:rPr>
        <w:t xml:space="preserve">Teri L. Robinson, </w:t>
      </w:r>
      <w:r>
        <w:rPr>
          <w:rFonts w:ascii="Arial" w:cs="Arial" w:eastAsia="Arial" w:hAnsi="Arial"/>
          <w:sz w:val="18"/>
          <w:szCs w:val="18"/>
          <w:color w:val="auto"/>
        </w:rPr>
        <w:t>54, has been Senior Vice President of Originations since April 2007. Prior to that, she held the position of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Originations since August 1998. She joined the Company in June 1991 as an Operations Specialist, and held a series of successively more responsible positions. Previously, Ms. Robinson held an administrative position at Greco &amp; Associates.</w:t>
      </w:r>
    </w:p>
    <w:p>
      <w:pPr>
        <w:spacing w:after="0" w:line="18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i w:val="1"/>
          <w:iCs w:val="1"/>
          <w:color w:val="auto"/>
        </w:rPr>
        <w:t xml:space="preserve">Laurie A. Straten, </w:t>
      </w:r>
      <w:r>
        <w:rPr>
          <w:rFonts w:ascii="Arial" w:cs="Arial" w:eastAsia="Arial" w:hAnsi="Arial"/>
          <w:sz w:val="18"/>
          <w:szCs w:val="18"/>
          <w:color w:val="auto"/>
        </w:rPr>
        <w:t>50</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Servicing since August 2013. Prior to that, she was our Senior Vice President of Asset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April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w:t>
      </w:r>
    </w:p>
    <w:p>
      <w:pPr>
        <w:spacing w:after="0" w:line="18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i w:val="1"/>
          <w:iCs w:val="1"/>
          <w:color w:val="auto"/>
        </w:rPr>
        <w:t xml:space="preserve">Richard B. Haskell, </w:t>
      </w:r>
      <w:r>
        <w:rPr>
          <w:rFonts w:ascii="Arial" w:cs="Arial" w:eastAsia="Arial" w:hAnsi="Arial"/>
          <w:sz w:val="18"/>
          <w:szCs w:val="18"/>
          <w:color w:val="auto"/>
        </w:rPr>
        <w:t>50</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Systems and Risk Management since April 2013. Prior to that, he held the positions of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Systems and Risk Management since January 2007, and Vice President of Risk Management since January 2005. He joined the Company in March 1994 as a data entry clerk in the Originations Department and held a series of successively more responsible positions. Previously, Mr. Haskell held a position as loan officer at Trust One Mortgage.</w:t>
      </w:r>
    </w:p>
    <w:p>
      <w:pPr>
        <w:spacing w:after="0" w:line="187"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i w:val="1"/>
          <w:iCs w:val="1"/>
          <w:color w:val="auto"/>
        </w:rPr>
        <w:t>John P. Harton</w:t>
      </w:r>
      <w:r>
        <w:rPr>
          <w:rFonts w:ascii="Arial" w:cs="Arial" w:eastAsia="Arial" w:hAnsi="Arial"/>
          <w:sz w:val="17"/>
          <w:szCs w:val="17"/>
          <w:color w:val="auto"/>
        </w:rPr>
        <w:t>, 52, has been Senior Vice President - Marketing since March 2014. Prior to that, he held the position of Vice President – Marketing since</w:t>
      </w:r>
      <w:r>
        <w:rPr>
          <w:rFonts w:ascii="Arial" w:cs="Arial" w:eastAsia="Arial" w:hAnsi="Arial"/>
          <w:sz w:val="17"/>
          <w:szCs w:val="17"/>
          <w:i w:val="1"/>
          <w:iCs w:val="1"/>
          <w:color w:val="auto"/>
        </w:rPr>
        <w:t xml:space="preserve"> </w:t>
      </w:r>
      <w:r>
        <w:rPr>
          <w:rFonts w:ascii="Arial" w:cs="Arial" w:eastAsia="Arial" w:hAnsi="Arial"/>
          <w:sz w:val="17"/>
          <w:szCs w:val="17"/>
          <w:color w:val="auto"/>
        </w:rPr>
        <w:t>April 2010. He joined the Company in April 1996 as a loan officer, held a series of successively more responsible positions, and was promoted to Vice President - Originations in June 2007. Mr. Harton was previously a branch manager with American General Finance from 1990 to March 1996.</w:t>
      </w:r>
    </w:p>
    <w:p>
      <w:pPr>
        <w:spacing w:after="0" w:line="166"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i w:val="1"/>
          <w:iCs w:val="1"/>
          <w:color w:val="auto"/>
        </w:rPr>
        <w:t>Danny Bharwani</w:t>
      </w:r>
      <w:r>
        <w:rPr>
          <w:rFonts w:ascii="Arial" w:cs="Arial" w:eastAsia="Arial" w:hAnsi="Arial"/>
          <w:sz w:val="18"/>
          <w:szCs w:val="18"/>
          <w:color w:val="auto"/>
        </w:rPr>
        <w:t>, 49, has been Senior Vice President – Finance since April 2016. Previously, he was our Vice President – Finance from June 2002. He</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as Assistant Controller in August 1997. Mr. Bharwani was previously employed as Assistant Controller at The Todd-AO Corporation, from 1989 to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Company’s Common Stock is traded on the Nasdaq Global Market, under the symbol "CPSS." The following table sets forth the high and low sale prices as reported by Nasdaq for our Common Stock for the periods shown.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Low</w:t>
            </w:r>
          </w:p>
        </w:tc>
      </w:tr>
      <w:tr>
        <w:trPr>
          <w:trHeight w:val="210"/>
        </w:trPr>
        <w:tc>
          <w:tcPr>
            <w:tcW w:w="5960" w:type="dxa"/>
            <w:vAlign w:val="bottom"/>
            <w:tcBorders>
              <w:top w:val="single" w:sz="8" w:color="EEEEEE"/>
            </w:tcBorders>
            <w:shd w:val="clear" w:color="auto" w:fill="EEEEEE"/>
          </w:tcPr>
          <w:p>
            <w:pPr>
              <w:ind w:left="1040"/>
              <w:spacing w:after="0"/>
              <w:rPr>
                <w:sz w:val="20"/>
                <w:szCs w:val="20"/>
                <w:color w:val="auto"/>
              </w:rPr>
            </w:pPr>
            <w:r>
              <w:rPr>
                <w:rFonts w:ascii="Arial" w:cs="Arial" w:eastAsia="Arial" w:hAnsi="Arial"/>
                <w:sz w:val="18"/>
                <w:szCs w:val="18"/>
                <w:color w:val="auto"/>
              </w:rPr>
              <w:t>January 1 - March 31, 2015</w:t>
            </w:r>
          </w:p>
        </w:tc>
        <w:tc>
          <w:tcPr>
            <w:tcW w:w="26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90"/>
              <w:spacing w:after="0"/>
              <w:rPr>
                <w:sz w:val="20"/>
                <w:szCs w:val="20"/>
                <w:color w:val="auto"/>
              </w:rPr>
            </w:pPr>
            <w:r>
              <w:rPr>
                <w:rFonts w:ascii="Arial" w:cs="Arial" w:eastAsia="Arial" w:hAnsi="Arial"/>
                <w:sz w:val="10"/>
                <w:szCs w:val="10"/>
                <w:color w:val="FFFFFF"/>
                <w:w w:val="70"/>
              </w:rPr>
              <w:t>.</w:t>
            </w:r>
          </w:p>
        </w:tc>
        <w:tc>
          <w:tcPr>
            <w:tcW w:w="1100" w:type="dxa"/>
            <w:vAlign w:val="bottom"/>
            <w:tcBorders>
              <w:top w:val="single" w:sz="8" w:color="auto"/>
            </w:tcBorders>
            <w:shd w:val="clear" w:color="auto" w:fill="EEEEEE"/>
          </w:tcPr>
          <w:p>
            <w:pPr>
              <w:jc w:val="right"/>
              <w:ind w:right="370"/>
              <w:spacing w:after="0"/>
              <w:rPr>
                <w:sz w:val="20"/>
                <w:szCs w:val="20"/>
                <w:color w:val="auto"/>
              </w:rPr>
            </w:pPr>
            <w:r>
              <w:rPr>
                <w:rFonts w:ascii="Arial" w:cs="Arial" w:eastAsia="Arial" w:hAnsi="Arial"/>
                <w:sz w:val="18"/>
                <w:szCs w:val="18"/>
                <w:color w:val="auto"/>
              </w:rPr>
              <w:t>7.60</w:t>
            </w:r>
          </w:p>
        </w:tc>
        <w:tc>
          <w:tcPr>
            <w:tcW w:w="10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ind w:right="370"/>
              <w:spacing w:after="0"/>
              <w:rPr>
                <w:sz w:val="20"/>
                <w:szCs w:val="20"/>
                <w:color w:val="auto"/>
              </w:rPr>
            </w:pPr>
            <w:r>
              <w:rPr>
                <w:rFonts w:ascii="Arial" w:cs="Arial" w:eastAsia="Arial" w:hAnsi="Arial"/>
                <w:sz w:val="18"/>
                <w:szCs w:val="18"/>
                <w:color w:val="auto"/>
              </w:rPr>
              <w:t>5.29</w:t>
            </w:r>
          </w:p>
        </w:tc>
      </w:tr>
      <w:tr>
        <w:trPr>
          <w:trHeight w:val="216"/>
        </w:trPr>
        <w:tc>
          <w:tcPr>
            <w:tcW w:w="5960" w:type="dxa"/>
            <w:vAlign w:val="bottom"/>
          </w:tcPr>
          <w:p>
            <w:pPr>
              <w:ind w:left="1040"/>
              <w:spacing w:after="0"/>
              <w:rPr>
                <w:sz w:val="20"/>
                <w:szCs w:val="20"/>
                <w:color w:val="auto"/>
              </w:rPr>
            </w:pPr>
            <w:r>
              <w:rPr>
                <w:rFonts w:ascii="Arial" w:cs="Arial" w:eastAsia="Arial" w:hAnsi="Arial"/>
                <w:sz w:val="18"/>
                <w:szCs w:val="18"/>
                <w:color w:val="auto"/>
              </w:rPr>
              <w:t>April 1 - June 30, 2015</w:t>
            </w: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FFFFFF"/>
              </w:rPr>
              <w:t>.</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5.75</w:t>
            </w:r>
          </w:p>
        </w:tc>
      </w:tr>
      <w:tr>
        <w:trPr>
          <w:trHeight w:val="216"/>
        </w:trPr>
        <w:tc>
          <w:tcPr>
            <w:tcW w:w="5960" w:type="dxa"/>
            <w:vAlign w:val="bottom"/>
            <w:shd w:val="clear" w:color="auto" w:fill="EEEEEE"/>
          </w:tcPr>
          <w:p>
            <w:pPr>
              <w:ind w:left="1040"/>
              <w:spacing w:after="0"/>
              <w:rPr>
                <w:sz w:val="20"/>
                <w:szCs w:val="20"/>
                <w:color w:val="auto"/>
              </w:rPr>
            </w:pPr>
            <w:r>
              <w:rPr>
                <w:rFonts w:ascii="Arial" w:cs="Arial" w:eastAsia="Arial" w:hAnsi="Arial"/>
                <w:sz w:val="18"/>
                <w:szCs w:val="18"/>
                <w:color w:val="auto"/>
              </w:rPr>
              <w:t>July 1 - September 30, 2015</w:t>
            </w:r>
          </w:p>
        </w:tc>
        <w:tc>
          <w:tcPr>
            <w:tcW w:w="290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FFFFFF"/>
              </w:rPr>
              <w:t>.</w:t>
            </w:r>
          </w:p>
        </w:tc>
        <w:tc>
          <w:tcPr>
            <w:tcW w:w="110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4.87</w:t>
            </w:r>
          </w:p>
        </w:tc>
      </w:tr>
      <w:tr>
        <w:trPr>
          <w:trHeight w:val="216"/>
        </w:trPr>
        <w:tc>
          <w:tcPr>
            <w:tcW w:w="5960" w:type="dxa"/>
            <w:vAlign w:val="bottom"/>
          </w:tcPr>
          <w:p>
            <w:pPr>
              <w:ind w:left="1040"/>
              <w:spacing w:after="0"/>
              <w:rPr>
                <w:sz w:val="20"/>
                <w:szCs w:val="20"/>
                <w:color w:val="auto"/>
              </w:rPr>
            </w:pPr>
            <w:r>
              <w:rPr>
                <w:rFonts w:ascii="Arial" w:cs="Arial" w:eastAsia="Arial" w:hAnsi="Arial"/>
                <w:sz w:val="18"/>
                <w:szCs w:val="18"/>
                <w:color w:val="auto"/>
              </w:rPr>
              <w:t>October 1 - December 31, 2015</w:t>
            </w: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FFFFFF"/>
              </w:rPr>
              <w:t>.</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4.49</w:t>
            </w:r>
          </w:p>
        </w:tc>
      </w:tr>
      <w:tr>
        <w:trPr>
          <w:trHeight w:val="216"/>
        </w:trPr>
        <w:tc>
          <w:tcPr>
            <w:tcW w:w="5960" w:type="dxa"/>
            <w:vAlign w:val="bottom"/>
            <w:shd w:val="clear" w:color="auto" w:fill="EEEEEE"/>
          </w:tcPr>
          <w:p>
            <w:pPr>
              <w:ind w:left="1040"/>
              <w:spacing w:after="0"/>
              <w:rPr>
                <w:sz w:val="20"/>
                <w:szCs w:val="20"/>
                <w:color w:val="auto"/>
              </w:rPr>
            </w:pPr>
            <w:r>
              <w:rPr>
                <w:rFonts w:ascii="Arial" w:cs="Arial" w:eastAsia="Arial" w:hAnsi="Arial"/>
                <w:sz w:val="18"/>
                <w:szCs w:val="18"/>
                <w:color w:val="auto"/>
              </w:rPr>
              <w:t>January 1 - March 31, 2016</w:t>
            </w:r>
          </w:p>
        </w:tc>
        <w:tc>
          <w:tcPr>
            <w:tcW w:w="290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FFFFFF"/>
              </w:rPr>
              <w:t>.</w:t>
            </w:r>
          </w:p>
        </w:tc>
        <w:tc>
          <w:tcPr>
            <w:tcW w:w="110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3.64</w:t>
            </w:r>
          </w:p>
        </w:tc>
      </w:tr>
      <w:tr>
        <w:trPr>
          <w:trHeight w:val="216"/>
        </w:trPr>
        <w:tc>
          <w:tcPr>
            <w:tcW w:w="5960" w:type="dxa"/>
            <w:vAlign w:val="bottom"/>
          </w:tcPr>
          <w:p>
            <w:pPr>
              <w:ind w:left="1040"/>
              <w:spacing w:after="0"/>
              <w:rPr>
                <w:sz w:val="20"/>
                <w:szCs w:val="20"/>
                <w:color w:val="auto"/>
              </w:rPr>
            </w:pPr>
            <w:r>
              <w:rPr>
                <w:rFonts w:ascii="Arial" w:cs="Arial" w:eastAsia="Arial" w:hAnsi="Arial"/>
                <w:sz w:val="18"/>
                <w:szCs w:val="18"/>
                <w:color w:val="auto"/>
              </w:rPr>
              <w:t>April 1 - June 30, 2016</w:t>
            </w: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FFFFFF"/>
              </w:rPr>
              <w:t>.</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3.31</w:t>
            </w:r>
          </w:p>
        </w:tc>
      </w:tr>
      <w:tr>
        <w:trPr>
          <w:trHeight w:val="216"/>
        </w:trPr>
        <w:tc>
          <w:tcPr>
            <w:tcW w:w="5960" w:type="dxa"/>
            <w:vAlign w:val="bottom"/>
            <w:shd w:val="clear" w:color="auto" w:fill="EEEEEE"/>
          </w:tcPr>
          <w:p>
            <w:pPr>
              <w:ind w:left="1040"/>
              <w:spacing w:after="0"/>
              <w:rPr>
                <w:sz w:val="20"/>
                <w:szCs w:val="20"/>
                <w:color w:val="auto"/>
              </w:rPr>
            </w:pPr>
            <w:r>
              <w:rPr>
                <w:rFonts w:ascii="Arial" w:cs="Arial" w:eastAsia="Arial" w:hAnsi="Arial"/>
                <w:sz w:val="18"/>
                <w:szCs w:val="18"/>
                <w:color w:val="auto"/>
              </w:rPr>
              <w:t>July 1 - September 30, 2016</w:t>
            </w:r>
          </w:p>
        </w:tc>
        <w:tc>
          <w:tcPr>
            <w:tcW w:w="290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FFFFFF"/>
              </w:rPr>
              <w:t>.</w:t>
            </w:r>
          </w:p>
        </w:tc>
        <w:tc>
          <w:tcPr>
            <w:tcW w:w="110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3.58</w:t>
            </w:r>
          </w:p>
        </w:tc>
      </w:tr>
      <w:tr>
        <w:trPr>
          <w:trHeight w:val="230"/>
        </w:trPr>
        <w:tc>
          <w:tcPr>
            <w:tcW w:w="5960" w:type="dxa"/>
            <w:vAlign w:val="bottom"/>
          </w:tcPr>
          <w:p>
            <w:pPr>
              <w:ind w:left="1040"/>
              <w:spacing w:after="0"/>
              <w:rPr>
                <w:sz w:val="20"/>
                <w:szCs w:val="20"/>
                <w:color w:val="auto"/>
              </w:rPr>
            </w:pPr>
            <w:r>
              <w:rPr>
                <w:rFonts w:ascii="Arial" w:cs="Arial" w:eastAsia="Arial" w:hAnsi="Arial"/>
                <w:sz w:val="18"/>
                <w:szCs w:val="18"/>
                <w:color w:val="auto"/>
              </w:rPr>
              <w:t>October 1 - December 31, 2016</w:t>
            </w: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FFFFFF"/>
              </w:rPr>
              <w:t>.</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-1252220</wp:posOffset>
            </wp:positionV>
            <wp:extent cx="660400" cy="1243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0400" cy="1243330"/>
                    </a:xfrm>
                    <a:prstGeom prst="rect">
                      <a:avLst/>
                    </a:prstGeom>
                    <a:noFill/>
                  </pic:spPr>
                </pic:pic>
              </a:graphicData>
            </a:graphic>
          </wp:anchor>
        </w:drawing>
      </w:r>
    </w:p>
    <w:p>
      <w:pPr>
        <w:spacing w:after="0" w:line="16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As of January 1, 2017, there were 35 holders of record of the Company’s Common Stock. 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information regarding outstanding options to purchase our Common Stock as of December 31, 2016:</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87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23" w:lineRule="exact"/>
        <w:rPr>
          <w:sz w:val="20"/>
          <w:szCs w:val="20"/>
          <w:color w:val="auto"/>
        </w:rPr>
      </w:pPr>
    </w:p>
    <w:p>
      <w:pPr>
        <w:ind w:right="1440"/>
        <w:spacing w:after="0" w:line="271" w:lineRule="auto"/>
        <w:rPr>
          <w:sz w:val="20"/>
          <w:szCs w:val="20"/>
          <w:color w:val="auto"/>
        </w:rPr>
      </w:pPr>
      <w:r>
        <w:rPr>
          <w:rFonts w:ascii="Arial" w:cs="Arial" w:eastAsia="Arial" w:hAnsi="Arial"/>
          <w:sz w:val="18"/>
          <w:szCs w:val="18"/>
          <w:color w:val="auto"/>
        </w:rPr>
        <w:t>Equity compensation plans approved by security holders Equity compensation plans not approved by security holders 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securities to be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issued upon</w:t>
            </w:r>
          </w:p>
        </w:tc>
        <w:tc>
          <w:tcPr>
            <w:tcW w:w="160" w:type="dxa"/>
            <w:vAlign w:val="bottom"/>
          </w:tcPr>
          <w:p>
            <w:pPr>
              <w:spacing w:after="0"/>
              <w:rPr>
                <w:sz w:val="18"/>
                <w:szCs w:val="18"/>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Weighted average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 of</w:t>
            </w:r>
          </w:p>
        </w:tc>
        <w:tc>
          <w:tcPr>
            <w:tcW w:w="160" w:type="dxa"/>
            <w:vAlign w:val="bottom"/>
          </w:tcPr>
          <w:p>
            <w:pPr>
              <w:spacing w:after="0"/>
              <w:rPr>
                <w:sz w:val="18"/>
                <w:szCs w:val="18"/>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exercise price of</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outstanding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outstanding</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options, warrant</w:t>
            </w:r>
          </w:p>
        </w:tc>
        <w:tc>
          <w:tcPr>
            <w:tcW w:w="160" w:type="dxa"/>
            <w:vAlign w:val="bottom"/>
          </w:tcPr>
          <w:p>
            <w:pPr>
              <w:spacing w:after="0"/>
              <w:rPr>
                <w:sz w:val="18"/>
                <w:szCs w:val="18"/>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options, warrants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r>
      <w:tr>
        <w:trPr>
          <w:trHeight w:val="234"/>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and rights</w:t>
            </w:r>
          </w:p>
        </w:tc>
        <w:tc>
          <w:tcPr>
            <w:tcW w:w="3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plans</w:t>
            </w:r>
          </w:p>
        </w:tc>
      </w:tr>
      <w:tr>
        <w:trPr>
          <w:trHeight w:val="425"/>
        </w:trPr>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12,594,505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4.56</w:t>
            </w:r>
          </w:p>
        </w:tc>
        <w:tc>
          <w:tcPr>
            <w:tcW w:w="1360" w:type="dxa"/>
            <w:vAlign w:val="bottom"/>
          </w:tcPr>
          <w:p>
            <w:pPr>
              <w:jc w:val="right"/>
              <w:spacing w:after="0"/>
              <w:rPr>
                <w:sz w:val="20"/>
                <w:szCs w:val="20"/>
                <w:color w:val="auto"/>
              </w:rPr>
            </w:pPr>
            <w:r>
              <w:rPr>
                <w:rFonts w:ascii="Arial" w:cs="Arial" w:eastAsia="Arial" w:hAnsi="Arial"/>
                <w:sz w:val="18"/>
                <w:szCs w:val="18"/>
                <w:color w:val="auto"/>
              </w:rPr>
              <w:t>3,661,181</w:t>
            </w:r>
          </w:p>
        </w:tc>
      </w:tr>
      <w:tr>
        <w:trPr>
          <w:trHeight w:val="230"/>
        </w:trPr>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12,594,505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3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3,661,181</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-462280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-179705</wp:posOffset>
            </wp:positionV>
            <wp:extent cx="72466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900"/>
          </w:cols>
          <w:pgMar w:left="240" w:top="68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6640" w:type="dxa"/>
            <w:vAlign w:val="bottom"/>
            <w:gridSpan w:val="9"/>
          </w:tcPr>
          <w:p>
            <w:pPr>
              <w:jc w:val="right"/>
              <w:ind w:right="1420"/>
              <w:spacing w:after="0"/>
              <w:rPr>
                <w:sz w:val="20"/>
                <w:szCs w:val="20"/>
                <w:color w:val="auto"/>
              </w:rPr>
            </w:pPr>
            <w:r>
              <w:rPr>
                <w:rFonts w:ascii="Arial" w:cs="Arial" w:eastAsia="Arial" w:hAnsi="Arial"/>
                <w:sz w:val="18"/>
                <w:szCs w:val="18"/>
                <w:b w:val="1"/>
                <w:bCs w:val="1"/>
                <w:color w:val="auto"/>
              </w:rPr>
              <w:t>Issuer Purchases of Equity Securities in the Fourth Quarter</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2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32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2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5"/>
              </w:rPr>
              <w:t>Shares Purchased as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2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 Number of</w:t>
            </w:r>
          </w:p>
        </w:tc>
        <w:tc>
          <w:tcPr>
            <w:tcW w:w="19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Average Price Paid</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Announced Plans or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780" w:type="dxa"/>
            <w:vAlign w:val="bottom"/>
          </w:tcPr>
          <w:p>
            <w:pPr>
              <w:ind w:left="1420"/>
              <w:spacing w:after="0"/>
              <w:rPr>
                <w:sz w:val="20"/>
                <w:szCs w:val="20"/>
                <w:color w:val="auto"/>
              </w:rPr>
            </w:pPr>
            <w:r>
              <w:rPr>
                <w:rFonts w:ascii="Arial" w:cs="Arial" w:eastAsia="Arial" w:hAnsi="Arial"/>
                <w:sz w:val="18"/>
                <w:szCs w:val="18"/>
                <w:b w:val="1"/>
                <w:bCs w:val="1"/>
                <w:color w:val="auto"/>
              </w:rPr>
              <w:t>Period(1)</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 Purchased</w:t>
            </w:r>
          </w:p>
        </w:tc>
        <w:tc>
          <w:tcPr>
            <w:tcW w:w="260" w:type="dxa"/>
            <w:vAlign w:val="bottom"/>
          </w:tcPr>
          <w:p>
            <w:pPr>
              <w:spacing w:after="0"/>
              <w:rPr>
                <w:sz w:val="20"/>
                <w:szCs w:val="20"/>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per Share</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Programs(2)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27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October 2016</w:t>
            </w:r>
          </w:p>
        </w:tc>
        <w:tc>
          <w:tcPr>
            <w:tcW w:w="308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208,992</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4.52</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208,992</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6,103,642</w:t>
            </w:r>
          </w:p>
        </w:tc>
      </w:tr>
      <w:tr>
        <w:trPr>
          <w:trHeight w:val="216"/>
        </w:trPr>
        <w:tc>
          <w:tcPr>
            <w:tcW w:w="2780" w:type="dxa"/>
            <w:vAlign w:val="bottom"/>
          </w:tcPr>
          <w:p>
            <w:pPr>
              <w:ind w:left="120"/>
              <w:spacing w:after="0"/>
              <w:rPr>
                <w:sz w:val="20"/>
                <w:szCs w:val="20"/>
                <w:color w:val="auto"/>
              </w:rPr>
            </w:pPr>
            <w:r>
              <w:rPr>
                <w:rFonts w:ascii="Arial" w:cs="Arial" w:eastAsia="Arial" w:hAnsi="Arial"/>
                <w:sz w:val="18"/>
                <w:szCs w:val="18"/>
                <w:color w:val="auto"/>
              </w:rPr>
              <w:t>November 2016</w:t>
            </w:r>
          </w:p>
        </w:tc>
        <w:tc>
          <w:tcPr>
            <w:tcW w:w="3080" w:type="dxa"/>
            <w:vAlign w:val="bottom"/>
            <w:gridSpan w:val="4"/>
          </w:tcPr>
          <w:p>
            <w:pPr>
              <w:jc w:val="right"/>
              <w:ind w:right="340"/>
              <w:spacing w:after="0"/>
              <w:rPr>
                <w:sz w:val="20"/>
                <w:szCs w:val="20"/>
                <w:color w:val="auto"/>
              </w:rPr>
            </w:pPr>
            <w:r>
              <w:rPr>
                <w:rFonts w:ascii="Arial" w:cs="Arial" w:eastAsia="Arial" w:hAnsi="Arial"/>
                <w:sz w:val="18"/>
                <w:szCs w:val="18"/>
                <w:color w:val="auto"/>
              </w:rPr>
              <w:t>150,102</w:t>
            </w:r>
          </w:p>
        </w:tc>
        <w:tc>
          <w:tcPr>
            <w:tcW w:w="26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4.60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150,102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5,413,370</w:t>
            </w:r>
          </w:p>
        </w:tc>
      </w:tr>
      <w:tr>
        <w:trPr>
          <w:trHeight w:val="230"/>
        </w:trPr>
        <w:tc>
          <w:tcPr>
            <w:tcW w:w="2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December 2016</w:t>
            </w:r>
          </w:p>
        </w:tc>
        <w:tc>
          <w:tcPr>
            <w:tcW w:w="308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116,600</w:t>
            </w:r>
          </w:p>
        </w:tc>
        <w:tc>
          <w:tcPr>
            <w:tcW w:w="26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5.38</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116,600</w:t>
            </w:r>
          </w:p>
        </w:tc>
        <w:tc>
          <w:tcPr>
            <w:tcW w:w="3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4,785,684</w:t>
            </w:r>
          </w:p>
        </w:tc>
      </w:tr>
      <w:tr>
        <w:trPr>
          <w:trHeight w:val="223"/>
        </w:trPr>
        <w:tc>
          <w:tcPr>
            <w:tcW w:w="2780" w:type="dxa"/>
            <w:vAlign w:val="bottom"/>
          </w:tcPr>
          <w:p>
            <w:pPr>
              <w:ind w:left="12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475,694</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475,694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117" w:lineRule="exact"/>
        <w:rPr>
          <w:rFonts w:ascii="Arial" w:cs="Arial" w:eastAsia="Arial" w:hAnsi="Arial"/>
          <w:sz w:val="18"/>
          <w:szCs w:val="18"/>
          <w:i w:val="1"/>
          <w:iCs w:val="1"/>
          <w:color w:val="auto"/>
        </w:rPr>
      </w:pPr>
    </w:p>
    <w:p>
      <w:pPr>
        <w:jc w:val="both"/>
        <w:ind w:left="360" w:hanging="352"/>
        <w:spacing w:after="0" w:line="259" w:lineRule="auto"/>
        <w:tabs>
          <w:tab w:leader="none" w:pos="3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Through December 31, 2016, our board of directors had authorized the purchase of up to $54.5 million of our outstanding securities, which program was first announced in our annual report for the year 2002, filed on March 26, 2003. All purchases described in the table above were under the plan announced in March 2003, which has no fixed expiration date. As of December 31, 2016, we have purchased $5.0 million in principal amount of debt securities and $44.7 million of our common stock representing 13,318,295 shares.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 following table presents our selected consolidated financial data and operating data as of and for the dates indicated. The data under the captions "Statement of Income Data" and "Balance Sheet Data" have been derived from our audited consolidated financial statements. The remainder is derived from other records of ours. You should read the selected consolidated financial data together with "Management’s Discussion and Analysis of Financial Condition and Results of Operations" and our audited and unaudited consolidated financial statements and notes thereto that are included in this report, and in our quarterly and periodic filings.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As of and</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(in thousands, except per share data)</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91"/>
              </w:rPr>
              <w:t>For the Year Ended December 31,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Income Data</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408,996</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349,912</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286,734</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231,330</w:t>
            </w:r>
          </w:p>
        </w:tc>
        <w:tc>
          <w:tcPr>
            <w:tcW w:w="4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13,286</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13,738</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13,522</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13,498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Gain on cancellation of debt</w:t>
            </w:r>
          </w:p>
        </w:tc>
        <w:tc>
          <w:tcPr>
            <w:tcW w:w="2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10,947</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EEEEEE"/>
            </w:tcBorders>
          </w:tcPr>
          <w:p>
            <w:pPr>
              <w:ind w:left="4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422,282</w:t>
            </w:r>
          </w:p>
        </w:tc>
        <w:tc>
          <w:tcPr>
            <w:tcW w:w="340" w:type="dxa"/>
            <w:vAlign w:val="bottom"/>
            <w:tcBorders>
              <w:bottom w:val="single" w:sz="8" w:color="EEEEEE"/>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363,650</w:t>
            </w:r>
          </w:p>
        </w:tc>
        <w:tc>
          <w:tcPr>
            <w:tcW w:w="36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300,256</w:t>
            </w:r>
          </w:p>
        </w:tc>
        <w:tc>
          <w:tcPr>
            <w:tcW w:w="32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255,775</w:t>
            </w:r>
          </w:p>
        </w:tc>
        <w:tc>
          <w:tcPr>
            <w:tcW w:w="1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187,208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Employee costs</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65,549</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59,556</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50,129</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42,960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48,620</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42,349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39,262</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32,753</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79,941</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57,745</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50,395</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58,179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178,511</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142,618</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108,228</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76,869</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Provision for contingent liabilities</w:t>
            </w:r>
          </w:p>
        </w:tc>
        <w:tc>
          <w:tcPr>
            <w:tcW w:w="24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7,841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EEEEE"/>
            </w:tcBorders>
            <w:shd w:val="clear" w:color="auto" w:fill="EEEEEE"/>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372,621</w:t>
            </w:r>
          </w:p>
        </w:tc>
        <w:tc>
          <w:tcPr>
            <w:tcW w:w="3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302,268</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248,014</w:t>
            </w:r>
          </w:p>
        </w:tc>
        <w:tc>
          <w:tcPr>
            <w:tcW w:w="3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218,602</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178,021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(loss) before income tax expense (benefit)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49,661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61,382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52,242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20,361</w:t>
            </w:r>
          </w:p>
        </w:tc>
        <w:tc>
          <w:tcPr>
            <w:tcW w:w="2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26,701</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22,726</w:t>
            </w:r>
          </w:p>
        </w:tc>
        <w:tc>
          <w:tcPr>
            <w:tcW w:w="3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16,168</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(60,221)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29,300</w:t>
            </w:r>
          </w:p>
        </w:tc>
        <w:tc>
          <w:tcPr>
            <w:tcW w:w="340" w:type="dxa"/>
            <w:vAlign w:val="bottom"/>
            <w:tcBorders>
              <w:bottom w:val="single" w:sz="8" w:color="EEEEE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34,681</w:t>
            </w:r>
          </w:p>
        </w:tc>
        <w:tc>
          <w:tcPr>
            <w:tcW w:w="36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29,516</w:t>
            </w:r>
          </w:p>
        </w:tc>
        <w:tc>
          <w:tcPr>
            <w:tcW w:w="320" w:type="dxa"/>
            <w:vAlign w:val="bottom"/>
            <w:tcBorders>
              <w:bottom w:val="single" w:sz="8" w:color="EEEEEE"/>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21,005</w:t>
            </w: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69,408</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Earnings (loss) per share-basic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0.98</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Earnings (loss) per share-diluted</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0.92</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0.67</w:t>
            </w:r>
          </w:p>
        </w:tc>
        <w:tc>
          <w:tcPr>
            <w:tcW w:w="4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Pre-tax income (loss) per share-basic (1)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Pre-tax income (loss) per share-diluted (2)</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1.63</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1.18</w:t>
            </w:r>
          </w:p>
        </w:tc>
        <w:tc>
          <w:tcPr>
            <w:tcW w:w="4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24,356</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25,935</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25,040</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21,538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outstanding-diluted</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29,035</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31,584</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32,032</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31,574</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2,410,402</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2,128,925</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1,833,058</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1,396,366</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1,037,620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13,936</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19,322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17,859</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22,112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112,754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106,054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175,382</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132,284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2,172,365</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1,909,490</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1,534,496</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1,115,437</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Finance receivables measured at fair value</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1,664</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14,476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103,358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194,056</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56,839</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9,452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9,042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12,327</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19,096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1,250</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13,117</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2,080,900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1,720,021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1,598,496</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1,177,559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14,949</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15,138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15,233</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57,701</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186,218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161,159</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127,253</w:t>
            </w: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94,602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61,311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60" w:hanging="352"/>
        <w:spacing w:after="0" w:line="277" w:lineRule="auto"/>
        <w:tabs>
          <w:tab w:leader="none" w:pos="3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Income (loss) before income tax benefit divided by weighted average shares outstanding-basic. Included for illustrative purposes because some of the periods presented include significant income tax benefits.</w:t>
      </w:r>
    </w:p>
    <w:p>
      <w:pPr>
        <w:spacing w:after="0" w:line="62" w:lineRule="exact"/>
        <w:rPr>
          <w:rFonts w:ascii="Arial" w:cs="Arial" w:eastAsia="Arial" w:hAnsi="Arial"/>
          <w:sz w:val="18"/>
          <w:szCs w:val="18"/>
          <w:i w:val="1"/>
          <w:iCs w:val="1"/>
          <w:color w:val="auto"/>
        </w:rPr>
      </w:pPr>
    </w:p>
    <w:p>
      <w:pPr>
        <w:ind w:left="360" w:hanging="352"/>
        <w:spacing w:after="0" w:line="277" w:lineRule="auto"/>
        <w:tabs>
          <w:tab w:leader="none" w:pos="3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Income (loss) before income tax benefit divided by weighted average shares outstanding-diluted. Included for illustrative purposes because some of the periods presented include significant income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As of and</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vMerge w:val="restart"/>
          </w:tcPr>
          <w:p>
            <w:pPr>
              <w:ind w:left="14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91"/>
              </w:rPr>
              <w:t>For the Year Ended December 31,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Contract Originations / Securitizations</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Automobile contract originations</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1,088,785</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1,060,538</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944,944</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764,087</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Automobile contracts securitized</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1,214,997</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924,000</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778,000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603,500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Managed Portfolio Data</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Contracts held by consolidated subsidiaries</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2,307,956</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2,030,652</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1,640,536</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1,207,694</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Fireside portfolio</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1,664</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14,786</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Contracts held by non-consolidated subsidiaries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390</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4,074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portfolios (1)</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1,330</w:t>
            </w:r>
          </w:p>
        </w:tc>
        <w:tc>
          <w:tcPr>
            <w:tcW w:w="3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4,868</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managed portfolio</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2,308,070</w:t>
            </w:r>
          </w:p>
        </w:tc>
        <w:tc>
          <w:tcPr>
            <w:tcW w:w="3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2,031,136</w:t>
            </w:r>
          </w:p>
        </w:tc>
        <w:tc>
          <w:tcPr>
            <w:tcW w:w="3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1,643,920</w:t>
            </w:r>
          </w:p>
        </w:tc>
        <w:tc>
          <w:tcPr>
            <w:tcW w:w="320" w:type="dxa"/>
            <w:vAlign w:val="bottom"/>
          </w:tcPr>
          <w:p>
            <w:pPr>
              <w:spacing w:after="0"/>
              <w:rPr>
                <w:sz w:val="18"/>
                <w:szCs w:val="18"/>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1,231,422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Average managed portfolio</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2,226,073</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1,847,945</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1,422,870</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1,081,936</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822,571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fixed effective interest rate</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managed portfolio) (2)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19.8%</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Core operating expenses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 of average managed portfolio) (3)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Allowance for finance credit losses</w:t>
            </w:r>
          </w:p>
        </w:tc>
        <w:tc>
          <w:tcPr>
            <w:tcW w:w="48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95,578</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75,603</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61,460</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39,626</w:t>
            </w:r>
          </w:p>
        </w:tc>
        <w:tc>
          <w:tcPr>
            <w:tcW w:w="4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Allowance for finance credit losses (of of total</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contracts held by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w w:val="99"/>
              </w:rPr>
              <w:t>Aggregate allowance for finance credit losses and</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repossessions in inventory</w:t>
            </w:r>
          </w:p>
        </w:tc>
        <w:tc>
          <w:tcPr>
            <w:tcW w:w="48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124,503</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102,557</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79,289</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54,405</w:t>
            </w:r>
          </w:p>
        </w:tc>
        <w:tc>
          <w:tcPr>
            <w:tcW w:w="4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25,978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6"/>
              </w:rPr>
              <w:t>Aggregate allowance for finance credit losses (% of</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w w:val="96"/>
              </w:rPr>
              <w:t>repossessions in inventory and contracts held by</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Total delinquencies (2) (4)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9.2%</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1"/>
              </w:rPr>
              <w:t>Total delinquencies and repossessions in inventory (2)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jc w:val="right"/>
              <w:ind w:right="36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Net charge-offs (2) (5)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5.8%</w:t>
            </w: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Receivables related to the third party portfolios, on which we earn only a servicing fee.</w:t>
      </w:r>
    </w:p>
    <w:p>
      <w:pPr>
        <w:spacing w:after="0" w:line="117" w:lineRule="exact"/>
        <w:rPr>
          <w:rFonts w:ascii="Arial" w:cs="Arial" w:eastAsia="Arial" w:hAnsi="Arial"/>
          <w:sz w:val="18"/>
          <w:szCs w:val="18"/>
          <w:i w:val="1"/>
          <w:iCs w:val="1"/>
          <w:color w:val="auto"/>
        </w:rPr>
      </w:pPr>
    </w:p>
    <w:p>
      <w:pPr>
        <w:ind w:left="360" w:hanging="352"/>
        <w:spacing w:after="0"/>
        <w:tabs>
          <w:tab w:leader="none" w:pos="3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receivables related to the third party portfolios.</w:t>
      </w:r>
    </w:p>
    <w:p>
      <w:pPr>
        <w:spacing w:after="0" w:line="117" w:lineRule="exact"/>
        <w:rPr>
          <w:rFonts w:ascii="Arial" w:cs="Arial" w:eastAsia="Arial" w:hAnsi="Arial"/>
          <w:sz w:val="18"/>
          <w:szCs w:val="18"/>
          <w:i w:val="1"/>
          <w:iCs w:val="1"/>
          <w:color w:val="auto"/>
        </w:rPr>
      </w:pPr>
    </w:p>
    <w:p>
      <w:pPr>
        <w:ind w:left="360" w:hanging="352"/>
        <w:spacing w:after="0" w:line="277" w:lineRule="auto"/>
        <w:tabs>
          <w:tab w:leader="none" w:pos="3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expenses excluding provision for credit losses, provision for contingent liabilities, interest expense, loss on sale of receivables and impairment loss on residual assets.</w:t>
      </w:r>
    </w:p>
    <w:p>
      <w:pPr>
        <w:spacing w:after="0" w:line="62" w:lineRule="exact"/>
        <w:rPr>
          <w:rFonts w:ascii="Arial" w:cs="Arial" w:eastAsia="Arial" w:hAnsi="Arial"/>
          <w:sz w:val="18"/>
          <w:szCs w:val="18"/>
          <w:i w:val="1"/>
          <w:iCs w:val="1"/>
          <w:color w:val="auto"/>
        </w:rPr>
      </w:pPr>
    </w:p>
    <w:p>
      <w:pPr>
        <w:ind w:left="360" w:hanging="352"/>
        <w:spacing w:after="0" w:line="277" w:lineRule="auto"/>
        <w:tabs>
          <w:tab w:leader="none" w:pos="3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 further information regarding delinquencies and the managed portfolio, see the table captioned </w:t>
      </w:r>
      <w:r>
        <w:rPr>
          <w:rFonts w:ascii="Arial" w:cs="Arial" w:eastAsia="Arial" w:hAnsi="Arial"/>
          <w:sz w:val="18"/>
          <w:szCs w:val="18"/>
          <w:color w:val="auto"/>
        </w:rPr>
        <w:t>"</w:t>
      </w:r>
      <w:r>
        <w:rPr>
          <w:rFonts w:ascii="Arial" w:cs="Arial" w:eastAsia="Arial" w:hAnsi="Arial"/>
          <w:sz w:val="18"/>
          <w:szCs w:val="18"/>
          <w:i w:val="1"/>
          <w:iCs w:val="1"/>
          <w:color w:val="auto"/>
        </w:rPr>
        <w:t>Delinquency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1, Part I of this report and the notes to that table.</w:t>
      </w:r>
    </w:p>
    <w:p>
      <w:pPr>
        <w:spacing w:after="0" w:line="62" w:lineRule="exact"/>
        <w:rPr>
          <w:rFonts w:ascii="Arial" w:cs="Arial" w:eastAsia="Arial" w:hAnsi="Arial"/>
          <w:sz w:val="18"/>
          <w:szCs w:val="18"/>
          <w:i w:val="1"/>
          <w:iCs w:val="1"/>
          <w:color w:val="auto"/>
        </w:rPr>
      </w:pPr>
    </w:p>
    <w:p>
      <w:pPr>
        <w:jc w:val="both"/>
        <w:ind w:left="360" w:hanging="352"/>
        <w:spacing w:after="0" w:line="259" w:lineRule="auto"/>
        <w:tabs>
          <w:tab w:leader="none" w:pos="3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charge-offs include the remaining principal balance, after the application of the net proceeds from the liquidation of the vehicle (excluding accrued and unpaid interest) and amounts collected subsequent to the date of the charge-off, including some recoveries which have been classified as other income in the accompanying consolidated financial statements. For further information regarding charge-offs, see the table captioned </w:t>
      </w:r>
      <w:r>
        <w:rPr>
          <w:rFonts w:ascii="Arial" w:cs="Arial" w:eastAsia="Arial" w:hAnsi="Arial"/>
          <w:sz w:val="18"/>
          <w:szCs w:val="18"/>
          <w:color w:val="auto"/>
        </w:rPr>
        <w:t>"</w:t>
      </w:r>
      <w:r>
        <w:rPr>
          <w:rFonts w:ascii="Arial" w:cs="Arial" w:eastAsia="Arial" w:hAnsi="Arial"/>
          <w:sz w:val="18"/>
          <w:szCs w:val="18"/>
          <w:i w:val="1"/>
          <w:iCs w:val="1"/>
          <w:color w:val="auto"/>
        </w:rPr>
        <w:t>Net Charge-Off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I, Part I of this report and the notes to that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notes thereto and other information included or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3"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December 31, 2016, we have originated a total of approximately $13.5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Recent contract purchase volumes and managed portfolio levels are shown in the table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43" w:lineRule="exact"/>
        <w:rPr>
          <w:sz w:val="20"/>
          <w:szCs w:val="20"/>
          <w:color w:val="auto"/>
        </w:rPr>
      </w:pPr>
    </w:p>
    <w:tbl>
      <w:tblPr>
        <w:tblLayout w:type="fixed"/>
        <w:tblInd w:w="298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5"/>
          </w:tcPr>
          <w:p>
            <w:pPr>
              <w:jc w:val="right"/>
              <w:ind w:right="13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Contracts Purchased</w:t>
            </w:r>
          </w:p>
        </w:tc>
        <w:tc>
          <w:tcPr>
            <w:tcW w:w="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20" w:type="dxa"/>
            <w:vAlign w:val="bottom"/>
          </w:tcPr>
          <w:p>
            <w:pPr>
              <w:spacing w:after="0"/>
              <w:rPr>
                <w:sz w:val="16"/>
                <w:szCs w:val="16"/>
                <w:color w:val="auto"/>
              </w:rPr>
            </w:pPr>
          </w:p>
        </w:tc>
      </w:tr>
      <w:tr>
        <w:trPr>
          <w:trHeight w:val="234"/>
        </w:trPr>
        <w:tc>
          <w:tcPr>
            <w:tcW w:w="100" w:type="dxa"/>
            <w:vAlign w:val="bottom"/>
          </w:tcPr>
          <w:p>
            <w:pPr>
              <w:spacing w:after="0"/>
              <w:rPr>
                <w:sz w:val="20"/>
                <w:szCs w:val="20"/>
                <w:color w:val="auto"/>
              </w:rPr>
            </w:pPr>
          </w:p>
        </w:tc>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Year</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 Period</w:t>
            </w:r>
          </w:p>
        </w:tc>
        <w:tc>
          <w:tcPr>
            <w:tcW w:w="8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at Period End</w:t>
            </w:r>
          </w:p>
        </w:tc>
      </w:tr>
      <w:tr>
        <w:trPr>
          <w:trHeight w:val="210"/>
        </w:trPr>
        <w:tc>
          <w:tcPr>
            <w:tcW w:w="10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ind w:left="540"/>
              <w:spacing w:after="0"/>
              <w:rPr>
                <w:sz w:val="20"/>
                <w:szCs w:val="20"/>
                <w:color w:val="auto"/>
              </w:rPr>
            </w:pPr>
            <w:r>
              <w:rPr>
                <w:rFonts w:ascii="Arial" w:cs="Arial" w:eastAsia="Arial" w:hAnsi="Arial"/>
                <w:sz w:val="18"/>
                <w:szCs w:val="18"/>
                <w:color w:val="auto"/>
              </w:rPr>
              <w:t>2008</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2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20" w:type="dxa"/>
            <w:vAlign w:val="bottom"/>
            <w:tcBorders>
              <w:top w:val="single" w:sz="8" w:color="EEEEEE"/>
            </w:tcBorders>
            <w:shd w:val="clear" w:color="auto" w:fill="EEEEEE"/>
          </w:tcPr>
          <w:p>
            <w:pPr>
              <w:spacing w:after="0"/>
              <w:rPr>
                <w:sz w:val="18"/>
                <w:szCs w:val="18"/>
                <w:color w:val="auto"/>
              </w:rPr>
            </w:pPr>
          </w:p>
        </w:tc>
      </w:tr>
      <w:tr>
        <w:trPr>
          <w:trHeight w:val="230"/>
        </w:trPr>
        <w:tc>
          <w:tcPr>
            <w:tcW w:w="1560" w:type="dxa"/>
            <w:vAlign w:val="bottom"/>
            <w:gridSpan w:val="2"/>
          </w:tcPr>
          <w:p>
            <w:pPr>
              <w:ind w:left="640"/>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8,599</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1,194,722</w:t>
            </w:r>
          </w:p>
        </w:tc>
        <w:tc>
          <w:tcPr>
            <w:tcW w:w="120" w:type="dxa"/>
            <w:vAlign w:val="bottom"/>
          </w:tcPr>
          <w:p>
            <w:pPr>
              <w:spacing w:after="0"/>
              <w:rPr>
                <w:sz w:val="19"/>
                <w:szCs w:val="19"/>
                <w:color w:val="auto"/>
              </w:rPr>
            </w:pPr>
          </w:p>
        </w:tc>
      </w:tr>
      <w:tr>
        <w:trPr>
          <w:trHeight w:val="230"/>
        </w:trPr>
        <w:tc>
          <w:tcPr>
            <w:tcW w:w="156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2010</w:t>
            </w:r>
          </w:p>
        </w:tc>
        <w:tc>
          <w:tcPr>
            <w:tcW w:w="3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113,023</w:t>
            </w:r>
          </w:p>
        </w:tc>
        <w:tc>
          <w:tcPr>
            <w:tcW w:w="8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756,203</w:t>
            </w:r>
          </w:p>
        </w:tc>
      </w:tr>
      <w:tr>
        <w:trPr>
          <w:trHeight w:val="230"/>
        </w:trPr>
        <w:tc>
          <w:tcPr>
            <w:tcW w:w="1560" w:type="dxa"/>
            <w:vAlign w:val="bottom"/>
            <w:gridSpan w:val="2"/>
          </w:tcPr>
          <w:p>
            <w:pPr>
              <w:ind w:left="660"/>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284,236</w:t>
            </w:r>
          </w:p>
        </w:tc>
        <w:tc>
          <w:tcPr>
            <w:tcW w:w="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794,649</w:t>
            </w:r>
          </w:p>
        </w:tc>
      </w:tr>
      <w:tr>
        <w:trPr>
          <w:trHeight w:val="230"/>
        </w:trPr>
        <w:tc>
          <w:tcPr>
            <w:tcW w:w="156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2012</w:t>
            </w:r>
          </w:p>
        </w:tc>
        <w:tc>
          <w:tcPr>
            <w:tcW w:w="3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551,742</w:t>
            </w:r>
          </w:p>
        </w:tc>
        <w:tc>
          <w:tcPr>
            <w:tcW w:w="8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897,575</w:t>
            </w:r>
          </w:p>
        </w:tc>
      </w:tr>
      <w:tr>
        <w:trPr>
          <w:trHeight w:val="230"/>
        </w:trPr>
        <w:tc>
          <w:tcPr>
            <w:tcW w:w="1560" w:type="dxa"/>
            <w:vAlign w:val="bottom"/>
            <w:gridSpan w:val="2"/>
          </w:tcPr>
          <w:p>
            <w:pPr>
              <w:ind w:left="64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764,087</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1,231,422</w:t>
            </w:r>
          </w:p>
        </w:tc>
        <w:tc>
          <w:tcPr>
            <w:tcW w:w="120" w:type="dxa"/>
            <w:vAlign w:val="bottom"/>
          </w:tcPr>
          <w:p>
            <w:pPr>
              <w:spacing w:after="0"/>
              <w:rPr>
                <w:sz w:val="19"/>
                <w:szCs w:val="19"/>
                <w:color w:val="auto"/>
              </w:rPr>
            </w:pPr>
          </w:p>
        </w:tc>
      </w:tr>
      <w:tr>
        <w:trPr>
          <w:trHeight w:val="230"/>
        </w:trPr>
        <w:tc>
          <w:tcPr>
            <w:tcW w:w="156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944,944</w:t>
            </w:r>
          </w:p>
        </w:tc>
        <w:tc>
          <w:tcPr>
            <w:tcW w:w="80" w:type="dxa"/>
            <w:vAlign w:val="bottom"/>
            <w:shd w:val="clear" w:color="auto" w:fill="EEEEEE"/>
          </w:tcPr>
          <w:p>
            <w:pPr>
              <w:spacing w:after="0"/>
              <w:rPr>
                <w:sz w:val="19"/>
                <w:szCs w:val="19"/>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120" w:type="dxa"/>
            <w:vAlign w:val="bottom"/>
            <w:shd w:val="clear" w:color="auto" w:fill="EEEEEE"/>
          </w:tcPr>
          <w:p>
            <w:pPr>
              <w:spacing w:after="0"/>
              <w:rPr>
                <w:sz w:val="19"/>
                <w:szCs w:val="19"/>
                <w:color w:val="auto"/>
              </w:rPr>
            </w:pPr>
          </w:p>
        </w:tc>
      </w:tr>
      <w:tr>
        <w:trPr>
          <w:trHeight w:val="230"/>
        </w:trPr>
        <w:tc>
          <w:tcPr>
            <w:tcW w:w="1560" w:type="dxa"/>
            <w:vAlign w:val="bottom"/>
            <w:gridSpan w:val="2"/>
          </w:tcPr>
          <w:p>
            <w:pPr>
              <w:ind w:left="64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1,060,538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2,031,136</w:t>
            </w:r>
          </w:p>
        </w:tc>
        <w:tc>
          <w:tcPr>
            <w:tcW w:w="120" w:type="dxa"/>
            <w:vAlign w:val="bottom"/>
          </w:tcPr>
          <w:p>
            <w:pPr>
              <w:spacing w:after="0"/>
              <w:rPr>
                <w:sz w:val="19"/>
                <w:szCs w:val="19"/>
                <w:color w:val="auto"/>
              </w:rPr>
            </w:pPr>
          </w:p>
        </w:tc>
      </w:tr>
      <w:tr>
        <w:trPr>
          <w:trHeight w:val="230"/>
        </w:trPr>
        <w:tc>
          <w:tcPr>
            <w:tcW w:w="156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1,088,785</w:t>
            </w:r>
          </w:p>
        </w:tc>
        <w:tc>
          <w:tcPr>
            <w:tcW w:w="2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2,308,070</w:t>
            </w:r>
          </w:p>
        </w:tc>
        <w:tc>
          <w:tcPr>
            <w:tcW w:w="120" w:type="dxa"/>
            <w:vAlign w:val="bottom"/>
            <w:shd w:val="clear" w:color="auto" w:fill="EEEEEE"/>
          </w:tcPr>
          <w:p>
            <w:pPr>
              <w:spacing w:after="0"/>
              <w:rPr>
                <w:sz w:val="19"/>
                <w:szCs w:val="19"/>
                <w:color w:val="auto"/>
              </w:rPr>
            </w:pPr>
          </w:p>
        </w:tc>
      </w:tr>
    </w:tbl>
    <w:p>
      <w:pPr>
        <w:spacing w:after="0" w:line="202" w:lineRule="exact"/>
        <w:rPr>
          <w:sz w:val="20"/>
          <w:szCs w:val="20"/>
          <w:color w:val="auto"/>
        </w:rPr>
      </w:pPr>
    </w:p>
    <w:p>
      <w:pPr>
        <w:ind w:right="280" w:firstLine="360"/>
        <w:spacing w:after="0" w:line="286" w:lineRule="auto"/>
        <w:rPr>
          <w:sz w:val="20"/>
          <w:szCs w:val="20"/>
          <w:color w:val="auto"/>
        </w:rPr>
      </w:pPr>
      <w:r>
        <w:rPr>
          <w:rFonts w:ascii="Arial" w:cs="Arial" w:eastAsia="Arial" w:hAnsi="Arial"/>
          <w:sz w:val="17"/>
          <w:szCs w:val="17"/>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66"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3" w:lineRule="exact"/>
        <w:rPr>
          <w:sz w:val="20"/>
          <w:szCs w:val="20"/>
          <w:color w:val="auto"/>
        </w:rPr>
      </w:pPr>
    </w:p>
    <w:p>
      <w:pPr>
        <w:jc w:val="both"/>
        <w:ind w:right="140" w:firstLine="360"/>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Since 1994 we have conducted 72 term securitizations of automobile contracts that we originated. As of December 31, 2016, 18 of those securitizations are active and all but one are structured as secured financings. The exception is our September 2010 transaction, which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1"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8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Recent Asset-Backed Term Securitizations</w:t>
            </w:r>
          </w:p>
        </w:tc>
        <w:tc>
          <w:tcPr>
            <w:tcW w:w="1740" w:type="dxa"/>
            <w:vAlign w:val="bottom"/>
          </w:tcPr>
          <w:p>
            <w:pPr>
              <w:spacing w:after="0"/>
              <w:rPr>
                <w:sz w:val="20"/>
                <w:szCs w:val="20"/>
                <w:color w:val="auto"/>
              </w:rPr>
            </w:pPr>
          </w:p>
        </w:tc>
      </w:tr>
      <w:tr>
        <w:trPr>
          <w:trHeight w:val="230"/>
        </w:trPr>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Borders>
              <w:bottom w:val="single" w:sz="8" w:color="auto"/>
            </w:tcBorders>
            <w:gridSpan w:val="3"/>
          </w:tcPr>
          <w:p>
            <w:pPr>
              <w:ind w:left="1860"/>
              <w:spacing w:after="0"/>
              <w:rPr>
                <w:sz w:val="20"/>
                <w:szCs w:val="20"/>
                <w:color w:val="auto"/>
              </w:rPr>
            </w:pPr>
            <w:r>
              <w:rPr>
                <w:rFonts w:ascii="Arial" w:cs="Arial" w:eastAsia="Arial" w:hAnsi="Arial"/>
                <w:sz w:val="18"/>
                <w:szCs w:val="18"/>
                <w:i w:val="1"/>
                <w:iCs w:val="1"/>
                <w:color w:val="auto"/>
                <w:w w:val="99"/>
              </w:rPr>
              <w:t>$ in thousands</w:t>
            </w:r>
          </w:p>
        </w:tc>
        <w:tc>
          <w:tcPr>
            <w:tcW w:w="174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3"/>
          </w:tcPr>
          <w:p>
            <w:pPr>
              <w:jc w:val="center"/>
              <w:ind w:right="780"/>
              <w:spacing w:after="0" w:line="191" w:lineRule="exact"/>
              <w:rPr>
                <w:sz w:val="20"/>
                <w:szCs w:val="20"/>
                <w:color w:val="auto"/>
              </w:rPr>
            </w:pPr>
            <w:r>
              <w:rPr>
                <w:rFonts w:ascii="Arial" w:cs="Arial" w:eastAsia="Arial" w:hAnsi="Arial"/>
                <w:sz w:val="18"/>
                <w:szCs w:val="18"/>
                <w:b w:val="1"/>
                <w:bCs w:val="1"/>
                <w:color w:val="auto"/>
                <w:w w:val="93"/>
              </w:rPr>
              <w:t>Number of Term</w:t>
            </w:r>
          </w:p>
        </w:tc>
        <w:tc>
          <w:tcPr>
            <w:tcW w:w="1740" w:type="dxa"/>
            <w:vAlign w:val="bottom"/>
          </w:tcPr>
          <w:p>
            <w:pPr>
              <w:jc w:val="right"/>
              <w:ind w:right="670"/>
              <w:spacing w:after="0" w:line="191" w:lineRule="exact"/>
              <w:rPr>
                <w:sz w:val="20"/>
                <w:szCs w:val="20"/>
                <w:color w:val="auto"/>
              </w:rPr>
            </w:pPr>
            <w:r>
              <w:rPr>
                <w:rFonts w:ascii="Arial" w:cs="Arial" w:eastAsia="Arial" w:hAnsi="Arial"/>
                <w:sz w:val="18"/>
                <w:szCs w:val="18"/>
                <w:b w:val="1"/>
                <w:bCs w:val="1"/>
                <w:color w:val="auto"/>
              </w:rPr>
              <w:t>Amount of</w:t>
            </w:r>
          </w:p>
        </w:tc>
      </w:tr>
      <w:tr>
        <w:trPr>
          <w:trHeight w:val="234"/>
        </w:trPr>
        <w:tc>
          <w:tcPr>
            <w:tcW w:w="170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Period</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8"/>
              </w:rPr>
              <w:t>Securitizations</w:t>
            </w: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w w:val="97"/>
              </w:rPr>
              <w:t>Receivables</w:t>
            </w:r>
          </w:p>
        </w:tc>
      </w:tr>
      <w:tr>
        <w:trPr>
          <w:trHeight w:val="210"/>
        </w:trPr>
        <w:tc>
          <w:tcPr>
            <w:tcW w:w="1700" w:type="dxa"/>
            <w:vAlign w:val="bottom"/>
            <w:tcBorders>
              <w:top w:val="single" w:sz="8" w:color="auto"/>
            </w:tcBorders>
          </w:tcPr>
          <w:p>
            <w:pPr>
              <w:jc w:val="center"/>
              <w:ind w:left="450"/>
              <w:spacing w:after="0"/>
              <w:rPr>
                <w:sz w:val="20"/>
                <w:szCs w:val="20"/>
                <w:color w:val="auto"/>
              </w:rPr>
            </w:pPr>
            <w:r>
              <w:rPr>
                <w:rFonts w:ascii="Arial" w:cs="Arial" w:eastAsia="Arial" w:hAnsi="Arial"/>
                <w:sz w:val="18"/>
                <w:szCs w:val="18"/>
                <w:color w:val="auto"/>
                <w:w w:val="89"/>
              </w:rPr>
              <w:t>2007</w:t>
            </w: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1,118,097</w:t>
            </w:r>
          </w:p>
        </w:tc>
      </w:tr>
      <w:tr>
        <w:trPr>
          <w:trHeight w:val="216"/>
        </w:trPr>
        <w:tc>
          <w:tcPr>
            <w:tcW w:w="1700" w:type="dxa"/>
            <w:vAlign w:val="bottom"/>
            <w:shd w:val="clear" w:color="auto" w:fill="EEEEEE"/>
          </w:tcPr>
          <w:p>
            <w:pPr>
              <w:jc w:val="center"/>
              <w:ind w:left="450"/>
              <w:spacing w:after="0"/>
              <w:rPr>
                <w:sz w:val="20"/>
                <w:szCs w:val="20"/>
                <w:color w:val="auto"/>
              </w:rPr>
            </w:pPr>
            <w:r>
              <w:rPr>
                <w:rFonts w:ascii="Arial" w:cs="Arial" w:eastAsia="Arial" w:hAnsi="Arial"/>
                <w:sz w:val="18"/>
                <w:szCs w:val="18"/>
                <w:color w:val="333333"/>
                <w:w w:val="89"/>
              </w:rPr>
              <w:t>2008</w:t>
            </w:r>
          </w:p>
        </w:tc>
        <w:tc>
          <w:tcPr>
            <w:tcW w:w="3080" w:type="dxa"/>
            <w:vAlign w:val="bottom"/>
            <w:gridSpan w:val="3"/>
            <w:shd w:val="clear" w:color="auto" w:fill="EEEEEE"/>
          </w:tcPr>
          <w:p>
            <w:pPr>
              <w:jc w:val="center"/>
              <w:ind w:left="690"/>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509,022</w:t>
            </w:r>
          </w:p>
        </w:tc>
      </w:tr>
      <w:tr>
        <w:trPr>
          <w:trHeight w:val="216"/>
        </w:trPr>
        <w:tc>
          <w:tcPr>
            <w:tcW w:w="1700" w:type="dxa"/>
            <w:vAlign w:val="bottom"/>
          </w:tcPr>
          <w:p>
            <w:pPr>
              <w:jc w:val="center"/>
              <w:ind w:left="450"/>
              <w:spacing w:after="0"/>
              <w:rPr>
                <w:sz w:val="20"/>
                <w:szCs w:val="20"/>
                <w:color w:val="auto"/>
              </w:rPr>
            </w:pPr>
            <w:r>
              <w:rPr>
                <w:rFonts w:ascii="Arial" w:cs="Arial" w:eastAsia="Arial" w:hAnsi="Arial"/>
                <w:sz w:val="18"/>
                <w:szCs w:val="18"/>
                <w:color w:val="333333"/>
                <w:w w:val="89"/>
              </w:rPr>
              <w:t>2009</w:t>
            </w:r>
          </w:p>
        </w:tc>
        <w:tc>
          <w:tcPr>
            <w:tcW w:w="308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shd w:val="clear" w:color="auto" w:fill="EEEEEE"/>
          </w:tcPr>
          <w:p>
            <w:pPr>
              <w:jc w:val="center"/>
              <w:ind w:left="450"/>
              <w:spacing w:after="0"/>
              <w:rPr>
                <w:sz w:val="20"/>
                <w:szCs w:val="20"/>
                <w:color w:val="auto"/>
              </w:rPr>
            </w:pPr>
            <w:r>
              <w:rPr>
                <w:rFonts w:ascii="Arial" w:cs="Arial" w:eastAsia="Arial" w:hAnsi="Arial"/>
                <w:sz w:val="18"/>
                <w:szCs w:val="18"/>
                <w:color w:val="333333"/>
                <w:w w:val="89"/>
              </w:rPr>
              <w:t>2010</w:t>
            </w:r>
          </w:p>
        </w:tc>
        <w:tc>
          <w:tcPr>
            <w:tcW w:w="3080" w:type="dxa"/>
            <w:vAlign w:val="bottom"/>
            <w:gridSpan w:val="3"/>
            <w:shd w:val="clear" w:color="auto" w:fill="EEEEEE"/>
          </w:tcPr>
          <w:p>
            <w:pPr>
              <w:jc w:val="center"/>
              <w:ind w:left="690"/>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103,772</w:t>
            </w:r>
          </w:p>
        </w:tc>
      </w:tr>
      <w:tr>
        <w:trPr>
          <w:trHeight w:val="216"/>
        </w:trPr>
        <w:tc>
          <w:tcPr>
            <w:tcW w:w="1700" w:type="dxa"/>
            <w:vAlign w:val="bottom"/>
          </w:tcPr>
          <w:p>
            <w:pPr>
              <w:jc w:val="center"/>
              <w:ind w:left="470"/>
              <w:spacing w:after="0"/>
              <w:rPr>
                <w:sz w:val="20"/>
                <w:szCs w:val="20"/>
                <w:color w:val="auto"/>
              </w:rPr>
            </w:pPr>
            <w:r>
              <w:rPr>
                <w:rFonts w:ascii="Arial" w:cs="Arial" w:eastAsia="Arial" w:hAnsi="Arial"/>
                <w:sz w:val="18"/>
                <w:szCs w:val="18"/>
                <w:color w:val="333333"/>
                <w:w w:val="84"/>
              </w:rPr>
              <w:t>2011</w:t>
            </w:r>
          </w:p>
        </w:tc>
        <w:tc>
          <w:tcPr>
            <w:tcW w:w="308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335,593</w:t>
            </w:r>
          </w:p>
        </w:tc>
      </w:tr>
      <w:tr>
        <w:trPr>
          <w:trHeight w:val="216"/>
        </w:trPr>
        <w:tc>
          <w:tcPr>
            <w:tcW w:w="1700" w:type="dxa"/>
            <w:vAlign w:val="bottom"/>
            <w:shd w:val="clear" w:color="auto" w:fill="EEEEEE"/>
          </w:tcPr>
          <w:p>
            <w:pPr>
              <w:jc w:val="center"/>
              <w:ind w:left="450"/>
              <w:spacing w:after="0"/>
              <w:rPr>
                <w:sz w:val="20"/>
                <w:szCs w:val="20"/>
                <w:color w:val="auto"/>
              </w:rPr>
            </w:pPr>
            <w:r>
              <w:rPr>
                <w:rFonts w:ascii="Arial" w:cs="Arial" w:eastAsia="Arial" w:hAnsi="Arial"/>
                <w:sz w:val="18"/>
                <w:szCs w:val="18"/>
                <w:color w:val="333333"/>
                <w:w w:val="89"/>
              </w:rPr>
              <w:t>2012</w:t>
            </w:r>
          </w:p>
        </w:tc>
        <w:tc>
          <w:tcPr>
            <w:tcW w:w="3080" w:type="dxa"/>
            <w:vAlign w:val="bottom"/>
            <w:gridSpan w:val="3"/>
            <w:shd w:val="clear" w:color="auto" w:fill="EEEEEE"/>
          </w:tcPr>
          <w:p>
            <w:pPr>
              <w:jc w:val="center"/>
              <w:ind w:left="690"/>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603,500</w:t>
            </w:r>
          </w:p>
        </w:tc>
      </w:tr>
      <w:tr>
        <w:trPr>
          <w:trHeight w:val="216"/>
        </w:trPr>
        <w:tc>
          <w:tcPr>
            <w:tcW w:w="1700" w:type="dxa"/>
            <w:vAlign w:val="bottom"/>
          </w:tcPr>
          <w:p>
            <w:pPr>
              <w:jc w:val="center"/>
              <w:ind w:left="450"/>
              <w:spacing w:after="0"/>
              <w:rPr>
                <w:sz w:val="20"/>
                <w:szCs w:val="20"/>
                <w:color w:val="auto"/>
              </w:rPr>
            </w:pPr>
            <w:r>
              <w:rPr>
                <w:rFonts w:ascii="Arial" w:cs="Arial" w:eastAsia="Arial" w:hAnsi="Arial"/>
                <w:sz w:val="18"/>
                <w:szCs w:val="18"/>
                <w:color w:val="333333"/>
                <w:w w:val="89"/>
              </w:rPr>
              <w:t>2013</w:t>
            </w:r>
          </w:p>
        </w:tc>
        <w:tc>
          <w:tcPr>
            <w:tcW w:w="308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778,000</w:t>
            </w:r>
          </w:p>
        </w:tc>
      </w:tr>
      <w:tr>
        <w:trPr>
          <w:trHeight w:val="216"/>
        </w:trPr>
        <w:tc>
          <w:tcPr>
            <w:tcW w:w="1700" w:type="dxa"/>
            <w:vAlign w:val="bottom"/>
            <w:shd w:val="clear" w:color="auto" w:fill="EEEEEE"/>
          </w:tcPr>
          <w:p>
            <w:pPr>
              <w:jc w:val="center"/>
              <w:ind w:left="450"/>
              <w:spacing w:after="0"/>
              <w:rPr>
                <w:sz w:val="20"/>
                <w:szCs w:val="20"/>
                <w:color w:val="auto"/>
              </w:rPr>
            </w:pPr>
            <w:r>
              <w:rPr>
                <w:rFonts w:ascii="Arial" w:cs="Arial" w:eastAsia="Arial" w:hAnsi="Arial"/>
                <w:sz w:val="18"/>
                <w:szCs w:val="18"/>
                <w:color w:val="auto"/>
                <w:w w:val="89"/>
              </w:rPr>
              <w:t>2014</w:t>
            </w:r>
          </w:p>
        </w:tc>
        <w:tc>
          <w:tcPr>
            <w:tcW w:w="3080" w:type="dxa"/>
            <w:vAlign w:val="bottom"/>
            <w:gridSpan w:val="3"/>
            <w:shd w:val="clear" w:color="auto" w:fill="EEEEEE"/>
          </w:tcPr>
          <w:p>
            <w:pPr>
              <w:jc w:val="center"/>
              <w:ind w:left="690"/>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923,000</w:t>
            </w:r>
          </w:p>
        </w:tc>
      </w:tr>
      <w:tr>
        <w:trPr>
          <w:trHeight w:val="216"/>
        </w:trPr>
        <w:tc>
          <w:tcPr>
            <w:tcW w:w="1700" w:type="dxa"/>
            <w:vAlign w:val="bottom"/>
          </w:tcPr>
          <w:p>
            <w:pPr>
              <w:jc w:val="center"/>
              <w:ind w:left="450"/>
              <w:spacing w:after="0"/>
              <w:rPr>
                <w:sz w:val="20"/>
                <w:szCs w:val="20"/>
                <w:color w:val="auto"/>
              </w:rPr>
            </w:pPr>
            <w:r>
              <w:rPr>
                <w:rFonts w:ascii="Arial" w:cs="Arial" w:eastAsia="Arial" w:hAnsi="Arial"/>
                <w:sz w:val="18"/>
                <w:szCs w:val="18"/>
                <w:color w:val="auto"/>
                <w:w w:val="89"/>
              </w:rPr>
              <w:t>2015</w:t>
            </w:r>
          </w:p>
        </w:tc>
        <w:tc>
          <w:tcPr>
            <w:tcW w:w="308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795,000</w:t>
            </w:r>
          </w:p>
        </w:tc>
      </w:tr>
      <w:tr>
        <w:trPr>
          <w:trHeight w:val="216"/>
        </w:trPr>
        <w:tc>
          <w:tcPr>
            <w:tcW w:w="1700" w:type="dxa"/>
            <w:vAlign w:val="bottom"/>
            <w:shd w:val="clear" w:color="auto" w:fill="EEEEEE"/>
          </w:tcPr>
          <w:p>
            <w:pPr>
              <w:jc w:val="center"/>
              <w:ind w:left="450"/>
              <w:spacing w:after="0"/>
              <w:rPr>
                <w:sz w:val="20"/>
                <w:szCs w:val="20"/>
                <w:color w:val="auto"/>
              </w:rPr>
            </w:pPr>
            <w:r>
              <w:rPr>
                <w:rFonts w:ascii="Arial" w:cs="Arial" w:eastAsia="Arial" w:hAnsi="Arial"/>
                <w:sz w:val="18"/>
                <w:szCs w:val="18"/>
                <w:color w:val="auto"/>
                <w:w w:val="89"/>
              </w:rPr>
              <w:t>2016</w:t>
            </w:r>
          </w:p>
        </w:tc>
        <w:tc>
          <w:tcPr>
            <w:tcW w:w="3080" w:type="dxa"/>
            <w:vAlign w:val="bottom"/>
            <w:gridSpan w:val="3"/>
            <w:shd w:val="clear" w:color="auto" w:fill="EEEEEE"/>
          </w:tcPr>
          <w:p>
            <w:pPr>
              <w:jc w:val="center"/>
              <w:ind w:left="690"/>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1,214,997</w:t>
            </w:r>
          </w:p>
        </w:tc>
      </w:tr>
    </w:tbl>
    <w:p>
      <w:pPr>
        <w:spacing w:after="0" w:line="20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From time to time we have also completed financings of our residual interests in other securitizations that we and our affiliates previously sponsored. As of December 31, 2015 we had one such residual interest financing outstanding, which was repaid in full in November 2016.</w:t>
      </w:r>
    </w:p>
    <w:p>
      <w:pPr>
        <w:spacing w:after="0" w:line="17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2016, extending the revolving period to August 2018, and adding an amortization period through August 2019. In April 2015, we entered into a $100 million facility, with a revolving period extending to April 2017, followed by an amortization period to April 2019. In November 2015, we entered into a third $100 million facility, with a revolving period extending to November 2017, followed by an amortization period to November 2019.</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33" w:name="page34"/>
    <w:bookmarkEnd w:id="33"/>
    <w:p>
      <w:pPr>
        <w:ind w:right="80" w:firstLine="36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Retained</w:t>
      </w:r>
    </w:p>
    <w:p>
      <w:pPr>
        <w:spacing w:after="0" w:line="229"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Whether a sale of automobile contracts in connection with a securitization or warehouse credit facility is treated as a secured financing or as a sale for financial accounting purposes, the related special-purpose subsidiary may be unable to release excess cash to us if the credit performance of the related automobile contracts falls short of pre-determined standards. Such releases represent a material portion of the cash that we use to fund our operations. An unexpected deterioration in the performance of such automobile contracts could therefore have a material adverse effect on both our liquidity and our results of operations, regardless of whether such automobile contracts are treated for financial accounting purposes as having been sold or as having been financed. For estimation of the magnitude of such risk, it may be appropriate to look to the size of our "managed portfolio," which represents both financed and sold automobile contracts as to which such credit risk is retained. Our managed portfolio as of December 31, 2016 was approximately $2,308.1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We believe that our accounting policies related to (a) Allowance for Finance Credit Losses, (b) Amortization of Deferred Origination Costs and Acquisition Fees, (c) Term Securitizations, (d) Accrual for Contingent Liabilities and (e) Income Taxes are the most critical to understanding and evaluating our reported financial results. Such policies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For each monthly pool of contracts that we originate, we begin establishing the allowance in the month of acquisition and increase it over the subsequent 11 months, through a provision for credit losses charged to our consolidated statement of operations, with the goal of establishing an allowance that approximates the next 12 months of expected net losses.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ind w:right="40" w:firstLine="360"/>
        <w:spacing w:after="0" w:line="257" w:lineRule="auto"/>
        <w:rPr>
          <w:sz w:val="20"/>
          <w:szCs w:val="20"/>
          <w:color w:val="auto"/>
        </w:rPr>
      </w:pPr>
      <w:r>
        <w:rPr>
          <w:rFonts w:ascii="Arial" w:cs="Arial" w:eastAsia="Arial" w:hAnsi="Arial"/>
          <w:sz w:val="18"/>
          <w:szCs w:val="18"/>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historical weighted average seasoning of our total owned portfolio excluding Fireside, is summarized in the table below:</w:t>
      </w:r>
    </w:p>
    <w:p>
      <w:pPr>
        <w:spacing w:after="0" w:line="184" w:lineRule="exact"/>
        <w:rPr>
          <w:sz w:val="20"/>
          <w:szCs w:val="20"/>
          <w:color w:val="auto"/>
        </w:rPr>
      </w:pPr>
    </w:p>
    <w:tbl>
      <w:tblPr>
        <w:tblLayout w:type="fixed"/>
        <w:tblInd w:w="334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 Average Age</w:t>
            </w:r>
          </w:p>
        </w:tc>
      </w:tr>
      <w:tr>
        <w:trPr>
          <w:trHeight w:val="216"/>
        </w:trPr>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in Months of Owned</w:t>
            </w:r>
          </w:p>
        </w:tc>
      </w:tr>
      <w:tr>
        <w:trPr>
          <w:trHeight w:val="234"/>
        </w:trPr>
        <w:tc>
          <w:tcPr>
            <w:tcW w:w="2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22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2009</w:t>
            </w:r>
          </w:p>
        </w:tc>
        <w:tc>
          <w:tcPr>
            <w:tcW w:w="220" w:type="dxa"/>
            <w:vAlign w:val="bottom"/>
            <w:tcBorders>
              <w:top w:val="single" w:sz="8" w:color="EEEEEE"/>
            </w:tcBorders>
            <w:shd w:val="clear" w:color="auto" w:fill="EEEEEE"/>
          </w:tcPr>
          <w:p>
            <w:pPr>
              <w:spacing w:after="0"/>
              <w:rPr>
                <w:sz w:val="18"/>
                <w:szCs w:val="18"/>
                <w:color w:val="auto"/>
              </w:rPr>
            </w:pPr>
          </w:p>
        </w:tc>
        <w:tc>
          <w:tcPr>
            <w:tcW w:w="23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333333"/>
                <w:w w:val="89"/>
              </w:rPr>
              <w:t>2010</w:t>
            </w:r>
          </w:p>
        </w:tc>
        <w:tc>
          <w:tcPr>
            <w:tcW w:w="2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2011</w:t>
            </w:r>
          </w:p>
        </w:tc>
        <w:tc>
          <w:tcPr>
            <w:tcW w:w="220" w:type="dxa"/>
            <w:vAlign w:val="bottom"/>
            <w:shd w:val="clear" w:color="auto" w:fill="EEEEEE"/>
          </w:tcPr>
          <w:p>
            <w:pPr>
              <w:spacing w:after="0"/>
              <w:rPr>
                <w:sz w:val="18"/>
                <w:szCs w:val="18"/>
                <w:color w:val="auto"/>
              </w:rPr>
            </w:pP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333333"/>
                <w:w w:val="89"/>
              </w:rPr>
              <w:t>2012</w:t>
            </w:r>
          </w:p>
        </w:tc>
        <w:tc>
          <w:tcPr>
            <w:tcW w:w="2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2013</w:t>
            </w:r>
          </w:p>
        </w:tc>
        <w:tc>
          <w:tcPr>
            <w:tcW w:w="220" w:type="dxa"/>
            <w:vAlign w:val="bottom"/>
            <w:shd w:val="clear" w:color="auto" w:fill="EEEEEE"/>
          </w:tcPr>
          <w:p>
            <w:pPr>
              <w:spacing w:after="0"/>
              <w:rPr>
                <w:sz w:val="18"/>
                <w:szCs w:val="18"/>
                <w:color w:val="auto"/>
              </w:rPr>
            </w:pP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333333"/>
                <w:w w:val="89"/>
              </w:rPr>
              <w:t>2014</w:t>
            </w:r>
          </w:p>
        </w:tc>
        <w:tc>
          <w:tcPr>
            <w:tcW w:w="2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220" w:type="dxa"/>
            <w:vAlign w:val="bottom"/>
            <w:shd w:val="clear" w:color="auto" w:fill="EEEEEE"/>
          </w:tcPr>
          <w:p>
            <w:pPr>
              <w:spacing w:after="0"/>
              <w:rPr>
                <w:sz w:val="18"/>
                <w:szCs w:val="18"/>
                <w:color w:val="auto"/>
              </w:rPr>
            </w:pP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16</w:t>
            </w:r>
          </w:p>
        </w:tc>
      </w:tr>
      <w:tr>
        <w:trPr>
          <w:trHeight w:val="230"/>
        </w:trPr>
        <w:tc>
          <w:tcPr>
            <w:tcW w:w="22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18</w:t>
            </w:r>
          </w:p>
        </w:tc>
      </w:tr>
    </w:tbl>
    <w:p>
      <w:pPr>
        <w:spacing w:after="0" w:line="187" w:lineRule="exact"/>
        <w:rPr>
          <w:sz w:val="20"/>
          <w:szCs w:val="20"/>
          <w:color w:val="auto"/>
        </w:rPr>
      </w:pPr>
    </w:p>
    <w:p>
      <w:pPr>
        <w:ind w:right="560" w:firstLine="360"/>
        <w:spacing w:after="0" w:line="264" w:lineRule="auto"/>
        <w:rPr>
          <w:sz w:val="20"/>
          <w:szCs w:val="20"/>
          <w:color w:val="auto"/>
        </w:rPr>
      </w:pPr>
      <w:r>
        <w:rPr>
          <w:rFonts w:ascii="Arial" w:cs="Arial" w:eastAsia="Arial" w:hAnsi="Arial"/>
          <w:sz w:val="18"/>
          <w:szCs w:val="18"/>
          <w:color w:val="auto"/>
        </w:rPr>
        <w:t>The credit performance of our portfolio is also significantly influenced by our underwriting guidelines and credit criteria we use when evaluating contracts for purchase from dealers. We regularly evaluate our portfolio credit performance and modify our purchase criteria to maximize the credit performance of our portfolio, while maintaining competitive programs and levels of service for our dealers.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Upon purchase of a contract from a dealer, we generally either charge or advance the dealer an acquisition fee. In addition, we incur certain direct costs associated with acquisitions of our contracts. All such acquisition fees and direct costs are applied to the carrying value of finance receivables and are accreted into earnings as an adjustment to the yield over the estimated life of the contract using the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w:t>
      </w:r>
    </w:p>
    <w:p>
      <w:pPr>
        <w:spacing w:after="0" w:line="178"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35" w:name="page36"/>
    <w:bookmarkEnd w:id="35"/>
    <w:p>
      <w:pPr>
        <w:ind w:right="20" w:firstLine="360"/>
        <w:spacing w:after="0" w:line="257" w:lineRule="auto"/>
        <w:rPr>
          <w:sz w:val="20"/>
          <w:szCs w:val="20"/>
          <w:color w:val="auto"/>
        </w:rPr>
      </w:pPr>
      <w:r>
        <w:rPr>
          <w:rFonts w:ascii="Arial" w:cs="Arial" w:eastAsia="Arial" w:hAnsi="Arial"/>
          <w:sz w:val="18"/>
          <w:szCs w:val="18"/>
          <w:color w:val="auto"/>
        </w:rPr>
        <w:t>Our September 2008 securitization and the subsequent re-securitization of the remaining receivables from such transaction in September 2010 were each in substance sales of the underlying receivables, and have been treated as sales for financial accounting purposes. They differ from those treated as secured financings in that the trust to which our special-purpose subsidiaries sold the automobile contracts met the definition of a "qualified special-purpose entity" under Statement of Financial Accounting Standards No. 140 (ASC 860). As a result, assets and liabilities of those trusts are not consolidated into our consolidated balance sheet.</w:t>
      </w:r>
    </w:p>
    <w:p>
      <w:pPr>
        <w:spacing w:after="0" w:line="188"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Our warehouse credit facility structures are similar to the above, except that (i) our special-purpose subsidiaries that purchase the automobile contracts pledge the automobile contracts to secure promissory notes that they issue, and (ii) no increase in the required amount of internal credit enhancement is contemplated. Our current maximum revolving warehouse financing capacity is $300 million.</w:t>
      </w:r>
    </w:p>
    <w:p>
      <w:pPr>
        <w:spacing w:after="0" w:line="181"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Upon each transfer of automobile contracts in a transaction structured as a secured financing for financial accounting purposes, whether a term securitization or a warehouse financing, we retain on our consolidated balance sheet the related automobile contracts as assets and record the asset-backed notes or loans issued in the transaction as indebtedness.</w:t>
      </w:r>
    </w:p>
    <w:p>
      <w:pPr>
        <w:spacing w:after="0" w:line="18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66"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69"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have recorded a liability as of December 31, 2016, which represents our best estimate of probable incurred losses for legal contingencies at that date.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2016, and in excess of the liability we have recorded, does not exceed $1 million.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6" w:name="page37"/>
    <w:bookmarkEnd w:id="36"/>
    <w:p>
      <w:pPr>
        <w:ind w:right="20" w:firstLine="360"/>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w:t>
      </w:r>
    </w:p>
    <w:p>
      <w:pPr>
        <w:spacing w:after="0" w:line="18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net deferred tax asset of $42.8 million consists of approximately $36.3 million of net U.S. federal deferred tax assets and $6.5 million of net state deferred tax assets. The major components of the deferred tax asset are $10.6 million in net operating loss carryforwards and built in losses and $31.3 million in net deductions which have not yet been taken on a tax return.</w:t>
      </w:r>
    </w:p>
    <w:p>
      <w:pPr>
        <w:spacing w:after="0" w:line="18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As of December 31, 2016, we had net operating loss carryforwards for state income tax purposes of $56.6 million. These state net operating losses begin to expire in 2017.</w:t>
      </w:r>
    </w:p>
    <w:p>
      <w:pPr>
        <w:spacing w:after="0" w:line="17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in particular under the subheading "Risk Factors – Forward-Looking Statements" may affect whether such projections prove to be correct.</w:t>
      </w:r>
    </w:p>
    <w:p>
      <w:pPr>
        <w:spacing w:after="0" w:line="189"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We depend upon the availability of warehouse credit facilities and access to long-term financing through the issuance of asset-backed securities collateralized by our automobile contracts. Since 1994, we have completed 72 term securitizations of approximately $11.4 billion in contracts. 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September 2009 we have established new funding facilities and gradually increased our contract purchases and the frequency and amount of our term securitizations.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right="220" w:firstLine="360"/>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2016 we were in compliance with all such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2016 with the year ended December 31, 2015</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year ended December 31, 2016, our revenues were $422.3 million, an increase of $58.6 million, or 16.1%, from the prior year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of $363.7 million. The primary reason for the increase in revenues is an increase in interest income. Interest income for the year ended December 31, 2016 increased $59.1 million, or 16.9%, to $409.0 million from $349.9 million in the prior year. The primary reason for the increase in interest income is the increase in finance receivables held by consolidated subsidiaries, which increased from $2,031.1 million at December 31, 2015 to $2,307.9 million at December 31, 2016. The table below shows the average balances of our portfolio held by consolidated subsidiaries for the year ended December 31, 2016 and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3"/>
              </w:rPr>
              <w:t>Average Balances for the Year Ended</w:t>
            </w:r>
          </w:p>
        </w:tc>
        <w:tc>
          <w:tcPr>
            <w:tcW w:w="0" w:type="dxa"/>
            <w:vAlign w:val="bottom"/>
          </w:tcPr>
          <w:p>
            <w:pPr>
              <w:spacing w:after="0"/>
              <w:rPr>
                <w:sz w:val="1"/>
                <w:szCs w:val="1"/>
                <w:color w:val="auto"/>
              </w:rPr>
            </w:pPr>
          </w:p>
        </w:tc>
      </w:tr>
      <w:tr>
        <w:trPr>
          <w:trHeight w:val="191"/>
        </w:trPr>
        <w:tc>
          <w:tcPr>
            <w:tcW w:w="66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66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8"/>
              </w:rPr>
              <w:t>Finance Receivables Owned by</w:t>
            </w:r>
          </w:p>
        </w:tc>
        <w:tc>
          <w:tcPr>
            <w:tcW w:w="18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91"/>
        </w:trPr>
        <w:tc>
          <w:tcPr>
            <w:tcW w:w="664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gridSpan w:val="5"/>
          </w:tcPr>
          <w:p>
            <w:pPr>
              <w:jc w:val="right"/>
              <w:ind w:right="1130"/>
              <w:spacing w:after="0" w:line="191" w:lineRule="exact"/>
              <w:rPr>
                <w:sz w:val="20"/>
                <w:szCs w:val="20"/>
                <w:color w:val="auto"/>
              </w:rPr>
            </w:pPr>
            <w:r>
              <w:rPr>
                <w:rFonts w:ascii="Arial" w:cs="Arial" w:eastAsia="Arial" w:hAnsi="Arial"/>
                <w:sz w:val="18"/>
                <w:szCs w:val="18"/>
                <w:b w:val="1"/>
                <w:bCs w:val="1"/>
                <w:color w:val="auto"/>
              </w:rPr>
              <w:t>($ in millions)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Consolidated Subsidiaries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CPS Originated Receivables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2,225.9</w:t>
            </w:r>
          </w:p>
        </w:tc>
        <w:tc>
          <w:tcPr>
            <w:tcW w:w="1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1,844.5</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Fireside</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2,225.9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1,844.9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Other income decreased by $452,000, or 3.3%, to $13.3 million in the year ended December 31, 2016 from $13.7 million during the prior year. The decrease consists of an decrease of $532,000 in servicing fees and recoveries we earn on portfolios we service for third parties and a decrease of $465,000 in payments from third-party providers of convenience fees paid by our customers for web based and other electronic payments. The decreases were somewhat offset by increases of $275,000 associated with direct mail and other related products and services that we offer to our dealers and an increase of $195,000 in sales tax refunds.</w:t>
      </w:r>
    </w:p>
    <w:p>
      <w:pPr>
        <w:spacing w:after="0" w:line="18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58"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Total operating expenses were $372.6 million for the year ended December 31, 2016, compared to $302.3 million for the prior year, an increase of $70.4 million, or 23.3%. The increase is primarily due to the increase in the amount of new contracts we purchased, the resulting increase in our consolidated portfolio and associated interest expense, servicing costs, and the related increase in our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8" w:name="page39"/>
    <w:bookmarkEnd w:id="38"/>
    <w:p>
      <w:pPr>
        <w:ind w:right="40" w:firstLine="360"/>
        <w:spacing w:after="0" w:line="257" w:lineRule="auto"/>
        <w:rPr>
          <w:sz w:val="20"/>
          <w:szCs w:val="20"/>
          <w:color w:val="auto"/>
        </w:rPr>
      </w:pPr>
      <w:r>
        <w:rPr>
          <w:rFonts w:ascii="Arial" w:cs="Arial" w:eastAsia="Arial" w:hAnsi="Arial"/>
          <w:sz w:val="18"/>
          <w:szCs w:val="18"/>
          <w:color w:val="auto"/>
        </w:rPr>
        <w:t>Employee costs increased by $6.0 million or 10.1%, to $65.5 million during the year ended December 31, 2016, representing 17.6% of total operating expenses, from $59.6 million for the prior year, or 19.7% of total operating expenses. Since 2010, we have added employees in our Originations and Marketing departments to accommodate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years ended, December 31, 2016 and 2015:</w:t>
      </w:r>
    </w:p>
    <w:p>
      <w:pPr>
        <w:spacing w:after="0" w:line="184"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1,088.8</w:t>
            </w: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66,527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2,308.1</w:t>
            </w: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2,031.1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169,720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30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$24.8 million, an increase of $4.7 million, or 23.2%, compared to the previous year and represented 6.7% of total operating expenses.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expense for the year ended December 31, 2016 increased by $22.2 million to $79.9 million, or 38.4%, compared to $57.7 million in the previous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Interest on securitization trust debt increased by $20.5 million, or 42.3%, for the year ended December 31, 2016 compared to the prior year. The average balance of securitization trust debt increased 22.2% to $2,075.1 million at December 31, 2016 compared to $1,698.8 million at December 31, 2015. In addition, the blended interest rates on our term securitizations have generally increased since June 2014. As a result, the cost of securitization debt during the year ended December 31, 2016 was 3.3%, compared to 2.9%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3040" w:type="dxa"/>
        <w:tblCellMar>
          <w:top w:w="0" w:type="dxa"/>
          <w:left w:w="0" w:type="dxa"/>
          <w:bottom w:w="0" w:type="dxa"/>
          <w:right w:w="0" w:type="dxa"/>
        </w:tblCellMar>
      </w:tblPr>
      <w:tr>
        <w:trPr>
          <w:trHeight w:val="234"/>
        </w:trPr>
        <w:tc>
          <w:tcPr>
            <w:tcW w:w="30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9"/>
              </w:rPr>
              <w:t>Period</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2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7"/>
              </w:rPr>
              <w:t>June 2014</w:t>
            </w:r>
          </w:p>
        </w:tc>
        <w:tc>
          <w:tcPr>
            <w:tcW w:w="780" w:type="dxa"/>
            <w:vAlign w:val="bottom"/>
            <w:tcBorders>
              <w:top w:val="single" w:sz="8" w:color="EEEEEE"/>
            </w:tcBorders>
            <w:shd w:val="clear" w:color="auto" w:fill="EEEEEE"/>
          </w:tcPr>
          <w:p>
            <w:pPr>
              <w:spacing w:after="0"/>
              <w:rPr>
                <w:sz w:val="18"/>
                <w:szCs w:val="18"/>
                <w:color w:val="auto"/>
              </w:rPr>
            </w:pPr>
          </w:p>
        </w:tc>
        <w:tc>
          <w:tcPr>
            <w:tcW w:w="23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2.37%</w:t>
            </w:r>
          </w:p>
        </w:tc>
      </w:tr>
      <w:tr>
        <w:trPr>
          <w:trHeight w:val="216"/>
        </w:trPr>
        <w:tc>
          <w:tcPr>
            <w:tcW w:w="3060" w:type="dxa"/>
            <w:vAlign w:val="bottom"/>
            <w:gridSpan w:val="2"/>
          </w:tcPr>
          <w:p>
            <w:pPr>
              <w:jc w:val="center"/>
              <w:ind w:right="800"/>
              <w:spacing w:after="0"/>
              <w:rPr>
                <w:sz w:val="20"/>
                <w:szCs w:val="20"/>
                <w:color w:val="auto"/>
              </w:rPr>
            </w:pPr>
            <w:r>
              <w:rPr>
                <w:rFonts w:ascii="Arial" w:cs="Arial" w:eastAsia="Arial" w:hAnsi="Arial"/>
                <w:sz w:val="18"/>
                <w:szCs w:val="18"/>
                <w:color w:val="333333"/>
                <w:w w:val="88"/>
              </w:rPr>
              <w:t>September 2014</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2.71%</w:t>
            </w:r>
          </w:p>
        </w:tc>
      </w:tr>
      <w:tr>
        <w:trPr>
          <w:trHeight w:val="216"/>
        </w:trPr>
        <w:tc>
          <w:tcPr>
            <w:tcW w:w="3060" w:type="dxa"/>
            <w:vAlign w:val="bottom"/>
            <w:gridSpan w:val="2"/>
            <w:shd w:val="clear" w:color="auto" w:fill="EEEEEE"/>
          </w:tcPr>
          <w:p>
            <w:pPr>
              <w:jc w:val="center"/>
              <w:ind w:right="800"/>
              <w:spacing w:after="0"/>
              <w:rPr>
                <w:sz w:val="20"/>
                <w:szCs w:val="20"/>
                <w:color w:val="auto"/>
              </w:rPr>
            </w:pPr>
            <w:r>
              <w:rPr>
                <w:rFonts w:ascii="Arial" w:cs="Arial" w:eastAsia="Arial" w:hAnsi="Arial"/>
                <w:sz w:val="18"/>
                <w:szCs w:val="18"/>
                <w:color w:val="333333"/>
                <w:w w:val="88"/>
              </w:rPr>
              <w:t>December 2014</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3.07%</w:t>
            </w:r>
          </w:p>
        </w:tc>
      </w:tr>
      <w:tr>
        <w:trPr>
          <w:trHeight w:val="216"/>
        </w:trPr>
        <w:tc>
          <w:tcPr>
            <w:tcW w:w="3060" w:type="dxa"/>
            <w:vAlign w:val="bottom"/>
            <w:gridSpan w:val="2"/>
          </w:tcPr>
          <w:p>
            <w:pPr>
              <w:jc w:val="center"/>
              <w:ind w:right="780"/>
              <w:spacing w:after="0"/>
              <w:rPr>
                <w:sz w:val="20"/>
                <w:szCs w:val="20"/>
                <w:color w:val="auto"/>
              </w:rPr>
            </w:pPr>
            <w:r>
              <w:rPr>
                <w:rFonts w:ascii="Arial" w:cs="Arial" w:eastAsia="Arial" w:hAnsi="Arial"/>
                <w:sz w:val="18"/>
                <w:szCs w:val="18"/>
                <w:color w:val="333333"/>
                <w:w w:val="92"/>
              </w:rPr>
              <w:t>March 2015</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3.04%</w:t>
            </w:r>
          </w:p>
        </w:tc>
      </w:tr>
      <w:tr>
        <w:trPr>
          <w:trHeight w:val="216"/>
        </w:trPr>
        <w:tc>
          <w:tcPr>
            <w:tcW w:w="3060" w:type="dxa"/>
            <w:vAlign w:val="bottom"/>
            <w:gridSpan w:val="2"/>
            <w:shd w:val="clear" w:color="auto" w:fill="EEEEEE"/>
          </w:tcPr>
          <w:p>
            <w:pPr>
              <w:jc w:val="center"/>
              <w:ind w:right="800"/>
              <w:spacing w:after="0"/>
              <w:rPr>
                <w:sz w:val="20"/>
                <w:szCs w:val="20"/>
                <w:color w:val="auto"/>
              </w:rPr>
            </w:pPr>
            <w:r>
              <w:rPr>
                <w:rFonts w:ascii="Arial" w:cs="Arial" w:eastAsia="Arial" w:hAnsi="Arial"/>
                <w:sz w:val="18"/>
                <w:szCs w:val="18"/>
                <w:color w:val="333333"/>
                <w:w w:val="87"/>
              </w:rPr>
              <w:t>June 2015</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3.18%</w:t>
            </w:r>
          </w:p>
        </w:tc>
      </w:tr>
      <w:tr>
        <w:trPr>
          <w:trHeight w:val="216"/>
        </w:trPr>
        <w:tc>
          <w:tcPr>
            <w:tcW w:w="3060" w:type="dxa"/>
            <w:vAlign w:val="bottom"/>
            <w:gridSpan w:val="2"/>
          </w:tcPr>
          <w:p>
            <w:pPr>
              <w:jc w:val="center"/>
              <w:ind w:right="800"/>
              <w:spacing w:after="0"/>
              <w:rPr>
                <w:sz w:val="20"/>
                <w:szCs w:val="20"/>
                <w:color w:val="auto"/>
              </w:rPr>
            </w:pPr>
            <w:r>
              <w:rPr>
                <w:rFonts w:ascii="Arial" w:cs="Arial" w:eastAsia="Arial" w:hAnsi="Arial"/>
                <w:sz w:val="18"/>
                <w:szCs w:val="18"/>
                <w:color w:val="333333"/>
                <w:w w:val="88"/>
              </w:rPr>
              <w:t>September 2015</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3.78%</w:t>
            </w:r>
          </w:p>
        </w:tc>
      </w:tr>
      <w:tr>
        <w:trPr>
          <w:trHeight w:val="216"/>
        </w:trPr>
        <w:tc>
          <w:tcPr>
            <w:tcW w:w="306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333333"/>
                <w:w w:val="87"/>
              </w:rPr>
              <w:t>January 2016</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4.34%</w:t>
            </w:r>
          </w:p>
        </w:tc>
      </w:tr>
      <w:tr>
        <w:trPr>
          <w:trHeight w:val="216"/>
        </w:trPr>
        <w:tc>
          <w:tcPr>
            <w:tcW w:w="3060" w:type="dxa"/>
            <w:vAlign w:val="bottom"/>
            <w:gridSpan w:val="2"/>
          </w:tcPr>
          <w:p>
            <w:pPr>
              <w:jc w:val="center"/>
              <w:ind w:right="800"/>
              <w:spacing w:after="0"/>
              <w:rPr>
                <w:sz w:val="20"/>
                <w:szCs w:val="20"/>
                <w:color w:val="auto"/>
              </w:rPr>
            </w:pPr>
            <w:r>
              <w:rPr>
                <w:rFonts w:ascii="Arial" w:cs="Arial" w:eastAsia="Arial" w:hAnsi="Arial"/>
                <w:sz w:val="18"/>
                <w:szCs w:val="18"/>
                <w:color w:val="333333"/>
                <w:w w:val="96"/>
              </w:rPr>
              <w:t>April 2016</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4.65%</w:t>
            </w:r>
          </w:p>
        </w:tc>
      </w:tr>
      <w:tr>
        <w:trPr>
          <w:trHeight w:val="216"/>
        </w:trPr>
        <w:tc>
          <w:tcPr>
            <w:tcW w:w="3060" w:type="dxa"/>
            <w:vAlign w:val="bottom"/>
            <w:gridSpan w:val="2"/>
            <w:shd w:val="clear" w:color="auto" w:fill="EEEEEE"/>
          </w:tcPr>
          <w:p>
            <w:pPr>
              <w:jc w:val="center"/>
              <w:ind w:right="800"/>
              <w:spacing w:after="0"/>
              <w:rPr>
                <w:sz w:val="20"/>
                <w:szCs w:val="20"/>
                <w:color w:val="auto"/>
              </w:rPr>
            </w:pPr>
            <w:r>
              <w:rPr>
                <w:rFonts w:ascii="Arial" w:cs="Arial" w:eastAsia="Arial" w:hAnsi="Arial"/>
                <w:sz w:val="18"/>
                <w:szCs w:val="18"/>
                <w:color w:val="auto"/>
                <w:w w:val="90"/>
              </w:rPr>
              <w:t>July 2016</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4.48%</w:t>
            </w:r>
          </w:p>
        </w:tc>
      </w:tr>
      <w:tr>
        <w:trPr>
          <w:trHeight w:val="230"/>
        </w:trPr>
        <w:tc>
          <w:tcPr>
            <w:tcW w:w="3060" w:type="dxa"/>
            <w:vAlign w:val="bottom"/>
            <w:gridSpan w:val="2"/>
          </w:tcPr>
          <w:p>
            <w:pPr>
              <w:jc w:val="center"/>
              <w:ind w:right="800"/>
              <w:spacing w:after="0"/>
              <w:rPr>
                <w:sz w:val="20"/>
                <w:szCs w:val="20"/>
                <w:color w:val="auto"/>
              </w:rPr>
            </w:pPr>
            <w:r>
              <w:rPr>
                <w:rFonts w:ascii="Arial" w:cs="Arial" w:eastAsia="Arial" w:hAnsi="Arial"/>
                <w:sz w:val="18"/>
                <w:szCs w:val="18"/>
                <w:color w:val="auto"/>
                <w:w w:val="89"/>
              </w:rPr>
              <w:t>October 2016</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3.66%</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ind w:right="60" w:firstLine="360"/>
        <w:spacing w:after="0" w:line="264" w:lineRule="auto"/>
        <w:rPr>
          <w:sz w:val="20"/>
          <w:szCs w:val="20"/>
          <w:color w:val="auto"/>
        </w:rPr>
      </w:pPr>
      <w:r>
        <w:rPr>
          <w:rFonts w:ascii="Arial" w:cs="Arial" w:eastAsia="Arial" w:hAnsi="Arial"/>
          <w:sz w:val="18"/>
          <w:szCs w:val="18"/>
          <w:color w:val="auto"/>
        </w:rPr>
        <w:t>Interest expense on our subordinated debt decreased by $234,000, or 14.8%, for the year ended December 31, 2016 compared to the prior year. The reduction was the result of our decreasing the average interest rate on our subordinated renewable notes from 10.5% for the year ended December 31, 2015 to 8.9% for the year ended December 31, 2016.</w:t>
      </w:r>
    </w:p>
    <w:p>
      <w:pPr>
        <w:spacing w:after="0" w:line="181"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Interest expense on residual interest financing decreased $559,000, or 39.7% in the year ended December 31, 2016 compared to the prior year. The decrease is due to the repayments on that facility during the year, including repayment in full in November 2016.</w:t>
      </w:r>
    </w:p>
    <w:p>
      <w:pPr>
        <w:spacing w:after="0" w:line="170"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Interest expense on warehouse lines of credit increased by $2.4 million, or 39.9% for the year ended December 31, 2016 compared to the prior year. The increase is due primarily to greater utilization of our warehouse lines in 2016 compared to 2015 as a result of our change from conducting our term securitizations primarily at the beginning of the calendar quarter in 2016 rather than at the end of the calendar quarter as we did in 2015.</w:t>
      </w:r>
    </w:p>
    <w:p>
      <w:pPr>
        <w:spacing w:after="0" w:line="166"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2016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2200" w:type="dxa"/>
            <w:vAlign w:val="bottom"/>
            <w:tcBorders>
              <w:top w:val="single" w:sz="8" w:color="EEEEEE"/>
            </w:tcBorders>
            <w:gridSpan w:val="3"/>
            <w:shd w:val="clear" w:color="auto" w:fill="EEEEEE"/>
          </w:tcPr>
          <w:p>
            <w:pPr>
              <w:jc w:val="center"/>
              <w:ind w:right="400"/>
              <w:spacing w:after="0" w:line="170" w:lineRule="exact"/>
              <w:rPr>
                <w:sz w:val="20"/>
                <w:szCs w:val="20"/>
                <w:color w:val="auto"/>
              </w:rPr>
            </w:pPr>
            <w:r>
              <w:rPr>
                <w:rFonts w:ascii="Arial" w:cs="Arial" w:eastAsia="Arial" w:hAnsi="Arial"/>
                <w:sz w:val="18"/>
                <w:szCs w:val="18"/>
                <w:b w:val="1"/>
                <w:bCs w:val="1"/>
                <w:color w:val="auto"/>
                <w:w w:val="89"/>
              </w:rPr>
              <w:t>Interest Earning Assets</w:t>
            </w:r>
          </w:p>
        </w:tc>
        <w:tc>
          <w:tcPr>
            <w:tcW w:w="18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6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80" w:type="dxa"/>
            <w:vAlign w:val="bottom"/>
            <w:tcBorders>
              <w:top w:val="single" w:sz="8" w:color="auto"/>
            </w:tcBorders>
            <w:shd w:val="clear" w:color="auto" w:fill="EEEEEE"/>
          </w:tcPr>
          <w:p>
            <w:pPr>
              <w:spacing w:after="0"/>
              <w:rPr>
                <w:sz w:val="14"/>
                <w:szCs w:val="14"/>
                <w:color w:val="auto"/>
              </w:rPr>
            </w:pPr>
          </w:p>
        </w:tc>
        <w:tc>
          <w:tcPr>
            <w:tcW w:w="360" w:type="dxa"/>
            <w:vAlign w:val="bottom"/>
            <w:tcBorders>
              <w:top w:val="single" w:sz="8" w:color="EEEEEE"/>
            </w:tcBorders>
            <w:shd w:val="clear" w:color="auto" w:fill="EEEEEE"/>
          </w:tcPr>
          <w:p>
            <w:pPr>
              <w:spacing w:after="0"/>
              <w:rPr>
                <w:sz w:val="14"/>
                <w:szCs w:val="14"/>
                <w:color w:val="auto"/>
              </w:rPr>
            </w:pPr>
          </w:p>
        </w:tc>
        <w:tc>
          <w:tcPr>
            <w:tcW w:w="11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2,188,852</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408,996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1,819,071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349,912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5"/>
          </w:tcPr>
          <w:p>
            <w:pPr>
              <w:jc w:val="center"/>
              <w:ind w:right="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76,208</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8,569</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62,104</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6,127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6,413</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846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10,948</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2,075,127</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69,178</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1,698,777</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48,631</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15,062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1,348</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15,102</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vMerge w:val="restart"/>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48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2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8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vMerge w:val="continue"/>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2,172,810</w:t>
            </w:r>
          </w:p>
        </w:tc>
        <w:tc>
          <w:tcPr>
            <w:tcW w:w="3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340" w:type="dxa"/>
            <w:vAlign w:val="bottom"/>
            <w:tcBorders>
              <w:bottom w:val="single" w:sz="8" w:color="EEEEEE"/>
            </w:tcBorders>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79,941</w:t>
            </w:r>
          </w:p>
        </w:tc>
        <w:tc>
          <w:tcPr>
            <w:tcW w:w="1480" w:type="dxa"/>
            <w:vAlign w:val="bottom"/>
            <w:tcBorders>
              <w:bottom w:val="single" w:sz="8" w:color="EEEEEE"/>
            </w:tcBorders>
            <w:gridSpan w:val="2"/>
            <w:vMerge w:val="continue"/>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1,786,931</w:t>
            </w:r>
          </w:p>
        </w:tc>
        <w:tc>
          <w:tcPr>
            <w:tcW w:w="320" w:type="dxa"/>
            <w:vAlign w:val="bottom"/>
            <w:tcBorders>
              <w:bottom w:val="single" w:sz="8" w:color="EEEEEE"/>
            </w:tcBorders>
            <w:vMerge w:val="continue"/>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280" w:type="dxa"/>
            <w:vAlign w:val="bottom"/>
            <w:tcBorders>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57,745</w:t>
            </w:r>
          </w:p>
        </w:tc>
        <w:tc>
          <w:tcPr>
            <w:tcW w:w="1240" w:type="dxa"/>
            <w:vAlign w:val="bottom"/>
            <w:tcBorders>
              <w:bottom w:val="single" w:sz="8" w:color="EEEEEE"/>
            </w:tcBorders>
            <w:gridSpan w:val="2"/>
            <w:vMerge w:val="continue"/>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gridSpan w:val="6"/>
            <w:vMerge w:val="restart"/>
          </w:tcPr>
          <w:p>
            <w:pPr>
              <w:spacing w:after="0"/>
              <w:rPr>
                <w:sz w:val="20"/>
                <w:szCs w:val="20"/>
                <w:color w:val="auto"/>
              </w:rPr>
            </w:pPr>
            <w:r>
              <w:rPr>
                <w:rFonts w:ascii="Arial" w:cs="Arial" w:eastAsia="Arial" w:hAnsi="Arial"/>
                <w:sz w:val="18"/>
                <w:szCs w:val="18"/>
                <w:color w:val="auto"/>
              </w:rPr>
              <w:t>Net interest income/spread</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60" w:type="dxa"/>
            <w:vAlign w:val="bottom"/>
            <w:gridSpan w:val="6"/>
            <w:vMerge w:val="continue"/>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329,055</w:t>
            </w: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292,167</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40" w:type="dxa"/>
            <w:vAlign w:val="bottom"/>
            <w:tcBorders>
              <w:top w:val="single" w:sz="8" w:color="EEEEEE"/>
            </w:tcBorders>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margin (3)</w:t>
            </w:r>
          </w:p>
        </w:tc>
        <w:tc>
          <w:tcPr>
            <w:tcW w:w="18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06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360" w:type="dxa"/>
            <w:vAlign w:val="bottom"/>
            <w:tcBorders>
              <w:top w:val="single" w:sz="8" w:color="EEEEEE"/>
            </w:tcBorders>
            <w:shd w:val="clear" w:color="auto" w:fill="EEEEEE"/>
          </w:tcPr>
          <w:p>
            <w:pPr>
              <w:spacing w:after="0"/>
              <w:rPr>
                <w:sz w:val="17"/>
                <w:szCs w:val="17"/>
                <w:color w:val="auto"/>
              </w:rPr>
            </w:pPr>
          </w:p>
        </w:tc>
        <w:tc>
          <w:tcPr>
            <w:tcW w:w="1480" w:type="dxa"/>
            <w:vAlign w:val="bottom"/>
            <w:tcBorders>
              <w:top w:val="single" w:sz="8" w:color="EEEEEE"/>
            </w:tcBorders>
            <w:gridSpan w:val="2"/>
            <w:shd w:val="clear" w:color="auto" w:fill="EEEEEE"/>
          </w:tcPr>
          <w:p>
            <w:pPr>
              <w:jc w:val="right"/>
              <w:ind w:right="320"/>
              <w:spacing w:after="0" w:line="196" w:lineRule="exact"/>
              <w:rPr>
                <w:sz w:val="20"/>
                <w:szCs w:val="20"/>
                <w:color w:val="auto"/>
              </w:rPr>
            </w:pPr>
            <w:r>
              <w:rPr>
                <w:rFonts w:ascii="Arial" w:cs="Arial" w:eastAsia="Arial" w:hAnsi="Arial"/>
                <w:sz w:val="18"/>
                <w:szCs w:val="18"/>
                <w:color w:val="auto"/>
              </w:rPr>
              <w:t>15.0%</w:t>
            </w:r>
          </w:p>
        </w:tc>
        <w:tc>
          <w:tcPr>
            <w:tcW w:w="12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240" w:type="dxa"/>
            <w:vAlign w:val="bottom"/>
            <w:tcBorders>
              <w:top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gridSpan w:val="5"/>
          </w:tcPr>
          <w:p>
            <w:pPr>
              <w:spacing w:after="0" w:line="201" w:lineRule="exact"/>
              <w:rPr>
                <w:sz w:val="20"/>
                <w:szCs w:val="20"/>
                <w:color w:val="auto"/>
              </w:rPr>
            </w:pPr>
            <w:r>
              <w:rPr>
                <w:rFonts w:ascii="Arial" w:cs="Arial" w:eastAsia="Arial" w:hAnsi="Arial"/>
                <w:sz w:val="18"/>
                <w:szCs w:val="18"/>
                <w:color w:val="auto"/>
                <w:w w:val="96"/>
              </w:rPr>
              <w:t>Ratio of average interest earning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ind w:left="160"/>
              <w:spacing w:after="0"/>
              <w:rPr>
                <w:sz w:val="20"/>
                <w:szCs w:val="20"/>
                <w:color w:val="auto"/>
              </w:rPr>
            </w:pPr>
            <w:r>
              <w:rPr>
                <w:rFonts w:ascii="Arial" w:cs="Arial" w:eastAsia="Arial" w:hAnsi="Arial"/>
                <w:sz w:val="18"/>
                <w:szCs w:val="18"/>
                <w:color w:val="auto"/>
              </w:rPr>
              <w:t>assets to average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gridSpan w:val="5"/>
          </w:tcPr>
          <w:p>
            <w:pPr>
              <w:ind w:left="160"/>
              <w:spacing w:after="0"/>
              <w:rPr>
                <w:sz w:val="20"/>
                <w:szCs w:val="20"/>
                <w:color w:val="auto"/>
              </w:rPr>
            </w:pPr>
            <w:r>
              <w:rPr>
                <w:rFonts w:ascii="Arial" w:cs="Arial" w:eastAsia="Arial" w:hAnsi="Arial"/>
                <w:sz w:val="18"/>
                <w:szCs w:val="18"/>
                <w:color w:val="auto"/>
              </w:rPr>
              <w:t>bearing liabilities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00" w:hanging="232"/>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Average balances are based on month end balances except for warehouse lines of credit, which are based on daily balances.</w:t>
      </w:r>
    </w:p>
    <w:p>
      <w:pPr>
        <w:ind w:left="600" w:hanging="232"/>
        <w:spacing w:after="0" w:line="221" w:lineRule="auto"/>
        <w:tabs>
          <w:tab w:leader="none" w:pos="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600" w:hanging="232"/>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interest income divided by average interest earning assets.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80" w:type="dxa"/>
            <w:vAlign w:val="bottom"/>
            <w:gridSpan w:val="7"/>
          </w:tcPr>
          <w:p>
            <w:pPr>
              <w:jc w:val="center"/>
              <w:ind w:left="850"/>
              <w:spacing w:after="0"/>
              <w:rPr>
                <w:sz w:val="20"/>
                <w:szCs w:val="20"/>
                <w:color w:val="auto"/>
              </w:rPr>
            </w:pPr>
            <w:r>
              <w:rPr>
                <w:rFonts w:ascii="Arial" w:cs="Arial" w:eastAsia="Arial" w:hAnsi="Arial"/>
                <w:sz w:val="18"/>
                <w:szCs w:val="18"/>
                <w:b w:val="1"/>
                <w:bCs w:val="1"/>
                <w:color w:val="auto"/>
                <w:w w:val="90"/>
              </w:rPr>
              <w:t>Year Ended December 31, 2016</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6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Compared to December 31, 2015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700"/>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to Volume</w:t>
            </w:r>
          </w:p>
        </w:tc>
        <w:tc>
          <w:tcPr>
            <w:tcW w:w="18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780" w:type="dxa"/>
            <w:vAlign w:val="bottom"/>
            <w:gridSpan w:val="4"/>
            <w:vMerge w:val="restart"/>
          </w:tcPr>
          <w:p>
            <w:pPr>
              <w:jc w:val="center"/>
              <w:ind w:right="740"/>
              <w:spacing w:after="0"/>
              <w:rPr>
                <w:sz w:val="20"/>
                <w:szCs w:val="20"/>
                <w:color w:val="auto"/>
              </w:rPr>
            </w:pPr>
            <w:r>
              <w:rPr>
                <w:rFonts w:ascii="Arial" w:cs="Arial" w:eastAsia="Arial" w:hAnsi="Arial"/>
                <w:sz w:val="18"/>
                <w:szCs w:val="18"/>
                <w:b w:val="1"/>
                <w:bCs w:val="1"/>
                <w:color w:val="auto"/>
                <w:w w:val="89"/>
              </w:rPr>
              <w:t>Interest Earning Assets</w:t>
            </w:r>
          </w:p>
        </w:tc>
        <w:tc>
          <w:tcPr>
            <w:tcW w:w="1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80" w:type="dxa"/>
            <w:vAlign w:val="bottom"/>
            <w:gridSpan w:val="4"/>
            <w:vMerge w:val="continue"/>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86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59,084</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71,130</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5"/>
            <w:shd w:val="clear" w:color="auto" w:fill="EEEEEE"/>
          </w:tcPr>
          <w:p>
            <w:pPr>
              <w:jc w:val="center"/>
              <w:ind w:left="129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Borders>
              <w:top w:val="single" w:sz="8" w:color="EEEEEE"/>
            </w:tcBorders>
          </w:tcPr>
          <w:p>
            <w:pPr>
              <w:spacing w:after="0"/>
              <w:rPr>
                <w:sz w:val="20"/>
                <w:szCs w:val="20"/>
                <w:color w:val="auto"/>
              </w:rPr>
            </w:pPr>
            <w:r>
              <w:rPr>
                <w:rFonts w:ascii="Arial" w:cs="Arial" w:eastAsia="Arial" w:hAnsi="Arial"/>
                <w:sz w:val="18"/>
                <w:szCs w:val="18"/>
                <w:color w:val="auto"/>
                <w:w w:val="99"/>
              </w:rPr>
              <w:t>Warehouse lines of credit.</w:t>
            </w:r>
          </w:p>
        </w:tc>
        <w:tc>
          <w:tcPr>
            <w:tcW w:w="2060" w:type="dxa"/>
            <w:vAlign w:val="bottom"/>
            <w:tcBorders>
              <w:top w:val="single" w:sz="8" w:color="auto"/>
            </w:tcBorders>
            <w:gridSpan w:val="3"/>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162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340" w:type="dxa"/>
            <w:vAlign w:val="bottom"/>
            <w:tcBorders>
              <w:top w:val="single" w:sz="8" w:color="EEEEEE"/>
            </w:tcBorders>
            <w:gridSpan w:val="2"/>
          </w:tcPr>
          <w:p>
            <w:pPr>
              <w:jc w:val="right"/>
              <w:ind w:right="200"/>
              <w:spacing w:after="0"/>
              <w:rPr>
                <w:sz w:val="20"/>
                <w:szCs w:val="20"/>
                <w:color w:val="auto"/>
              </w:rPr>
            </w:pPr>
            <w:r>
              <w:rPr>
                <w:rFonts w:ascii="Arial" w:cs="Arial" w:eastAsia="Arial" w:hAnsi="Arial"/>
                <w:sz w:val="18"/>
                <w:szCs w:val="18"/>
                <w:color w:val="auto"/>
              </w:rPr>
              <w:t>2,442</w:t>
            </w:r>
          </w:p>
        </w:tc>
        <w:tc>
          <w:tcPr>
            <w:tcW w:w="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20" w:type="dxa"/>
            <w:vAlign w:val="bottom"/>
            <w:tcBorders>
              <w:top w:val="single" w:sz="8" w:color="EEEEEE"/>
            </w:tcBorders>
            <w:gridSpan w:val="2"/>
          </w:tcPr>
          <w:p>
            <w:pPr>
              <w:jc w:val="right"/>
              <w:ind w:right="340"/>
              <w:spacing w:after="0"/>
              <w:rPr>
                <w:sz w:val="20"/>
                <w:szCs w:val="20"/>
                <w:color w:val="auto"/>
              </w:rPr>
            </w:pPr>
            <w:r>
              <w:rPr>
                <w:rFonts w:ascii="Arial" w:cs="Arial" w:eastAsia="Arial" w:hAnsi="Arial"/>
                <w:sz w:val="18"/>
                <w:szCs w:val="18"/>
                <w:color w:val="auto"/>
              </w:rPr>
              <w:t>1,391</w:t>
            </w:r>
          </w:p>
        </w:tc>
        <w:tc>
          <w:tcPr>
            <w:tcW w:w="180" w:type="dxa"/>
            <w:vAlign w:val="bottom"/>
            <w:tcBorders>
              <w:top w:val="single" w:sz="8" w:color="EEEEEE"/>
            </w:tcBorders>
          </w:tcPr>
          <w:p>
            <w:pPr>
              <w:spacing w:after="0"/>
              <w:rPr>
                <w:sz w:val="18"/>
                <w:szCs w:val="18"/>
                <w:color w:val="auto"/>
              </w:rPr>
            </w:pPr>
          </w:p>
        </w:tc>
        <w:tc>
          <w:tcPr>
            <w:tcW w:w="1280" w:type="dxa"/>
            <w:vAlign w:val="bottom"/>
            <w:tcBorders>
              <w:top w:val="single" w:sz="8" w:color="EEEEEE"/>
            </w:tcBorders>
            <w:gridSpan w:val="2"/>
          </w:tcPr>
          <w:p>
            <w:pPr>
              <w:jc w:val="right"/>
              <w:ind w:right="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20,547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10,774</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162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16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59,551</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vMerge w:val="restart"/>
          </w:tcPr>
          <w:p>
            <w:pPr>
              <w:jc w:val="right"/>
              <w:ind w:right="610"/>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0" w:name="page41"/>
    <w:bookmarkEnd w:id="40"/>
    <w:p>
      <w:pPr>
        <w:ind w:firstLine="360"/>
        <w:spacing w:after="0" w:line="291" w:lineRule="auto"/>
        <w:rPr>
          <w:sz w:val="20"/>
          <w:szCs w:val="20"/>
          <w:color w:val="auto"/>
        </w:rPr>
      </w:pPr>
      <w:r>
        <w:rPr>
          <w:rFonts w:ascii="Arial" w:cs="Arial" w:eastAsia="Arial" w:hAnsi="Arial"/>
          <w:sz w:val="16"/>
          <w:szCs w:val="16"/>
          <w:color w:val="auto"/>
        </w:rPr>
        <w:t>Provision for credit losses was $178.5 million for the year ended December 31, 2016, an increase of $35.9 million, or 25.2% compared to the prior year and represented 47.9%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and also takes into account the performance of the receivables. Consequently, the increase in provision expense is the result of the increase in contract purchases during the last year, the larger portfolio owned by our consolidated subsidiaries compared to the prior year, and an adverse trend in the performance of our receivables, which we believe is consistent with the aging of our portfolio and may also be related to certain procedural changes in our servicing practices that were required by a consent decree to which we became subject in June 2014.</w:t>
      </w:r>
    </w:p>
    <w:p>
      <w:pPr>
        <w:spacing w:after="0" w:line="16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$348,000, or 2.0%, to $17.8 million during the year ended December 31, 2016, compared to $17.5 million in the prior year, and represented 4.8% of total operating expenses. For the year ended December 31, 2016, we purchased 66,527 contracts representing $1,088.8 million in receivables compared to 64,130 contracts representing $1,060.5 million in receivables in the prior year.</w:t>
      </w:r>
    </w:p>
    <w:p>
      <w:pPr>
        <w:spacing w:after="0" w:line="193" w:lineRule="exact"/>
        <w:rPr>
          <w:sz w:val="20"/>
          <w:szCs w:val="20"/>
          <w:color w:val="auto"/>
        </w:rPr>
      </w:pPr>
    </w:p>
    <w:p>
      <w:pPr>
        <w:ind w:right="320" w:firstLine="360"/>
        <w:spacing w:after="0" w:line="286" w:lineRule="auto"/>
        <w:rPr>
          <w:sz w:val="20"/>
          <w:szCs w:val="20"/>
          <w:color w:val="auto"/>
        </w:rPr>
      </w:pPr>
      <w:r>
        <w:rPr>
          <w:rFonts w:ascii="Arial" w:cs="Arial" w:eastAsia="Arial" w:hAnsi="Arial"/>
          <w:sz w:val="17"/>
          <w:szCs w:val="17"/>
          <w:color w:val="auto"/>
        </w:rPr>
        <w:t>Occupancy expenses increased by $1.1 million or 27.0%, to $5.2 million compared to $4.1 million in the previous year and represented 1.4% of total operating expenses. In July 2015, we entered into a lease for additional office space in Irvine, California. We then occupied that space, and incurred incremental occupancy expense, in phases. The first phase was in July 2015 and the second and final phase was in April 2016.</w:t>
      </w:r>
    </w:p>
    <w:p>
      <w:pPr>
        <w:spacing w:after="0" w:line="166"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Depreciation and amortization expenses increased by $140,000 or 22.0%, to $777,000 compared to $637,000 in the previous year and represented 0.2% of total operating expenses.</w:t>
      </w:r>
    </w:p>
    <w:p>
      <w:pPr>
        <w:spacing w:after="0" w:line="170"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For the year ended December 31, 2016, we recorded income tax expense of $20.4 million, representing a 41.0% effective income tax rate. In the prior year, we recorded $26.7 million of income tax expense, representing a 43.5% effective income tax rate.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Comparison of Operating Results for the year ended December 31, 2015 with the year ended December 31, 2014</w:t>
      </w:r>
    </w:p>
    <w:p>
      <w:pPr>
        <w:spacing w:after="0" w:line="22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year ended December 31, 2015, our revenues were $363.7 million, an increase of $63.4 million, or 21.1%,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of $300.3 million. The primary reason for the increase in revenues is an increase in interest income. Interest income for the year ended December 31, 2015 increased $63.2 million, or 22.0%, to $349.9 million from $286.7 million in the prior year. The primary reason for the increase in interest income is the increase in finance receivables held by consolidated subsidiaries, which increased from $1,642.2 million at December 31, 2014 to $2,031.1 million at December 31, 2015. The table below shows the average balances of our portfolio held by consolidated subsidiaries for the year ended December 31, 2015 and 2014: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4"/>
              </w:rPr>
              <w:t>Average Balances for the Year Ended</w:t>
            </w:r>
          </w:p>
        </w:tc>
        <w:tc>
          <w:tcPr>
            <w:tcW w:w="0" w:type="dxa"/>
            <w:vAlign w:val="bottom"/>
          </w:tcPr>
          <w:p>
            <w:pPr>
              <w:spacing w:after="0"/>
              <w:rPr>
                <w:sz w:val="1"/>
                <w:szCs w:val="1"/>
                <w:color w:val="auto"/>
              </w:rPr>
            </w:pPr>
          </w:p>
        </w:tc>
      </w:tr>
      <w:tr>
        <w:trPr>
          <w:trHeight w:val="191"/>
        </w:trPr>
        <w:tc>
          <w:tcPr>
            <w:tcW w:w="66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8"/>
              </w:rPr>
              <w:t>Finance Receivables Owned by</w:t>
            </w:r>
          </w:p>
        </w:tc>
        <w:tc>
          <w:tcPr>
            <w:tcW w:w="160" w:type="dxa"/>
            <w:vAlign w:val="bottom"/>
          </w:tcPr>
          <w:p>
            <w:pPr>
              <w:spacing w:after="0"/>
              <w:rPr>
                <w:sz w:val="19"/>
                <w:szCs w:val="19"/>
                <w:color w:val="auto"/>
              </w:rPr>
            </w:pPr>
          </w:p>
        </w:tc>
        <w:tc>
          <w:tcPr>
            <w:tcW w:w="336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 in millions)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Consolidated Subsidiaries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CPS Originated Receivables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1,844.5</w:t>
            </w:r>
          </w:p>
        </w:tc>
        <w:tc>
          <w:tcPr>
            <w:tcW w:w="52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1,414.3</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Fireside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1,844.9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1,420.2</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Servicing fees totaling $319,000 in the year ended December 31, 2015 decreased $1.1 million, or 76.8%, from $1.4 million in the prior year. We earn base servicing fees on three portfolios that are decreasing in size as we receive customer payments and, consequently, base servicing fees are decreasing also.</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ind w:right="380" w:firstLine="360"/>
        <w:spacing w:after="0" w:line="259" w:lineRule="auto"/>
        <w:rPr>
          <w:sz w:val="20"/>
          <w:szCs w:val="20"/>
          <w:color w:val="auto"/>
        </w:rPr>
      </w:pPr>
      <w:r>
        <w:rPr>
          <w:rFonts w:ascii="Arial" w:cs="Arial" w:eastAsia="Arial" w:hAnsi="Arial"/>
          <w:sz w:val="18"/>
          <w:szCs w:val="18"/>
          <w:color w:val="auto"/>
        </w:rPr>
        <w:t>At December 31, 2015, we were generating income and fees on a managed portfolio with an outstanding principal balance of $2,031.1 million (this amount includes $345,000 of automobile contracts on which we earn servicing fees and own a residual interest, compared to a managed portfolio with an outstanding principal balance of $1,643.9 million as of December 31, 2014). At December 31, 2015 and 2014, the managed portfolio composition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3"/>
          </w:tcPr>
          <w:p>
            <w:pPr>
              <w:ind w:left="660"/>
              <w:spacing w:after="0"/>
              <w:rPr>
                <w:sz w:val="20"/>
                <w:szCs w:val="20"/>
                <w:color w:val="auto"/>
              </w:rPr>
            </w:pPr>
            <w:r>
              <w:rPr>
                <w:rFonts w:ascii="Arial" w:cs="Arial" w:eastAsia="Arial" w:hAnsi="Arial"/>
                <w:sz w:val="18"/>
                <w:szCs w:val="18"/>
                <w:b w:val="1"/>
                <w:bCs w:val="1"/>
                <w:color w:val="auto"/>
                <w:w w:val="97"/>
              </w:rPr>
              <w:t>December 31, 2015</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5"/>
          </w:tcPr>
          <w:p>
            <w:pPr>
              <w:ind w:left="62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23"/>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 (1)</w:t>
            </w:r>
          </w:p>
        </w:tc>
        <w:tc>
          <w:tcPr>
            <w:tcW w:w="138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 (1)</w:t>
            </w:r>
          </w:p>
        </w:tc>
        <w:tc>
          <w:tcPr>
            <w:tcW w:w="13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20" w:type="dxa"/>
            <w:vAlign w:val="bottom"/>
            <w:gridSpan w:val="6"/>
          </w:tcPr>
          <w:p>
            <w:pPr>
              <w:ind w:left="360"/>
              <w:spacing w:after="0"/>
              <w:rPr>
                <w:sz w:val="20"/>
                <w:szCs w:val="20"/>
                <w:color w:val="auto"/>
              </w:rPr>
            </w:pPr>
            <w:r>
              <w:rPr>
                <w:rFonts w:ascii="Arial" w:cs="Arial" w:eastAsia="Arial" w:hAnsi="Arial"/>
                <w:sz w:val="18"/>
                <w:szCs w:val="18"/>
                <w:b w:val="1"/>
                <w:bCs w:val="1"/>
                <w:color w:val="auto"/>
              </w:rPr>
              <w:t>($ in millions)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2,030.7</w:t>
            </w: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1,640.9</w:t>
            </w: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99.8%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Fireside</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7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w:t>
            </w:r>
          </w:p>
        </w:tc>
        <w:tc>
          <w:tcPr>
            <w:tcW w:w="16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0.3</w:t>
            </w:r>
          </w:p>
        </w:tc>
        <w:tc>
          <w:tcPr>
            <w:tcW w:w="70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2,031.1</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1,643.9</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Contractual balances.</w:t>
      </w:r>
    </w:p>
    <w:p>
      <w:pPr>
        <w:ind w:left="220" w:hanging="212"/>
        <w:spacing w:after="0"/>
        <w:tabs>
          <w:tab w:leader="none" w:pos="2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Percentages may not add up to 100% due to rounding.</w:t>
      </w:r>
    </w:p>
    <w:p>
      <w:pPr>
        <w:spacing w:after="0" w:line="196"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Other income increased by $1.3 million, or 10.5%, to $13.4 million in the year ended December 31, 2015 from $12.1 million during the prior year. The increase consists of an increase of $983,000 in fees associated with direct mail and other related products and services that we offer to our dealers, a net increase of $936,000 on payments to us for our interest in certain sold charge off portfolios and acquired third-party portfolios and an increase of $116,000 in sales tax refunds. The increases were somewhat offset by a decrease of $690,000 in payments from third-party providers of convenience fees paid by our customers for web based and other electronic payments. In addition, in the prior year period, we incurred a markdown of $72,000 in the fair value of the principal balance and related debt of the Fireside portfolio.</w:t>
      </w:r>
    </w:p>
    <w:p>
      <w:pPr>
        <w:spacing w:after="0" w:line="19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58"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ind w:right="720" w:firstLine="360"/>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Total operating expenses were $302.3 million for the year ended December 31, 2015, compared to $248.0 million for the prior year, an increase of $54.3 million, or 21.9%. The increase is primarily due to the increase in the amount of new contracts we purchased the resulting increase in our consolidated portfolio and associated interest expense, servicing costs, and the related increase in our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right="20" w:firstLine="360"/>
        <w:spacing w:after="0" w:line="257" w:lineRule="auto"/>
        <w:rPr>
          <w:sz w:val="20"/>
          <w:szCs w:val="20"/>
          <w:color w:val="auto"/>
        </w:rPr>
      </w:pPr>
      <w:r>
        <w:rPr>
          <w:rFonts w:ascii="Arial" w:cs="Arial" w:eastAsia="Arial" w:hAnsi="Arial"/>
          <w:sz w:val="18"/>
          <w:szCs w:val="18"/>
          <w:color w:val="auto"/>
        </w:rPr>
        <w:t>Employee costs increased by $9.4 million or 18.8%, to $59.6 million during the year ended December 31, 2015, representing 19.7% of total operating expenses, from $50.1 million for the prior year, or 20.2% of total operating expenses. Since 2010, we have added employees in our Originations and Marketing departments to accommodate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years ended, December 31, 2015 and 2014:</w:t>
      </w:r>
    </w:p>
    <w:p>
      <w:pPr>
        <w:spacing w:after="0" w:line="184"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1,060.5</w:t>
            </w: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64,130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2,031.1</w:t>
            </w: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149,158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30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$20.2 million, an increase of $907,000, or 4.7%, compared to the previous year and represented 6.7% of total operating expenses.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expense for the year ended December 31, 2015 increased by $7.3 million to $57.7 million, or 14.6%, compared to $50.4 million in the previous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 debt associated with the Fireside portfolio credit facility was repaid in January of 2015 resulting in a decrease of $772,000 in interest expense compared to the prior year.</w:t>
      </w:r>
    </w:p>
    <w:p>
      <w:pPr>
        <w:spacing w:after="0" w:line="1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Interest on securitization trust debt increased by $10.1 million, or 26.1%, for the year ended December 31, 2015 compared to the prior year. The increase is due primarily to the increase in the average balance of securitization trust debt, which increased 30.9% to $1,698.8 million for the year ended December 31, 2015 from $1,298.0 million for the year ended December 31, 2014.</w:t>
      </w:r>
    </w:p>
    <w:p>
      <w:pPr>
        <w:spacing w:after="0" w:line="18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repaid in full $39.2 million in senior secured debt in the first quarter of 2014. As a result, we incurred $1.7 million in interest expense on such debt in 2014, compared to zero in 2015. In addition, we reduced the average balance balance of our outstanding subordinated renewable notes by $2.0 million from $17.1 million at December 31, 2014 to $15.1 million at December 31, 2015, resulting in a decrease of $626,000 in interest expense on subordinated debt. The reduction in interest expense was also a result of our decreasing the average interest rate on our subordinated renewable notes from 12.9% for the year ended December 31, 2014 to 10.5% for the year ended December 31, 2015.</w:t>
      </w:r>
    </w:p>
    <w:p>
      <w:pPr>
        <w:spacing w:after="0" w:line="188"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Interest expense on residual interest financing decreased $585,000 in the year ended December 31, 2015 compared to the prior year. The decrease is due to the repayments on that facility of $3.3 million during the year.</w:t>
      </w:r>
    </w:p>
    <w:p>
      <w:pPr>
        <w:spacing w:after="0" w:line="170"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Interest expense on warehouse lines of credit increased by $910,000, or 17.4% for the year ended December 31, 2015 compared to the prior year. The increase is due primarily to the increase in our contracts purchased, which increased by 12.2% from $944.9 million in 2014 to $1,060.5 million in 2015 and the delay of the December securitization to January 2016.</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3" w:name="page44"/>
    <w:bookmarkEnd w:id="43"/>
    <w:p>
      <w:pPr>
        <w:ind w:right="200" w:firstLine="360"/>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2015 and 2014: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2220" w:type="dxa"/>
            <w:vAlign w:val="bottom"/>
            <w:tcBorders>
              <w:top w:val="single" w:sz="8" w:color="EEEEEE"/>
            </w:tcBorders>
            <w:gridSpan w:val="3"/>
            <w:shd w:val="clear" w:color="auto" w:fill="EEEEEE"/>
          </w:tcPr>
          <w:p>
            <w:pPr>
              <w:jc w:val="center"/>
              <w:ind w:right="420"/>
              <w:spacing w:after="0" w:line="170" w:lineRule="exact"/>
              <w:rPr>
                <w:sz w:val="20"/>
                <w:szCs w:val="20"/>
                <w:color w:val="auto"/>
              </w:rPr>
            </w:pPr>
            <w:r>
              <w:rPr>
                <w:rFonts w:ascii="Arial" w:cs="Arial" w:eastAsia="Arial" w:hAnsi="Arial"/>
                <w:sz w:val="18"/>
                <w:szCs w:val="18"/>
                <w:b w:val="1"/>
                <w:bCs w:val="1"/>
                <w:color w:val="auto"/>
                <w:w w:val="89"/>
              </w:rPr>
              <w:t>Interest Earning Assets</w:t>
            </w:r>
          </w:p>
        </w:tc>
        <w:tc>
          <w:tcPr>
            <w:tcW w:w="16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6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80" w:type="dxa"/>
            <w:vAlign w:val="bottom"/>
            <w:tcBorders>
              <w:top w:val="single" w:sz="8" w:color="auto"/>
            </w:tcBorders>
            <w:shd w:val="clear" w:color="auto" w:fill="EEEEEE"/>
          </w:tcPr>
          <w:p>
            <w:pPr>
              <w:spacing w:after="0"/>
              <w:rPr>
                <w:sz w:val="14"/>
                <w:szCs w:val="14"/>
                <w:color w:val="auto"/>
              </w:rPr>
            </w:pPr>
          </w:p>
        </w:tc>
        <w:tc>
          <w:tcPr>
            <w:tcW w:w="360" w:type="dxa"/>
            <w:vAlign w:val="bottom"/>
            <w:tcBorders>
              <w:top w:val="single" w:sz="8" w:color="EEEEEE"/>
            </w:tcBorders>
            <w:shd w:val="clear" w:color="auto" w:fill="EEEEEE"/>
          </w:tcPr>
          <w:p>
            <w:pPr>
              <w:spacing w:after="0"/>
              <w:rPr>
                <w:sz w:val="14"/>
                <w:szCs w:val="14"/>
                <w:color w:val="auto"/>
              </w:rPr>
            </w:pPr>
          </w:p>
        </w:tc>
        <w:tc>
          <w:tcPr>
            <w:tcW w:w="11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1,818,644</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349,465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1,383,193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285,169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5"/>
              </w:rPr>
              <w:t>Finance receivables measured at</w:t>
            </w: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427</w:t>
            </w:r>
          </w:p>
        </w:tc>
        <w:tc>
          <w:tcPr>
            <w:tcW w:w="34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447</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5,919</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1,565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1,819,071</w:t>
            </w:r>
          </w:p>
        </w:tc>
        <w:tc>
          <w:tcPr>
            <w:tcW w:w="340" w:type="dxa"/>
            <w:vAlign w:val="bottom"/>
            <w:tcBorders>
              <w:bottom w:val="single" w:sz="8" w:color="EEEEEE"/>
            </w:tcBorders>
          </w:tcPr>
          <w:p>
            <w:pPr>
              <w:spacing w:after="0"/>
              <w:rPr>
                <w:sz w:val="24"/>
                <w:szCs w:val="24"/>
                <w:color w:val="auto"/>
              </w:rPr>
            </w:pPr>
          </w:p>
        </w:tc>
        <w:tc>
          <w:tcPr>
            <w:tcW w:w="180" w:type="dxa"/>
            <w:vAlign w:val="bottom"/>
            <w:tcBorders>
              <w:top w:val="single" w:sz="8" w:color="auto"/>
              <w:bottom w:val="single" w:sz="8" w:color="EEEEEE"/>
            </w:tcBorders>
          </w:tcPr>
          <w:p>
            <w:pPr>
              <w:spacing w:after="0"/>
              <w:rPr>
                <w:sz w:val="24"/>
                <w:szCs w:val="24"/>
                <w:color w:val="auto"/>
              </w:rPr>
            </w:pPr>
          </w:p>
        </w:tc>
        <w:tc>
          <w:tcPr>
            <w:tcW w:w="98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349,912</w:t>
            </w:r>
          </w:p>
        </w:tc>
        <w:tc>
          <w:tcPr>
            <w:tcW w:w="36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1,389,112</w:t>
            </w:r>
          </w:p>
        </w:tc>
        <w:tc>
          <w:tcPr>
            <w:tcW w:w="320" w:type="dxa"/>
            <w:vAlign w:val="bottom"/>
            <w:tcBorders>
              <w:bottom w:val="single" w:sz="8" w:color="EEEEEE"/>
            </w:tcBorders>
          </w:tcPr>
          <w:p>
            <w:pPr>
              <w:spacing w:after="0"/>
              <w:rPr>
                <w:sz w:val="24"/>
                <w:szCs w:val="24"/>
                <w:color w:val="auto"/>
              </w:rPr>
            </w:pPr>
          </w:p>
        </w:tc>
        <w:tc>
          <w:tcPr>
            <w:tcW w:w="180" w:type="dxa"/>
            <w:vAlign w:val="bottom"/>
            <w:tcBorders>
              <w:top w:val="single" w:sz="8" w:color="auto"/>
              <w:bottom w:val="single" w:sz="8" w:color="EEEEEE"/>
            </w:tcBorders>
          </w:tcPr>
          <w:p>
            <w:pPr>
              <w:spacing w:after="0"/>
              <w:rPr>
                <w:sz w:val="24"/>
                <w:szCs w:val="24"/>
                <w:color w:val="auto"/>
              </w:rPr>
            </w:pPr>
          </w:p>
        </w:tc>
        <w:tc>
          <w:tcPr>
            <w:tcW w:w="9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286,734</w:t>
            </w:r>
          </w:p>
        </w:tc>
        <w:tc>
          <w:tcPr>
            <w:tcW w:w="3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gridSpan w:val="5"/>
          </w:tcPr>
          <w:p>
            <w:pPr>
              <w:jc w:val="center"/>
              <w:ind w:right="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62,104</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6,127</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52,596</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5,217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10,948</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1,405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14,225</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1,989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gridSpan w:val="5"/>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tcPr>
          <w:p>
            <w:pPr>
              <w:ind w:left="160"/>
              <w:spacing w:after="0"/>
              <w:rPr>
                <w:sz w:val="20"/>
                <w:szCs w:val="20"/>
                <w:color w:val="auto"/>
              </w:rPr>
            </w:pPr>
            <w:r>
              <w:rPr>
                <w:rFonts w:ascii="Arial" w:cs="Arial" w:eastAsia="Arial" w:hAnsi="Arial"/>
                <w:sz w:val="18"/>
                <w:szCs w:val="18"/>
                <w:color w:val="auto"/>
              </w:rPr>
              <w:t>measured at fair 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5,561</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1,698,777</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48,631</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1,298,033</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38,558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w w:val="93"/>
              </w:rPr>
              <w:t>Senior secured debt, related party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9,471</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1,651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15,102</w:t>
            </w:r>
          </w:p>
        </w:tc>
        <w:tc>
          <w:tcPr>
            <w:tcW w:w="3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1,582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17,074</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2,208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1,786,931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57,745</w:t>
            </w:r>
          </w:p>
        </w:tc>
        <w:tc>
          <w:tcPr>
            <w:tcW w:w="1480" w:type="dxa"/>
            <w:vAlign w:val="bottom"/>
            <w:gridSpan w:val="2"/>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1,396,960</w:t>
            </w:r>
          </w:p>
        </w:tc>
        <w:tc>
          <w:tcPr>
            <w:tcW w:w="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50,395</w:t>
            </w: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bottom w:val="single" w:sz="8" w:color="EEEEEE"/>
            </w:tcBorders>
            <w:gridSpan w:val="5"/>
            <w:vMerge w:val="restart"/>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tcBorders>
              <w:bottom w:val="single" w:sz="8" w:color="EEEEEE"/>
            </w:tcBorders>
            <w:shd w:val="clear" w:color="auto" w:fill="EEEEEE"/>
          </w:tcPr>
          <w:p>
            <w:pPr>
              <w:spacing w:after="0" w:line="20" w:lineRule="exact"/>
              <w:rPr>
                <w:sz w:val="1"/>
                <w:szCs w:val="1"/>
                <w:color w:val="auto"/>
              </w:rPr>
            </w:pPr>
          </w:p>
        </w:tc>
        <w:tc>
          <w:tcPr>
            <w:tcW w:w="120" w:type="dxa"/>
            <w:vAlign w:val="bottom"/>
            <w:tcBorders>
              <w:bottom w:val="single" w:sz="8" w:color="auto"/>
            </w:tcBorders>
            <w:shd w:val="clear" w:color="auto" w:fill="EEEEEE"/>
          </w:tcPr>
          <w:p>
            <w:pPr>
              <w:spacing w:after="0" w:line="20" w:lineRule="exact"/>
              <w:rPr>
                <w:sz w:val="1"/>
                <w:szCs w:val="1"/>
                <w:color w:val="auto"/>
              </w:rPr>
            </w:pPr>
          </w:p>
        </w:tc>
        <w:tc>
          <w:tcPr>
            <w:tcW w:w="1060" w:type="dxa"/>
            <w:vAlign w:val="bottom"/>
            <w:tcBorders>
              <w:bottom w:val="single" w:sz="8" w:color="auto"/>
            </w:tcBorders>
            <w:shd w:val="clear" w:color="auto" w:fill="EEEEEE"/>
          </w:tcPr>
          <w:p>
            <w:pPr>
              <w:spacing w:after="0" w:line="20" w:lineRule="exact"/>
              <w:rPr>
                <w:sz w:val="1"/>
                <w:szCs w:val="1"/>
                <w:color w:val="auto"/>
              </w:rPr>
            </w:pPr>
          </w:p>
        </w:tc>
        <w:tc>
          <w:tcPr>
            <w:tcW w:w="340" w:type="dxa"/>
            <w:vAlign w:val="bottom"/>
            <w:tcBorders>
              <w:bottom w:val="single" w:sz="8" w:color="EEEEEE"/>
            </w:tcBorders>
            <w:shd w:val="clear" w:color="auto" w:fill="EEEEEE"/>
          </w:tcPr>
          <w:p>
            <w:pPr>
              <w:spacing w:after="0" w:line="20" w:lineRule="exact"/>
              <w:rPr>
                <w:sz w:val="1"/>
                <w:szCs w:val="1"/>
                <w:color w:val="auto"/>
              </w:rPr>
            </w:pPr>
          </w:p>
        </w:tc>
        <w:tc>
          <w:tcPr>
            <w:tcW w:w="180" w:type="dxa"/>
            <w:vAlign w:val="bottom"/>
            <w:tcBorders>
              <w:bottom w:val="single" w:sz="8" w:color="EEEEEE"/>
            </w:tcBorders>
            <w:shd w:val="clear" w:color="auto" w:fill="000000"/>
          </w:tcPr>
          <w:p>
            <w:pPr>
              <w:spacing w:after="0" w:line="20" w:lineRule="exact"/>
              <w:rPr>
                <w:sz w:val="1"/>
                <w:szCs w:val="1"/>
                <w:color w:val="auto"/>
              </w:rPr>
            </w:pPr>
          </w:p>
        </w:tc>
        <w:tc>
          <w:tcPr>
            <w:tcW w:w="980" w:type="dxa"/>
            <w:vAlign w:val="bottom"/>
            <w:tcBorders>
              <w:bottom w:val="single" w:sz="8" w:color="EEEEEE"/>
            </w:tcBorders>
            <w:shd w:val="clear" w:color="auto" w:fill="000000"/>
          </w:tcPr>
          <w:p>
            <w:pPr>
              <w:spacing w:after="0" w:line="20" w:lineRule="exact"/>
              <w:rPr>
                <w:sz w:val="1"/>
                <w:szCs w:val="1"/>
                <w:color w:val="auto"/>
              </w:rPr>
            </w:pPr>
          </w:p>
        </w:tc>
        <w:tc>
          <w:tcPr>
            <w:tcW w:w="360" w:type="dxa"/>
            <w:vAlign w:val="bottom"/>
            <w:tcBorders>
              <w:bottom w:val="single" w:sz="8" w:color="EEEEEE"/>
            </w:tcBorders>
            <w:shd w:val="clear" w:color="auto" w:fill="EEEEEE"/>
          </w:tcPr>
          <w:p>
            <w:pPr>
              <w:spacing w:after="0" w:line="20" w:lineRule="exact"/>
              <w:rPr>
                <w:sz w:val="1"/>
                <w:szCs w:val="1"/>
                <w:color w:val="auto"/>
              </w:rPr>
            </w:pPr>
          </w:p>
        </w:tc>
        <w:tc>
          <w:tcPr>
            <w:tcW w:w="1160" w:type="dxa"/>
            <w:vAlign w:val="bottom"/>
            <w:tcBorders>
              <w:bottom w:val="single" w:sz="8" w:color="EEEEEE"/>
            </w:tcBorders>
            <w:shd w:val="clear" w:color="auto" w:fill="EEEEEE"/>
          </w:tcPr>
          <w:p>
            <w:pPr>
              <w:spacing w:after="0" w:line="20" w:lineRule="exact"/>
              <w:rPr>
                <w:sz w:val="1"/>
                <w:szCs w:val="1"/>
                <w:color w:val="auto"/>
              </w:rPr>
            </w:pPr>
          </w:p>
        </w:tc>
        <w:tc>
          <w:tcPr>
            <w:tcW w:w="320" w:type="dxa"/>
            <w:vAlign w:val="bottom"/>
            <w:tcBorders>
              <w:bottom w:val="single" w:sz="8" w:color="EEEEEE"/>
            </w:tcBorders>
            <w:shd w:val="clear" w:color="auto" w:fill="EEEEEE"/>
          </w:tcPr>
          <w:p>
            <w:pPr>
              <w:spacing w:after="0" w:line="20" w:lineRule="exact"/>
              <w:rPr>
                <w:sz w:val="1"/>
                <w:szCs w:val="1"/>
                <w:color w:val="auto"/>
              </w:rPr>
            </w:pPr>
          </w:p>
        </w:tc>
        <w:tc>
          <w:tcPr>
            <w:tcW w:w="120" w:type="dxa"/>
            <w:vAlign w:val="bottom"/>
            <w:tcBorders>
              <w:bottom w:val="single" w:sz="8" w:color="auto"/>
            </w:tcBorders>
            <w:shd w:val="clear" w:color="auto" w:fill="EEEEEE"/>
          </w:tcPr>
          <w:p>
            <w:pPr>
              <w:spacing w:after="0" w:line="20" w:lineRule="exact"/>
              <w:rPr>
                <w:sz w:val="1"/>
                <w:szCs w:val="1"/>
                <w:color w:val="auto"/>
              </w:rPr>
            </w:pPr>
          </w:p>
        </w:tc>
        <w:tc>
          <w:tcPr>
            <w:tcW w:w="1020" w:type="dxa"/>
            <w:vAlign w:val="bottom"/>
            <w:tcBorders>
              <w:bottom w:val="single" w:sz="8" w:color="auto"/>
            </w:tcBorders>
            <w:shd w:val="clear" w:color="auto" w:fill="EEEEEE"/>
          </w:tcPr>
          <w:p>
            <w:pPr>
              <w:spacing w:after="0" w:line="20" w:lineRule="exact"/>
              <w:rPr>
                <w:sz w:val="1"/>
                <w:szCs w:val="1"/>
                <w:color w:val="auto"/>
              </w:rPr>
            </w:pPr>
          </w:p>
        </w:tc>
        <w:tc>
          <w:tcPr>
            <w:tcW w:w="320" w:type="dxa"/>
            <w:vAlign w:val="bottom"/>
            <w:tcBorders>
              <w:bottom w:val="single" w:sz="8" w:color="EEEEEE"/>
            </w:tcBorders>
            <w:shd w:val="clear" w:color="auto" w:fill="EEEEEE"/>
          </w:tcPr>
          <w:p>
            <w:pPr>
              <w:spacing w:after="0" w:line="20" w:lineRule="exact"/>
              <w:rPr>
                <w:sz w:val="1"/>
                <w:szCs w:val="1"/>
                <w:color w:val="auto"/>
              </w:rPr>
            </w:pPr>
          </w:p>
        </w:tc>
        <w:tc>
          <w:tcPr>
            <w:tcW w:w="180" w:type="dxa"/>
            <w:vAlign w:val="bottom"/>
            <w:tcBorders>
              <w:bottom w:val="single" w:sz="8" w:color="EEEEEE"/>
            </w:tcBorders>
            <w:shd w:val="clear" w:color="auto" w:fill="000000"/>
          </w:tcPr>
          <w:p>
            <w:pPr>
              <w:spacing w:after="0" w:line="20" w:lineRule="exact"/>
              <w:rPr>
                <w:sz w:val="1"/>
                <w:szCs w:val="1"/>
                <w:color w:val="auto"/>
              </w:rPr>
            </w:pPr>
          </w:p>
        </w:tc>
        <w:tc>
          <w:tcPr>
            <w:tcW w:w="960" w:type="dxa"/>
            <w:vAlign w:val="bottom"/>
            <w:tcBorders>
              <w:bottom w:val="single" w:sz="8" w:color="EEEEEE"/>
            </w:tcBorders>
            <w:shd w:val="clear" w:color="auto" w:fill="000000"/>
          </w:tcPr>
          <w:p>
            <w:pPr>
              <w:spacing w:after="0" w:line="20" w:lineRule="exact"/>
              <w:rPr>
                <w:sz w:val="1"/>
                <w:szCs w:val="1"/>
                <w:color w:val="auto"/>
              </w:rPr>
            </w:pPr>
          </w:p>
        </w:tc>
        <w:tc>
          <w:tcPr>
            <w:tcW w:w="320" w:type="dxa"/>
            <w:vAlign w:val="bottom"/>
            <w:tcBorders>
              <w:bottom w:val="single" w:sz="8" w:color="EEEEEE"/>
            </w:tcBorders>
            <w:shd w:val="clear" w:color="auto" w:fill="EEEEEE"/>
          </w:tcPr>
          <w:p>
            <w:pPr>
              <w:spacing w:after="0" w:line="20" w:lineRule="exact"/>
              <w:rPr>
                <w:sz w:val="1"/>
                <w:szCs w:val="1"/>
                <w:color w:val="auto"/>
              </w:rPr>
            </w:pPr>
          </w:p>
        </w:tc>
        <w:tc>
          <w:tcPr>
            <w:tcW w:w="1140" w:type="dxa"/>
            <w:vAlign w:val="bottom"/>
            <w:tcBorders>
              <w:bottom w:val="single" w:sz="8" w:color="EEEEEE"/>
            </w:tcBorders>
            <w:shd w:val="clear" w:color="auto" w:fill="EEEEEE"/>
          </w:tcPr>
          <w:p>
            <w:pPr>
              <w:spacing w:after="0" w:line="20" w:lineRule="exact"/>
              <w:rPr>
                <w:sz w:val="1"/>
                <w:szCs w:val="1"/>
                <w:color w:val="auto"/>
              </w:rPr>
            </w:pPr>
          </w:p>
        </w:tc>
        <w:tc>
          <w:tcPr>
            <w:tcW w:w="100" w:type="dxa"/>
            <w:vAlign w:val="bottom"/>
            <w:tcBorders>
              <w:bottom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gridSpan w:val="5"/>
            <w:vMerge w:val="continue"/>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292,167</w:t>
            </w:r>
          </w:p>
        </w:tc>
        <w:tc>
          <w:tcPr>
            <w:tcW w:w="11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236,339</w:t>
            </w:r>
          </w:p>
        </w:tc>
        <w:tc>
          <w:tcPr>
            <w:tcW w:w="1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80" w:type="dxa"/>
            <w:vAlign w:val="bottom"/>
            <w:gridSpan w:val="6"/>
            <w:vMerge w:val="restart"/>
          </w:tcPr>
          <w:p>
            <w:pPr>
              <w:spacing w:after="0"/>
              <w:rPr>
                <w:sz w:val="20"/>
                <w:szCs w:val="20"/>
                <w:color w:val="auto"/>
              </w:rPr>
            </w:pPr>
            <w:r>
              <w:rPr>
                <w:rFonts w:ascii="Arial" w:cs="Arial" w:eastAsia="Arial" w:hAnsi="Arial"/>
                <w:sz w:val="18"/>
                <w:szCs w:val="18"/>
                <w:color w:val="auto"/>
              </w:rPr>
              <w:t>Net interest margin (3)</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line="20" w:lineRule="exact"/>
              <w:rPr>
                <w:sz w:val="1"/>
                <w:szCs w:val="1"/>
                <w:color w:val="auto"/>
              </w:rPr>
            </w:pPr>
          </w:p>
        </w:tc>
      </w:tr>
      <w:tr>
        <w:trPr>
          <w:trHeight w:val="197"/>
        </w:trPr>
        <w:tc>
          <w:tcPr>
            <w:tcW w:w="2580" w:type="dxa"/>
            <w:vAlign w:val="bottom"/>
            <w:gridSpan w:val="6"/>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gridSpan w:val="5"/>
          </w:tcPr>
          <w:p>
            <w:pPr>
              <w:spacing w:after="0" w:line="201" w:lineRule="exact"/>
              <w:rPr>
                <w:sz w:val="20"/>
                <w:szCs w:val="20"/>
                <w:color w:val="auto"/>
              </w:rPr>
            </w:pPr>
            <w:r>
              <w:rPr>
                <w:rFonts w:ascii="Arial" w:cs="Arial" w:eastAsia="Arial" w:hAnsi="Arial"/>
                <w:sz w:val="18"/>
                <w:szCs w:val="18"/>
                <w:color w:val="auto"/>
                <w:w w:val="97"/>
              </w:rPr>
              <w:t>Ratio of average interest earning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ind w:left="160"/>
              <w:spacing w:after="0"/>
              <w:rPr>
                <w:sz w:val="20"/>
                <w:szCs w:val="20"/>
                <w:color w:val="auto"/>
              </w:rPr>
            </w:pPr>
            <w:r>
              <w:rPr>
                <w:rFonts w:ascii="Arial" w:cs="Arial" w:eastAsia="Arial" w:hAnsi="Arial"/>
                <w:sz w:val="18"/>
                <w:szCs w:val="18"/>
                <w:color w:val="auto"/>
              </w:rPr>
              <w:t>assets to average interest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tcPr>
          <w:p>
            <w:pPr>
              <w:ind w:left="160"/>
              <w:spacing w:after="0"/>
              <w:rPr>
                <w:sz w:val="20"/>
                <w:szCs w:val="20"/>
                <w:color w:val="auto"/>
              </w:rPr>
            </w:pPr>
            <w:r>
              <w:rPr>
                <w:rFonts w:ascii="Arial" w:cs="Arial" w:eastAsia="Arial" w:hAnsi="Arial"/>
                <w:sz w:val="18"/>
                <w:szCs w:val="18"/>
                <w:color w:val="auto"/>
              </w:rPr>
              <w:t>bearing liabilities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00" w:hanging="232"/>
        <w:spacing w:after="0"/>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balances are based on month end balances except for warehouse lines of credit, which are based on daily balances.</w:t>
      </w:r>
    </w:p>
    <w:p>
      <w:pPr>
        <w:ind w:left="600" w:hanging="232"/>
        <w:spacing w:after="0" w:line="221" w:lineRule="auto"/>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600" w:hanging="232"/>
        <w:spacing w:after="0"/>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interest income divided by average interest earning assets.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80" w:type="dxa"/>
            <w:vAlign w:val="bottom"/>
            <w:gridSpan w:val="7"/>
          </w:tcPr>
          <w:p>
            <w:pPr>
              <w:jc w:val="center"/>
              <w:ind w:left="850"/>
              <w:spacing w:after="0"/>
              <w:rPr>
                <w:sz w:val="20"/>
                <w:szCs w:val="20"/>
                <w:color w:val="auto"/>
              </w:rPr>
            </w:pPr>
            <w:r>
              <w:rPr>
                <w:rFonts w:ascii="Arial" w:cs="Arial" w:eastAsia="Arial" w:hAnsi="Arial"/>
                <w:sz w:val="18"/>
                <w:szCs w:val="18"/>
                <w:b w:val="1"/>
                <w:bCs w:val="1"/>
                <w:color w:val="auto"/>
                <w:w w:val="90"/>
              </w:rPr>
              <w:t>Year Ended December 31, 2015</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6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Compared to December 31, 2014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700"/>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to Volume</w:t>
            </w:r>
          </w:p>
        </w:tc>
        <w:tc>
          <w:tcPr>
            <w:tcW w:w="18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780" w:type="dxa"/>
            <w:vAlign w:val="bottom"/>
            <w:gridSpan w:val="4"/>
            <w:vMerge w:val="restart"/>
          </w:tcPr>
          <w:p>
            <w:pPr>
              <w:jc w:val="center"/>
              <w:ind w:right="740"/>
              <w:spacing w:after="0"/>
              <w:rPr>
                <w:sz w:val="20"/>
                <w:szCs w:val="20"/>
                <w:color w:val="auto"/>
              </w:rPr>
            </w:pPr>
            <w:r>
              <w:rPr>
                <w:rFonts w:ascii="Arial" w:cs="Arial" w:eastAsia="Arial" w:hAnsi="Arial"/>
                <w:sz w:val="18"/>
                <w:szCs w:val="18"/>
                <w:b w:val="1"/>
                <w:bCs w:val="1"/>
                <w:color w:val="auto"/>
                <w:w w:val="89"/>
              </w:rPr>
              <w:t>Interest Earning Assets</w:t>
            </w:r>
          </w:p>
        </w:tc>
        <w:tc>
          <w:tcPr>
            <w:tcW w:w="1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780" w:type="dxa"/>
            <w:vAlign w:val="bottom"/>
            <w:gridSpan w:val="4"/>
            <w:vMerge w:val="continue"/>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86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64,296</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89,776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72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63,178</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88,324</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(25,146)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gridSpan w:val="5"/>
          </w:tcPr>
          <w:p>
            <w:pPr>
              <w:jc w:val="center"/>
              <w:ind w:left="129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(772)</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(772)</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11,904</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(1,651)</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72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7,350</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9,711</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720" w:type="dxa"/>
            <w:vAlign w:val="bottom"/>
            <w:tcBorders>
              <w:bottom w:val="single" w:sz="8" w:color="EEEEEE"/>
            </w:tcBorders>
          </w:tcPr>
          <w:p>
            <w:pPr>
              <w:spacing w:after="0"/>
              <w:rPr>
                <w:sz w:val="19"/>
                <w:szCs w:val="19"/>
                <w:color w:val="auto"/>
              </w:rPr>
            </w:pPr>
          </w:p>
        </w:tc>
        <w:tc>
          <w:tcPr>
            <w:tcW w:w="162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6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55,828</w:t>
            </w:r>
          </w:p>
        </w:tc>
        <w:tc>
          <w:tcPr>
            <w:tcW w:w="2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78,613</w:t>
            </w:r>
          </w:p>
        </w:tc>
        <w:tc>
          <w:tcPr>
            <w:tcW w:w="3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(22,785</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vMerge w:val="restart"/>
          </w:tcPr>
          <w:p>
            <w:pPr>
              <w:jc w:val="right"/>
              <w:ind w:right="610"/>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1" w:right="239" w:bottom="1440" w:gutter="0" w:footer="0" w:header="0"/>
        </w:sectPr>
      </w:pPr>
    </w:p>
    <w:bookmarkStart w:id="44" w:name="page45"/>
    <w:bookmarkEnd w:id="44"/>
    <w:p>
      <w:pPr>
        <w:ind w:firstLine="360"/>
        <w:spacing w:after="0" w:line="291" w:lineRule="auto"/>
        <w:rPr>
          <w:sz w:val="20"/>
          <w:szCs w:val="20"/>
          <w:color w:val="auto"/>
        </w:rPr>
      </w:pPr>
      <w:r>
        <w:rPr>
          <w:rFonts w:ascii="Arial" w:cs="Arial" w:eastAsia="Arial" w:hAnsi="Arial"/>
          <w:sz w:val="16"/>
          <w:szCs w:val="16"/>
          <w:color w:val="auto"/>
        </w:rPr>
        <w:t>Provision for credit losses was $142.6 million for the year ended December 31, 2015, an increase of $34.4 million, or 31.8% compared to the prior year and represented 47.2%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and also takes into account the performance of the receivables. Consequently, the increase in provision expense is the result of the increase in contract purchases during the last year, the larger portfolio owned by our consolidated subsidiaries compared to the prior year, and an adverse trend in the performance of our receivables, which we believe is consistent with the aging of our portfolio and may also be related to certain procedural changes in our servicing practices that were required by a consent decree to which we became subject in June 2014.</w:t>
      </w:r>
    </w:p>
    <w:p>
      <w:pPr>
        <w:spacing w:after="0" w:line="16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$1.4 million, or 8.4%, to $17.5 million during the year ended December 31, 2015, compared to $16.1 million in the prior year, and represented 5.3% of total operating expenses. For the year ended December 31, 2015, we purchased 64,130 contracts representing $1,060.5 million in receivables compared to 59,276 contracts representing $944.9 million in receivables in the prior year.</w:t>
      </w:r>
    </w:p>
    <w:p>
      <w:pPr>
        <w:spacing w:after="0" w:line="193" w:lineRule="exact"/>
        <w:rPr>
          <w:sz w:val="20"/>
          <w:szCs w:val="20"/>
          <w:color w:val="auto"/>
        </w:rPr>
      </w:pPr>
    </w:p>
    <w:p>
      <w:pPr>
        <w:ind w:right="520" w:firstLine="360"/>
        <w:spacing w:after="0" w:line="308" w:lineRule="auto"/>
        <w:rPr>
          <w:sz w:val="20"/>
          <w:szCs w:val="20"/>
          <w:color w:val="auto"/>
        </w:rPr>
      </w:pPr>
      <w:r>
        <w:rPr>
          <w:rFonts w:ascii="Arial" w:cs="Arial" w:eastAsia="Arial" w:hAnsi="Arial"/>
          <w:sz w:val="17"/>
          <w:szCs w:val="17"/>
          <w:color w:val="auto"/>
        </w:rPr>
        <w:t>Occupancy expenses increased by $618,000 or 17.8%, to $4.1 million compared to $3.5 million in the previous year and represented 1.2% of total operating expenses. In July 2015, we increased our Irvine, California office by entering into a lease for additional 20,000 square feet.</w:t>
      </w:r>
    </w:p>
    <w:p>
      <w:pPr>
        <w:spacing w:after="0" w:line="147"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Depreciation and amortization expenses increased by $209,000 or 48.8%, to $637,000 compared to $428,000 in the previous year and represented 0.2% of total operating expenses.</w:t>
      </w:r>
    </w:p>
    <w:p>
      <w:pPr>
        <w:spacing w:after="0" w:line="170"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For the year ended December 31, 2015, we recorded income tax expense of $26.7 million, representing a 43.5% effective income tax rate. In the prior year, we recorded $22.7 million of income tax expense, also representing a 43.5% effective income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Our business requires substantial cash to support our acquisitions of automobile contracts and other operating activities. Our primary sources of cash have been cash flow from operating activities, including proceeds from term securitization transactions and other sales of automobile contracts, amounts borrowed under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securitized portfolios of automobile contracts in which we have retained a residual ownership interest and the related spread accounts. Our primary uses of cash have been the acquisitions of automobile contracts, repayment of securitization trust debt, repayment of amounts borrowed under warehouse credit facilities, operating expenses such as employee, interest, occupancy expenses and other general and administrative expenses, the establishment of spread accounts and initial overcollateralization, if any, and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portfolios and their related spread accounts), the rate of expansion or contraction in our managed portfolio, and the terms upon which we are able to purchase, sell, and borrow against automobile contracts.</w:t>
      </w:r>
    </w:p>
    <w:p>
      <w:pPr>
        <w:spacing w:after="0" w:line="173"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Net cash provided by operating activities for the years ended December 31, 2016, 2015 and 2014 was $196.3 million, $187.6 million and $135.8 million, respectively. Net cash from operating activities is generally provided by net income from operations adjusted for significant non-cash items such as our provision for credit losses and accretion of deferred acquisition fees.</w:t>
      </w:r>
    </w:p>
    <w:p>
      <w:pPr>
        <w:spacing w:after="0" w:line="18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Net cash used in investing activities for the years ended December 31, 2016, 2015 and 2014 was $444.5 million, $441.3 million and $541.2 million, respectively. Cash provided by investing activities primarily results from principal payments and other proceeds received on finance receivables held for investment. Cash used in investing activities generally relates to acquisitions of finance receivables. Acquisitions of finance receivables held for investment were $1,088.8 million, $1,060.5 million and $944.9 million in 2016, 2015 and 2014, respectively. The results for 2015 also reflect a decrease of $69.3 million in restricted cash. Our restricted cash balance at December 31, 2015 included $85.3 million from the proceeds of the sale of the asset-backed notes that were held by the trustee pending delivery of the remaining receivables. Since we did not do a securitization in December of 2015, there was no related amount of restricted cash representing the pre-funding proceeds.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5" w:name="page46"/>
    <w:bookmarkEnd w:id="45"/>
    <w:p>
      <w:pPr>
        <w:ind w:right="20" w:firstLine="360"/>
        <w:spacing w:after="0" w:line="255" w:lineRule="auto"/>
        <w:rPr>
          <w:sz w:val="20"/>
          <w:szCs w:val="20"/>
          <w:color w:val="auto"/>
        </w:rPr>
      </w:pPr>
      <w:r>
        <w:rPr>
          <w:rFonts w:ascii="Arial" w:cs="Arial" w:eastAsia="Arial" w:hAnsi="Arial"/>
          <w:sz w:val="18"/>
          <w:szCs w:val="18"/>
          <w:color w:val="auto"/>
        </w:rPr>
        <w:t>Net cash provided by financing activities for the years ended December 31, 2016, 2015 and 2014 was $242.8 million, $255.2 million and $401.1 million, respectively. Cash used or provided by financing activities is primarily attributable to the repayment or issuance of debt, and in particular, securitization trust debt and portfolio acquisition financing. We issued $1,197.5 million in new securitization trust debt in 2016 compared to $795.0 million in 2015 and $923.0 million in 2014. The decrease in new securitization trust debt from 2014 to 2015 is the result of our forgoing what would have been our December 2015 securitization to January 2016. Repayments of securitization debt were $834.9 million, $662.0 million and $502.2 million in 2016, 2015 and 2014, respectively.</w:t>
      </w:r>
    </w:p>
    <w:p>
      <w:pPr>
        <w:spacing w:after="0" w:line="193"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We purchase automobile contracts from dealers for a cash price approximating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access to the asset-backed securitization market for long-term financing of our portfolio of automobile contracts. In addition, from time to time, we have relied on the availability of cash from outside sources in order to finance our continuing operations, as well as to fund the portion of automobile contract purchase prices not financed under revolving warehouse credit facilities.</w:t>
      </w:r>
    </w:p>
    <w:p>
      <w:pPr>
        <w:spacing w:after="0" w:line="193"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acquire automobile contracts.</w:t>
      </w:r>
    </w:p>
    <w:p>
      <w:pPr>
        <w:spacing w:after="0" w:line="158"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December 31, 2016, we had unrestricted cash of $13.9 million. We had an aggregate of $196.6 million available under our three $100 million warehouse credit facilities (subject to available eligible collateral). During 2016 we completed four securitizations aggregating $1,197.5 million of receivables, and we intend to continue completing securitizations regularly during 2017, although there can be no assurance that we will be able to do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89"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defaults or net losses related to the automobile contracts in the pool are below certain predetermined levels. In the event delinquencies, defaults or net losses on the automobile contracts exceed such levels, the terms of the securitization: (i) may require increased credit enhancement to be accumulated for the particular pool; or (ii) in certain circumstances, may permit the transfer of servicing on some or all of the automobile contracts to another servicer. There can be no assurance that collections from the related trusts will continue to generate sufficient cash. Moreover, some of our spread account balances are pledged as collateral to our residual interest financing and, under certain circumstances, releases from our spread account balances could be diverted to repay such residual interest financing.</w:t>
      </w:r>
    </w:p>
    <w:p>
      <w:pPr>
        <w:spacing w:after="0" w:line="179"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We have and will continue to have a substantial amount of indebtedness. At December 31, 2016, we had approximately $2,199.2 million of debt outstanding. Such debt consisted primarily of $2,080.9 million of securitization trust debt, $103.4 million of warehouse lines of credit, and $14.9 million in subordinated renewable notes. We are also currently offering the subordinated notes to the public on a continuous basis, and such notes have maturities that range from three months to 10 years.</w:t>
      </w:r>
    </w:p>
    <w:p>
      <w:pPr>
        <w:spacing w:after="0" w:line="187"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Failure to pay our indebtedness when due could have a material adverse effect and may require us to issue additional debt or equity securities.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i w:val="1"/>
                <w:iCs w:val="1"/>
                <w:color w:val="auto"/>
              </w:rPr>
              <w:t>Contractual Obligations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20" w:type="dxa"/>
            <w:vAlign w:val="bottom"/>
            <w:gridSpan w:val="10"/>
          </w:tcPr>
          <w:p>
            <w:pPr>
              <w:ind w:left="360"/>
              <w:spacing w:after="0"/>
              <w:rPr>
                <w:sz w:val="20"/>
                <w:szCs w:val="20"/>
                <w:color w:val="auto"/>
              </w:rPr>
            </w:pPr>
            <w:r>
              <w:rPr>
                <w:rFonts w:ascii="Arial" w:cs="Arial" w:eastAsia="Arial" w:hAnsi="Arial"/>
                <w:sz w:val="18"/>
                <w:szCs w:val="18"/>
                <w:color w:val="auto"/>
                <w:w w:val="93"/>
              </w:rPr>
              <w:t>The following table summarizes our material contractual obligations as of December 31, 2016 (dollars in thousands):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 Due by Period (1)</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88"/>
              </w:rPr>
              <w:t>Less than</w:t>
            </w:r>
          </w:p>
        </w:tc>
        <w:tc>
          <w:tcPr>
            <w:tcW w:w="180" w:type="dxa"/>
            <w:vAlign w:val="bottom"/>
          </w:tcPr>
          <w:p>
            <w:pPr>
              <w:spacing w:after="0"/>
              <w:rPr>
                <w:sz w:val="17"/>
                <w:szCs w:val="17"/>
                <w:color w:val="auto"/>
              </w:rPr>
            </w:pPr>
          </w:p>
        </w:tc>
        <w:tc>
          <w:tcPr>
            <w:tcW w:w="900" w:type="dxa"/>
            <w:vAlign w:val="bottom"/>
            <w:gridSpan w:val="2"/>
          </w:tcPr>
          <w:p>
            <w:pPr>
              <w:ind w:left="80"/>
              <w:spacing w:after="0" w:line="205" w:lineRule="exact"/>
              <w:rPr>
                <w:sz w:val="20"/>
                <w:szCs w:val="20"/>
                <w:color w:val="auto"/>
              </w:rPr>
            </w:pPr>
            <w:r>
              <w:rPr>
                <w:rFonts w:ascii="Arial" w:cs="Arial" w:eastAsia="Arial" w:hAnsi="Arial"/>
                <w:sz w:val="18"/>
                <w:szCs w:val="18"/>
                <w:b w:val="1"/>
                <w:bCs w:val="1"/>
                <w:color w:val="auto"/>
              </w:rPr>
              <w:t>2 to 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89"/>
              </w:rPr>
              <w:t>4 to 5</w:t>
            </w:r>
          </w:p>
        </w:tc>
        <w:tc>
          <w:tcPr>
            <w:tcW w:w="160" w:type="dxa"/>
            <w:vAlign w:val="bottom"/>
          </w:tcPr>
          <w:p>
            <w:pPr>
              <w:spacing w:after="0"/>
              <w:rPr>
                <w:sz w:val="17"/>
                <w:szCs w:val="17"/>
                <w:color w:val="auto"/>
              </w:rPr>
            </w:pPr>
          </w:p>
        </w:tc>
        <w:tc>
          <w:tcPr>
            <w:tcW w:w="92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5"/>
              </w:rPr>
              <w:t>Years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53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Long Term Debt (2)</w:t>
            </w: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14,949</w:t>
            </w: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8,780</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2,300</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29,066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6,018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11,014</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8,701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3,333</w:t>
            </w:r>
          </w:p>
        </w:tc>
      </w:tr>
    </w:tbl>
    <w:p>
      <w:pPr>
        <w:spacing w:after="0" w:line="187" w:lineRule="exact"/>
        <w:rPr>
          <w:sz w:val="20"/>
          <w:szCs w:val="20"/>
          <w:color w:val="auto"/>
        </w:rPr>
      </w:pPr>
    </w:p>
    <w:p>
      <w:pPr>
        <w:ind w:left="340" w:right="100" w:hanging="332"/>
        <w:spacing w:after="0" w:line="254" w:lineRule="auto"/>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Securitization trust debt, in the aggregate amount of $2,080.9 million as of December 31, 2016, is omitted from this table because it becomes due as and when the related receivables balance is reduced by payments and charge-offs. Expected payments, which will depend on the performance of such receivables, as to which there can be no assurance, are $786.3 million in 2017, $612.1 million in 2018, $377.1 million in 2019, $209.4 million in 2020, $86.3 million in 2021, and $9.7 million in 2022.</w:t>
      </w:r>
    </w:p>
    <w:p>
      <w:pPr>
        <w:spacing w:after="0" w:line="2" w:lineRule="exact"/>
        <w:rPr>
          <w:rFonts w:ascii="Arial" w:cs="Arial" w:eastAsia="Arial" w:hAnsi="Arial"/>
          <w:sz w:val="18"/>
          <w:szCs w:val="18"/>
          <w:i w:val="1"/>
          <w:iCs w:val="1"/>
          <w:color w:val="auto"/>
        </w:rPr>
      </w:pPr>
    </w:p>
    <w:p>
      <w:pPr>
        <w:ind w:left="340" w:hanging="332"/>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represents subordinated renewable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debt that is due in 2017, we anticipate repaying it with a combination of cash flows from operations and the potential issuance of new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225"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terms on which credit has been available to us for purchase of automobile contracts have varied in recent years, as shown in the following summary of our warehouse credit facilities:</w:t>
      </w:r>
    </w:p>
    <w:p>
      <w:pPr>
        <w:spacing w:after="0" w:line="170"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i w:val="1"/>
          <w:iCs w:val="1"/>
          <w:color w:val="auto"/>
        </w:rPr>
        <w:t xml:space="preserve">Facility Established in May 2012. </w:t>
      </w:r>
      <w:r>
        <w:rPr>
          <w:rFonts w:ascii="Arial" w:cs="Arial" w:eastAsia="Arial" w:hAnsi="Arial"/>
          <w:sz w:val="17"/>
          <w:szCs w:val="17"/>
          <w:color w:val="auto"/>
        </w:rPr>
        <w:t>On May 11, 2012, we entered into a $100 million one-year warehouse credit line with Citibank, N.A. The facility is</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structured to allow us to fund a portion of the purchase price of automobile contracts by borrowing from a credit facility to our consolidated subsidiary Page Eight Funding, LLC. The facility provides for effective advances up to 88.0% of eligible finance receivables. The loans under the facility accrue interest at one-month LIBOR plus 5.50% per annum, with a minimum rate of 6.25% per annum. In August 2016, this facility was amended to extend the revolving period to August 2018 and to include an amortization period through August 2019 for any receivables pledged to the facility at the end of the revolving period. At December 31, 2016 there was $26.4 million outstanding under this facility.</w:t>
      </w:r>
    </w:p>
    <w:p>
      <w:pPr>
        <w:spacing w:after="0" w:line="17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i w:val="1"/>
          <w:iCs w:val="1"/>
          <w:color w:val="auto"/>
        </w:rPr>
        <w:t xml:space="preserve">Facility Established in April 2015. </w:t>
      </w:r>
      <w:r>
        <w:rPr>
          <w:rFonts w:ascii="Arial" w:cs="Arial" w:eastAsia="Arial" w:hAnsi="Arial"/>
          <w:sz w:val="18"/>
          <w:szCs w:val="18"/>
          <w:color w:val="auto"/>
        </w:rPr>
        <w:t>On April 17, 2015, we entered into an additional $100 million one-year warehouse credit line with Fortress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The revolving period terminates in April 2017 followed by an amortization period through April 2019 for any receivables pledged to the facility at the end of the revolving period. At December 31, 2016 there was $64.4 million outstanding under this facility.</w:t>
      </w:r>
    </w:p>
    <w:p>
      <w:pPr>
        <w:spacing w:after="0" w:line="193" w:lineRule="exact"/>
        <w:rPr>
          <w:sz w:val="20"/>
          <w:szCs w:val="20"/>
          <w:color w:val="auto"/>
        </w:rPr>
      </w:pPr>
    </w:p>
    <w:p>
      <w:pPr>
        <w:ind w:right="500" w:firstLine="360"/>
        <w:spacing w:after="0" w:line="288" w:lineRule="auto"/>
        <w:rPr>
          <w:sz w:val="20"/>
          <w:szCs w:val="20"/>
          <w:color w:val="auto"/>
        </w:rPr>
      </w:pPr>
      <w:r>
        <w:rPr>
          <w:rFonts w:ascii="Arial" w:cs="Arial" w:eastAsia="Arial" w:hAnsi="Arial"/>
          <w:sz w:val="16"/>
          <w:szCs w:val="16"/>
          <w:i w:val="1"/>
          <w:iCs w:val="1"/>
          <w:color w:val="auto"/>
        </w:rPr>
        <w:t xml:space="preserve">Facility Established in November 2015. </w:t>
      </w:r>
      <w:r>
        <w:rPr>
          <w:rFonts w:ascii="Arial" w:cs="Arial" w:eastAsia="Arial" w:hAnsi="Arial"/>
          <w:sz w:val="16"/>
          <w:szCs w:val="16"/>
          <w:color w:val="auto"/>
        </w:rPr>
        <w:t>On November 24, 2015, we entered into an additional $100 million one-year warehouse credit line with</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w:t>
      </w:r>
    </w:p>
    <w:p>
      <w:pPr>
        <w:ind w:right="40"/>
        <w:spacing w:after="0" w:line="254" w:lineRule="auto"/>
        <w:rPr>
          <w:sz w:val="20"/>
          <w:szCs w:val="20"/>
          <w:color w:val="auto"/>
        </w:rPr>
      </w:pPr>
      <w:r>
        <w:rPr>
          <w:rFonts w:ascii="Arial" w:cs="Arial" w:eastAsia="Arial" w:hAnsi="Arial"/>
          <w:sz w:val="18"/>
          <w:szCs w:val="18"/>
          <w:color w:val="auto"/>
        </w:rPr>
        <w:t>88.0% of eligible finance receivables, or up to 80.0% for certain other receivables. The loans under the facility accrue interest at a commercial paper rate plus 6.75% per annum, with a minimum rate of 7.75% per annum. The revolving period terminates in November 2017 followed by an amortization period through November 2019 for any receivables pledged to the facility at the end of the revolving period. At December 31, 2016 there was $14.2 million outstanding under this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7" w:name="page48"/>
    <w:bookmarkEnd w:id="47"/>
    <w:p>
      <w:pPr>
        <w:ind w:firstLine="360"/>
        <w:spacing w:after="0" w:line="297" w:lineRule="auto"/>
        <w:rPr>
          <w:sz w:val="20"/>
          <w:szCs w:val="20"/>
          <w:color w:val="auto"/>
        </w:rPr>
      </w:pPr>
      <w:r>
        <w:rPr>
          <w:rFonts w:ascii="Arial" w:cs="Arial" w:eastAsia="Arial" w:hAnsi="Arial"/>
          <w:sz w:val="16"/>
          <w:szCs w:val="16"/>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w:t>
      </w:r>
    </w:p>
    <w:p>
      <w:pPr>
        <w:spacing w:after="0" w:line="225"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Over the period from January 1, 2014 through December 31, 2016 we have managed our capitalization by issuing and refinancing debt as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1"/>
              </w:rPr>
              <w:t>Year Ended 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ind w:left="240"/>
              <w:spacing w:after="0"/>
              <w:rPr>
                <w:sz w:val="20"/>
                <w:szCs w:val="20"/>
                <w:color w:val="auto"/>
              </w:rPr>
            </w:pPr>
            <w:r>
              <w:rPr>
                <w:rFonts w:ascii="Arial" w:cs="Arial" w:eastAsia="Arial" w:hAnsi="Arial"/>
                <w:sz w:val="18"/>
                <w:szCs w:val="18"/>
                <w:color w:val="auto"/>
              </w:rPr>
              <w:t>(Dollars in thousands)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FINANCING:</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Beginning balance</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9,042</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12,327</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Payments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(9,042)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(3,285)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88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9,042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12,327</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SECURITIZATION TRUST DEBT:</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Beginning balance</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1,731,598</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1,598,496</w:t>
            </w:r>
          </w:p>
        </w:tc>
        <w:tc>
          <w:tcPr>
            <w:tcW w:w="340" w:type="dxa"/>
            <w:vAlign w:val="bottom"/>
          </w:tcPr>
          <w:p>
            <w:pPr>
              <w:spacing w:after="0"/>
              <w:rPr>
                <w:sz w:val="18"/>
                <w:szCs w:val="18"/>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1,177,559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1,197,515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795,000</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923,000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Payments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(834,880)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(661,960)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(502,193)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discount</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Reclassification of deferred financing costs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(11,579)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Capitalization of deferred financing costs</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(8,367)</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88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2,080,900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1,731,598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1,598,496</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SENIOR SECURED DEBT, RELATED PARTY:</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Beginning balance.</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Payments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(39,182)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Debt discount net of amortization</w:t>
            </w:r>
          </w:p>
        </w:tc>
        <w:tc>
          <w:tcPr>
            <w:tcW w:w="8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SUBORDINATED RENEWABLE NOTES: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w:t>
            </w:r>
          </w:p>
        </w:tc>
        <w:tc>
          <w:tcPr>
            <w:tcW w:w="12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15,138</w:t>
            </w:r>
          </w:p>
        </w:tc>
        <w:tc>
          <w:tcPr>
            <w:tcW w:w="6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15,233</w:t>
            </w:r>
          </w:p>
        </w:tc>
        <w:tc>
          <w:tcPr>
            <w:tcW w:w="340" w:type="dxa"/>
            <w:vAlign w:val="bottom"/>
            <w:gridSpan w:val="2"/>
            <w:shd w:val="clear" w:color="auto" w:fill="EEEEEE"/>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19,142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Issuances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2,911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1,551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w:t>
            </w:r>
          </w:p>
        </w:tc>
        <w:tc>
          <w:tcPr>
            <w:tcW w:w="8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(3,100)</w:t>
            </w: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(1,646)</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15,138</w:t>
            </w:r>
          </w:p>
        </w:tc>
        <w:tc>
          <w:tcPr>
            <w:tcW w:w="34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15,233</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DEBT SECURED BY RECEIVABLES MEASURED</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b w:val="1"/>
                <w:bCs w:val="1"/>
                <w:color w:val="auto"/>
              </w:rPr>
              <w:t>AT FAIR VALUE:</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Beginning balance</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1,250</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(1,250)</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Accretion of premium</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Mark to fair value</w:t>
            </w:r>
          </w:p>
        </w:tc>
        <w:tc>
          <w:tcPr>
            <w:tcW w:w="8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Ending balance</w:t>
            </w:r>
          </w:p>
        </w:tc>
        <w:tc>
          <w:tcPr>
            <w:tcW w:w="8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Residual Interest Financing.</w:t>
      </w:r>
    </w:p>
    <w:p>
      <w:pPr>
        <w:spacing w:after="0" w:line="225" w:lineRule="exact"/>
        <w:rPr>
          <w:sz w:val="20"/>
          <w:szCs w:val="20"/>
          <w:color w:val="auto"/>
        </w:rPr>
      </w:pPr>
    </w:p>
    <w:p>
      <w:pPr>
        <w:ind w:right="280" w:firstLine="360"/>
        <w:spacing w:after="0" w:line="286" w:lineRule="auto"/>
        <w:rPr>
          <w:sz w:val="20"/>
          <w:szCs w:val="20"/>
          <w:color w:val="auto"/>
        </w:rPr>
      </w:pPr>
      <w:r>
        <w:rPr>
          <w:rFonts w:ascii="Arial" w:cs="Arial" w:eastAsia="Arial" w:hAnsi="Arial"/>
          <w:sz w:val="17"/>
          <w:szCs w:val="17"/>
          <w:color w:val="auto"/>
        </w:rPr>
        <w:t>In April 2013, we established a five-year $20 million term residual facility. The facility is secured by eligible residual interests in two previously securitized pools of automobile receivables. The facility provides for effective advances up to 70.0% of the related borrowing base. Notes issued under the facility accrue interest at one-month LIBOR plus 11.75% per annum. The facility was repaid in full in November 2016.</w:t>
      </w:r>
    </w:p>
    <w:p>
      <w:pPr>
        <w:spacing w:after="0" w:line="166"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i w:val="1"/>
          <w:iCs w:val="1"/>
          <w:color w:val="auto"/>
        </w:rPr>
        <w:t xml:space="preserve">Securitization Trust Debt. </w:t>
      </w:r>
      <w:r>
        <w:rPr>
          <w:rFonts w:ascii="Arial" w:cs="Arial" w:eastAsia="Arial" w:hAnsi="Arial"/>
          <w:sz w:val="18"/>
          <w:szCs w:val="18"/>
          <w:color w:val="auto"/>
        </w:rPr>
        <w:t>Since 2011, we treated all 22 of our securitizations of automobile contracts as secured financings for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and the asset-backed securities issued in such securitizations remain on our consolidated balance sheet as securitization trust debt.We had $2,080.9 million of securitization trust debt outstanding at December 31, 2016.</w:t>
      </w:r>
    </w:p>
    <w:p>
      <w:pPr>
        <w:spacing w:after="0" w:line="181"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i w:val="1"/>
          <w:iCs w:val="1"/>
          <w:color w:val="auto"/>
        </w:rPr>
        <w:t xml:space="preserve">Subordinated Renewable Notes Debt. </w:t>
      </w:r>
      <w:r>
        <w:rPr>
          <w:rFonts w:ascii="Arial" w:cs="Arial" w:eastAsia="Arial" w:hAnsi="Arial"/>
          <w:sz w:val="18"/>
          <w:szCs w:val="18"/>
          <w:color w:val="auto"/>
        </w:rPr>
        <w:t>In June 2005, we began issuing registered subordinated renewable notes in an ongoing offering to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Upon 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 At December 31, 2016 there were $14.9 million of such notes outstanding.</w:t>
      </w:r>
    </w:p>
    <w:p>
      <w:pPr>
        <w:spacing w:after="0" w:line="188" w:lineRule="exact"/>
        <w:rPr>
          <w:sz w:val="20"/>
          <w:szCs w:val="20"/>
          <w:color w:val="auto"/>
        </w:rPr>
      </w:pPr>
    </w:p>
    <w:p>
      <w:pPr>
        <w:ind w:right="240" w:firstLine="360"/>
        <w:spacing w:after="0" w:line="279" w:lineRule="auto"/>
        <w:rPr>
          <w:sz w:val="20"/>
          <w:szCs w:val="20"/>
          <w:color w:val="auto"/>
        </w:rPr>
      </w:pPr>
      <w:r>
        <w:rPr>
          <w:rFonts w:ascii="Arial" w:cs="Arial" w:eastAsia="Arial" w:hAnsi="Arial"/>
          <w:sz w:val="17"/>
          <w:szCs w:val="17"/>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2016,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This report on Form 10-K includes certain "forward-looking statements". Forward-looking statements may be identified by the use of words such as "anticipates," "expects," "plans," "estimates," or words of like meaning. As to the specifically identified forward-looking statements, factors that could affect charge-offs and recovery rates include changes in the general economic climate, which could affect the willingness or ability of obligors to pay pursuant to the terms of contracts, changes in laws respecting consumer finance, which could affect our ability to enforce rights under contracts, and changes in the market for used vehicles, which could affect the levels of recoveries upon sale of repossessed vehicles. Factors that could affect our revenues in the current year include the levels of cash releases from existing pools of contracts, which would affect our ability to purchase contracts, the terms on which we are able to finance such purchases, the willingness of dealers to sell contracts to us on the terms that it offers, and the terms on which we are able to complete term securitizations once contracts are acquired. Factors that could affect our expenses in the current year include competitive conditions in the market for qualified personnel, investor demand for asset-backed securities and interest rates (which affect the rates that we pay on asset-backed securities issued in our securitizations). The statements concerning structuring securitization transactions as secured financings and the effects of such structures on financial items and on future profitability also are forward-looking statements. Any change to the structure of our securitization transaction could cause such forward-looking statements to be inaccurate. Both the amount of the effect of the change in structure on our profitability and the duration of the period in which our profitability would be affected by the change in securitization structure are estimates. The accuracy of such estimates will be affected by the rate at which we purchase and sell contracts, any changes in that rate, the credit performance of such contracts, the financial terms of future securitizations, any changes in such terms over time, and other factors that generally affect our profitability.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9" w:name="page50"/>
    <w:bookmarkEnd w:id="49"/>
    <w:p>
      <w:pPr>
        <w:ind w:firstLine="360"/>
        <w:spacing w:after="0" w:line="289" w:lineRule="auto"/>
        <w:rPr>
          <w:sz w:val="20"/>
          <w:szCs w:val="20"/>
          <w:color w:val="auto"/>
        </w:rPr>
      </w:pPr>
      <w:r>
        <w:rPr>
          <w:rFonts w:ascii="Arial" w:cs="Arial" w:eastAsia="Arial" w:hAnsi="Arial"/>
          <w:sz w:val="16"/>
          <w:szCs w:val="16"/>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structured our term securitization transactions to include pre-funding structures, whereby the amount of notes issued exceeds the amount of contracts initially sold to the trusts. We expect to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This report includes Consolidated Financial Statements, notes thereto and an Independent Auditors’ Report, at the pages indicated below, in the "Index to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Under the supervision and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management of the Company has evaluated the effectiveness of the design and operation of the Company’s disclosure controls and procedures, as defined in Rules 13a-15(e) and 15d-15(e) under the Securities Exchange Act of 1934 (the "Exchange Act") as of December 31, 2016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178"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i w:val="1"/>
          <w:iCs w:val="1"/>
          <w:color w:val="auto"/>
        </w:rPr>
        <w:t xml:space="preserve">Internal Control. </w:t>
      </w:r>
      <w:r>
        <w:rPr>
          <w:rFonts w:ascii="Arial" w:cs="Arial" w:eastAsia="Arial" w:hAnsi="Arial"/>
          <w:sz w:val="18"/>
          <w:szCs w:val="18"/>
          <w:color w:val="auto"/>
        </w:rPr>
        <w:t>Management’s Report on Internal Control over Financial Reporting is included in this Annual Report, immediately below.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ended December 31, 2016, there were no changes in our internal control over financial reporting that have materially affected, or are reasonably likely to materially affect, our internal control over financial reporting.</w:t>
      </w:r>
    </w:p>
    <w:p>
      <w:pPr>
        <w:spacing w:after="0" w:line="181"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We are responsible for establishing and maintaining adequate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47" w:lineRule="exact"/>
        <w:rPr>
          <w:sz w:val="20"/>
          <w:szCs w:val="20"/>
          <w:color w:val="auto"/>
        </w:rPr>
      </w:pPr>
    </w:p>
    <w:p>
      <w:pPr>
        <w:ind w:right="440" w:firstLine="360"/>
        <w:spacing w:after="0" w:line="30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14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Management, with the participation of the chief executive and chief financial officers, assessed the effectiveness of our internal control over financial reporting as of December 31, 2016. In making this assessment, we used the criteria set forth by the Committee of Sponsoring Organizations of the Treadway Commission (COSO) in the 2013 Internal Control — Integrated Framework. Based on this assessment, management, with the participation of the Chief Executive and Chief Financial Officers, believes that, as of December 31, 2016, our internal control over financial reporting is effective based on those criteria.</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0" w:name="page51"/>
    <w:bookmarkEnd w:id="50"/>
    <w:p>
      <w:pPr>
        <w:ind w:right="260" w:firstLine="360"/>
        <w:spacing w:after="0" w:line="277" w:lineRule="auto"/>
        <w:rPr>
          <w:sz w:val="20"/>
          <w:szCs w:val="20"/>
          <w:color w:val="auto"/>
        </w:rPr>
      </w:pPr>
      <w:r>
        <w:rPr>
          <w:rFonts w:ascii="Arial" w:cs="Arial" w:eastAsia="Arial" w:hAnsi="Arial"/>
          <w:sz w:val="18"/>
          <w:szCs w:val="18"/>
          <w:color w:val="auto"/>
        </w:rPr>
        <w:t>Our internal control over financial reporting as of December 31, 2016, has been audited by Crowe Horwath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Information regarding directors of the registrant is incorporated by reference to the registrant’s definitive proxy statement for its annual meeting of shareholders to be held in 2017 (the "2017 Proxy Statement"). The 2017 Proxy Statement will be filed not later than April 30, 2017. Information regarding executive officers of the registrant appears in Part I of this report,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Incorporated by reference to the 2017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Incorporated by reference to the 2017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Incorporated by reference to the 2017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Incorporated by reference to the 2017 Proxy Statement.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800" w:right="5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8"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Exhibit</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i w:val="1"/>
          <w:iCs w:val="1"/>
          <w:color w:val="auto"/>
        </w:rPr>
        <w:t>Number</w:t>
      </w:r>
      <w:r>
        <w:rPr>
          <w:sz w:val="20"/>
          <w:szCs w:val="20"/>
          <w:color w:val="auto"/>
        </w:rPr>
        <w:tab/>
      </w:r>
      <w:r>
        <w:rPr>
          <w:rFonts w:ascii="Arial" w:cs="Arial" w:eastAsia="Arial" w:hAnsi="Arial"/>
          <w:sz w:val="18"/>
          <w:szCs w:val="18"/>
          <w:i w:val="1"/>
          <w:iCs w:val="1"/>
          <w:color w:val="auto"/>
        </w:rPr>
        <w:t>Description (“**” indicates compensatory plan or agreement.)</w:t>
      </w:r>
    </w:p>
    <w:p>
      <w:pPr>
        <w:spacing w:after="0" w:line="9"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Articles of Incorporation (Exhibit 3.1 to Form 10-K filed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Certificate of Designation re Series B Preferred (Exhibit 3.1.1 to Form 8-K filed by the registrant on December 30, 2010)</w:t>
      </w:r>
    </w:p>
    <w:p>
      <w:pPr>
        <w:spacing w:after="0" w:line="9"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(Exhibit 3.3 to Form 8-K filed July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hanging="476"/>
        <w:spacing w:after="0"/>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Instruments defining the rights of holders of long-term debt of certain consolidated subsidiaries of the registrant are omitted pursuant to the</w:t>
      </w:r>
    </w:p>
    <w:p>
      <w:pPr>
        <w:spacing w:after="0" w:line="32" w:lineRule="exact"/>
        <w:rPr>
          <w:sz w:val="20"/>
          <w:szCs w:val="20"/>
          <w:color w:val="auto"/>
        </w:rPr>
      </w:pPr>
    </w:p>
    <w:p>
      <w:pPr>
        <w:ind w:left="1160"/>
        <w:spacing w:after="0" w:line="250" w:lineRule="auto"/>
        <w:rPr>
          <w:sz w:val="20"/>
          <w:szCs w:val="20"/>
          <w:color w:val="auto"/>
        </w:rPr>
      </w:pPr>
      <w:r>
        <w:rPr>
          <w:rFonts w:ascii="Arial" w:cs="Arial" w:eastAsia="Arial" w:hAnsi="Arial"/>
          <w:sz w:val="18"/>
          <w:szCs w:val="18"/>
          <w:color w:val="auto"/>
        </w:rPr>
        <w:t>exclusion set forth in subdivisions (b)(iv)(iii)(A) and (b)(v) of Item 601 of Regulation S-K (17 CFR 229.601). The registrant agrees to provide copies of such instruments to the United States Securities and Exchange Commission upon request.</w:t>
      </w:r>
    </w:p>
    <w:p>
      <w:pPr>
        <w:spacing w:after="0" w:line="1"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Indenture re Renewable Unsecured Subordinated Notes (“RUS Notes”). (Exhibit 4.1 to Form S-2, no. 333-121913)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60"/>
        <w:spacing w:after="0"/>
        <w:tabs>
          <w:tab w:leader="none" w:pos="11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Form of RUS Notes (Exhibit 4.2 to Form S-2, no. 333-121913)</w:t>
      </w:r>
    </w:p>
    <w:p>
      <w:pPr>
        <w:spacing w:after="0" w:line="9"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Indenture re additional Renewable Unsecured Subordinated Notes (“ARUS Notes”) (Exhibit 4.1 to Form S-1, no. 333-168976)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60"/>
        <w:spacing w:after="0"/>
        <w:tabs>
          <w:tab w:leader="none" w:pos="11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Form of ARUS Notes (Exhibit 4.2 to Form S-1, no. 333-168976)</w:t>
      </w:r>
    </w:p>
    <w:p>
      <w:pPr>
        <w:spacing w:after="0" w:line="9"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Supplement dated December 7, 2010 to Indenture re ARUS Notes (Exhibit 4.3 to Form S-1, no. 333-168976)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0"/>
        <w:spacing w:after="0"/>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Supplement dated January 22, 2014 to Indenture re ARUS Notes (Exhibit 4.4 to Form S-1, no. 333-190766)</w:t>
      </w:r>
    </w:p>
    <w:p>
      <w:pPr>
        <w:spacing w:after="0" w:line="9" w:lineRule="exact"/>
        <w:rPr>
          <w:sz w:val="20"/>
          <w:szCs w:val="20"/>
          <w:color w:val="auto"/>
        </w:rPr>
      </w:pPr>
    </w:p>
    <w:p>
      <w:pPr>
        <w:ind w:left="500"/>
        <w:spacing w:after="0"/>
        <w:tabs>
          <w:tab w:leader="none" w:pos="114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Indenture re Notes issued by CPS Auto Receivables Trust 2015-B (exhibit 4.61 to Form 8-K/A filed by the registrant on June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tabs>
          <w:tab w:leader="none" w:pos="114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6"/>
          <w:szCs w:val="16"/>
          <w:color w:val="auto"/>
        </w:rPr>
        <w:t>Sale and Servicing Agreement dated as of June 1, 2015, related to notes issued by CPS Auto Receivables Trust 2015-B (exhibit 4.62 to Form</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8-K/A filed by the registrant on June 26, 2015)</w:t>
      </w:r>
    </w:p>
    <w:p>
      <w:pPr>
        <w:spacing w:after="0" w:line="9" w:lineRule="exact"/>
        <w:rPr>
          <w:sz w:val="20"/>
          <w:szCs w:val="20"/>
          <w:color w:val="auto"/>
        </w:rPr>
      </w:pPr>
    </w:p>
    <w:p>
      <w:pPr>
        <w:ind w:left="500"/>
        <w:spacing w:after="0"/>
        <w:tabs>
          <w:tab w:leader="none" w:pos="114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6"/>
          <w:szCs w:val="16"/>
          <w:color w:val="auto"/>
        </w:rPr>
        <w:t>Indenture re Notes issued by CPS Auto Receivables Trust 2015-C (exhibit 4.63 to Form 8-K filed by the registrant on September 22,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right="80" w:hanging="651"/>
        <w:spacing w:after="0" w:line="250" w:lineRule="auto"/>
        <w:tabs>
          <w:tab w:leader="none" w:pos="1140" w:val="left"/>
        </w:tabs>
        <w:rPr>
          <w:sz w:val="20"/>
          <w:szCs w:val="20"/>
          <w:color w:val="auto"/>
        </w:rPr>
      </w:pPr>
      <w:r>
        <w:rPr>
          <w:rFonts w:ascii="Arial" w:cs="Arial" w:eastAsia="Arial" w:hAnsi="Arial"/>
          <w:sz w:val="18"/>
          <w:szCs w:val="18"/>
          <w:color w:val="auto"/>
        </w:rPr>
        <w:t>4.64</w:t>
      </w:r>
      <w:r>
        <w:rPr>
          <w:sz w:val="20"/>
          <w:szCs w:val="20"/>
          <w:color w:val="auto"/>
        </w:rPr>
        <w:tab/>
      </w:r>
      <w:r>
        <w:rPr>
          <w:rFonts w:ascii="Arial" w:cs="Arial" w:eastAsia="Arial" w:hAnsi="Arial"/>
          <w:sz w:val="18"/>
          <w:szCs w:val="18"/>
          <w:color w:val="auto"/>
        </w:rPr>
        <w:t>Sale and Servicing Agreement dated as of September 1, 2015, related to notes issued by CPS Auto Receivables Trust 2015-C (exhibit 4.64 to Form 8-K filed by the registrant on September 22, 2015)</w:t>
      </w:r>
    </w:p>
    <w:p>
      <w:pPr>
        <w:spacing w:after="0" w:line="1" w:lineRule="exact"/>
        <w:rPr>
          <w:sz w:val="20"/>
          <w:szCs w:val="20"/>
          <w:color w:val="auto"/>
        </w:rPr>
      </w:pPr>
    </w:p>
    <w:p>
      <w:pPr>
        <w:ind w:left="500"/>
        <w:spacing w:after="0"/>
        <w:tabs>
          <w:tab w:leader="none" w:pos="1140" w:val="left"/>
        </w:tabs>
        <w:rPr>
          <w:sz w:val="20"/>
          <w:szCs w:val="20"/>
          <w:color w:val="auto"/>
        </w:rPr>
      </w:pPr>
      <w:r>
        <w:rPr>
          <w:rFonts w:ascii="Arial" w:cs="Arial" w:eastAsia="Arial" w:hAnsi="Arial"/>
          <w:sz w:val="18"/>
          <w:szCs w:val="18"/>
          <w:color w:val="auto"/>
        </w:rPr>
        <w:t>4.65</w:t>
      </w:r>
      <w:r>
        <w:rPr>
          <w:sz w:val="20"/>
          <w:szCs w:val="20"/>
          <w:color w:val="auto"/>
        </w:rPr>
        <w:tab/>
      </w:r>
      <w:r>
        <w:rPr>
          <w:rFonts w:ascii="Arial" w:cs="Arial" w:eastAsia="Arial" w:hAnsi="Arial"/>
          <w:sz w:val="16"/>
          <w:szCs w:val="16"/>
          <w:color w:val="auto"/>
        </w:rPr>
        <w:t>Indenture re Notes issued by CPS Auto Receivables Trust 2016-A (exhibit 4.65 to Form 10-Q filed by the registrant on May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right="60" w:hanging="651"/>
        <w:spacing w:after="0" w:line="250" w:lineRule="auto"/>
        <w:tabs>
          <w:tab w:leader="none" w:pos="1140" w:val="left"/>
        </w:tabs>
        <w:rPr>
          <w:sz w:val="20"/>
          <w:szCs w:val="20"/>
          <w:color w:val="auto"/>
        </w:rPr>
      </w:pPr>
      <w:r>
        <w:rPr>
          <w:rFonts w:ascii="Arial" w:cs="Arial" w:eastAsia="Arial" w:hAnsi="Arial"/>
          <w:sz w:val="18"/>
          <w:szCs w:val="18"/>
          <w:color w:val="auto"/>
        </w:rPr>
        <w:t>4.66</w:t>
      </w:r>
      <w:r>
        <w:rPr>
          <w:sz w:val="20"/>
          <w:szCs w:val="20"/>
          <w:color w:val="auto"/>
        </w:rPr>
        <w:tab/>
      </w:r>
      <w:r>
        <w:rPr>
          <w:rFonts w:ascii="Arial" w:cs="Arial" w:eastAsia="Arial" w:hAnsi="Arial"/>
          <w:sz w:val="18"/>
          <w:szCs w:val="18"/>
          <w:color w:val="auto"/>
        </w:rPr>
        <w:t>Sale and Servicing Agreement dated as of September 1, 2015, related to notes issued by CPS Auto Receivables Trust 2016-A (exhibit 4.66 to Form 10-Q filed by the registrant on May 4, 2016)</w:t>
      </w:r>
    </w:p>
    <w:p>
      <w:pPr>
        <w:spacing w:after="0" w:line="1" w:lineRule="exact"/>
        <w:rPr>
          <w:sz w:val="20"/>
          <w:szCs w:val="20"/>
          <w:color w:val="auto"/>
        </w:rPr>
      </w:pPr>
    </w:p>
    <w:p>
      <w:pPr>
        <w:ind w:left="500"/>
        <w:spacing w:after="0"/>
        <w:tabs>
          <w:tab w:leader="none" w:pos="1140" w:val="left"/>
        </w:tabs>
        <w:rPr>
          <w:sz w:val="20"/>
          <w:szCs w:val="20"/>
          <w:color w:val="auto"/>
        </w:rPr>
      </w:pPr>
      <w:r>
        <w:rPr>
          <w:rFonts w:ascii="Arial" w:cs="Arial" w:eastAsia="Arial" w:hAnsi="Arial"/>
          <w:sz w:val="18"/>
          <w:szCs w:val="18"/>
          <w:color w:val="auto"/>
        </w:rPr>
        <w:t>4.67</w:t>
      </w:r>
      <w:r>
        <w:rPr>
          <w:sz w:val="20"/>
          <w:szCs w:val="20"/>
          <w:color w:val="auto"/>
        </w:rPr>
        <w:tab/>
      </w:r>
      <w:r>
        <w:rPr>
          <w:rFonts w:ascii="Arial" w:cs="Arial" w:eastAsia="Arial" w:hAnsi="Arial"/>
          <w:sz w:val="16"/>
          <w:szCs w:val="16"/>
          <w:color w:val="auto"/>
        </w:rPr>
        <w:t>Indenture re Notes issued by CPS Auto Receivables Trust 2016-B (exhibit 4.67 to Form 10-Q filed by the registrant on May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right="80" w:hanging="651"/>
        <w:spacing w:after="0" w:line="250" w:lineRule="auto"/>
        <w:tabs>
          <w:tab w:leader="none" w:pos="1140" w:val="left"/>
        </w:tabs>
        <w:rPr>
          <w:sz w:val="20"/>
          <w:szCs w:val="20"/>
          <w:color w:val="auto"/>
        </w:rPr>
      </w:pPr>
      <w:r>
        <w:rPr>
          <w:rFonts w:ascii="Arial" w:cs="Arial" w:eastAsia="Arial" w:hAnsi="Arial"/>
          <w:sz w:val="18"/>
          <w:szCs w:val="18"/>
          <w:color w:val="auto"/>
        </w:rPr>
        <w:t>4.68</w:t>
      </w:r>
      <w:r>
        <w:rPr>
          <w:sz w:val="20"/>
          <w:szCs w:val="20"/>
          <w:color w:val="auto"/>
        </w:rPr>
        <w:tab/>
      </w:r>
      <w:r>
        <w:rPr>
          <w:rFonts w:ascii="Arial" w:cs="Arial" w:eastAsia="Arial" w:hAnsi="Arial"/>
          <w:sz w:val="18"/>
          <w:szCs w:val="18"/>
          <w:color w:val="auto"/>
        </w:rPr>
        <w:t>Sale and Servicing Agreement dated as of September 1, 2015, related to notes issued by CPS Auto Receivables Trust 2016-B (exhibit 4.68 to Form 10-Q filed by the registrant on May 4, 2016)</w:t>
      </w:r>
    </w:p>
    <w:p>
      <w:pPr>
        <w:spacing w:after="0" w:line="1" w:lineRule="exact"/>
        <w:rPr>
          <w:sz w:val="20"/>
          <w:szCs w:val="20"/>
          <w:color w:val="auto"/>
        </w:rPr>
      </w:pPr>
    </w:p>
    <w:p>
      <w:pPr>
        <w:ind w:left="500"/>
        <w:spacing w:after="0"/>
        <w:tabs>
          <w:tab w:leader="none" w:pos="1140" w:val="left"/>
        </w:tabs>
        <w:rPr>
          <w:sz w:val="20"/>
          <w:szCs w:val="20"/>
          <w:color w:val="auto"/>
        </w:rPr>
      </w:pPr>
      <w:r>
        <w:rPr>
          <w:rFonts w:ascii="Arial" w:cs="Arial" w:eastAsia="Arial" w:hAnsi="Arial"/>
          <w:sz w:val="18"/>
          <w:szCs w:val="18"/>
          <w:color w:val="auto"/>
        </w:rPr>
        <w:t>4.69</w:t>
      </w:r>
      <w:r>
        <w:rPr>
          <w:sz w:val="20"/>
          <w:szCs w:val="20"/>
          <w:color w:val="auto"/>
        </w:rPr>
        <w:tab/>
      </w:r>
      <w:r>
        <w:rPr>
          <w:rFonts w:ascii="Arial" w:cs="Arial" w:eastAsia="Arial" w:hAnsi="Arial"/>
          <w:sz w:val="16"/>
          <w:szCs w:val="16"/>
          <w:color w:val="auto"/>
        </w:rPr>
        <w:t>Indenture re Notes issued by CPS Auto Receivables Trust 2016-C (exhibit 4.69 to Form 8-K filed by the registrant on July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right="80" w:hanging="651"/>
        <w:spacing w:after="0" w:line="250" w:lineRule="auto"/>
        <w:tabs>
          <w:tab w:leader="none" w:pos="1140" w:val="left"/>
        </w:tabs>
        <w:rPr>
          <w:sz w:val="20"/>
          <w:szCs w:val="20"/>
          <w:color w:val="auto"/>
        </w:rPr>
      </w:pPr>
      <w:r>
        <w:rPr>
          <w:rFonts w:ascii="Arial" w:cs="Arial" w:eastAsia="Arial" w:hAnsi="Arial"/>
          <w:sz w:val="18"/>
          <w:szCs w:val="18"/>
          <w:color w:val="auto"/>
        </w:rPr>
        <w:t>4.70</w:t>
      </w:r>
      <w:r>
        <w:rPr>
          <w:sz w:val="20"/>
          <w:szCs w:val="20"/>
          <w:color w:val="auto"/>
        </w:rPr>
        <w:tab/>
      </w:r>
      <w:r>
        <w:rPr>
          <w:rFonts w:ascii="Arial" w:cs="Arial" w:eastAsia="Arial" w:hAnsi="Arial"/>
          <w:sz w:val="18"/>
          <w:szCs w:val="18"/>
          <w:color w:val="auto"/>
        </w:rPr>
        <w:t>Sale and Servicing Agreement dated as of September 1, 2016, related to notes issued by CPS Auto Receivables Trust 2016-C (exhibit 4.70 to Form 8-K filed by the registrant on July 27, 2016)</w:t>
      </w:r>
    </w:p>
    <w:p>
      <w:pPr>
        <w:spacing w:after="0" w:line="1" w:lineRule="exact"/>
        <w:rPr>
          <w:sz w:val="20"/>
          <w:szCs w:val="20"/>
          <w:color w:val="auto"/>
        </w:rPr>
      </w:pPr>
    </w:p>
    <w:p>
      <w:pPr>
        <w:ind w:left="50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1997 Long-Term Incentive Stock Plan ("1997 Plan") (Exhibit 10.20 to Form S-2, no. 333-121913)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52" w:name="page53"/>
    <w:bookmarkEnd w:id="52"/>
    <w:p>
      <w:pPr>
        <w:ind w:left="80"/>
        <w:spacing w:after="0"/>
        <w:tabs>
          <w:tab w:leader="none" w:pos="8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Option Agreement under 1997 Plan (Exhibit 10.2.1 to Form 10-K filed March 13, 2006)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-121920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880" w:right="200" w:hanging="742"/>
        <w:spacing w:after="0" w:line="250" w:lineRule="auto"/>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2006 Long-Term Equity Incentive Plan as amended May 18, 2015 (Incorporated by reference to pages A-1 through A-10 of the definitive proxy statement filed by the registrant on April 27, 2015)**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10.14.1</w:t>
      </w:r>
      <w:r>
        <w:rPr>
          <w:sz w:val="20"/>
          <w:szCs w:val="20"/>
          <w:color w:val="auto"/>
        </w:rPr>
        <w:tab/>
      </w:r>
      <w:r>
        <w:rPr>
          <w:rFonts w:ascii="Arial" w:cs="Arial" w:eastAsia="Arial" w:hAnsi="Arial"/>
          <w:sz w:val="16"/>
          <w:szCs w:val="16"/>
          <w:color w:val="auto"/>
        </w:rPr>
        <w:t>Form of Option Agreement under the 2006 Long-Term Equity Incentive Plan (Exhibit 10.14.1 to registrant's Form 10-K filed March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-130810</wp:posOffset>
            </wp:positionV>
            <wp:extent cx="72466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2007)**</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10.14.2</w:t>
      </w:r>
      <w:r>
        <w:rPr>
          <w:sz w:val="20"/>
          <w:szCs w:val="20"/>
          <w:color w:val="auto"/>
        </w:rPr>
        <w:tab/>
      </w:r>
      <w:r>
        <w:rPr>
          <w:rFonts w:ascii="Arial" w:cs="Arial" w:eastAsia="Arial" w:hAnsi="Arial"/>
          <w:sz w:val="16"/>
          <w:szCs w:val="16"/>
          <w:color w:val="auto"/>
        </w:rPr>
        <w:t>Form of Option Agreement under the 2006 Long-Term Equity Incentive Plan (Exhibit 99.(D)(2) to registrant's Schedule TO filed November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 2009)**</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10.14.2</w:t>
      </w:r>
      <w:r>
        <w:rPr>
          <w:sz w:val="20"/>
          <w:szCs w:val="20"/>
          <w:color w:val="auto"/>
        </w:rPr>
        <w:tab/>
      </w:r>
      <w:r>
        <w:rPr>
          <w:rFonts w:ascii="Arial" w:cs="Arial" w:eastAsia="Arial" w:hAnsi="Arial"/>
          <w:sz w:val="16"/>
          <w:szCs w:val="16"/>
          <w:color w:val="auto"/>
        </w:rPr>
        <w:t>Form of Option Agreement under the 2006 Long-Term Equity Incentive Plan (Exhibit 99.(D)(3) to registrant's Schedule TO filed 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-130810</wp:posOffset>
            </wp:positionV>
            <wp:extent cx="72466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12, 2009)**</w:t>
      </w:r>
    </w:p>
    <w:p>
      <w:pPr>
        <w:spacing w:after="0" w:line="9"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Warrant dated July 10, 2008, issued to Citigroup Global Markets Inc. (Exhibit 10.23 to registrant's Form 10-Q filed August 11, 2008)</w:t>
      </w:r>
    </w:p>
    <w:p>
      <w:pPr>
        <w:spacing w:after="0" w:line="9" w:lineRule="exact"/>
        <w:rPr>
          <w:sz w:val="20"/>
          <w:szCs w:val="20"/>
          <w:color w:val="auto"/>
        </w:rPr>
      </w:pPr>
    </w:p>
    <w:p>
      <w:pPr>
        <w:ind w:left="880" w:right="40" w:hanging="742"/>
        <w:spacing w:after="0" w:line="250" w:lineRule="auto"/>
        <w:tabs>
          <w:tab w:leader="none" w:pos="86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8"/>
          <w:szCs w:val="18"/>
          <w:color w:val="auto"/>
        </w:rPr>
        <w:t>Revolving Credit Agreement dated April 17, 2015 among the registrant, its subsidiary Page Six Funding, LLC, and Fortress Credit Co LLC ("Fortress") (Exhibit 10.61 to registrant's Form 8-K filed April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72466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880" w:right="200" w:hanging="742"/>
        <w:spacing w:after="0" w:line="250" w:lineRule="auto"/>
        <w:tabs>
          <w:tab w:leader="none" w:pos="86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8"/>
          <w:szCs w:val="18"/>
          <w:color w:val="auto"/>
        </w:rPr>
        <w:t>Receivables Purchase Agreement dated April 17, 2015 between the registrant and its subsidiary Page Six Funding, LLC (Exhibit 10.62 to registrant's Form 8-K filed April 23, 2015)</w:t>
      </w:r>
    </w:p>
    <w:p>
      <w:pPr>
        <w:spacing w:after="0" w:line="1" w:lineRule="exact"/>
        <w:rPr>
          <w:sz w:val="20"/>
          <w:szCs w:val="20"/>
          <w:color w:val="auto"/>
        </w:rPr>
      </w:pPr>
    </w:p>
    <w:p>
      <w:pPr>
        <w:ind w:left="880" w:hanging="52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Registrant’s Code of Ethics for Senior Financial Officers (Exhibit 14 to Form 10-K filed March 13, 2006)</w:t>
      </w:r>
    </w:p>
    <w:p>
      <w:pPr>
        <w:spacing w:after="0" w:line="9" w:lineRule="exact"/>
        <w:rPr>
          <w:rFonts w:ascii="Arial" w:cs="Arial" w:eastAsia="Arial" w:hAnsi="Arial"/>
          <w:sz w:val="18"/>
          <w:szCs w:val="18"/>
          <w:color w:val="auto"/>
        </w:rPr>
      </w:pPr>
    </w:p>
    <w:p>
      <w:pPr>
        <w:ind w:left="880" w:hanging="5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List of subsidiaries of the registrant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-267970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tabs>
          <w:tab w:leader="none" w:pos="8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Crowe Horwath LLP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-130810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tabs>
          <w:tab w:leader="none" w:pos="8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by chief executive officer (filed herewith)</w:t>
      </w:r>
    </w:p>
    <w:p>
      <w:pPr>
        <w:spacing w:after="0" w:line="9"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by chief financial officer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-130810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Section 1350 certification (filed herewith)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520" w:top="827" w:right="39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8880" w:type="dxa"/>
            <w:vAlign w:val="bottom"/>
            <w:gridSpan w:val="2"/>
          </w:tcPr>
          <w:p>
            <w:pPr>
              <w:ind w:left="1480"/>
              <w:spacing w:after="0"/>
              <w:rPr>
                <w:sz w:val="20"/>
                <w:szCs w:val="20"/>
                <w:color w:val="auto"/>
              </w:rPr>
            </w:pPr>
            <w:r>
              <w:rPr>
                <w:rFonts w:ascii="Arial" w:cs="Arial" w:eastAsia="Arial" w:hAnsi="Arial"/>
                <w:sz w:val="18"/>
                <w:szCs w:val="18"/>
                <w:b w:val="1"/>
                <w:bCs w:val="1"/>
                <w:color w:val="auto"/>
              </w:rPr>
              <w:t xml:space="preserve">CONSUMER PORTFOLIO SERVICES, INC. </w:t>
            </w:r>
            <w:r>
              <w:rPr>
                <w:rFonts w:ascii="Arial" w:cs="Arial" w:eastAsia="Arial" w:hAnsi="Arial"/>
                <w:sz w:val="18"/>
                <w:szCs w:val="18"/>
                <w:i w:val="1"/>
                <w:iCs w:val="1"/>
                <w:color w:val="auto"/>
              </w:rPr>
              <w:t>(registrant)</w:t>
            </w:r>
          </w:p>
        </w:tc>
      </w:tr>
      <w:tr>
        <w:trPr>
          <w:trHeight w:val="432"/>
        </w:trPr>
        <w:tc>
          <w:tcPr>
            <w:tcW w:w="2540" w:type="dxa"/>
            <w:vAlign w:val="bottom"/>
          </w:tcPr>
          <w:p>
            <w:pPr>
              <w:spacing w:after="0"/>
              <w:rPr>
                <w:sz w:val="20"/>
                <w:szCs w:val="20"/>
                <w:color w:val="auto"/>
              </w:rPr>
            </w:pPr>
            <w:r>
              <w:rPr>
                <w:rFonts w:ascii="Arial" w:cs="Arial" w:eastAsia="Arial" w:hAnsi="Arial"/>
                <w:sz w:val="18"/>
                <w:szCs w:val="18"/>
                <w:color w:val="auto"/>
              </w:rPr>
              <w:t>March 7, 2017</w:t>
            </w:r>
          </w:p>
        </w:tc>
        <w:tc>
          <w:tcPr>
            <w:tcW w:w="2160" w:type="dxa"/>
            <w:vAlign w:val="bottom"/>
          </w:tcPr>
          <w:p>
            <w:pPr>
              <w:ind w:left="1480"/>
              <w:spacing w:after="0"/>
              <w:rPr>
                <w:sz w:val="20"/>
                <w:szCs w:val="20"/>
                <w:color w:val="auto"/>
              </w:rPr>
            </w:pPr>
            <w:r>
              <w:rPr>
                <w:rFonts w:ascii="Arial" w:cs="Arial" w:eastAsia="Arial" w:hAnsi="Arial"/>
                <w:sz w:val="18"/>
                <w:szCs w:val="18"/>
                <w:color w:val="auto"/>
              </w:rPr>
              <w:t>By:</w:t>
            </w: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BRADLEY, JR.</w:t>
            </w:r>
          </w:p>
        </w:tc>
      </w:tr>
      <w:tr>
        <w:trPr>
          <w:trHeight w:val="224"/>
        </w:trPr>
        <w:tc>
          <w:tcPr>
            <w:tcW w:w="25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President</w:t>
            </w:r>
          </w:p>
        </w:tc>
      </w:tr>
    </w:tbl>
    <w:p>
      <w:pPr>
        <w:spacing w:after="0" w:line="187"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March 7, 2017</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BRADLEY, JR.</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Director,</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March 7, 2017</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A. ADAMS</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Chris A. Adams, </w:t>
            </w:r>
            <w:r>
              <w:rPr>
                <w:rFonts w:ascii="Arial" w:cs="Arial" w:eastAsia="Arial" w:hAnsi="Arial"/>
                <w:sz w:val="18"/>
                <w:szCs w:val="18"/>
                <w:i w:val="1"/>
                <w:iCs w:val="1"/>
                <w:color w:val="auto"/>
              </w:rPr>
              <w:t>Director</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March 7, 2017</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J. RAYHILL</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Brian J. Rayhill, </w:t>
            </w:r>
            <w:r>
              <w:rPr>
                <w:rFonts w:ascii="Arial" w:cs="Arial" w:eastAsia="Arial" w:hAnsi="Arial"/>
                <w:sz w:val="18"/>
                <w:szCs w:val="18"/>
                <w:i w:val="1"/>
                <w:iCs w:val="1"/>
                <w:color w:val="auto"/>
              </w:rPr>
              <w:t>Director</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March 7, 2017</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B. ROBERTS</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William B. Roberts, </w:t>
            </w:r>
            <w:r>
              <w:rPr>
                <w:rFonts w:ascii="Arial" w:cs="Arial" w:eastAsia="Arial" w:hAnsi="Arial"/>
                <w:sz w:val="18"/>
                <w:szCs w:val="18"/>
                <w:i w:val="1"/>
                <w:iCs w:val="1"/>
                <w:color w:val="auto"/>
              </w:rPr>
              <w:t>Director</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March 7, 2017</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S. WASHER</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Gregory S. Washer, </w:t>
            </w:r>
            <w:r>
              <w:rPr>
                <w:rFonts w:ascii="Arial" w:cs="Arial" w:eastAsia="Arial" w:hAnsi="Arial"/>
                <w:sz w:val="18"/>
                <w:szCs w:val="18"/>
                <w:i w:val="1"/>
                <w:iCs w:val="1"/>
                <w:color w:val="auto"/>
              </w:rPr>
              <w:t>Director</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March 7, 2017</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WOOD</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Daniel S. Wood, </w:t>
            </w:r>
            <w:r>
              <w:rPr>
                <w:rFonts w:ascii="Arial" w:cs="Arial" w:eastAsia="Arial" w:hAnsi="Arial"/>
                <w:sz w:val="18"/>
                <w:szCs w:val="18"/>
                <w:i w:val="1"/>
                <w:iCs w:val="1"/>
                <w:color w:val="auto"/>
              </w:rPr>
              <w:t>Director</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March 7, 2017</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P. FRITZ</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 xml:space="preserve">Jeffrey P. Fritz, Executive </w:t>
            </w:r>
            <w:r>
              <w:rPr>
                <w:rFonts w:ascii="Arial" w:cs="Arial" w:eastAsia="Arial" w:hAnsi="Arial"/>
                <w:sz w:val="18"/>
                <w:szCs w:val="18"/>
                <w:i w:val="1"/>
                <w:iCs w:val="1"/>
                <w:color w:val="auto"/>
              </w:rPr>
              <w:t>Vice President and Chief Financial Officer</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10420" w:type="dxa"/>
            <w:vAlign w:val="bottom"/>
          </w:tcPr>
          <w:p>
            <w:pPr>
              <w:ind w:left="4120"/>
              <w:spacing w:after="0"/>
              <w:rPr>
                <w:sz w:val="20"/>
                <w:szCs w:val="20"/>
                <w:color w:val="auto"/>
              </w:rPr>
            </w:pPr>
            <w:r>
              <w:rPr>
                <w:rFonts w:ascii="Arial" w:cs="Arial" w:eastAsia="Arial" w:hAnsi="Arial"/>
                <w:sz w:val="18"/>
                <w:szCs w:val="18"/>
                <w:b w:val="1"/>
                <w:bCs w:val="1"/>
                <w:color w:val="auto"/>
              </w:rPr>
              <w:t>INDEX TO FINANCIAL STATEMENTS</w:t>
            </w:r>
          </w:p>
        </w:tc>
        <w:tc>
          <w:tcPr>
            <w:tcW w:w="760" w:type="dxa"/>
            <w:vAlign w:val="bottom"/>
          </w:tcPr>
          <w:p>
            <w:pPr>
              <w:spacing w:after="0"/>
              <w:rPr>
                <w:sz w:val="20"/>
                <w:szCs w:val="20"/>
                <w:color w:val="auto"/>
              </w:rPr>
            </w:pPr>
          </w:p>
        </w:tc>
      </w:tr>
      <w:tr>
        <w:trPr>
          <w:trHeight w:val="414"/>
        </w:trPr>
        <w:tc>
          <w:tcPr>
            <w:tcW w:w="104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4"/>
        </w:trPr>
        <w:tc>
          <w:tcPr>
            <w:tcW w:w="10420" w:type="dxa"/>
            <w:vAlign w:val="bottom"/>
          </w:tcPr>
          <w:p>
            <w:pPr>
              <w:spacing w:after="0"/>
              <w:rPr>
                <w:sz w:val="16"/>
                <w:szCs w:val="16"/>
                <w:color w:val="auto"/>
              </w:rPr>
            </w:pPr>
          </w:p>
        </w:tc>
        <w:tc>
          <w:tcPr>
            <w:tcW w:w="76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7"/>
              </w:rPr>
              <w:t>Reference</w:t>
            </w:r>
          </w:p>
        </w:tc>
      </w:tr>
      <w:tr>
        <w:trPr>
          <w:trHeight w:val="237"/>
        </w:trPr>
        <w:tc>
          <w:tcPr>
            <w:tcW w:w="104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Consolidated Balance Sheets as of December 31, 2016 and 2015</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Income for the years ended December 31, 2016, 2015 and 2014</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2016, 2015 and 2014</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Shareholders’ Equity for the years ended December 31, 2016, 2015 and 2014</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796" w:right="479" w:bottom="1440" w:gutter="0" w:footer="0" w:header="0"/>
        </w:sectPr>
      </w:pPr>
    </w:p>
    <w:bookmarkStart w:id="55" w:name="page56"/>
    <w:bookmarkEnd w:id="5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Consumer Portfolio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consolidated balance sheets of Consumer Portfolio Services, Inc. and Subsidiaries as of December 31, 2016 and 2015, and the related consolidated statements of income, comprehensive income, shareholders' equity and cash flows for each of the years in the three-year period ended December 31, 2016. We also have audited Consumer Portfolio Services, Inc. and Subsidiaries' internal control over financial reporting as of December 31, 2016, based on criteria established in the 2013 Internal Control – Integrated Framework issued by the Committee of Sponsoring Organizations of the Treadway Commission (COSO). Consumer Portfolio Services, Inc. and Subsidiaries’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Consumer Portfolio Services, Inc. and Subsidiaries as of December 31, 2016 and 2015, and the results of its operations and its cash flows for each of the years in the three-year period ended December 31, 2016 in conformity with accounting principles generally accepted in the United States of America. Also in our opinion, Consumer Portfolio Services, Inc. and Subsidiaries maintained, in all material respects, effective internal control over financial reporting as of December 31, 2016, based on criteria established in the 2013 Internal Control – Integrated Framework issued by the Committee of Sponsoring Organizations of the Treadway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CROWE HORWATH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13,936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112,754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2,267,943</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1,985,093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(95,578)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(75,603)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2,172,365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1,909,490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42,845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36,233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30,252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2,410,402</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2,128,925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24,977</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103,358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2,080,900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1,720,021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14,949</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2,224,184</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1,967,766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23,587,126 and 25,616,460 shares issued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and outstanding at December 31, 2016 and 2015, respectively</w:t>
            </w:r>
          </w:p>
        </w:tc>
        <w:tc>
          <w:tcPr>
            <w:tcW w:w="1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77,128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115,772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(6,682)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186,218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161,159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2,410,402</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2,128,925</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2"/>
              </w:rPr>
              <w:t>Year Ended December 31,</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2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408,996</w:t>
            </w:r>
          </w:p>
        </w:tc>
        <w:tc>
          <w:tcPr>
            <w:tcW w:w="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349,912</w:t>
            </w:r>
          </w:p>
        </w:tc>
        <w:tc>
          <w:tcPr>
            <w:tcW w:w="4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286,734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13,286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13,738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422,282</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363,650</w:t>
            </w:r>
          </w:p>
        </w:tc>
        <w:tc>
          <w:tcPr>
            <w:tcW w:w="2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300,256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Employee costs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65,549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59,556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24,840</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20,160</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79,941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57,745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178,511</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142,618</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108,228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Marketing</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17,818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17,470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5,185</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4,082</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372,621</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302,268</w:t>
            </w:r>
          </w:p>
        </w:tc>
        <w:tc>
          <w:tcPr>
            <w:tcW w:w="2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248,014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61,382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20,361</w:t>
            </w:r>
          </w:p>
        </w:tc>
        <w:tc>
          <w:tcPr>
            <w:tcW w:w="2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26,701</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22,726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29,300</w:t>
            </w:r>
          </w:p>
        </w:tc>
        <w:tc>
          <w:tcPr>
            <w:tcW w:w="80" w:type="dxa"/>
            <w:vAlign w:val="bottom"/>
            <w:tcBorders>
              <w:bottom w:val="single" w:sz="8" w:color="EEEEEE"/>
            </w:tcBorders>
          </w:tcPr>
          <w:p>
            <w:pPr>
              <w:spacing w:after="0"/>
              <w:rPr>
                <w:sz w:val="22"/>
                <w:szCs w:val="22"/>
                <w:color w:val="auto"/>
              </w:rPr>
            </w:pPr>
          </w:p>
        </w:tc>
        <w:tc>
          <w:tcPr>
            <w:tcW w:w="28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34,681</w:t>
            </w:r>
          </w:p>
        </w:tc>
        <w:tc>
          <w:tcPr>
            <w:tcW w:w="26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29,516</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Earnings per share: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80"/>
              <w:spacing w:after="0"/>
              <w:rPr>
                <w:sz w:val="20"/>
                <w:szCs w:val="20"/>
                <w:color w:val="auto"/>
              </w:rPr>
            </w:pPr>
            <w:r>
              <w:rPr>
                <w:rFonts w:ascii="Arial" w:cs="Arial" w:eastAsia="Arial" w:hAnsi="Arial"/>
                <w:sz w:val="18"/>
                <w:szCs w:val="18"/>
                <w:color w:val="auto"/>
              </w:rPr>
              <w:t>Basic</w:t>
            </w:r>
          </w:p>
        </w:tc>
        <w:tc>
          <w:tcPr>
            <w:tcW w:w="12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1.20</w:t>
            </w:r>
          </w:p>
        </w:tc>
        <w:tc>
          <w:tcPr>
            <w:tcW w:w="6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1.34</w:t>
            </w:r>
          </w:p>
        </w:tc>
        <w:tc>
          <w:tcPr>
            <w:tcW w:w="4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8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24,356</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25,935</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29,035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31,584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32,032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8" w:name="page59"/>
    <w:bookmarkEnd w:id="58"/>
    <w:p>
      <w:pPr>
        <w:ind w:left="3060"/>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Year Ended December 31,</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4"/>
              </w:rPr>
              <w:t>29,300</w:t>
            </w:r>
          </w:p>
        </w:tc>
        <w:tc>
          <w:tcPr>
            <w:tcW w:w="62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34,681</w:t>
            </w:r>
          </w:p>
        </w:tc>
        <w:tc>
          <w:tcPr>
            <w:tcW w:w="4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29,516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tcPr>
          <w:p>
            <w:pPr>
              <w:spacing w:after="0" w:line="201" w:lineRule="exact"/>
              <w:rPr>
                <w:sz w:val="20"/>
                <w:szCs w:val="20"/>
                <w:color w:val="auto"/>
              </w:rPr>
            </w:pPr>
            <w:r>
              <w:rPr>
                <w:rFonts w:ascii="Arial" w:cs="Arial" w:eastAsia="Arial" w:hAnsi="Arial"/>
                <w:sz w:val="18"/>
                <w:szCs w:val="18"/>
                <w:color w:val="auto"/>
                <w:w w:val="91"/>
              </w:rPr>
              <w:t>Other comprehensive income (loss); change in funded status of pension plan,</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80" w:type="dxa"/>
            <w:vAlign w:val="bottom"/>
          </w:tcPr>
          <w:p>
            <w:pPr>
              <w:ind w:left="80"/>
              <w:spacing w:after="0"/>
              <w:rPr>
                <w:sz w:val="20"/>
                <w:szCs w:val="20"/>
                <w:color w:val="auto"/>
              </w:rPr>
            </w:pPr>
            <w:r>
              <w:rPr>
                <w:rFonts w:ascii="Arial" w:cs="Arial" w:eastAsia="Arial" w:hAnsi="Arial"/>
                <w:sz w:val="18"/>
                <w:szCs w:val="18"/>
                <w:color w:val="auto"/>
                <w:w w:val="95"/>
              </w:rPr>
              <w:t>net of $7, $1,016 and $2,654 in tax for 2016, 2015 and 2014, respectively</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(1,599)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29,268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33,082</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25,560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020" w:type="dxa"/>
            <w:vAlign w:val="bottom"/>
            <w:gridSpan w:val="5"/>
          </w:tcPr>
          <w:p>
            <w:pPr>
              <w:jc w:val="right"/>
              <w:ind w:right="112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46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January 1, 2014</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24,016</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73,422</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22,275</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(1,095)</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94,602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1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EEEEEE"/>
          </w:tcPr>
          <w:p>
            <w:pPr>
              <w:ind w:left="80"/>
              <w:spacing w:after="0"/>
              <w:rPr>
                <w:sz w:val="20"/>
                <w:szCs w:val="20"/>
                <w:color w:val="auto"/>
              </w:rPr>
            </w:pPr>
            <w:r>
              <w:rPr>
                <w:rFonts w:ascii="Arial" w:cs="Arial" w:eastAsia="Arial" w:hAnsi="Arial"/>
                <w:sz w:val="18"/>
                <w:szCs w:val="18"/>
                <w:color w:val="auto"/>
              </w:rPr>
              <w:t>warrants</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1,525</w:t>
            </w:r>
          </w:p>
        </w:tc>
        <w:tc>
          <w:tcPr>
            <w:tcW w:w="3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3,256</w:t>
            </w:r>
          </w:p>
        </w:tc>
        <w:tc>
          <w:tcPr>
            <w:tcW w:w="3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(3,956)</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3,835</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29,516</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December 31, 2014</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25,541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80,513</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51,791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(5,051</w:t>
            </w:r>
          </w:p>
        </w:tc>
        <w:tc>
          <w:tcPr>
            <w:tcW w:w="320" w:type="dxa"/>
            <w:vAlign w:val="bottom"/>
            <w:tcBorders>
              <w:top w:val="single" w:sz="8" w:color="EEEEEE"/>
              <w:bottom w:val="single" w:sz="8" w:color="EEEEEE"/>
            </w:tcBorders>
            <w:shd w:val="clear" w:color="auto" w:fill="EEEEEE"/>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1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EEEEEE"/>
          </w:tcPr>
          <w:p>
            <w:pPr>
              <w:ind w:left="80"/>
              <w:spacing w:after="0"/>
              <w:rPr>
                <w:sz w:val="20"/>
                <w:szCs w:val="20"/>
                <w:color w:val="auto"/>
              </w:rPr>
            </w:pPr>
            <w:r>
              <w:rPr>
                <w:rFonts w:ascii="Arial" w:cs="Arial" w:eastAsia="Arial" w:hAnsi="Arial"/>
                <w:sz w:val="18"/>
                <w:szCs w:val="18"/>
                <w:color w:val="auto"/>
              </w:rPr>
              <w:t>warrants</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1,140</w:t>
            </w:r>
          </w:p>
        </w:tc>
        <w:tc>
          <w:tcPr>
            <w:tcW w:w="3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1,726</w:t>
            </w:r>
          </w:p>
        </w:tc>
        <w:tc>
          <w:tcPr>
            <w:tcW w:w="3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(5,926)</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(1,599)</w:t>
            </w: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34,681</w:t>
            </w:r>
          </w:p>
        </w:tc>
        <w:tc>
          <w:tcPr>
            <w:tcW w:w="2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34,681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at December 31, 2015</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25,617</w:t>
            </w:r>
          </w:p>
        </w:tc>
        <w:tc>
          <w:tcPr>
            <w:tcW w:w="34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81,337</w:t>
            </w:r>
          </w:p>
        </w:tc>
        <w:tc>
          <w:tcPr>
            <w:tcW w:w="3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86,472</w:t>
            </w:r>
          </w:p>
        </w:tc>
        <w:tc>
          <w:tcPr>
            <w:tcW w:w="32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(6,650</w:t>
            </w:r>
          </w:p>
        </w:tc>
        <w:tc>
          <w:tcPr>
            <w:tcW w:w="320" w:type="dxa"/>
            <w:vAlign w:val="bottom"/>
            <w:tcBorders>
              <w:bottom w:val="single" w:sz="8" w:color="EEEEEE"/>
            </w:tcBorders>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161,159</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warrants</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15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(2,478)</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(10,468)</w:t>
            </w:r>
          </w:p>
        </w:tc>
        <w:tc>
          <w:tcPr>
            <w:tcW w:w="1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5,553</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29,300</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December 31, 2016</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23,587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77,128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115,772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(6,682</w:t>
            </w:r>
          </w:p>
        </w:tc>
        <w:tc>
          <w:tcPr>
            <w:tcW w:w="320" w:type="dxa"/>
            <w:vAlign w:val="bottom"/>
            <w:tcBorders>
              <w:top w:val="single" w:sz="8" w:color="EEEEEE"/>
              <w:bottom w:val="single" w:sz="8" w:color="EEEEEE"/>
            </w:tcBorders>
            <w:shd w:val="clear" w:color="auto" w:fill="EEEEEE"/>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186,218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29,300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34,681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29,516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Accretion of deferred acquisition fees</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(2,980)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(8,954)</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(16,213)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Amortization of discount on securitization trust debt</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Amortization of discount on senior secured debt, related party</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Mark to fair value on debt secured by receivables at fair value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Mark to fair value of receivables at fair value</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637</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8,389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7,017</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178,511</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142,618</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108,228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5,553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5,024</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income on residual assets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Accrued interest receivable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(4,686)</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(8,175)</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0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(8,739)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3,237</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Deferred tax assets, net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(5,248)</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5,250</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16,368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30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9"/>
                <w:szCs w:val="19"/>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(4,564)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6,250</w:t>
            </w:r>
          </w:p>
        </w:tc>
        <w:tc>
          <w:tcPr>
            <w:tcW w:w="3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EEEEE"/>
            </w:tcBorders>
            <w:shd w:val="clear" w:color="auto" w:fill="EEEEEE"/>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196,333</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187,555</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135,827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Originations of finance receivables held for investment</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(1,088,785)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(1,060,538)</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(944,944)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Payments received on finance receivables held for investment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650,379</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551,880</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433,870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Payments on receivables portfolio at fair value</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1,603</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received on residual interest in securitizations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1,158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Change in repossessions held in inventory</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1,629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(2,369)</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Decreases (increases) in restricted cash and cash equivalents, net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(6,700)</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69,328</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(43,098)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Purchase of furniture and equipment</w:t>
            </w:r>
          </w:p>
        </w:tc>
        <w:tc>
          <w:tcPr>
            <w:tcW w:w="300" w:type="dxa"/>
            <w:vAlign w:val="bottom"/>
          </w:tcPr>
          <w:p>
            <w:pPr>
              <w:spacing w:after="0"/>
              <w:rPr>
                <w:sz w:val="19"/>
                <w:szCs w:val="19"/>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(1,191)</w:t>
            </w:r>
          </w:p>
        </w:tc>
        <w:tc>
          <w:tcPr>
            <w:tcW w:w="3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EEEEE"/>
            </w:tcBorders>
            <w:shd w:val="clear" w:color="auto" w:fill="EEEEEE"/>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(444,498</w:t>
            </w:r>
          </w:p>
        </w:tc>
        <w:tc>
          <w:tcPr>
            <w:tcW w:w="200" w:type="dxa"/>
            <w:vAlign w:val="bottom"/>
            <w:tcBorders>
              <w:top w:val="single" w:sz="8" w:color="EEEEEE"/>
            </w:tcBorders>
            <w:shd w:val="clear" w:color="auto" w:fill="EEEEEE"/>
          </w:tcPr>
          <w:p>
            <w:pPr>
              <w:jc w:val="right"/>
              <w:ind w:right="55"/>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(441,287</w:t>
            </w:r>
          </w:p>
        </w:tc>
        <w:tc>
          <w:tcPr>
            <w:tcW w:w="340" w:type="dxa"/>
            <w:vAlign w:val="bottom"/>
            <w:tcBorders>
              <w:top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(541,156</w:t>
            </w:r>
          </w:p>
        </w:tc>
        <w:tc>
          <w:tcPr>
            <w:tcW w:w="10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Proceeds from issuance of securitization trust debt</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1,197,515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795,000</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issuance of subordinated renewable notes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2,911</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1,551</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Payments on subordinated renewable notes</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(3,100)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(1,646)</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proceeds from (repayments of) warehouse lines of credit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(91,496)</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139,622</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47,387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Repayments of residual interest financing debt</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(9,042)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(3,285)</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Repayment of securitization trust debt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(834,880)</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(661,960)</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(502,193)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Repayment of debt secured by receivables measured at fair value</w:t>
            </w:r>
          </w:p>
        </w:tc>
        <w:tc>
          <w:tcPr>
            <w:tcW w:w="300" w:type="dxa"/>
            <w:vAlign w:val="bottom"/>
          </w:tcPr>
          <w:p>
            <w:pPr>
              <w:spacing w:after="0"/>
              <w:rPr>
                <w:sz w:val="18"/>
                <w:szCs w:val="18"/>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(1,250)</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Repayment of senior secured debt, related party</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Payment of financing costs</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(9,367)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(8,637)</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(10,468)</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(5,926)</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Exercise of options and warrants</w:t>
            </w:r>
          </w:p>
        </w:tc>
        <w:tc>
          <w:tcPr>
            <w:tcW w:w="300" w:type="dxa"/>
            <w:vAlign w:val="bottom"/>
          </w:tcPr>
          <w:p>
            <w:pPr>
              <w:spacing w:after="0"/>
              <w:rPr>
                <w:sz w:val="19"/>
                <w:szCs w:val="19"/>
                <w:color w:val="auto"/>
              </w:rPr>
            </w:pPr>
          </w:p>
        </w:tc>
        <w:tc>
          <w:tcPr>
            <w:tcW w:w="1280" w:type="dxa"/>
            <w:vAlign w:val="bottom"/>
            <w:gridSpan w:val="2"/>
          </w:tcPr>
          <w:p>
            <w:pPr>
              <w:jc w:val="right"/>
              <w:ind w:right="115"/>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1,726</w:t>
            </w: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EEEEE"/>
            </w:tcBorders>
            <w:shd w:val="clear" w:color="auto" w:fill="EEEEEE"/>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242,779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255,195</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401,076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(5,386)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1,463</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19,322</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17,859</w:t>
            </w: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22,112</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19,322</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Cash paid during the period for:</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Interest</w:t>
            </w:r>
          </w:p>
        </w:tc>
        <w:tc>
          <w:tcPr>
            <w:tcW w:w="880" w:type="dxa"/>
            <w:vAlign w:val="bottom"/>
            <w:shd w:val="clear" w:color="auto" w:fill="EEEEEE"/>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71,077</w:t>
            </w:r>
          </w:p>
        </w:tc>
        <w:tc>
          <w:tcPr>
            <w:tcW w:w="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50,019</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32,909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13,690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Non-cash financing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Pension benefit obligation, net</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1,599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ind w:right="140" w:firstLine="130"/>
        <w:spacing w:after="0" w:line="273" w:lineRule="auto"/>
        <w:rPr>
          <w:sz w:val="20"/>
          <w:szCs w:val="20"/>
          <w:color w:val="auto"/>
        </w:rPr>
      </w:pPr>
      <w:r>
        <w:rPr>
          <w:rFonts w:ascii="Arial" w:cs="Arial" w:eastAsia="Arial" w:hAnsi="Arial"/>
          <w:sz w:val="17"/>
          <w:szCs w:val="17"/>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Dealers located in Texas, California, Ohio, Florida and Georgia represented 7.3%, 7.2%, 6.8%, 5.6% and 5.4%, respectively, of contracts purchased during 2016 compared with 7.9%, 8.9%, 6.5%, 5.3%, and 5.2% respectively in 2015. No other state had a concentration in excess of 5.4% in 2016. We specialize in contracts with vehicle purchasers who generally would not be expected to qualify for traditional financing provided by commercial banks or automobile manufacturers’ captive finance companies.</w:t>
      </w:r>
    </w:p>
    <w:p>
      <w:pPr>
        <w:spacing w:after="0" w:line="178" w:lineRule="exact"/>
        <w:rPr>
          <w:sz w:val="20"/>
          <w:szCs w:val="20"/>
          <w:color w:val="auto"/>
        </w:rPr>
      </w:pPr>
    </w:p>
    <w:p>
      <w:pPr>
        <w:ind w:right="20" w:firstLine="130"/>
        <w:spacing w:after="0" w:line="277" w:lineRule="auto"/>
        <w:rPr>
          <w:sz w:val="20"/>
          <w:szCs w:val="20"/>
          <w:color w:val="auto"/>
        </w:rPr>
      </w:pPr>
      <w:r>
        <w:rPr>
          <w:rFonts w:ascii="Arial" w:cs="Arial" w:eastAsia="Arial" w:hAnsi="Arial"/>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140" w:firstLine="130"/>
        <w:spacing w:after="0" w:line="259" w:lineRule="auto"/>
        <w:rPr>
          <w:sz w:val="20"/>
          <w:szCs w:val="20"/>
          <w:color w:val="auto"/>
        </w:rPr>
      </w:pPr>
      <w:r>
        <w:rPr>
          <w:rFonts w:ascii="Arial" w:cs="Arial" w:eastAsia="Arial" w:hAnsi="Arial"/>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40" w:firstLine="130"/>
        <w:spacing w:after="0" w:line="297" w:lineRule="auto"/>
        <w:rPr>
          <w:sz w:val="20"/>
          <w:szCs w:val="20"/>
          <w:color w:val="auto"/>
        </w:rPr>
      </w:pPr>
      <w:r>
        <w:rPr>
          <w:rFonts w:ascii="Arial" w:cs="Arial" w:eastAsia="Arial" w:hAnsi="Arial"/>
          <w:sz w:val="16"/>
          <w:szCs w:val="16"/>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2016, our unrestricted cash balance was $13.9 million, which exceeded the minimum amounts required by our financial covenants.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ind w:right="260" w:firstLine="130"/>
        <w:spacing w:after="0" w:line="273" w:lineRule="auto"/>
        <w:rPr>
          <w:sz w:val="20"/>
          <w:szCs w:val="20"/>
          <w:color w:val="auto"/>
        </w:rPr>
      </w:pPr>
      <w:r>
        <w:rPr>
          <w:rFonts w:ascii="Arial" w:cs="Arial" w:eastAsia="Arial" w:hAnsi="Arial"/>
          <w:sz w:val="17"/>
          <w:szCs w:val="17"/>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178" w:lineRule="exact"/>
        <w:rPr>
          <w:sz w:val="20"/>
          <w:szCs w:val="20"/>
          <w:color w:val="auto"/>
        </w:rPr>
      </w:pPr>
    </w:p>
    <w:p>
      <w:pPr>
        <w:ind w:firstLine="130"/>
        <w:spacing w:after="0" w:line="259" w:lineRule="auto"/>
        <w:rPr>
          <w:sz w:val="20"/>
          <w:szCs w:val="20"/>
          <w:color w:val="auto"/>
        </w:rPr>
      </w:pPr>
      <w:r>
        <w:rPr>
          <w:rFonts w:ascii="Arial" w:cs="Arial" w:eastAsia="Arial" w:hAnsi="Arial"/>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right="20" w:firstLine="130"/>
        <w:spacing w:after="0" w:line="288" w:lineRule="auto"/>
        <w:rPr>
          <w:sz w:val="20"/>
          <w:szCs w:val="20"/>
          <w:color w:val="auto"/>
        </w:rPr>
      </w:pPr>
      <w:r>
        <w:rPr>
          <w:rFonts w:ascii="Arial" w:cs="Arial" w:eastAsia="Arial" w:hAnsi="Arial"/>
          <w:sz w:val="16"/>
          <w:szCs w:val="16"/>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probable incurred credit losses that can be reasonably estimated in our portfolio of finance receivable contracts. For each monthly pool of contracts that we purchase, we begin establishing the allowance in the month of acquisition and increase it over the subsequent 11 months, through a provision for credit losses charged to our Consolidated Statement of Income.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 Off Policy</w:t>
      </w:r>
    </w:p>
    <w:p>
      <w:pPr>
        <w:spacing w:after="0" w:line="225" w:lineRule="exact"/>
        <w:rPr>
          <w:sz w:val="20"/>
          <w:szCs w:val="20"/>
          <w:color w:val="auto"/>
        </w:rPr>
      </w:pPr>
    </w:p>
    <w:p>
      <w:pPr>
        <w:ind w:firstLine="130"/>
        <w:spacing w:after="0" w:line="255" w:lineRule="auto"/>
        <w:rPr>
          <w:sz w:val="20"/>
          <w:szCs w:val="20"/>
          <w:color w:val="auto"/>
        </w:rPr>
      </w:pPr>
      <w:r>
        <w:rPr>
          <w:rFonts w:ascii="Arial" w:cs="Arial" w:eastAsia="Arial" w:hAnsi="Arial"/>
          <w:sz w:val="18"/>
          <w:szCs w:val="18"/>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Fees and Origination Costs</w:t>
      </w:r>
    </w:p>
    <w:p>
      <w:pPr>
        <w:spacing w:after="0" w:line="225" w:lineRule="exact"/>
        <w:rPr>
          <w:sz w:val="20"/>
          <w:szCs w:val="20"/>
          <w:color w:val="auto"/>
        </w:rPr>
      </w:pPr>
    </w:p>
    <w:p>
      <w:pPr>
        <w:ind w:right="80" w:firstLine="130"/>
        <w:spacing w:after="0" w:line="264"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Dealer acquisition fees and deferred origination costs are applied to the carrying value of finance receivables and are accreted into earnings as an adjustment to the yield over the estimated life of the Contract using the interest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Repossessed and Other Assets</w:t>
      </w:r>
    </w:p>
    <w:p>
      <w:pPr>
        <w:spacing w:after="0" w:line="225" w:lineRule="exact"/>
        <w:rPr>
          <w:sz w:val="20"/>
          <w:szCs w:val="20"/>
          <w:color w:val="auto"/>
        </w:rPr>
      </w:pPr>
    </w:p>
    <w:p>
      <w:pPr>
        <w:ind w:right="60" w:firstLine="130"/>
        <w:spacing w:after="0" w:line="273" w:lineRule="auto"/>
        <w:rPr>
          <w:sz w:val="20"/>
          <w:szCs w:val="20"/>
          <w:color w:val="auto"/>
        </w:rPr>
      </w:pPr>
      <w:r>
        <w:rPr>
          <w:rFonts w:ascii="Arial" w:cs="Arial" w:eastAsia="Arial" w:hAnsi="Arial"/>
          <w:sz w:val="17"/>
          <w:szCs w:val="17"/>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 Included in other assets in the accompanying Consolidated Balance Sheets are repossessed vehicles pending sale of $11.1 million and $12.8 million at December 31, 2016 and 2015,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Securitizations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right="40" w:firstLine="130"/>
        <w:spacing w:after="0" w:line="286" w:lineRule="auto"/>
        <w:rPr>
          <w:sz w:val="20"/>
          <w:szCs w:val="20"/>
          <w:color w:val="auto"/>
        </w:rPr>
      </w:pPr>
      <w:r>
        <w:rPr>
          <w:rFonts w:ascii="Arial" w:cs="Arial" w:eastAsia="Arial" w:hAnsi="Arial"/>
          <w:sz w:val="16"/>
          <w:szCs w:val="16"/>
          <w:color w:val="auto"/>
        </w:rPr>
        <w:t>We sell contracts we acquire to a wholly-owned SPS, which has been established for the limited purpose of buying and reselling our contracts. The SPS then transfers the same contracts to another entity, typically a statutory trust ("Trust"). The Trust issues interest-bearing asset-backed securities ("Notes"), in a principal amount equal to or less than the aggregate principal balance of the contracts. We typically sell these contracts to the Trust at face value and without recourse, except representations and warranties that we make to the Trust that are similar to those provided to us by the Dealer. One or more investors (the "Noteholders") purchase the Notes issued by the Trust; the proceeds from the sale of the Notes are then used to purchase the contracts from us. We may retain or sell subordinated Notes issued by the Trust. In addition, we have provided "Credit Enhancement" for the benefit of the Noteholders in three forms: (1) an initial cash deposit to a bank account (a "Spread Account") held by the Trust, (2) overcollateralization of the Notes, where the principal balance of the Notes issued is less than the principal balance of the contracts, and (3) in the form of subordinated Notes. The agreements governing the securitization transactions (collectively referred to as the "Securitization Agreements") require that the initial level of Credit Enhancement be supplemented by a portion of collections from the contracts until the level of Credit Enhancement reaches specified levels, which are then maintained. The specified levels are generally computed as a percentage of the principal amount remaining unpaid under the related contracts. The specified levels at which the Credit Enhancement is to be maintained will vary depending on the performance of the portfolios of contracts held by the Trusts and on other conditions. Such levels have increased and decreased from time to time based on performance of the various portfolios, and have also varied from one Trust to another.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firstLine="130"/>
        <w:spacing w:after="0" w:line="259" w:lineRule="auto"/>
        <w:rPr>
          <w:sz w:val="20"/>
          <w:szCs w:val="20"/>
          <w:color w:val="auto"/>
        </w:rPr>
      </w:pPr>
      <w:r>
        <w:rPr>
          <w:rFonts w:ascii="Arial" w:cs="Arial" w:eastAsia="Arial" w:hAnsi="Arial"/>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187" w:lineRule="exact"/>
        <w:rPr>
          <w:sz w:val="20"/>
          <w:szCs w:val="20"/>
          <w:color w:val="auto"/>
        </w:rPr>
      </w:pPr>
    </w:p>
    <w:p>
      <w:pPr>
        <w:ind w:right="40" w:firstLine="130"/>
        <w:spacing w:after="0" w:line="259" w:lineRule="auto"/>
        <w:rPr>
          <w:sz w:val="20"/>
          <w:szCs w:val="20"/>
          <w:color w:val="auto"/>
        </w:rPr>
      </w:pPr>
      <w:r>
        <w:rPr>
          <w:rFonts w:ascii="Arial" w:cs="Arial" w:eastAsia="Arial" w:hAnsi="Arial"/>
          <w:sz w:val="18"/>
          <w:szCs w:val="18"/>
          <w:color w:val="auto"/>
        </w:rPr>
        <w:t>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187" w:lineRule="exact"/>
        <w:rPr>
          <w:sz w:val="20"/>
          <w:szCs w:val="20"/>
          <w:color w:val="auto"/>
        </w:rPr>
      </w:pPr>
    </w:p>
    <w:p>
      <w:pPr>
        <w:ind w:right="80" w:firstLine="130"/>
        <w:spacing w:after="0" w:line="272" w:lineRule="auto"/>
        <w:rPr>
          <w:sz w:val="20"/>
          <w:szCs w:val="20"/>
          <w:color w:val="auto"/>
        </w:rPr>
      </w:pPr>
      <w:r>
        <w:rPr>
          <w:rFonts w:ascii="Arial" w:cs="Arial" w:eastAsia="Arial" w:hAnsi="Arial"/>
          <w:sz w:val="17"/>
          <w:szCs w:val="17"/>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the premium paid to the Note Insurer, if any,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178" w:lineRule="exact"/>
        <w:rPr>
          <w:sz w:val="20"/>
          <w:szCs w:val="20"/>
          <w:color w:val="auto"/>
        </w:rPr>
      </w:pPr>
    </w:p>
    <w:p>
      <w:pPr>
        <w:ind w:right="60" w:firstLine="130"/>
        <w:spacing w:after="0" w:line="270" w:lineRule="auto"/>
        <w:rPr>
          <w:sz w:val="20"/>
          <w:szCs w:val="20"/>
          <w:color w:val="auto"/>
        </w:rPr>
      </w:pPr>
      <w:r>
        <w:rPr>
          <w:rFonts w:ascii="Arial" w:cs="Arial" w:eastAsia="Arial" w:hAnsi="Arial"/>
          <w:sz w:val="17"/>
          <w:szCs w:val="17"/>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all of our term securitizations we have transferred the receivables (through a subsidiary) to the securitization Trust. We report the assets and liabilities of the securitization Trust on our Consolidated Balance Sheet. The Noteholders’ and the related securitization Trusts’ recourse against us for failure of the contract obligors to make payments on a timely basis is limited, in general, to our Finance Receivables, and Spread Accounts.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w:t>
      </w:r>
    </w:p>
    <w:p>
      <w:pPr>
        <w:spacing w:after="0" w:line="225" w:lineRule="exact"/>
        <w:rPr>
          <w:sz w:val="20"/>
          <w:szCs w:val="20"/>
          <w:color w:val="auto"/>
        </w:rPr>
      </w:pPr>
    </w:p>
    <w:p>
      <w:pPr>
        <w:ind w:right="80" w:firstLine="130"/>
        <w:spacing w:after="0" w:line="255" w:lineRule="auto"/>
        <w:rPr>
          <w:sz w:val="20"/>
          <w:szCs w:val="20"/>
          <w:color w:val="auto"/>
        </w:rPr>
      </w:pPr>
      <w:r>
        <w:rPr>
          <w:rFonts w:ascii="Arial" w:cs="Arial" w:eastAsia="Arial" w:hAnsi="Arial"/>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Furniture and Equipment</w:t>
      </w:r>
    </w:p>
    <w:p>
      <w:pPr>
        <w:spacing w:after="0" w:line="225" w:lineRule="exact"/>
        <w:rPr>
          <w:sz w:val="20"/>
          <w:szCs w:val="20"/>
          <w:color w:val="auto"/>
        </w:rPr>
      </w:pPr>
    </w:p>
    <w:p>
      <w:pPr>
        <w:ind w:right="160" w:firstLine="130"/>
        <w:spacing w:after="0" w:line="259" w:lineRule="auto"/>
        <w:rPr>
          <w:sz w:val="20"/>
          <w:szCs w:val="20"/>
          <w:color w:val="auto"/>
        </w:rPr>
      </w:pPr>
      <w:r>
        <w:rPr>
          <w:rFonts w:ascii="Arial" w:cs="Arial" w:eastAsia="Arial" w:hAnsi="Arial"/>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Long-Lived Assets to Be Disposed Of</w:t>
      </w:r>
    </w:p>
    <w:p>
      <w:pPr>
        <w:spacing w:after="0" w:line="225" w:lineRule="exact"/>
        <w:rPr>
          <w:sz w:val="20"/>
          <w:szCs w:val="20"/>
          <w:color w:val="auto"/>
        </w:rPr>
      </w:pPr>
    </w:p>
    <w:p>
      <w:pPr>
        <w:ind w:right="140" w:firstLine="130"/>
        <w:spacing w:after="0" w:line="257" w:lineRule="auto"/>
        <w:rPr>
          <w:sz w:val="20"/>
          <w:szCs w:val="20"/>
          <w:color w:val="auto"/>
        </w:rPr>
      </w:pPr>
      <w:r>
        <w:rPr>
          <w:rFonts w:ascii="Arial" w:cs="Arial" w:eastAsia="Arial" w:hAnsi="Arial"/>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i w:val="1"/>
                <w:iCs w:val="1"/>
                <w:color w:val="auto"/>
              </w:rPr>
              <w:t>Other Income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tcPr>
          <w:p>
            <w:pPr>
              <w:ind w:left="140"/>
              <w:spacing w:after="0"/>
              <w:rPr>
                <w:sz w:val="20"/>
                <w:szCs w:val="20"/>
                <w:color w:val="auto"/>
              </w:rPr>
            </w:pPr>
            <w:r>
              <w:rPr>
                <w:rFonts w:ascii="Arial" w:cs="Arial" w:eastAsia="Arial" w:hAnsi="Arial"/>
                <w:sz w:val="18"/>
                <w:szCs w:val="18"/>
                <w:color w:val="auto"/>
              </w:rPr>
              <w:t>The following table presents the primary components of Other Income: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tcPr>
          <w:p>
            <w:pPr>
              <w:jc w:val="right"/>
              <w:ind w:right="270"/>
              <w:spacing w:after="0"/>
              <w:rPr>
                <w:sz w:val="20"/>
                <w:szCs w:val="20"/>
                <w:color w:val="auto"/>
              </w:rPr>
            </w:pPr>
            <w:r>
              <w:rPr>
                <w:rFonts w:ascii="Arial" w:cs="Arial" w:eastAsia="Arial" w:hAnsi="Arial"/>
                <w:sz w:val="18"/>
                <w:szCs w:val="18"/>
                <w:b w:val="1"/>
                <w:bCs w:val="1"/>
                <w:color w:val="auto"/>
                <w:w w:val="95"/>
              </w:rPr>
              <w:t>Year Ended December 31,</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Direct mail revenues</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9,202</w:t>
            </w:r>
          </w:p>
        </w:tc>
        <w:tc>
          <w:tcPr>
            <w:tcW w:w="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8,927</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7,975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Convenience fee revenue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2,145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2,610</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Recoveries on previously charged-off contracts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766</w:t>
            </w: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1,079</w:t>
            </w: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Sales tax refunds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616</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Servicing fees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319</w:t>
            </w: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1,376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262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13,286</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13,738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13,522</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tcPr>
          <w:p>
            <w:pPr>
              <w:ind w:left="140"/>
              <w:spacing w:after="0"/>
              <w:rPr>
                <w:sz w:val="20"/>
                <w:szCs w:val="20"/>
                <w:color w:val="auto"/>
              </w:rPr>
            </w:pPr>
            <w:r>
              <w:rPr>
                <w:rFonts w:ascii="Arial" w:cs="Arial" w:eastAsia="Arial" w:hAnsi="Arial"/>
                <w:sz w:val="18"/>
                <w:szCs w:val="18"/>
                <w:color w:val="auto"/>
                <w:w w:val="92"/>
              </w:rPr>
              <w:t>The following table illustrates the computation of basic and diluted earnings per share: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10"/>
          </w:tcPr>
          <w:p>
            <w:pPr>
              <w:jc w:val="center"/>
              <w:ind w:left="4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520" w:type="dxa"/>
            <w:vAlign w:val="bottom"/>
          </w:tcPr>
          <w:p>
            <w:pPr>
              <w:spacing w:after="0"/>
              <w:rPr>
                <w:sz w:val="20"/>
                <w:szCs w:val="20"/>
                <w:color w:val="auto"/>
              </w:rPr>
            </w:pPr>
            <w:r>
              <w:rPr>
                <w:rFonts w:ascii="Arial" w:cs="Arial" w:eastAsia="Arial" w:hAnsi="Arial"/>
                <w:sz w:val="18"/>
                <w:szCs w:val="18"/>
                <w:color w:val="auto"/>
              </w:rPr>
              <w:t>Numerator for basic and diluted earnings per share</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4"/>
                <w:szCs w:val="24"/>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29,300</w:t>
            </w:r>
          </w:p>
        </w:tc>
        <w:tc>
          <w:tcPr>
            <w:tcW w:w="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34,681</w:t>
            </w:r>
          </w:p>
        </w:tc>
        <w:tc>
          <w:tcPr>
            <w:tcW w:w="2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29,516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520" w:type="dxa"/>
            <w:vAlign w:val="bottom"/>
            <w:tcBorders>
              <w:top w:val="single" w:sz="8" w:color="EEEEEE"/>
            </w:tcBorders>
            <w:shd w:val="clear" w:color="auto" w:fill="EEEEEE"/>
          </w:tcPr>
          <w:p>
            <w:pPr>
              <w:spacing w:after="0" w:line="196" w:lineRule="exact"/>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240" w:type="dxa"/>
            <w:vAlign w:val="bottom"/>
            <w:tcBorders>
              <w:top w:val="single" w:sz="8" w:color="EEEEEE"/>
            </w:tcBorders>
            <w:shd w:val="clear" w:color="auto" w:fill="EEEEEE"/>
          </w:tcPr>
          <w:p>
            <w:pPr>
              <w:spacing w:after="0"/>
              <w:rPr>
                <w:sz w:val="17"/>
                <w:szCs w:val="17"/>
                <w:color w:val="auto"/>
              </w:rPr>
            </w:pPr>
          </w:p>
        </w:tc>
        <w:tc>
          <w:tcPr>
            <w:tcW w:w="60" w:type="dxa"/>
            <w:vAlign w:val="bottom"/>
            <w:tcBorders>
              <w:top w:val="single" w:sz="8" w:color="EEEEEE"/>
            </w:tcBorders>
            <w:shd w:val="clear" w:color="auto" w:fill="EEEEEE"/>
          </w:tcPr>
          <w:p>
            <w:pPr>
              <w:spacing w:after="0"/>
              <w:rPr>
                <w:sz w:val="17"/>
                <w:szCs w:val="17"/>
                <w:color w:val="auto"/>
              </w:rPr>
            </w:pPr>
          </w:p>
        </w:tc>
        <w:tc>
          <w:tcPr>
            <w:tcW w:w="4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440" w:type="dxa"/>
            <w:vAlign w:val="bottom"/>
            <w:tcBorders>
              <w:top w:val="single" w:sz="8" w:color="auto"/>
            </w:tcBorders>
            <w:shd w:val="clear" w:color="auto" w:fill="EEEEEE"/>
          </w:tcPr>
          <w:p>
            <w:pPr>
              <w:spacing w:after="0"/>
              <w:rPr>
                <w:sz w:val="17"/>
                <w:szCs w:val="17"/>
                <w:color w:val="auto"/>
              </w:rPr>
            </w:pPr>
          </w:p>
        </w:tc>
        <w:tc>
          <w:tcPr>
            <w:tcW w:w="92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Denominator for basic earnings per share - weighted average number of common</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0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00"/>
              <w:spacing w:after="0"/>
              <w:rPr>
                <w:sz w:val="20"/>
                <w:szCs w:val="20"/>
                <w:color w:val="auto"/>
              </w:rPr>
            </w:pPr>
            <w:r>
              <w:rPr>
                <w:rFonts w:ascii="Arial" w:cs="Arial" w:eastAsia="Arial" w:hAnsi="Arial"/>
                <w:sz w:val="18"/>
                <w:szCs w:val="18"/>
                <w:color w:val="auto"/>
              </w:rPr>
              <w:t>outstanding during the year</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24,356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25,935</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25,040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Incremental common shares attributable to exercise of outstanding options and</w:t>
            </w: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5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warrants</w:t>
            </w:r>
          </w:p>
        </w:tc>
        <w:tc>
          <w:tcPr>
            <w:tcW w:w="24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0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4,679</w:t>
            </w:r>
          </w:p>
        </w:tc>
        <w:tc>
          <w:tcPr>
            <w:tcW w:w="60" w:type="dxa"/>
            <w:vAlign w:val="bottom"/>
            <w:shd w:val="clear" w:color="auto" w:fill="EEEEEE"/>
          </w:tcPr>
          <w:p>
            <w:pPr>
              <w:spacing w:after="0"/>
              <w:rPr>
                <w:sz w:val="21"/>
                <w:szCs w:val="21"/>
                <w:color w:val="auto"/>
              </w:rPr>
            </w:pPr>
          </w:p>
        </w:tc>
        <w:tc>
          <w:tcPr>
            <w:tcW w:w="4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5,649</w:t>
            </w:r>
          </w:p>
        </w:tc>
        <w:tc>
          <w:tcPr>
            <w:tcW w:w="220" w:type="dxa"/>
            <w:vAlign w:val="bottom"/>
            <w:shd w:val="clear" w:color="auto" w:fill="EEEEEE"/>
          </w:tcPr>
          <w:p>
            <w:pPr>
              <w:spacing w:after="0"/>
              <w:rPr>
                <w:sz w:val="21"/>
                <w:szCs w:val="21"/>
                <w:color w:val="auto"/>
              </w:rPr>
            </w:pPr>
          </w:p>
        </w:tc>
        <w:tc>
          <w:tcPr>
            <w:tcW w:w="440" w:type="dxa"/>
            <w:vAlign w:val="bottom"/>
            <w:shd w:val="clear" w:color="auto" w:fill="EEEEEE"/>
          </w:tcPr>
          <w:p>
            <w:pPr>
              <w:spacing w:after="0"/>
              <w:rPr>
                <w:sz w:val="21"/>
                <w:szCs w:val="21"/>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6,992</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Denominator for diluted earnings per share</w:t>
            </w:r>
          </w:p>
        </w:tc>
        <w:tc>
          <w:tcPr>
            <w:tcW w:w="2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29,035</w:t>
            </w:r>
          </w:p>
        </w:tc>
        <w:tc>
          <w:tcPr>
            <w:tcW w:w="240" w:type="dxa"/>
            <w:vAlign w:val="bottom"/>
            <w:tcBorders>
              <w:bottom w:val="single" w:sz="8" w:color="EEEEEE"/>
            </w:tcBorders>
          </w:tcPr>
          <w:p>
            <w:pPr>
              <w:spacing w:after="0"/>
              <w:rPr>
                <w:sz w:val="22"/>
                <w:szCs w:val="22"/>
                <w:color w:val="auto"/>
              </w:rPr>
            </w:pPr>
          </w:p>
        </w:tc>
        <w:tc>
          <w:tcPr>
            <w:tcW w:w="60" w:type="dxa"/>
            <w:vAlign w:val="bottom"/>
            <w:tcBorders>
              <w:bottom w:val="single" w:sz="8" w:color="EEEEEE"/>
            </w:tcBorders>
          </w:tcPr>
          <w:p>
            <w:pPr>
              <w:spacing w:after="0"/>
              <w:rPr>
                <w:sz w:val="22"/>
                <w:szCs w:val="22"/>
                <w:color w:val="auto"/>
              </w:rPr>
            </w:pPr>
          </w:p>
        </w:tc>
        <w:tc>
          <w:tcPr>
            <w:tcW w:w="4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31,584</w:t>
            </w:r>
          </w:p>
        </w:tc>
        <w:tc>
          <w:tcPr>
            <w:tcW w:w="1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32,032</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52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auto"/>
            </w:tcBorders>
            <w:shd w:val="clear" w:color="auto" w:fill="EEEEEE"/>
          </w:tcPr>
          <w:p>
            <w:pPr>
              <w:jc w:val="right"/>
              <w:ind w:right="81"/>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EEEEEE"/>
          </w:tcPr>
          <w:p>
            <w:pPr>
              <w:spacing w:after="0"/>
              <w:rPr>
                <w:sz w:val="17"/>
                <w:szCs w:val="17"/>
                <w:color w:val="auto"/>
              </w:rPr>
            </w:pPr>
          </w:p>
        </w:tc>
        <w:tc>
          <w:tcPr>
            <w:tcW w:w="96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1.20</w:t>
            </w:r>
          </w:p>
        </w:tc>
        <w:tc>
          <w:tcPr>
            <w:tcW w:w="24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EEEEEE"/>
          </w:tcPr>
          <w:p>
            <w:pPr>
              <w:spacing w:after="0"/>
              <w:rPr>
                <w:sz w:val="17"/>
                <w:szCs w:val="17"/>
                <w:color w:val="auto"/>
              </w:rPr>
            </w:pPr>
          </w:p>
        </w:tc>
        <w:tc>
          <w:tcPr>
            <w:tcW w:w="114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1.34</w:t>
            </w:r>
          </w:p>
        </w:tc>
        <w:tc>
          <w:tcPr>
            <w:tcW w:w="1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440" w:type="dxa"/>
            <w:vAlign w:val="bottom"/>
            <w:tcBorders>
              <w:bottom w:val="single" w:sz="8" w:color="auto"/>
            </w:tcBorders>
            <w:shd w:val="clear" w:color="auto" w:fill="EEEEEE"/>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1.18</w:t>
            </w: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-4244340</wp:posOffset>
            </wp:positionV>
            <wp:extent cx="222885" cy="14408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2885" cy="1440815"/>
                    </a:xfrm>
                    <a:prstGeom prst="rect">
                      <a:avLst/>
                    </a:prstGeom>
                    <a:noFill/>
                  </pic:spPr>
                </pic:pic>
              </a:graphicData>
            </a:graphic>
          </wp:anchor>
        </w:drawing>
      </w:r>
    </w:p>
    <w:p>
      <w:pPr>
        <w:spacing w:after="0" w:line="182" w:lineRule="exact"/>
        <w:rPr>
          <w:sz w:val="20"/>
          <w:szCs w:val="20"/>
          <w:color w:val="auto"/>
        </w:rPr>
      </w:pPr>
    </w:p>
    <w:p>
      <w:pPr>
        <w:ind w:right="160" w:firstLine="130"/>
        <w:spacing w:after="0" w:line="277" w:lineRule="auto"/>
        <w:rPr>
          <w:sz w:val="20"/>
          <w:szCs w:val="20"/>
          <w:color w:val="auto"/>
        </w:rPr>
      </w:pPr>
      <w:r>
        <w:rPr>
          <w:rFonts w:ascii="Arial" w:cs="Arial" w:eastAsia="Arial" w:hAnsi="Arial"/>
          <w:sz w:val="18"/>
          <w:szCs w:val="18"/>
          <w:color w:val="auto"/>
        </w:rPr>
        <w:t>Incremental shares of 7.9 million, 6.8 million and 4.5 million related to stock options and warrants have been excluded from the diluted earnings per share calculation for the years ended December 31, 2016, 2015 and 2014, respectively, because the effect is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and Amortization of Debt Issuance Costs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Costs related to the issuance of debt are deferred and amortized using the interest method over the contractual or expected term of the related debt.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Unamortized debt issuance costs are presented as a direct deduction to the carrying amount of the related debt on our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130"/>
        <w:spacing w:after="0" w:line="293"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Company Stock</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record purchases of our own common stock at cost and treat the shares as retired.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right="20" w:firstLine="130"/>
        <w:spacing w:after="0" w:line="264" w:lineRule="auto"/>
        <w:rPr>
          <w:sz w:val="20"/>
          <w:szCs w:val="20"/>
          <w:color w:val="auto"/>
        </w:rPr>
      </w:pPr>
      <w:r>
        <w:rPr>
          <w:rFonts w:ascii="Arial" w:cs="Arial" w:eastAsia="Arial" w:hAnsi="Arial"/>
          <w:sz w:val="18"/>
          <w:szCs w:val="18"/>
          <w:color w:val="auto"/>
        </w:rPr>
        <w:t>We recognize compensation costs in the financial statements for all share-based payments granted subsequent to January 1, 2006 based on the grant date fair value estimated in accordance with the provisions of ASC 718 “Stock Compensation”. Compensation cost is recognized over the required service period, generally defined as the vesting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13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These material estimates that could be susceptible to changes in the near term and, accordingly,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ind w:right="380" w:firstLine="130"/>
        <w:spacing w:after="0" w:line="277" w:lineRule="auto"/>
        <w:rPr>
          <w:sz w:val="20"/>
          <w:szCs w:val="20"/>
          <w:color w:val="auto"/>
        </w:rPr>
      </w:pPr>
      <w:r>
        <w:rPr>
          <w:rFonts w:ascii="Arial" w:cs="Arial" w:eastAsia="Arial" w:hAnsi="Arial"/>
          <w:sz w:val="18"/>
          <w:szCs w:val="18"/>
          <w:color w:val="auto"/>
        </w:rPr>
        <w:t>Certain amounts for the prior year have been reclassified to conform to the current year’s presentation with no effect on previously reported earnings or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jc w:val="both"/>
        <w:ind w:right="300" w:firstLine="130"/>
        <w:spacing w:after="0" w:line="302" w:lineRule="auto"/>
        <w:rPr>
          <w:sz w:val="20"/>
          <w:szCs w:val="20"/>
          <w:color w:val="auto"/>
        </w:rPr>
      </w:pPr>
      <w:r>
        <w:rPr>
          <w:rFonts w:ascii="Arial" w:cs="Arial" w:eastAsia="Arial" w:hAnsi="Arial"/>
          <w:sz w:val="16"/>
          <w:szCs w:val="16"/>
          <w:color w:val="auto"/>
        </w:rPr>
        <w:t>Certain of our securitization transactions, our residual interest financing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2016 we were in compliance with all such financial covenants.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Contingent Liabilities</w:t>
      </w:r>
    </w:p>
    <w:p>
      <w:pPr>
        <w:spacing w:after="0" w:line="225" w:lineRule="exact"/>
        <w:rPr>
          <w:sz w:val="20"/>
          <w:szCs w:val="20"/>
          <w:color w:val="auto"/>
        </w:rPr>
      </w:pPr>
    </w:p>
    <w:p>
      <w:pPr>
        <w:jc w:val="both"/>
        <w:ind w:right="60" w:firstLine="130"/>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ind w:firstLine="130"/>
        <w:spacing w:after="0" w:line="271" w:lineRule="auto"/>
        <w:rPr>
          <w:sz w:val="20"/>
          <w:szCs w:val="20"/>
          <w:color w:val="auto"/>
        </w:rPr>
      </w:pPr>
      <w:r>
        <w:rPr>
          <w:rFonts w:ascii="Arial" w:cs="Arial" w:eastAsia="Arial" w:hAnsi="Arial"/>
          <w:sz w:val="17"/>
          <w:szCs w:val="17"/>
          <w:color w:val="auto"/>
        </w:rPr>
        <w:t>Such matters included a California class action suit where we were the defendant, and a governmental inquiry in which the United States Federal Trade Commission (“FTC”) required that we refrain from certain allegedly unfair trade practices, and make restitutionary payments into a consumer relief fund. In May 2014, the FTC announced its agreement to settle the matter by filing a lawsuit against us, and requesting, with our consent, that the court enter an agreed judgment against us. The lawsuit arose out of the FTC’s inquiry into our business practices. Under the agreed settlement, we made approximately $1.9 million of restitutionary payments and $1.6 million of account adjustments to our customers in September 2014, and paid a $2 million penalty to the federal government in June 2014, and implemented procedural changes, all pursuant to a consent decree entered by the court in June 2014. The California class action has been settled by agreement with the plaintiffs and the approval of the court. Our obligations under that settlement remained outstanding at December 31, 2016, and were performed after that date and prior to the date of this report.</w:t>
      </w:r>
    </w:p>
    <w:p>
      <w:pPr>
        <w:spacing w:after="0" w:line="179" w:lineRule="exact"/>
        <w:rPr>
          <w:sz w:val="20"/>
          <w:szCs w:val="20"/>
          <w:color w:val="auto"/>
        </w:rPr>
      </w:pPr>
    </w:p>
    <w:p>
      <w:pPr>
        <w:ind w:right="80" w:firstLine="130"/>
        <w:spacing w:after="0" w:line="264" w:lineRule="auto"/>
        <w:rPr>
          <w:sz w:val="20"/>
          <w:szCs w:val="20"/>
          <w:color w:val="auto"/>
        </w:rPr>
      </w:pPr>
      <w:r>
        <w:rPr>
          <w:rFonts w:ascii="Arial" w:cs="Arial" w:eastAsia="Arial" w:hAnsi="Arial"/>
          <w:sz w:val="18"/>
          <w:szCs w:val="18"/>
          <w:color w:val="auto"/>
        </w:rPr>
        <w:t>We have recorded a liability as of December 31, 2016, which represents our best estimate of probable incurred losses for legal contingencies (the agreed payments with respect to the class action settlement referenced above). The amount of losses that may ultimately be incurred in any other proceedings cannot be estimated with certainty.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40" w:firstLine="130"/>
        <w:spacing w:after="0" w:line="255" w:lineRule="auto"/>
        <w:rPr>
          <w:sz w:val="20"/>
          <w:szCs w:val="20"/>
          <w:color w:val="auto"/>
        </w:rPr>
      </w:pPr>
      <w:r>
        <w:rPr>
          <w:rFonts w:ascii="Arial" w:cs="Arial" w:eastAsia="Arial" w:hAnsi="Arial"/>
          <w:sz w:val="18"/>
          <w:szCs w:val="18"/>
          <w:color w:val="auto"/>
        </w:rPr>
        <w:t>In June 2016, the FASB issued Accounting Standards Update ("ASU") 2016-13 - Financial Instruments - Credit Losses (Topic 326): Measurement of Credit Losses on Financial Instruments. The revised accounting guidance will remove all recognition thresholds and will require a company to recognize an allowance for credit losses for the difference between the amortized cost basis of a financial instrument and the amount of amortized cost that the company expects to collect over the instrument's contractual life. It also amends the credit loss measurement guidance for beneficial interests in securitized financial assets. This new accounting guidance will be effective for interim and annual reporting periods beginning after December 15, 2019. The Company is currently evaluating the provisions of ASU No. 2016-13 to determine the potential impact the new standard will have on the Company's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Restricted Cash</w:t>
      </w:r>
    </w:p>
    <w:p>
      <w:pPr>
        <w:spacing w:after="0" w:line="225" w:lineRule="exact"/>
        <w:rPr>
          <w:sz w:val="20"/>
          <w:szCs w:val="20"/>
          <w:color w:val="auto"/>
        </w:rPr>
      </w:pPr>
    </w:p>
    <w:p>
      <w:pPr>
        <w:ind w:right="180" w:firstLine="130"/>
        <w:spacing w:after="0" w:line="308" w:lineRule="auto"/>
        <w:rPr>
          <w:sz w:val="20"/>
          <w:szCs w:val="20"/>
          <w:color w:val="auto"/>
        </w:rPr>
      </w:pPr>
      <w:r>
        <w:rPr>
          <w:rFonts w:ascii="Arial" w:cs="Arial" w:eastAsia="Arial" w:hAnsi="Arial"/>
          <w:sz w:val="17"/>
          <w:szCs w:val="17"/>
          <w:color w:val="auto"/>
        </w:rPr>
        <w:t>Restricted cash consists of cash and cash equivalent accounts relating to our outstanding securitization trusts and credit facilities. The amount of restricted cash on our Consolidated Balance Sheets was $112.8 million and $106.1 million as of December 31, 2016 and 2015, respectively.</w:t>
      </w:r>
    </w:p>
    <w:p>
      <w:pPr>
        <w:spacing w:after="0" w:line="147" w:lineRule="exact"/>
        <w:rPr>
          <w:sz w:val="20"/>
          <w:szCs w:val="20"/>
          <w:color w:val="auto"/>
        </w:rPr>
      </w:pPr>
    </w:p>
    <w:p>
      <w:pPr>
        <w:ind w:right="380" w:firstLine="130"/>
        <w:spacing w:after="0" w:line="264" w:lineRule="auto"/>
        <w:rPr>
          <w:sz w:val="20"/>
          <w:szCs w:val="20"/>
          <w:color w:val="auto"/>
        </w:rPr>
      </w:pPr>
      <w:r>
        <w:rPr>
          <w:rFonts w:ascii="Arial" w:cs="Arial" w:eastAsia="Arial" w:hAnsi="Arial"/>
          <w:sz w:val="18"/>
          <w:szCs w:val="18"/>
          <w:color w:val="auto"/>
        </w:rPr>
        <w:t>Our securitization transactions and one of our warehouse credit facilities require that we establish cash reserves, or spread accounts, as additional credit enhancement. These cash reserves, which are included in restricted cash, were $40.8 million and $38.9 million as of December 31, 2016 and 2015,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Finance Receivables</w:t>
      </w:r>
    </w:p>
    <w:p>
      <w:pPr>
        <w:spacing w:after="0" w:line="225" w:lineRule="exact"/>
        <w:rPr>
          <w:sz w:val="20"/>
          <w:szCs w:val="20"/>
          <w:color w:val="auto"/>
        </w:rPr>
      </w:pPr>
    </w:p>
    <w:p>
      <w:pPr>
        <w:ind w:right="160" w:firstLine="130"/>
        <w:spacing w:after="0" w:line="276"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8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Automobile finance receivables, net of unearned interest</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2,266,619</w:t>
            </w:r>
          </w:p>
        </w:tc>
        <w:tc>
          <w:tcPr>
            <w:tcW w:w="1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3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1,990,913</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Unearned acquisition fees, discounts and deferred origination costs, net</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Finance receivables</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2,267,943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1,985,093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130"/>
        <w:spacing w:after="0" w:line="254" w:lineRule="auto"/>
        <w:rPr>
          <w:sz w:val="20"/>
          <w:szCs w:val="20"/>
          <w:color w:val="auto"/>
        </w:rPr>
      </w:pPr>
      <w:r>
        <w:rPr>
          <w:rFonts w:ascii="Arial" w:cs="Arial" w:eastAsia="Arial" w:hAnsi="Arial"/>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December 31, 2016 and 2015:</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2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3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2,053,759</w:t>
            </w:r>
          </w:p>
        </w:tc>
        <w:tc>
          <w:tcPr>
            <w:tcW w:w="300" w:type="dxa"/>
            <w:vAlign w:val="bottom"/>
          </w:tcPr>
          <w:p>
            <w:pPr>
              <w:spacing w:after="0"/>
              <w:rPr>
                <w:sz w:val="18"/>
                <w:szCs w:val="18"/>
                <w:color w:val="auto"/>
              </w:rPr>
            </w:pPr>
          </w:p>
        </w:tc>
        <w:tc>
          <w:tcPr>
            <w:tcW w:w="520" w:type="dxa"/>
            <w:vAlign w:val="bottom"/>
            <w:gridSpan w:val="2"/>
          </w:tcPr>
          <w:p>
            <w:pPr>
              <w:jc w:val="right"/>
              <w:ind w:right="39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1,836,267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31</w:t>
            </w:r>
          </w:p>
        </w:tc>
        <w:tc>
          <w:tcPr>
            <w:tcW w:w="32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116,073</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70,036</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3240" w:type="dxa"/>
            <w:vAlign w:val="bottom"/>
          </w:tcPr>
          <w:p>
            <w:pPr>
              <w:ind w:left="20"/>
              <w:spacing w:after="0"/>
              <w:rPr>
                <w:sz w:val="20"/>
                <w:szCs w:val="20"/>
                <w:color w:val="auto"/>
              </w:rPr>
            </w:pPr>
            <w:r>
              <w:rPr>
                <w:rFonts w:ascii="Arial" w:cs="Arial" w:eastAsia="Arial" w:hAnsi="Arial"/>
                <w:sz w:val="18"/>
                <w:szCs w:val="18"/>
                <w:color w:val="auto"/>
              </w:rPr>
              <w:t>- 90 days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52,404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41,136</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91</w:t>
            </w:r>
          </w:p>
        </w:tc>
        <w:tc>
          <w:tcPr>
            <w:tcW w:w="32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040" w:type="dxa"/>
            <w:vAlign w:val="bottom"/>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44,383</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00" w:type="dxa"/>
            <w:vAlign w:val="bottom"/>
            <w:tcBorders>
              <w:bottom w:val="single" w:sz="8" w:color="auto"/>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43,474</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2,266,619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1,990,913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130"/>
        <w:spacing w:after="0" w:line="277" w:lineRule="auto"/>
        <w:rPr>
          <w:sz w:val="20"/>
          <w:szCs w:val="20"/>
          <w:color w:val="auto"/>
        </w:rPr>
      </w:pPr>
      <w:r>
        <w:rPr>
          <w:rFonts w:ascii="Arial" w:cs="Arial" w:eastAsia="Arial" w:hAnsi="Arial"/>
          <w:sz w:val="18"/>
          <w:szCs w:val="18"/>
          <w:color w:val="auto"/>
        </w:rPr>
        <w:t>Finance receivables totaling $44.4 million and $43.5 million at December 31, 2016 and 2015, respectively, have been placed on non-accrual status as a result of their delinquency status.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years ended December 31, 2016, 2015 and 2014:</w:t>
      </w:r>
    </w:p>
    <w:p>
      <w:pPr>
        <w:sectPr>
          <w:pgSz w:w="11900" w:h="16838" w:orient="portrait"/>
          <w:cols w:equalWidth="0" w:num="1">
            <w:col w:w="11380"/>
          </w:cols>
          <w:pgMar w:left="240" w:top="47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Balance at beginning of year</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Provision for credit losses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Charge-offs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Recoveries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-127635</wp:posOffset>
            </wp:positionV>
            <wp:extent cx="7246620" cy="1166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16649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75,603</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61,460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39,626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178,511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142,618</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108,228</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(192,366)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(156,553)</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(109,914)</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33,830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28,078</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23,520</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75,603</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61,460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0" w:space="720"/>
            <w:col w:w="4620"/>
          </w:cols>
          <w:pgMar w:left="240" w:top="472" w:right="279" w:bottom="1440" w:gutter="0" w:footer="0" w:header="0"/>
          <w:type w:val="continuous"/>
        </w:sectPr>
      </w:pPr>
    </w:p>
    <w:p>
      <w:pPr>
        <w:spacing w:after="0" w:line="2" w:lineRule="exact"/>
        <w:rPr>
          <w:sz w:val="20"/>
          <w:szCs w:val="20"/>
          <w:color w:val="auto"/>
        </w:rPr>
      </w:pPr>
    </w:p>
    <w:p>
      <w:pPr>
        <w:ind w:right="60" w:firstLine="130"/>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on repossessed inventory:</w:t>
      </w:r>
    </w:p>
    <w:p>
      <w:pPr>
        <w:sectPr>
          <w:pgSz w:w="11900" w:h="16838" w:orient="portrait"/>
          <w:cols w:equalWidth="0" w:num="1">
            <w:col w:w="11380"/>
          </w:cols>
          <w:pgMar w:left="240" w:top="472"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19"/>
                <w:szCs w:val="19"/>
                <w:color w:val="auto"/>
              </w:rPr>
            </w:pPr>
          </w:p>
        </w:tc>
      </w:tr>
      <w:tr>
        <w:trPr>
          <w:trHeight w:val="195"/>
        </w:trPr>
        <w:tc>
          <w:tcPr>
            <w:tcW w:w="360" w:type="dxa"/>
            <w:vAlign w:val="bottom"/>
          </w:tcPr>
          <w:p>
            <w:pPr>
              <w:spacing w:after="0"/>
              <w:rPr>
                <w:sz w:val="16"/>
                <w:szCs w:val="16"/>
                <w:color w:val="auto"/>
              </w:rPr>
            </w:pPr>
          </w:p>
        </w:tc>
        <w:tc>
          <w:tcPr>
            <w:tcW w:w="2080" w:type="dxa"/>
            <w:vAlign w:val="bottom"/>
            <w:gridSpan w:val="4"/>
          </w:tcPr>
          <w:p>
            <w:pPr>
              <w:jc w:val="right"/>
              <w:ind w:right="70"/>
              <w:spacing w:after="0" w:line="195" w:lineRule="exact"/>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40,069</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39,728</w:t>
            </w:r>
          </w:p>
        </w:tc>
        <w:tc>
          <w:tcPr>
            <w:tcW w:w="60" w:type="dxa"/>
            <w:vAlign w:val="bottom"/>
          </w:tcPr>
          <w:p>
            <w:pPr>
              <w:spacing w:after="0"/>
              <w:rPr>
                <w:sz w:val="18"/>
                <w:szCs w:val="18"/>
                <w:color w:val="auto"/>
              </w:rPr>
            </w:pPr>
          </w:p>
        </w:tc>
      </w:tr>
      <w:tr>
        <w:trPr>
          <w:trHeight w:val="244"/>
        </w:trPr>
        <w:tc>
          <w:tcPr>
            <w:tcW w:w="36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(28,924)</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(26,954)</w:t>
            </w:r>
          </w:p>
        </w:tc>
      </w:tr>
      <w:tr>
        <w:trPr>
          <w:trHeight w:val="223"/>
        </w:trPr>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12,774</w:t>
            </w:r>
          </w:p>
        </w:tc>
        <w:tc>
          <w:tcPr>
            <w:tcW w:w="60" w:type="dxa"/>
            <w:vAlign w:val="bottom"/>
          </w:tcPr>
          <w:p>
            <w:pPr>
              <w:spacing w:after="0"/>
              <w:rPr>
                <w:sz w:val="19"/>
                <w:szCs w:val="19"/>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00"/>
          </w:cols>
          <w:pgMar w:left="240" w:top="472" w:right="27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(4) Furniture and Equipment</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20" w:type="dxa"/>
            <w:vAlign w:val="bottom"/>
            <w:gridSpan w:val="2"/>
          </w:tcPr>
          <w:p>
            <w:pPr>
              <w:ind w:left="140"/>
              <w:spacing w:after="0"/>
              <w:rPr>
                <w:sz w:val="20"/>
                <w:szCs w:val="20"/>
                <w:color w:val="auto"/>
              </w:rPr>
            </w:pPr>
            <w:r>
              <w:rPr>
                <w:rFonts w:ascii="Arial" w:cs="Arial" w:eastAsia="Arial" w:hAnsi="Arial"/>
                <w:sz w:val="18"/>
                <w:szCs w:val="18"/>
                <w:color w:val="auto"/>
              </w:rPr>
              <w:t>The following table presents the components of furniture and equipment:</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96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1,566</w:t>
            </w:r>
          </w:p>
        </w:tc>
        <w:tc>
          <w:tcPr>
            <w:tcW w:w="3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39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EEEEEE"/>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Computer and telephone equipment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4,907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1,154</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00" w:type="dxa"/>
            <w:vAlign w:val="bottom"/>
            <w:tcBorders>
              <w:bottom w:val="single" w:sz="8" w:color="auto"/>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EEEEEE"/>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7,627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(5,610)</w:t>
            </w:r>
          </w:p>
        </w:tc>
        <w:tc>
          <w:tcPr>
            <w:tcW w:w="2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(6,167)</w:t>
            </w:r>
          </w:p>
        </w:tc>
      </w:tr>
      <w:tr>
        <w:trPr>
          <w:trHeight w:val="223"/>
        </w:trPr>
        <w:tc>
          <w:tcPr>
            <w:tcW w:w="11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expense totaled $777,000, $637,000 and $428,000 for the years ended December 31, 2016, 2015 and 2014, respectively.</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Securitization Trust Debt</w:t>
      </w:r>
    </w:p>
    <w:p>
      <w:pPr>
        <w:spacing w:after="0" w:line="225" w:lineRule="exact"/>
        <w:rPr>
          <w:sz w:val="20"/>
          <w:szCs w:val="20"/>
          <w:color w:val="auto"/>
        </w:rPr>
      </w:pPr>
    </w:p>
    <w:p>
      <w:pPr>
        <w:ind w:right="160" w:firstLine="130"/>
        <w:spacing w:after="0" w:line="264" w:lineRule="auto"/>
        <w:rPr>
          <w:sz w:val="20"/>
          <w:szCs w:val="20"/>
          <w:color w:val="auto"/>
        </w:rPr>
      </w:pPr>
      <w:r>
        <w:rPr>
          <w:rFonts w:ascii="Arial" w:cs="Arial" w:eastAsia="Arial" w:hAnsi="Arial"/>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5"/>
              </w:rPr>
              <w:t>Final</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Receivables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7"/>
              </w:rPr>
              <w:t>Scheduled</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Pledged at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Principal at</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Principal at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Rate at</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Payment</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Initial</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420" w:type="dxa"/>
            <w:vAlign w:val="bottom"/>
            <w:gridSpan w:val="2"/>
          </w:tcPr>
          <w:p>
            <w:pPr>
              <w:ind w:left="920"/>
              <w:spacing w:after="0"/>
              <w:rPr>
                <w:sz w:val="20"/>
                <w:szCs w:val="20"/>
                <w:color w:val="auto"/>
              </w:rPr>
            </w:pPr>
            <w:r>
              <w:rPr>
                <w:rFonts w:ascii="Arial" w:cs="Arial" w:eastAsia="Arial" w:hAnsi="Arial"/>
                <w:sz w:val="18"/>
                <w:szCs w:val="18"/>
                <w:b w:val="1"/>
                <w:bCs w:val="1"/>
                <w:color w:val="auto"/>
              </w:rPr>
              <w:t>Series</w:t>
            </w:r>
          </w:p>
        </w:tc>
        <w:tc>
          <w:tcPr>
            <w:tcW w:w="206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3"/>
              </w:rPr>
              <w:t>Date (1)</w:t>
            </w: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10"/>
        </w:trPr>
        <w:tc>
          <w:tcPr>
            <w:tcW w:w="2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89"/>
              </w:rPr>
              <w:t>(Dollars in thousands)</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2011-B</w:t>
            </w:r>
          </w:p>
        </w:tc>
        <w:tc>
          <w:tcPr>
            <w:tcW w:w="2060" w:type="dxa"/>
            <w:vAlign w:val="bottom"/>
            <w:gridSpan w:val="3"/>
            <w:shd w:val="clear" w:color="auto" w:fill="EEEEEE"/>
          </w:tcPr>
          <w:p>
            <w:pPr>
              <w:jc w:val="right"/>
              <w:ind w:right="130"/>
              <w:spacing w:after="0"/>
              <w:rPr>
                <w:sz w:val="20"/>
                <w:szCs w:val="20"/>
                <w:color w:val="auto"/>
              </w:rPr>
            </w:pPr>
            <w:r>
              <w:rPr>
                <w:rFonts w:ascii="Arial" w:cs="Arial" w:eastAsia="Arial" w:hAnsi="Arial"/>
                <w:sz w:val="18"/>
                <w:szCs w:val="18"/>
                <w:color w:val="auto"/>
              </w:rPr>
              <w:t>September 2018</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109,936</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10,023</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CPS 2011-C</w:t>
            </w:r>
          </w:p>
        </w:tc>
        <w:tc>
          <w:tcPr>
            <w:tcW w:w="2060" w:type="dxa"/>
            <w:vAlign w:val="bottom"/>
            <w:gridSpan w:val="3"/>
          </w:tcPr>
          <w:p>
            <w:pPr>
              <w:jc w:val="right"/>
              <w:ind w:right="130"/>
              <w:spacing w:after="0"/>
              <w:rPr>
                <w:sz w:val="20"/>
                <w:szCs w:val="20"/>
                <w:color w:val="auto"/>
              </w:rPr>
            </w:pPr>
            <w:r>
              <w:rPr>
                <w:rFonts w:ascii="Arial" w:cs="Arial" w:eastAsia="Arial" w:hAnsi="Arial"/>
                <w:sz w:val="18"/>
                <w:szCs w:val="18"/>
                <w:color w:val="auto"/>
              </w:rPr>
              <w:t>March 2019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119,400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14,785</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2012-A</w:t>
            </w:r>
          </w:p>
        </w:tc>
        <w:tc>
          <w:tcPr>
            <w:tcW w:w="2060" w:type="dxa"/>
            <w:vAlign w:val="bottom"/>
            <w:gridSpan w:val="3"/>
            <w:shd w:val="clear" w:color="auto" w:fill="EEEEEE"/>
          </w:tcPr>
          <w:p>
            <w:pPr>
              <w:jc w:val="right"/>
              <w:ind w:right="130"/>
              <w:spacing w:after="0"/>
              <w:rPr>
                <w:sz w:val="20"/>
                <w:szCs w:val="20"/>
                <w:color w:val="auto"/>
              </w:rPr>
            </w:pPr>
            <w:r>
              <w:rPr>
                <w:rFonts w:ascii="Arial" w:cs="Arial" w:eastAsia="Arial" w:hAnsi="Arial"/>
                <w:sz w:val="18"/>
                <w:szCs w:val="18"/>
                <w:color w:val="auto"/>
              </w:rPr>
              <w:t>June 2019</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155,000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16,795</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CPS 2012-B</w:t>
            </w:r>
          </w:p>
        </w:tc>
        <w:tc>
          <w:tcPr>
            <w:tcW w:w="2060" w:type="dxa"/>
            <w:vAlign w:val="bottom"/>
            <w:gridSpan w:val="3"/>
          </w:tcPr>
          <w:p>
            <w:pPr>
              <w:jc w:val="right"/>
              <w:ind w:right="130"/>
              <w:spacing w:after="0"/>
              <w:rPr>
                <w:sz w:val="20"/>
                <w:szCs w:val="20"/>
                <w:color w:val="auto"/>
              </w:rPr>
            </w:pPr>
            <w:r>
              <w:rPr>
                <w:rFonts w:ascii="Arial" w:cs="Arial" w:eastAsia="Arial" w:hAnsi="Arial"/>
                <w:sz w:val="18"/>
                <w:szCs w:val="18"/>
                <w:color w:val="auto"/>
              </w:rPr>
              <w:t>September 2019</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141,500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26,758</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2012-C</w:t>
            </w:r>
          </w:p>
        </w:tc>
        <w:tc>
          <w:tcPr>
            <w:tcW w:w="2060" w:type="dxa"/>
            <w:vAlign w:val="bottom"/>
            <w:gridSpan w:val="3"/>
            <w:shd w:val="clear" w:color="auto" w:fill="EEEEEE"/>
          </w:tcPr>
          <w:p>
            <w:pPr>
              <w:jc w:val="right"/>
              <w:ind w:right="130"/>
              <w:spacing w:after="0"/>
              <w:rPr>
                <w:sz w:val="20"/>
                <w:szCs w:val="20"/>
                <w:color w:val="auto"/>
              </w:rPr>
            </w:pPr>
            <w:r>
              <w:rPr>
                <w:rFonts w:ascii="Arial" w:cs="Arial" w:eastAsia="Arial" w:hAnsi="Arial"/>
                <w:sz w:val="18"/>
                <w:szCs w:val="18"/>
                <w:color w:val="auto"/>
              </w:rPr>
              <w:t>December 2019</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15,131</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147,000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14,421</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30,653</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CPS 2012-D</w:t>
            </w:r>
          </w:p>
        </w:tc>
        <w:tc>
          <w:tcPr>
            <w:tcW w:w="2060" w:type="dxa"/>
            <w:vAlign w:val="bottom"/>
            <w:gridSpan w:val="3"/>
          </w:tcPr>
          <w:p>
            <w:pPr>
              <w:jc w:val="right"/>
              <w:ind w:right="130"/>
              <w:spacing w:after="0"/>
              <w:rPr>
                <w:sz w:val="20"/>
                <w:szCs w:val="20"/>
                <w:color w:val="auto"/>
              </w:rPr>
            </w:pPr>
            <w:r>
              <w:rPr>
                <w:rFonts w:ascii="Arial" w:cs="Arial" w:eastAsia="Arial" w:hAnsi="Arial"/>
                <w:sz w:val="18"/>
                <w:szCs w:val="18"/>
                <w:color w:val="auto"/>
              </w:rPr>
              <w:t>March 2020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19,232</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17,865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37,464</w:t>
            </w:r>
          </w:p>
        </w:tc>
        <w:tc>
          <w:tcPr>
            <w:tcW w:w="14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2013-A</w:t>
            </w:r>
          </w:p>
        </w:tc>
        <w:tc>
          <w:tcPr>
            <w:tcW w:w="2060" w:type="dxa"/>
            <w:vAlign w:val="bottom"/>
            <w:gridSpan w:val="3"/>
            <w:shd w:val="clear" w:color="auto" w:fill="EEEEEE"/>
          </w:tcPr>
          <w:p>
            <w:pPr>
              <w:jc w:val="right"/>
              <w:ind w:right="130"/>
              <w:spacing w:after="0"/>
              <w:rPr>
                <w:sz w:val="20"/>
                <w:szCs w:val="20"/>
                <w:color w:val="auto"/>
              </w:rPr>
            </w:pPr>
            <w:r>
              <w:rPr>
                <w:rFonts w:ascii="Arial" w:cs="Arial" w:eastAsia="Arial" w:hAnsi="Arial"/>
                <w:sz w:val="18"/>
                <w:szCs w:val="18"/>
                <w:color w:val="auto"/>
              </w:rPr>
              <w:t>June 2020</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30,258</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185,000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28,661</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56,583</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CPS 2013-B</w:t>
            </w:r>
          </w:p>
        </w:tc>
        <w:tc>
          <w:tcPr>
            <w:tcW w:w="2060" w:type="dxa"/>
            <w:vAlign w:val="bottom"/>
            <w:gridSpan w:val="3"/>
          </w:tcPr>
          <w:p>
            <w:pPr>
              <w:jc w:val="right"/>
              <w:ind w:right="130"/>
              <w:spacing w:after="0"/>
              <w:rPr>
                <w:sz w:val="20"/>
                <w:szCs w:val="20"/>
                <w:color w:val="auto"/>
              </w:rPr>
            </w:pPr>
            <w:r>
              <w:rPr>
                <w:rFonts w:ascii="Arial" w:cs="Arial" w:eastAsia="Arial" w:hAnsi="Arial"/>
                <w:sz w:val="18"/>
                <w:szCs w:val="18"/>
                <w:color w:val="auto"/>
              </w:rPr>
              <w:t>September 2020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40,395</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205,000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37,570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70,332</w:t>
            </w:r>
          </w:p>
        </w:tc>
        <w:tc>
          <w:tcPr>
            <w:tcW w:w="14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2013-C</w:t>
            </w:r>
          </w:p>
        </w:tc>
        <w:tc>
          <w:tcPr>
            <w:tcW w:w="2060" w:type="dxa"/>
            <w:vAlign w:val="bottom"/>
            <w:gridSpan w:val="3"/>
            <w:shd w:val="clear" w:color="auto" w:fill="EEEEEE"/>
          </w:tcPr>
          <w:p>
            <w:pPr>
              <w:jc w:val="right"/>
              <w:ind w:right="130"/>
              <w:spacing w:after="0"/>
              <w:rPr>
                <w:sz w:val="20"/>
                <w:szCs w:val="20"/>
                <w:color w:val="auto"/>
              </w:rPr>
            </w:pPr>
            <w:r>
              <w:rPr>
                <w:rFonts w:ascii="Arial" w:cs="Arial" w:eastAsia="Arial" w:hAnsi="Arial"/>
                <w:sz w:val="18"/>
                <w:szCs w:val="18"/>
                <w:color w:val="auto"/>
              </w:rPr>
              <w:t>December 2020</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48,080</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205,000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46,830</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82,851</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CPS 2013-D</w:t>
            </w:r>
          </w:p>
        </w:tc>
        <w:tc>
          <w:tcPr>
            <w:tcW w:w="2060" w:type="dxa"/>
            <w:vAlign w:val="bottom"/>
            <w:gridSpan w:val="3"/>
          </w:tcPr>
          <w:p>
            <w:pPr>
              <w:jc w:val="right"/>
              <w:ind w:right="130"/>
              <w:spacing w:after="0"/>
              <w:rPr>
                <w:sz w:val="20"/>
                <w:szCs w:val="20"/>
                <w:color w:val="auto"/>
              </w:rPr>
            </w:pPr>
            <w:r>
              <w:rPr>
                <w:rFonts w:ascii="Arial" w:cs="Arial" w:eastAsia="Arial" w:hAnsi="Arial"/>
                <w:sz w:val="18"/>
                <w:szCs w:val="18"/>
                <w:color w:val="auto"/>
              </w:rPr>
              <w:t>March 2021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48,487</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183,000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46,345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82,337</w:t>
            </w:r>
          </w:p>
        </w:tc>
        <w:tc>
          <w:tcPr>
            <w:tcW w:w="148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2014-A</w:t>
            </w:r>
          </w:p>
        </w:tc>
        <w:tc>
          <w:tcPr>
            <w:tcW w:w="2060" w:type="dxa"/>
            <w:vAlign w:val="bottom"/>
            <w:gridSpan w:val="3"/>
            <w:shd w:val="clear" w:color="auto" w:fill="EEEEEE"/>
          </w:tcPr>
          <w:p>
            <w:pPr>
              <w:jc w:val="right"/>
              <w:ind w:right="130"/>
              <w:spacing w:after="0"/>
              <w:rPr>
                <w:sz w:val="20"/>
                <w:szCs w:val="20"/>
                <w:color w:val="auto"/>
              </w:rPr>
            </w:pPr>
            <w:r>
              <w:rPr>
                <w:rFonts w:ascii="Arial" w:cs="Arial" w:eastAsia="Arial" w:hAnsi="Arial"/>
                <w:sz w:val="18"/>
                <w:szCs w:val="18"/>
                <w:color w:val="auto"/>
              </w:rPr>
              <w:t>June 2021</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57,171</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180,000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54,988</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92,571</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3.39%</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CPS 2014-B</w:t>
            </w:r>
          </w:p>
        </w:tc>
        <w:tc>
          <w:tcPr>
            <w:tcW w:w="2060" w:type="dxa"/>
            <w:vAlign w:val="bottom"/>
            <w:gridSpan w:val="3"/>
          </w:tcPr>
          <w:p>
            <w:pPr>
              <w:jc w:val="right"/>
              <w:ind w:right="130"/>
              <w:spacing w:after="0"/>
              <w:rPr>
                <w:sz w:val="20"/>
                <w:szCs w:val="20"/>
                <w:color w:val="auto"/>
              </w:rPr>
            </w:pPr>
            <w:r>
              <w:rPr>
                <w:rFonts w:ascii="Arial" w:cs="Arial" w:eastAsia="Arial" w:hAnsi="Arial"/>
                <w:sz w:val="18"/>
                <w:szCs w:val="18"/>
                <w:color w:val="auto"/>
              </w:rPr>
              <w:t>September 2021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76,158</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202,500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75,140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121,515</w:t>
            </w:r>
          </w:p>
        </w:tc>
        <w:tc>
          <w:tcPr>
            <w:tcW w:w="148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2014-C</w:t>
            </w:r>
          </w:p>
        </w:tc>
        <w:tc>
          <w:tcPr>
            <w:tcW w:w="2060" w:type="dxa"/>
            <w:vAlign w:val="bottom"/>
            <w:gridSpan w:val="3"/>
            <w:shd w:val="clear" w:color="auto" w:fill="EEEEEE"/>
          </w:tcPr>
          <w:p>
            <w:pPr>
              <w:jc w:val="right"/>
              <w:ind w:right="130"/>
              <w:spacing w:after="0"/>
              <w:rPr>
                <w:sz w:val="20"/>
                <w:szCs w:val="20"/>
                <w:color w:val="auto"/>
              </w:rPr>
            </w:pPr>
            <w:r>
              <w:rPr>
                <w:rFonts w:ascii="Arial" w:cs="Arial" w:eastAsia="Arial" w:hAnsi="Arial"/>
                <w:sz w:val="18"/>
                <w:szCs w:val="18"/>
                <w:color w:val="auto"/>
              </w:rPr>
              <w:t>December 2021</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117,071</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273,000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116,280</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183,802</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CPS 2014-D</w:t>
            </w:r>
          </w:p>
        </w:tc>
        <w:tc>
          <w:tcPr>
            <w:tcW w:w="2060" w:type="dxa"/>
            <w:vAlign w:val="bottom"/>
            <w:gridSpan w:val="3"/>
          </w:tcPr>
          <w:p>
            <w:pPr>
              <w:jc w:val="right"/>
              <w:ind w:right="130"/>
              <w:spacing w:after="0"/>
              <w:rPr>
                <w:sz w:val="20"/>
                <w:szCs w:val="20"/>
                <w:color w:val="auto"/>
              </w:rPr>
            </w:pPr>
            <w:r>
              <w:rPr>
                <w:rFonts w:ascii="Arial" w:cs="Arial" w:eastAsia="Arial" w:hAnsi="Arial"/>
                <w:sz w:val="18"/>
                <w:szCs w:val="18"/>
                <w:color w:val="auto"/>
              </w:rPr>
              <w:t>March 2022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127,721</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267,500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127,307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198,533</w:t>
            </w:r>
          </w:p>
        </w:tc>
        <w:tc>
          <w:tcPr>
            <w:tcW w:w="14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2015-A</w:t>
            </w:r>
          </w:p>
        </w:tc>
        <w:tc>
          <w:tcPr>
            <w:tcW w:w="2060" w:type="dxa"/>
            <w:vAlign w:val="bottom"/>
            <w:gridSpan w:val="3"/>
            <w:shd w:val="clear" w:color="auto" w:fill="EEEEEE"/>
          </w:tcPr>
          <w:p>
            <w:pPr>
              <w:jc w:val="right"/>
              <w:ind w:right="130"/>
              <w:spacing w:after="0"/>
              <w:rPr>
                <w:sz w:val="20"/>
                <w:szCs w:val="20"/>
                <w:color w:val="auto"/>
              </w:rPr>
            </w:pPr>
            <w:r>
              <w:rPr>
                <w:rFonts w:ascii="Arial" w:cs="Arial" w:eastAsia="Arial" w:hAnsi="Arial"/>
                <w:sz w:val="18"/>
                <w:szCs w:val="18"/>
                <w:color w:val="auto"/>
              </w:rPr>
              <w:t>June 2022</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136,010</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245,000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134,466</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201,527</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CPS 2015-B</w:t>
            </w:r>
          </w:p>
        </w:tc>
        <w:tc>
          <w:tcPr>
            <w:tcW w:w="2060" w:type="dxa"/>
            <w:vAlign w:val="bottom"/>
            <w:gridSpan w:val="3"/>
          </w:tcPr>
          <w:p>
            <w:pPr>
              <w:jc w:val="right"/>
              <w:ind w:right="130"/>
              <w:spacing w:after="0"/>
              <w:rPr>
                <w:sz w:val="20"/>
                <w:szCs w:val="20"/>
                <w:color w:val="auto"/>
              </w:rPr>
            </w:pPr>
            <w:r>
              <w:rPr>
                <w:rFonts w:ascii="Arial" w:cs="Arial" w:eastAsia="Arial" w:hAnsi="Arial"/>
                <w:sz w:val="18"/>
                <w:szCs w:val="18"/>
                <w:color w:val="auto"/>
              </w:rPr>
              <w:t>September 2022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155,303</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153,893</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221,587</w:t>
            </w:r>
          </w:p>
        </w:tc>
        <w:tc>
          <w:tcPr>
            <w:tcW w:w="148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2015-C</w:t>
            </w:r>
          </w:p>
        </w:tc>
        <w:tc>
          <w:tcPr>
            <w:tcW w:w="2060" w:type="dxa"/>
            <w:vAlign w:val="bottom"/>
            <w:gridSpan w:val="3"/>
            <w:shd w:val="clear" w:color="auto" w:fill="EEEEEE"/>
          </w:tcPr>
          <w:p>
            <w:pPr>
              <w:jc w:val="right"/>
              <w:ind w:right="130"/>
              <w:spacing w:after="0"/>
              <w:rPr>
                <w:sz w:val="20"/>
                <w:szCs w:val="20"/>
                <w:color w:val="auto"/>
              </w:rPr>
            </w:pPr>
            <w:r>
              <w:rPr>
                <w:rFonts w:ascii="Arial" w:cs="Arial" w:eastAsia="Arial" w:hAnsi="Arial"/>
                <w:sz w:val="18"/>
                <w:szCs w:val="18"/>
                <w:color w:val="auto"/>
              </w:rPr>
              <w:t>December 2022</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210,026</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207,636</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283,482</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3.39%</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CPS 2016-A</w:t>
            </w:r>
          </w:p>
        </w:tc>
        <w:tc>
          <w:tcPr>
            <w:tcW w:w="2060" w:type="dxa"/>
            <w:vAlign w:val="bottom"/>
            <w:gridSpan w:val="3"/>
          </w:tcPr>
          <w:p>
            <w:pPr>
              <w:jc w:val="right"/>
              <w:ind w:right="130"/>
              <w:spacing w:after="0"/>
              <w:rPr>
                <w:sz w:val="20"/>
                <w:szCs w:val="20"/>
                <w:color w:val="auto"/>
              </w:rPr>
            </w:pPr>
            <w:r>
              <w:rPr>
                <w:rFonts w:ascii="Arial" w:cs="Arial" w:eastAsia="Arial" w:hAnsi="Arial"/>
                <w:sz w:val="18"/>
                <w:szCs w:val="18"/>
                <w:color w:val="auto"/>
              </w:rPr>
              <w:t>March 2023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265,496</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329,460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262,260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2016-B</w:t>
            </w:r>
          </w:p>
        </w:tc>
        <w:tc>
          <w:tcPr>
            <w:tcW w:w="2060" w:type="dxa"/>
            <w:vAlign w:val="bottom"/>
            <w:gridSpan w:val="3"/>
            <w:shd w:val="clear" w:color="auto" w:fill="EEEEEE"/>
          </w:tcPr>
          <w:p>
            <w:pPr>
              <w:jc w:val="right"/>
              <w:ind w:right="130"/>
              <w:spacing w:after="0"/>
              <w:rPr>
                <w:sz w:val="20"/>
                <w:szCs w:val="20"/>
                <w:color w:val="auto"/>
              </w:rPr>
            </w:pPr>
            <w:r>
              <w:rPr>
                <w:rFonts w:ascii="Arial" w:cs="Arial" w:eastAsia="Arial" w:hAnsi="Arial"/>
                <w:sz w:val="18"/>
                <w:szCs w:val="18"/>
                <w:color w:val="auto"/>
              </w:rPr>
              <w:t>June 2023</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294,463</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332,690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284,752</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CPS 2016-C</w:t>
            </w:r>
          </w:p>
        </w:tc>
        <w:tc>
          <w:tcPr>
            <w:tcW w:w="2060" w:type="dxa"/>
            <w:vAlign w:val="bottom"/>
            <w:gridSpan w:val="3"/>
          </w:tcPr>
          <w:p>
            <w:pPr>
              <w:jc w:val="right"/>
              <w:ind w:right="130"/>
              <w:spacing w:after="0"/>
              <w:rPr>
                <w:sz w:val="20"/>
                <w:szCs w:val="20"/>
                <w:color w:val="auto"/>
              </w:rPr>
            </w:pPr>
            <w:r>
              <w:rPr>
                <w:rFonts w:ascii="Arial" w:cs="Arial" w:eastAsia="Arial" w:hAnsi="Arial"/>
                <w:sz w:val="18"/>
                <w:szCs w:val="18"/>
                <w:color w:val="auto"/>
              </w:rPr>
              <w:t>September 2023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296,179</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318,500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285,618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2016-D</w:t>
            </w:r>
          </w:p>
        </w:tc>
        <w:tc>
          <w:tcPr>
            <w:tcW w:w="2060" w:type="dxa"/>
            <w:vAlign w:val="bottom"/>
            <w:gridSpan w:val="3"/>
            <w:shd w:val="clear" w:color="auto" w:fill="EEEEEE"/>
          </w:tcPr>
          <w:p>
            <w:pPr>
              <w:jc w:val="right"/>
              <w:ind w:right="130"/>
              <w:spacing w:after="0"/>
              <w:rPr>
                <w:sz w:val="20"/>
                <w:szCs w:val="20"/>
                <w:color w:val="auto"/>
              </w:rPr>
            </w:pPr>
            <w:r>
              <w:rPr>
                <w:rFonts w:ascii="Arial" w:cs="Arial" w:eastAsia="Arial" w:hAnsi="Arial"/>
                <w:sz w:val="18"/>
                <w:szCs w:val="18"/>
                <w:color w:val="auto"/>
              </w:rPr>
              <w:t>December 2023</w:t>
            </w:r>
          </w:p>
        </w:tc>
        <w:tc>
          <w:tcPr>
            <w:tcW w:w="13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204,432</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206,325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200,221</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w:t>
            </w:r>
          </w:p>
        </w:tc>
      </w:tr>
      <w:tr>
        <w:trPr>
          <w:trHeight w:val="224"/>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2,141,613</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4,515,811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2,094,253</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1,731,598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-8255</wp:posOffset>
            </wp:positionV>
            <wp:extent cx="34645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6456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_________________________</w:t>
      </w:r>
    </w:p>
    <w:p>
      <w:pPr>
        <w:spacing w:after="0" w:line="4" w:lineRule="exact"/>
        <w:rPr>
          <w:sz w:val="20"/>
          <w:szCs w:val="20"/>
          <w:color w:val="auto"/>
        </w:rPr>
      </w:pPr>
    </w:p>
    <w:p>
      <w:pPr>
        <w:ind w:left="580" w:right="120" w:hanging="248"/>
        <w:spacing w:after="0" w:line="250" w:lineRule="auto"/>
        <w:tabs>
          <w:tab w:leader="none" w:pos="58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$786.3 million in 2017, $612.1 million in 2018, $377.1 million in 2019, $209.4 million in 2020, $86.3 million in 2021, and $9.7 million in 2022.</w:t>
      </w:r>
    </w:p>
    <w:p>
      <w:pPr>
        <w:ind w:left="580" w:hanging="248"/>
        <w:spacing w:after="0"/>
        <w:tabs>
          <w:tab w:leader="none" w:pos="58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Consolidated Balance Sheets.</w:t>
      </w:r>
    </w:p>
    <w:p>
      <w:pPr>
        <w:spacing w:after="0" w:line="21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Debt issuance costs of $13.4 million and $11.6 million as of December 31, 2016 and December 31, 2015, respectively, have been excluded from the table above. These debt issuance costs are presented as a direct deduction to the carrying amount of the Securitization trust debt on our Consolidated Balance Sheets.</w:t>
      </w:r>
    </w:p>
    <w:p>
      <w:pPr>
        <w:spacing w:after="0" w:line="181" w:lineRule="exact"/>
        <w:rPr>
          <w:sz w:val="20"/>
          <w:szCs w:val="20"/>
          <w:color w:val="auto"/>
        </w:rPr>
      </w:pPr>
    </w:p>
    <w:p>
      <w:pPr>
        <w:ind w:right="480" w:firstLine="130"/>
        <w:spacing w:after="0" w:line="308" w:lineRule="auto"/>
        <w:rPr>
          <w:sz w:val="20"/>
          <w:szCs w:val="20"/>
          <w:color w:val="auto"/>
        </w:rPr>
      </w:pPr>
      <w:r>
        <w:rPr>
          <w:rFonts w:ascii="Arial" w:cs="Arial" w:eastAsia="Arial" w:hAnsi="Arial"/>
          <w:sz w:val="17"/>
          <w:szCs w:val="17"/>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47" w:lineRule="exact"/>
        <w:rPr>
          <w:sz w:val="20"/>
          <w:szCs w:val="20"/>
          <w:color w:val="auto"/>
        </w:rPr>
      </w:pPr>
    </w:p>
    <w:p>
      <w:pPr>
        <w:ind w:right="120" w:firstLine="130"/>
        <w:spacing w:after="0" w:line="264" w:lineRule="auto"/>
        <w:rPr>
          <w:sz w:val="20"/>
          <w:szCs w:val="20"/>
          <w:color w:val="auto"/>
        </w:rPr>
      </w:pPr>
      <w:r>
        <w:rPr>
          <w:rFonts w:ascii="Arial" w:cs="Arial" w:eastAsia="Arial" w:hAnsi="Arial"/>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firstLine="130"/>
        <w:spacing w:after="0" w:line="255" w:lineRule="auto"/>
        <w:rPr>
          <w:sz w:val="20"/>
          <w:szCs w:val="20"/>
          <w:color w:val="auto"/>
        </w:rPr>
      </w:pPr>
      <w:r>
        <w:rPr>
          <w:rFonts w:ascii="Arial" w:cs="Arial" w:eastAsia="Arial" w:hAnsi="Arial"/>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2016, restricted cash under the various agreements totaled approximately $112.8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89" w:lineRule="exact"/>
        <w:rPr>
          <w:sz w:val="20"/>
          <w:szCs w:val="20"/>
          <w:color w:val="auto"/>
        </w:rPr>
      </w:pPr>
    </w:p>
    <w:p>
      <w:pPr>
        <w:ind w:right="160" w:firstLine="130"/>
        <w:spacing w:after="0" w:line="297" w:lineRule="auto"/>
        <w:rPr>
          <w:sz w:val="20"/>
          <w:szCs w:val="20"/>
          <w:color w:val="auto"/>
        </w:rPr>
      </w:pPr>
      <w:r>
        <w:rPr>
          <w:rFonts w:ascii="Arial" w:cs="Arial" w:eastAsia="Arial" w:hAnsi="Arial"/>
          <w:sz w:val="16"/>
          <w:szCs w:val="16"/>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Debt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terms of our debt outstanding at December 31, 2016 and 2015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40" w:type="dxa"/>
            <w:vAlign w:val="bottom"/>
            <w:gridSpan w:val="6"/>
          </w:tcPr>
          <w:p>
            <w:pPr>
              <w:ind w:left="66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gridSpan w:val="2"/>
            <w:vMerge w:val="restart"/>
          </w:tcPr>
          <w:p>
            <w:pPr>
              <w:ind w:left="720"/>
              <w:spacing w:after="0"/>
              <w:rPr>
                <w:sz w:val="20"/>
                <w:szCs w:val="20"/>
                <w:color w:val="auto"/>
              </w:rPr>
            </w:pPr>
            <w:r>
              <w:rPr>
                <w:rFonts w:ascii="Arial" w:cs="Arial" w:eastAsia="Arial" w:hAnsi="Arial"/>
                <w:sz w:val="18"/>
                <w:szCs w:val="18"/>
                <w:color w:val="auto"/>
              </w:rPr>
              <w:t>Description</w:t>
            </w:r>
          </w:p>
        </w:tc>
        <w:tc>
          <w:tcPr>
            <w:tcW w:w="26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Interest Rate</w:t>
            </w:r>
          </w:p>
        </w:tc>
        <w:tc>
          <w:tcPr>
            <w:tcW w:w="26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6"/>
              </w:rPr>
              <w:t>Maturity</w:t>
            </w:r>
          </w:p>
        </w:tc>
        <w:tc>
          <w:tcPr>
            <w:tcW w:w="180" w:type="dxa"/>
            <w:vAlign w:val="bottom"/>
          </w:tcPr>
          <w:p>
            <w:pPr>
              <w:spacing w:after="0"/>
              <w:rPr>
                <w:sz w:val="19"/>
                <w:szCs w:val="19"/>
                <w:color w:val="auto"/>
              </w:rPr>
            </w:pPr>
          </w:p>
        </w:tc>
        <w:tc>
          <w:tcPr>
            <w:tcW w:w="3340" w:type="dxa"/>
            <w:vAlign w:val="bottom"/>
            <w:gridSpan w:val="5"/>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620" w:type="dxa"/>
            <w:vAlign w:val="bottom"/>
            <w:gridSpan w:val="2"/>
            <w:vMerge w:val="continue"/>
          </w:tcPr>
          <w:p>
            <w:pPr>
              <w:spacing w:after="0"/>
              <w:rPr>
                <w:sz w:val="18"/>
                <w:szCs w:val="18"/>
                <w:color w:val="auto"/>
              </w:rPr>
            </w:pPr>
          </w:p>
        </w:tc>
        <w:tc>
          <w:tcPr>
            <w:tcW w:w="2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2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5.50% over one month Libor</w:t>
            </w:r>
          </w:p>
        </w:tc>
        <w:tc>
          <w:tcPr>
            <w:tcW w:w="24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6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(Minimum 6.50%)</w:t>
            </w:r>
          </w:p>
        </w:tc>
        <w:tc>
          <w:tcPr>
            <w:tcW w:w="26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April 2019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64,352</w:t>
            </w:r>
          </w:p>
        </w:tc>
        <w:tc>
          <w:tcPr>
            <w:tcW w:w="34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2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5.50% over one month Libor</w:t>
            </w:r>
          </w:p>
        </w:tc>
        <w:tc>
          <w:tcPr>
            <w:tcW w:w="24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6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(Minimum 6.25%)</w:t>
            </w:r>
          </w:p>
        </w:tc>
        <w:tc>
          <w:tcPr>
            <w:tcW w:w="26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2"/>
              </w:rPr>
              <w:t>August 2019</w:t>
            </w:r>
          </w:p>
        </w:tc>
        <w:tc>
          <w:tcPr>
            <w:tcW w:w="180" w:type="dxa"/>
            <w:vAlign w:val="bottom"/>
            <w:shd w:val="clear" w:color="auto" w:fill="EEEEEE"/>
          </w:tcPr>
          <w:p>
            <w:pPr>
              <w:spacing w:after="0"/>
              <w:rPr>
                <w:sz w:val="20"/>
                <w:szCs w:val="20"/>
                <w:color w:val="auto"/>
              </w:rPr>
            </w:pP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26,445</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2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6.75% over a commercial paper</w:t>
            </w:r>
          </w:p>
        </w:tc>
        <w:tc>
          <w:tcPr>
            <w:tcW w:w="24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62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3"/>
              </w:rPr>
              <w:t>rate (Minimum 7.75%)</w:t>
            </w:r>
          </w:p>
        </w:tc>
        <w:tc>
          <w:tcPr>
            <w:tcW w:w="26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2"/>
              </w:rPr>
              <w:t>November 2019</w:t>
            </w:r>
          </w:p>
        </w:tc>
        <w:tc>
          <w:tcPr>
            <w:tcW w:w="180" w:type="dxa"/>
            <w:vAlign w:val="bottom"/>
            <w:shd w:val="clear" w:color="auto" w:fill="EEEEEE"/>
          </w:tcPr>
          <w:p>
            <w:pPr>
              <w:spacing w:after="0"/>
              <w:rPr>
                <w:sz w:val="20"/>
                <w:szCs w:val="20"/>
                <w:color w:val="auto"/>
              </w:rPr>
            </w:pP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14,168</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6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2"/>
              </w:rPr>
              <w:t>11.75% over one-month LIBOR</w:t>
            </w:r>
          </w:p>
        </w:tc>
        <w:tc>
          <w:tcPr>
            <w:tcW w:w="26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April 2018</w:t>
            </w: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4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Weighted average maturity of</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Weighted average rate of 7.50%</w:t>
            </w:r>
          </w:p>
        </w:tc>
        <w:tc>
          <w:tcPr>
            <w:tcW w:w="26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January 2019 and October 2017</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and 9.04% at December 31, 2016</w:t>
            </w:r>
          </w:p>
        </w:tc>
        <w:tc>
          <w:tcPr>
            <w:tcW w:w="26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at December 31, 2016 and 2015,</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62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and 2015, respectively</w:t>
            </w:r>
          </w:p>
        </w:tc>
        <w:tc>
          <w:tcPr>
            <w:tcW w:w="26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respectively</w:t>
            </w:r>
          </w:p>
        </w:tc>
        <w:tc>
          <w:tcPr>
            <w:tcW w:w="180" w:type="dxa"/>
            <w:vAlign w:val="bottom"/>
            <w:shd w:val="clear" w:color="auto" w:fill="EEEEEE"/>
          </w:tcPr>
          <w:p>
            <w:pPr>
              <w:spacing w:after="0"/>
              <w:rPr>
                <w:sz w:val="20"/>
                <w:szCs w:val="20"/>
                <w:color w:val="auto"/>
              </w:rPr>
            </w:pP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14,949</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40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42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4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4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119,914</w:t>
            </w:r>
          </w:p>
        </w:tc>
        <w:tc>
          <w:tcPr>
            <w:tcW w:w="1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220,641</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Debt issuance costs of $1.6 million and $2.4 million as of December 31, 2016 and December 31, 2015, respectively, have been excluded from the table above. These debt issuance costs are presented as a direct deduction to the carrying amount of the Warehouse lines of credit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firstLine="130"/>
        <w:spacing w:after="0" w:line="255" w:lineRule="auto"/>
        <w:rPr>
          <w:sz w:val="20"/>
          <w:szCs w:val="20"/>
          <w:color w:val="auto"/>
        </w:rPr>
      </w:pPr>
      <w:r>
        <w:rPr>
          <w:rFonts w:ascii="Arial" w:cs="Arial" w:eastAsia="Arial" w:hAnsi="Arial"/>
          <w:sz w:val="18"/>
          <w:szCs w:val="18"/>
          <w:color w:val="auto"/>
        </w:rPr>
        <w:t>In April 2015 we entered into a $100 million warehouse credit line with affiliates of Fortress Investment Group. The facility is structured to allow us to fund a portion of the purchase price of automobile contracts by borrowing from a credit facility to our consolidated subsidiary Page Six Funding LLC. The facility, which replaces a revolving credit facility that we had used since December 2010, provides for advances up to 88% of eligible finance receivables and the loans under it accrue interest at a rate of one-month LIBOR plus 5.50% per annum, with a minimum rate of 6.50% per annum. There was $64.4 million outstanding under this facility at December 31, 2016 which has a revolving period through April 2017 and an amortization period through April 2019 for any receivables pledged to the facility at the end of the revolving period.</w:t>
      </w:r>
    </w:p>
    <w:p>
      <w:pPr>
        <w:spacing w:after="0" w:line="193" w:lineRule="exact"/>
        <w:rPr>
          <w:sz w:val="20"/>
          <w:szCs w:val="20"/>
          <w:color w:val="auto"/>
        </w:rPr>
      </w:pPr>
    </w:p>
    <w:p>
      <w:pPr>
        <w:ind w:firstLine="130"/>
        <w:spacing w:after="0" w:line="276" w:lineRule="auto"/>
        <w:rPr>
          <w:sz w:val="20"/>
          <w:szCs w:val="20"/>
          <w:color w:val="auto"/>
        </w:rPr>
      </w:pPr>
      <w:r>
        <w:rPr>
          <w:rFonts w:ascii="Arial" w:cs="Arial" w:eastAsia="Arial" w:hAnsi="Arial"/>
          <w:sz w:val="17"/>
          <w:szCs w:val="17"/>
          <w:color w:val="auto"/>
        </w:rPr>
        <w:t>In August 2016, we renewed our $100 million warehouse credit line with Citibank, N.A. The facility is structured to allow us to fund a portion of the purchase price of automobile contracts by borrowing from a credit facility to our consolidated subsidiary Page Eight Funding, LLC. The facility provides for effective advances up to 88.0% of eligible finance receivables. The loans under the facility accrue interest at one-month LIBOR plus 5.50% per annum, with a minimum rate of 6.25% per annum. There was $26.4 million outstanding under this facility at December 31, 2016. This facility has a revolving period through August 2018 and an amortization period through August 2019 for any receivables pledged at the end of the revolving period.</w:t>
      </w:r>
    </w:p>
    <w:p>
      <w:pPr>
        <w:spacing w:after="0" w:line="173" w:lineRule="exact"/>
        <w:rPr>
          <w:sz w:val="20"/>
          <w:szCs w:val="20"/>
          <w:color w:val="auto"/>
        </w:rPr>
      </w:pPr>
    </w:p>
    <w:p>
      <w:pPr>
        <w:ind w:right="160" w:firstLine="130"/>
        <w:spacing w:after="0" w:line="255" w:lineRule="auto"/>
        <w:rPr>
          <w:sz w:val="20"/>
          <w:szCs w:val="20"/>
          <w:color w:val="auto"/>
        </w:rPr>
      </w:pPr>
      <w:r>
        <w:rPr>
          <w:rFonts w:ascii="Arial" w:cs="Arial" w:eastAsia="Arial" w:hAnsi="Arial"/>
          <w:sz w:val="18"/>
          <w:szCs w:val="18"/>
          <w:color w:val="auto"/>
        </w:rPr>
        <w:t>In November 2015, we entered into another $100 million warehouse credit line with Credit Suisse AG and Ares Agent Services, L.P. This facility is structured to allow us to fund a portion of the purchase price of automobile contracts by borrowing from a credit facility to our consolidated subsidiary Page Nine Funding LLC. The facility provides for advances up to 88% of eligible finance receivables and the loans under it accrue interest at a commercial paper rate plus 6.75% per annum, with a minimum rate of 7.75% per annum. There was $14.2 million outstanding under this new facility at December 31, 2016 which has a revolving period through November 2017 and an amortization period through November 2019 for any receivables pledged to the facility at the end of the revolving period.</w:t>
      </w:r>
    </w:p>
    <w:p>
      <w:pPr>
        <w:spacing w:after="0" w:line="193" w:lineRule="exact"/>
        <w:rPr>
          <w:sz w:val="20"/>
          <w:szCs w:val="20"/>
          <w:color w:val="auto"/>
        </w:rPr>
      </w:pPr>
    </w:p>
    <w:p>
      <w:pPr>
        <w:ind w:right="180" w:firstLine="130"/>
        <w:spacing w:after="0" w:line="277" w:lineRule="auto"/>
        <w:rPr>
          <w:sz w:val="20"/>
          <w:szCs w:val="20"/>
          <w:color w:val="auto"/>
        </w:rPr>
      </w:pPr>
      <w:r>
        <w:rPr>
          <w:rFonts w:ascii="Arial" w:cs="Arial" w:eastAsia="Arial" w:hAnsi="Arial"/>
          <w:sz w:val="18"/>
          <w:szCs w:val="18"/>
          <w:color w:val="auto"/>
        </w:rPr>
        <w:t>The total outstanding debt on our three warehouse lines of credit was $105.0 million as of December 31, 2016, compared to $196.5 million outstanding as of December 31, 2015.</w:t>
      </w:r>
    </w:p>
    <w:p>
      <w:pPr>
        <w:spacing w:after="0" w:line="170" w:lineRule="exact"/>
        <w:rPr>
          <w:sz w:val="20"/>
          <w:szCs w:val="20"/>
          <w:color w:val="auto"/>
        </w:rPr>
      </w:pPr>
    </w:p>
    <w:p>
      <w:pPr>
        <w:ind w:right="220" w:firstLine="130"/>
        <w:spacing w:after="0" w:line="277" w:lineRule="auto"/>
        <w:rPr>
          <w:sz w:val="20"/>
          <w:szCs w:val="20"/>
          <w:color w:val="auto"/>
        </w:rPr>
      </w:pPr>
      <w:r>
        <w:rPr>
          <w:rFonts w:ascii="Arial" w:cs="Arial" w:eastAsia="Arial" w:hAnsi="Arial"/>
          <w:sz w:val="18"/>
          <w:szCs w:val="18"/>
          <w:color w:val="auto"/>
        </w:rPr>
        <w:t>The costs incurred in conjunction with the above debt are recorded as deferred financing costs on the accompanying Consolidated Balance Sheets and are more fully described in Note 1.</w:t>
      </w:r>
    </w:p>
    <w:p>
      <w:pPr>
        <w:spacing w:after="0" w:line="170" w:lineRule="exact"/>
        <w:rPr>
          <w:sz w:val="20"/>
          <w:szCs w:val="20"/>
          <w:color w:val="auto"/>
        </w:rPr>
      </w:pPr>
    </w:p>
    <w:p>
      <w:pPr>
        <w:ind w:right="220" w:firstLine="130"/>
        <w:spacing w:after="0" w:line="264" w:lineRule="auto"/>
        <w:rPr>
          <w:sz w:val="20"/>
          <w:szCs w:val="20"/>
          <w:color w:val="auto"/>
        </w:rPr>
      </w:pPr>
      <w:r>
        <w:rPr>
          <w:rFonts w:ascii="Arial" w:cs="Arial" w:eastAsia="Arial" w:hAnsi="Arial"/>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summarizes the contractual and expected maturity amounts of long term debt as of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3"/>
          </w:tcPr>
          <w:p>
            <w:pPr>
              <w:spacing w:after="0"/>
              <w:rPr>
                <w:sz w:val="20"/>
                <w:szCs w:val="20"/>
                <w:color w:val="auto"/>
              </w:rPr>
            </w:pPr>
            <w:r>
              <w:rPr>
                <w:rFonts w:ascii="Arial" w:cs="Arial" w:eastAsia="Arial" w:hAnsi="Arial"/>
                <w:sz w:val="18"/>
                <w:szCs w:val="18"/>
                <w:b w:val="1"/>
                <w:bCs w:val="1"/>
                <w:color w:val="auto"/>
                <w:w w:val="95"/>
              </w:rPr>
              <w:t>Subordinated renewable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Contractual maturity date</w:t>
            </w:r>
          </w:p>
        </w:tc>
        <w:tc>
          <w:tcPr>
            <w:tcW w:w="420" w:type="dxa"/>
            <w:vAlign w:val="bottom"/>
          </w:tcPr>
          <w:p>
            <w:pPr>
              <w:spacing w:after="0"/>
              <w:rPr>
                <w:sz w:val="20"/>
                <w:szCs w:val="20"/>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b w:val="1"/>
                <w:bCs w:val="1"/>
                <w:color w:val="auto"/>
              </w:rPr>
              <w:t>notes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14,949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80" w:firstLine="130"/>
        <w:spacing w:after="0" w:line="257" w:lineRule="auto"/>
        <w:rPr>
          <w:sz w:val="20"/>
          <w:szCs w:val="20"/>
          <w:color w:val="auto"/>
        </w:rPr>
      </w:pPr>
      <w:r>
        <w:rPr>
          <w:rFonts w:ascii="Arial" w:cs="Arial" w:eastAsia="Arial" w:hAnsi="Arial"/>
          <w:sz w:val="18"/>
          <w:szCs w:val="18"/>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Purchases</w:t>
      </w:r>
    </w:p>
    <w:p>
      <w:pPr>
        <w:spacing w:after="0" w:line="225" w:lineRule="exact"/>
        <w:rPr>
          <w:sz w:val="20"/>
          <w:szCs w:val="20"/>
          <w:color w:val="auto"/>
        </w:rPr>
      </w:pPr>
    </w:p>
    <w:p>
      <w:pPr>
        <w:ind w:right="100" w:firstLine="130"/>
        <w:spacing w:after="0" w:line="259" w:lineRule="auto"/>
        <w:rPr>
          <w:sz w:val="20"/>
          <w:szCs w:val="20"/>
          <w:color w:val="auto"/>
        </w:rPr>
      </w:pPr>
      <w:r>
        <w:rPr>
          <w:rFonts w:ascii="Arial" w:cs="Arial" w:eastAsia="Arial" w:hAnsi="Arial"/>
          <w:sz w:val="18"/>
          <w:szCs w:val="18"/>
          <w:color w:val="auto"/>
        </w:rPr>
        <w:t>For the year ending December 31, 2016, we purchased 2,477,453 shares of our common stock at an average price of $4.23. We purchased 2,453,706 shares of our stock in the open market for $10.4 million. In May 2016 our board of directors authorized the repurchase of up to $10 million of our common stock. There was $5.1 million of board authorization remaining in our repurchase plans from prior authorizations at December 31, 2015. There is approximately $4.7 million of board authorization remaining under such plans, which have no expiration date.</w:t>
      </w:r>
    </w:p>
    <w:p>
      <w:pPr>
        <w:spacing w:after="0" w:line="187" w:lineRule="exact"/>
        <w:rPr>
          <w:sz w:val="20"/>
          <w:szCs w:val="20"/>
          <w:color w:val="auto"/>
        </w:rPr>
      </w:pPr>
    </w:p>
    <w:p>
      <w:pPr>
        <w:ind w:right="540" w:firstLine="130"/>
        <w:spacing w:after="0" w:line="264" w:lineRule="auto"/>
        <w:rPr>
          <w:sz w:val="20"/>
          <w:szCs w:val="20"/>
          <w:color w:val="auto"/>
        </w:rPr>
      </w:pPr>
      <w:r>
        <w:rPr>
          <w:rFonts w:ascii="Arial" w:cs="Arial" w:eastAsia="Arial" w:hAnsi="Arial"/>
          <w:sz w:val="18"/>
          <w:szCs w:val="18"/>
          <w:color w:val="auto"/>
        </w:rPr>
        <w:t>The remaining purchases of 23,747 shares were related to net exercises of outstanding options and warrants. In transactions during the year ended December 31, 2016, the holders of options and warrants to purchase 70,000 shares of our common stock paid the aggregate $105,000 exercise price by surrender to us of 23,747 of such 70,000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25" w:lineRule="exact"/>
        <w:rPr>
          <w:sz w:val="20"/>
          <w:szCs w:val="20"/>
          <w:color w:val="auto"/>
        </w:rPr>
      </w:pPr>
    </w:p>
    <w:p>
      <w:pPr>
        <w:ind w:firstLine="130"/>
        <w:spacing w:after="0" w:line="254" w:lineRule="auto"/>
        <w:rPr>
          <w:sz w:val="20"/>
          <w:szCs w:val="20"/>
          <w:color w:val="auto"/>
        </w:rPr>
      </w:pPr>
      <w:r>
        <w:rPr>
          <w:rFonts w:ascii="Arial" w:cs="Arial" w:eastAsia="Arial" w:hAnsi="Arial"/>
          <w:sz w:val="18"/>
          <w:szCs w:val="18"/>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April 2013 and again in May 2015, the shareholders of the Company approved an amendment to the 2006 Plan to increase the maximum number of shares that may be subject to awards under the 2006 Plan to 5,000,000, 7,200,000, 12,200,000 and 17,200,000, respectively, in each case plus shares authorized under prior plans and not issued. Options that have been granted under the 2006 Plan and a previous plan approved in 1997 have been granted at an exercise price equal to (or greater than) the stock’s fair value at the date of the grant, with terms generally of 7-10 years and vesting generally over 4-5 years.</w:t>
      </w:r>
    </w:p>
    <w:p>
      <w:pPr>
        <w:spacing w:after="0" w:line="192" w:lineRule="exact"/>
        <w:rPr>
          <w:sz w:val="20"/>
          <w:szCs w:val="20"/>
          <w:color w:val="auto"/>
        </w:rPr>
      </w:pPr>
    </w:p>
    <w:p>
      <w:pPr>
        <w:ind w:right="80" w:firstLine="130"/>
        <w:spacing w:after="0" w:line="273" w:lineRule="auto"/>
        <w:rPr>
          <w:sz w:val="20"/>
          <w:szCs w:val="20"/>
          <w:color w:val="auto"/>
        </w:rPr>
      </w:pPr>
      <w:r>
        <w:rPr>
          <w:rFonts w:ascii="Arial" w:cs="Arial" w:eastAsia="Arial" w:hAnsi="Arial"/>
          <w:sz w:val="17"/>
          <w:szCs w:val="17"/>
          <w:color w:val="auto"/>
        </w:rPr>
        <w:t>The per share weighted-average fair value of stock options granted during the years ended December 31, 2016, 2015 and 2014 was $1.38, $2.41 and $2.73, respectively. That fair value was estimated using a binomial option pricing model using the weighted average assumptions noted in the following table. We use historical data to estimate the expected term of each option. The volatility estimate is based on the historical and implied volatility of our stock over the period that equals the expected life of the option. Volatility assumptions ranged from 44% to 51% for 2016, 47% to 51% for 2015, and 52% to 55% for 2014.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188"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9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58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106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4.04</w:t>
            </w:r>
          </w:p>
        </w:tc>
        <w:tc>
          <w:tcPr>
            <w:tcW w:w="36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4.21</w:t>
            </w:r>
          </w:p>
        </w:tc>
        <w:tc>
          <w:tcPr>
            <w:tcW w:w="3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rPr>
              <w:t>4.22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10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6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Volatility</w:t>
            </w: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51%</w:t>
            </w:r>
          </w:p>
        </w:tc>
        <w:tc>
          <w:tcPr>
            <w:tcW w:w="10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51%</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w:t>
            </w: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960" w:type="dxa"/>
            <w:vAlign w:val="bottom"/>
            <w:gridSpan w:val="3"/>
          </w:tcPr>
          <w:p>
            <w:pPr>
              <w:jc w:val="right"/>
              <w:ind w:right="1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40" w:firstLine="130"/>
        <w:spacing w:after="0" w:line="264" w:lineRule="auto"/>
        <w:rPr>
          <w:sz w:val="20"/>
          <w:szCs w:val="20"/>
          <w:color w:val="auto"/>
        </w:rPr>
      </w:pPr>
      <w:r>
        <w:rPr>
          <w:rFonts w:ascii="Arial" w:cs="Arial" w:eastAsia="Arial" w:hAnsi="Arial"/>
          <w:sz w:val="18"/>
          <w:szCs w:val="18"/>
          <w:color w:val="auto"/>
        </w:rPr>
        <w:t>For the years ended December 31, 2016, 2015 and 2014, we recorded stock-based compensation costs in the amount of $5.6 million, $5.0 million and $3.8 million, respectively. As of December 31, 2016, the unrecognized stock-based compensation costs to be recognized over future periods was equal to $10.1 million. This amount will be recognized as expense over a weighted-average period of 2.1 years.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At December 31, 2016 and 2015, options outstanding had intrinsic values of $17.8 million and $16.6 million, respectively. At December 31, 2016 and 2015,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options exercisable had intrinsic values of $14.2 million and $14.5 million, respectively. The total intrinsic value of options exercised was $1.3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 million for the years ended December 31, 2016 and 2015, respectively. New shares were issued for all options exercised during the year ended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and cash of $633,000 was received. A tax benefit of $73,000 was recorded for the options exercised in 2016. At December 31, 2016, there were a total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3.7 million additional shares available for grant under the 2006 Plan.</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 option activity for the year ended December 31, 2016 for stock options under the 2006 and 1997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Exercise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11,228</w:t>
            </w:r>
          </w:p>
        </w:tc>
        <w:tc>
          <w:tcPr>
            <w:tcW w:w="3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4.66</w:t>
            </w:r>
          </w:p>
        </w:tc>
        <w:tc>
          <w:tcPr>
            <w:tcW w:w="32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2,105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3.53</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1.41</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auto"/>
              </w:rPr>
              <w:t>Forfeited/Expired</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5.93</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12,595</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700" w:type="dxa"/>
            <w:vAlign w:val="bottom"/>
            <w:tcBorders>
              <w:top w:val="single" w:sz="8" w:color="EEEEEE"/>
              <w:bottom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5.02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7,396</w:t>
            </w:r>
          </w:p>
        </w:tc>
        <w:tc>
          <w:tcPr>
            <w:tcW w:w="36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4.03</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4.51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130"/>
        <w:spacing w:after="0" w:line="277" w:lineRule="auto"/>
        <w:rPr>
          <w:sz w:val="20"/>
          <w:szCs w:val="20"/>
          <w:color w:val="auto"/>
        </w:rPr>
      </w:pPr>
      <w:r>
        <w:rPr>
          <w:rFonts w:ascii="Arial" w:cs="Arial" w:eastAsia="Arial" w:hAnsi="Arial"/>
          <w:sz w:val="18"/>
          <w:szCs w:val="18"/>
          <w:color w:val="auto"/>
        </w:rPr>
        <w:t>We did not issue any stock options with an exercise price above or below the market price of the stock on the grant date for the years ended December 31, 2016, 2015 and 2014.</w:t>
      </w:r>
    </w:p>
    <w:p>
      <w:pPr>
        <w:spacing w:after="0" w:line="170" w:lineRule="exact"/>
        <w:rPr>
          <w:sz w:val="20"/>
          <w:szCs w:val="20"/>
          <w:color w:val="auto"/>
        </w:rPr>
      </w:pPr>
    </w:p>
    <w:p>
      <w:pPr>
        <w:ind w:right="180" w:firstLine="130"/>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December 31, 2016.</w:t>
      </w:r>
    </w:p>
    <w:p>
      <w:pPr>
        <w:sectPr>
          <w:pgSz w:w="11900" w:h="16838" w:orient="portrait"/>
          <w:cols w:equalWidth="0" w:num="1">
            <w:col w:w="11420"/>
          </w:cols>
          <w:pgMar w:left="240" w:top="472"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Interest Income and Interest Expense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presents the components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presents the components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debt,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secured by receivables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Subordinated renewable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19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right"/>
              <w:ind w:right="600"/>
              <w:spacing w:after="0" w:line="195" w:lineRule="exact"/>
              <w:rPr>
                <w:sz w:val="20"/>
                <w:szCs w:val="20"/>
                <w:color w:val="auto"/>
              </w:rPr>
            </w:pPr>
            <w:r>
              <w:rPr>
                <w:rFonts w:ascii="Arial" w:cs="Arial" w:eastAsia="Arial" w:hAnsi="Arial"/>
                <w:sz w:val="18"/>
                <w:szCs w:val="18"/>
                <w:b w:val="1"/>
                <w:bCs w:val="1"/>
                <w:color w:val="auto"/>
                <w:w w:val="93"/>
              </w:rPr>
              <w:t>(In thousands)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408,723</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349,796</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286,361</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20"/>
                <w:szCs w:val="20"/>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408,996</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349,912</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286,734</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-462280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-179705</wp:posOffset>
            </wp:positionV>
            <wp:extent cx="724662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19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right"/>
              <w:ind w:right="600"/>
              <w:spacing w:after="0" w:line="195" w:lineRule="exact"/>
              <w:rPr>
                <w:sz w:val="20"/>
                <w:szCs w:val="20"/>
                <w:color w:val="auto"/>
              </w:rPr>
            </w:pPr>
            <w:r>
              <w:rPr>
                <w:rFonts w:ascii="Arial" w:cs="Arial" w:eastAsia="Arial" w:hAnsi="Arial"/>
                <w:sz w:val="18"/>
                <w:szCs w:val="18"/>
                <w:b w:val="1"/>
                <w:bCs w:val="1"/>
                <w:color w:val="auto"/>
                <w:w w:val="93"/>
              </w:rPr>
              <w:t>(In thousands)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69,178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48,631</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38,558</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8,569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6,127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5,217</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1,651</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1,405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1,989</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1,348</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1,582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2,208</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79,941</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57,745</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50,395</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-1011555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-736600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-462280</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-179705</wp:posOffset>
            </wp:positionV>
            <wp:extent cx="72466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580"/>
          </w:cols>
          <w:pgMar w:left="240" w:top="472"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7"/>
          <w:szCs w:val="17"/>
          <w:b w:val="1"/>
          <w:bCs w:val="1"/>
          <w:color w:val="auto"/>
        </w:rPr>
        <w:t>CONSUMER PORTFOLIO SERVICES,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ectPr>
          <w:pgSz w:w="11900" w:h="16838" w:orient="portrait"/>
          <w:cols w:equalWidth="0" w:num="1">
            <w:col w:w="11420"/>
          </w:cols>
          <w:pgMar w:left="240" w:top="472" w:right="239" w:bottom="1440" w:gutter="0" w:footer="0" w:header="0"/>
        </w:sect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Current federal tax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state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federal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state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19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right"/>
              <w:ind w:right="600"/>
              <w:spacing w:after="0" w:line="195" w:lineRule="exact"/>
              <w:rPr>
                <w:sz w:val="20"/>
                <w:szCs w:val="20"/>
                <w:color w:val="auto"/>
              </w:rPr>
            </w:pPr>
            <w:r>
              <w:rPr>
                <w:rFonts w:ascii="Arial" w:cs="Arial" w:eastAsia="Arial" w:hAnsi="Arial"/>
                <w:sz w:val="18"/>
                <w:szCs w:val="18"/>
                <w:b w:val="1"/>
                <w:bCs w:val="1"/>
                <w:color w:val="auto"/>
                <w:w w:val="93"/>
              </w:rPr>
              <w:t>(In thousands)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22,872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18,653</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1,348</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1,316</w:t>
            </w: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(6,329)</w:t>
            </w:r>
          </w:p>
        </w:tc>
        <w:tc>
          <w:tcPr>
            <w:tcW w:w="1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4,233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18,338</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1,147</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2,669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1,724</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20,361</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22,726</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-736600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-462280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-179705</wp:posOffset>
            </wp:positionV>
            <wp:extent cx="724662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580"/>
          </w:cols>
          <w:pgMar w:left="240" w:top="472" w:right="239" w:bottom="1440" w:gutter="0" w:footer="0" w:header="0"/>
          <w:type w:val="continuous"/>
        </w:sectPr>
      </w:pPr>
    </w:p>
    <w:p>
      <w:pPr>
        <w:spacing w:after="0" w:line="2" w:lineRule="exact"/>
        <w:rPr>
          <w:sz w:val="20"/>
          <w:szCs w:val="20"/>
          <w:color w:val="auto"/>
        </w:rPr>
      </w:pPr>
    </w:p>
    <w:p>
      <w:pPr>
        <w:ind w:right="300" w:firstLine="130"/>
        <w:spacing w:after="0" w:line="277" w:lineRule="auto"/>
        <w:rPr>
          <w:sz w:val="20"/>
          <w:szCs w:val="20"/>
          <w:color w:val="auto"/>
        </w:rPr>
      </w:pPr>
      <w:r>
        <w:rPr>
          <w:rFonts w:ascii="Arial" w:cs="Arial" w:eastAsia="Arial" w:hAnsi="Arial"/>
          <w:sz w:val="18"/>
          <w:szCs w:val="18"/>
          <w:color w:val="auto"/>
        </w:rPr>
        <w:t>Income tax expense for the years ended December 31, 2016, 2015 and 2014 differs from the amount determined by applying the statutory federal rate of 35% to income before income taxes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1"/>
              </w:rPr>
              <w:t>Year Ended 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3"/>
              </w:rPr>
              <w:t>(In thousands)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Expense at federal tax rate</w:t>
            </w:r>
          </w:p>
        </w:tc>
        <w:tc>
          <w:tcPr>
            <w:tcW w:w="242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4"/>
              </w:rPr>
              <w:t>17,381</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21,484</w:t>
            </w:r>
          </w:p>
        </w:tc>
        <w:tc>
          <w:tcPr>
            <w:tcW w:w="340" w:type="dxa"/>
            <w:vAlign w:val="bottom"/>
            <w:gridSpan w:val="2"/>
            <w:shd w:val="clear" w:color="auto" w:fill="EEEEEE"/>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18,285</w:t>
            </w:r>
          </w:p>
        </w:tc>
        <w:tc>
          <w:tcPr>
            <w:tcW w:w="80" w:type="dxa"/>
            <w:vAlign w:val="bottom"/>
            <w:shd w:val="clear" w:color="auto" w:fill="EEEEEE"/>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State taxes, net of federal income tax effect</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3,235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2,651</w:t>
            </w:r>
          </w:p>
        </w:tc>
        <w:tc>
          <w:tcPr>
            <w:tcW w:w="80" w:type="dxa"/>
            <w:vAlign w:val="bottom"/>
          </w:tcPr>
          <w:p>
            <w:pPr>
              <w:spacing w:after="0"/>
              <w:rPr>
                <w:sz w:val="18"/>
                <w:szCs w:val="18"/>
                <w:color w:val="auto"/>
              </w:rPr>
            </w:pPr>
          </w:p>
        </w:tc>
      </w:tr>
      <w:tr>
        <w:trPr>
          <w:trHeight w:val="216"/>
        </w:trPr>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824</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1,560</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EEEEEE"/>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r>
      <w:tr>
        <w:trPr>
          <w:trHeight w:val="230"/>
        </w:trPr>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EEEEEE"/>
          </w:tcPr>
          <w:p>
            <w:pPr>
              <w:spacing w:after="0"/>
              <w:rPr>
                <w:sz w:val="19"/>
                <w:szCs w:val="19"/>
                <w:color w:val="auto"/>
              </w:rPr>
            </w:pPr>
          </w:p>
        </w:tc>
      </w:tr>
      <w:tr>
        <w:trPr>
          <w:trHeight w:val="223"/>
        </w:trPr>
        <w:tc>
          <w:tcPr>
            <w:tcW w:w="4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20,361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tax effected cumulative temporary differences that give rise to deferred tax assets and liabilities as of December 31, 2016 and 2015 are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1040" w:type="dxa"/>
            <w:vAlign w:val="bottom"/>
          </w:tcPr>
          <w:p>
            <w:pPr>
              <w:spacing w:after="0"/>
              <w:rPr>
                <w:sz w:val="19"/>
                <w:szCs w:val="19"/>
                <w:color w:val="auto"/>
              </w:rPr>
            </w:pPr>
          </w:p>
        </w:tc>
        <w:tc>
          <w:tcPr>
            <w:tcW w:w="14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8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040" w:type="dxa"/>
            <w:vAlign w:val="bottom"/>
            <w:shd w:val="clear" w:color="auto" w:fill="EEEEEE"/>
          </w:tcPr>
          <w:p>
            <w:pPr>
              <w:jc w:val="right"/>
              <w:ind w:right="88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8"/>
              </w:rPr>
              <w:t>28,986</w:t>
            </w:r>
          </w:p>
        </w:tc>
        <w:tc>
          <w:tcPr>
            <w:tcW w:w="480" w:type="dxa"/>
            <w:vAlign w:val="bottom"/>
            <w:gridSpan w:val="2"/>
            <w:shd w:val="clear" w:color="auto" w:fill="EEEEEE"/>
          </w:tcPr>
          <w:p>
            <w:pPr>
              <w:jc w:val="right"/>
              <w:ind w:right="35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20,825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liabilities</w:t>
            </w:r>
          </w:p>
        </w:tc>
        <w:tc>
          <w:tcPr>
            <w:tcW w:w="10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2,322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NOL carryforwards</w:t>
            </w:r>
          </w:p>
        </w:tc>
        <w:tc>
          <w:tcPr>
            <w:tcW w:w="10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1,697</w:t>
            </w: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3,272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Built in losses</w:t>
            </w:r>
          </w:p>
        </w:tc>
        <w:tc>
          <w:tcPr>
            <w:tcW w:w="10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8,915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Pension accrual</w:t>
            </w:r>
          </w:p>
        </w:tc>
        <w:tc>
          <w:tcPr>
            <w:tcW w:w="10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2,107</w:t>
            </w: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1,999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AMT credit carryforward</w:t>
            </w:r>
          </w:p>
        </w:tc>
        <w:tc>
          <w:tcPr>
            <w:tcW w:w="10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2,343</w:t>
            </w:r>
          </w:p>
        </w:tc>
        <w:tc>
          <w:tcPr>
            <w:tcW w:w="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120"/>
              <w:spacing w:after="0"/>
              <w:rPr>
                <w:sz w:val="20"/>
                <w:szCs w:val="20"/>
                <w:color w:val="auto"/>
              </w:rPr>
            </w:pPr>
            <w:r>
              <w:rPr>
                <w:rFonts w:ascii="Arial" w:cs="Arial" w:eastAsia="Arial" w:hAnsi="Arial"/>
                <w:sz w:val="18"/>
                <w:szCs w:val="18"/>
                <w:color w:val="auto"/>
              </w:rPr>
              <w:t>Total deferred tax assets</w:t>
            </w:r>
          </w:p>
        </w:tc>
        <w:tc>
          <w:tcPr>
            <w:tcW w:w="10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46,370</w:t>
            </w:r>
          </w:p>
        </w:tc>
        <w:tc>
          <w:tcPr>
            <w:tcW w:w="3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40,716</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loan costs</w:t>
            </w:r>
          </w:p>
        </w:tc>
        <w:tc>
          <w:tcPr>
            <w:tcW w:w="10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(3,223)</w:t>
            </w: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0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Total deferred tax liabilities</w:t>
            </w:r>
          </w:p>
        </w:tc>
        <w:tc>
          <w:tcPr>
            <w:tcW w:w="104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(3,525</w:t>
            </w:r>
          </w:p>
        </w:tc>
        <w:tc>
          <w:tcPr>
            <w:tcW w:w="360" w:type="dxa"/>
            <w:vAlign w:val="bottom"/>
            <w:tcBorders>
              <w:top w:val="single" w:sz="8" w:color="EEEEEE"/>
            </w:tcBorders>
            <w:shd w:val="clear" w:color="auto" w:fill="EEEEEE"/>
          </w:tcPr>
          <w:p>
            <w:pPr>
              <w:jc w:val="right"/>
              <w:ind w:right="2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120"/>
              <w:spacing w:after="0"/>
              <w:rPr>
                <w:sz w:val="20"/>
                <w:szCs w:val="20"/>
                <w:color w:val="auto"/>
              </w:rPr>
            </w:pPr>
            <w:r>
              <w:rPr>
                <w:rFonts w:ascii="Arial" w:cs="Arial" w:eastAsia="Arial" w:hAnsi="Arial"/>
                <w:sz w:val="18"/>
                <w:szCs w:val="18"/>
                <w:color w:val="auto"/>
              </w:rPr>
              <w:t>Net deferred tax asset</w:t>
            </w:r>
          </w:p>
        </w:tc>
        <w:tc>
          <w:tcPr>
            <w:tcW w:w="1040" w:type="dxa"/>
            <w:vAlign w:val="bottom"/>
            <w:tcBorders>
              <w:bottom w:val="single" w:sz="8" w:color="auto"/>
            </w:tcBorders>
          </w:tcPr>
          <w:p>
            <w:pPr>
              <w:jc w:val="right"/>
              <w:ind w:right="88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42,845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130"/>
        <w:spacing w:after="0" w:line="257" w:lineRule="auto"/>
        <w:rPr>
          <w:sz w:val="20"/>
          <w:szCs w:val="20"/>
          <w:color w:val="auto"/>
        </w:rPr>
      </w:pPr>
      <w:r>
        <w:rPr>
          <w:rFonts w:ascii="Arial" w:cs="Arial" w:eastAsia="Arial" w:hAnsi="Arial"/>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40" w:firstLine="130"/>
        <w:spacing w:after="0" w:line="264"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181" w:lineRule="exact"/>
        <w:rPr>
          <w:sz w:val="20"/>
          <w:szCs w:val="20"/>
          <w:color w:val="auto"/>
        </w:rPr>
      </w:pPr>
    </w:p>
    <w:p>
      <w:pPr>
        <w:ind w:right="40" w:firstLine="130"/>
        <w:spacing w:after="0" w:line="272" w:lineRule="auto"/>
        <w:rPr>
          <w:sz w:val="20"/>
          <w:szCs w:val="20"/>
          <w:color w:val="auto"/>
        </w:rPr>
      </w:pPr>
      <w:r>
        <w:rPr>
          <w:rFonts w:ascii="Arial" w:cs="Arial" w:eastAsia="Arial" w:hAnsi="Arial"/>
          <w:sz w:val="17"/>
          <w:szCs w:val="17"/>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Although realization is not assured, we believe that the realization of the recognized net deferred tax asset of $42.8 million as of December 31, 2016 is more likely than not based on forecasted future net earnings. Our net deferred tax asset of $42.8 million consists of approximately $36.3 million of net U.S. federal deferred tax assets and $6.5 million of net state deferred tax assets. The major components of the deferred tax asset are $10.6 million in net operating loss carryforwards and built in losses and $31.3 million in net deductions which have not yet been taken on a tax return.</w:t>
      </w:r>
    </w:p>
    <w:p>
      <w:pPr>
        <w:spacing w:after="0" w:line="178" w:lineRule="exact"/>
        <w:rPr>
          <w:sz w:val="20"/>
          <w:szCs w:val="20"/>
          <w:color w:val="auto"/>
        </w:rPr>
      </w:pPr>
    </w:p>
    <w:p>
      <w:pPr>
        <w:ind w:right="100" w:firstLine="130"/>
        <w:spacing w:after="0" w:line="277" w:lineRule="auto"/>
        <w:rPr>
          <w:sz w:val="20"/>
          <w:szCs w:val="20"/>
          <w:color w:val="auto"/>
        </w:rPr>
      </w:pPr>
      <w:r>
        <w:rPr>
          <w:rFonts w:ascii="Arial" w:cs="Arial" w:eastAsia="Arial" w:hAnsi="Arial"/>
          <w:sz w:val="18"/>
          <w:szCs w:val="18"/>
          <w:color w:val="auto"/>
        </w:rPr>
        <w:t>As of December 31, 2016, we had net operating loss carryforwards for state income tax purposes of $56.6 million. These state net operating losses begin to expire in 2017.</w:t>
      </w:r>
    </w:p>
    <w:p>
      <w:pPr>
        <w:spacing w:after="0" w:line="170" w:lineRule="exact"/>
        <w:rPr>
          <w:sz w:val="20"/>
          <w:szCs w:val="20"/>
          <w:color w:val="auto"/>
        </w:rPr>
      </w:pPr>
    </w:p>
    <w:p>
      <w:pPr>
        <w:ind w:right="160" w:firstLine="130"/>
        <w:spacing w:after="0" w:line="279" w:lineRule="auto"/>
        <w:rPr>
          <w:sz w:val="20"/>
          <w:szCs w:val="20"/>
          <w:color w:val="auto"/>
        </w:rPr>
      </w:pPr>
      <w:r>
        <w:rPr>
          <w:rFonts w:ascii="Arial" w:cs="Arial" w:eastAsia="Arial" w:hAnsi="Arial"/>
          <w:sz w:val="17"/>
          <w:szCs w:val="17"/>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2016, we had no unrecognized tax benefits for uncertain tax positions.</w:t>
      </w:r>
    </w:p>
    <w:p>
      <w:pPr>
        <w:spacing w:after="0" w:line="171" w:lineRule="exact"/>
        <w:rPr>
          <w:sz w:val="20"/>
          <w:szCs w:val="20"/>
          <w:color w:val="auto"/>
        </w:rPr>
      </w:pPr>
    </w:p>
    <w:p>
      <w:pPr>
        <w:ind w:right="940" w:firstLine="130"/>
        <w:spacing w:after="0" w:line="342" w:lineRule="auto"/>
        <w:rPr>
          <w:sz w:val="20"/>
          <w:szCs w:val="20"/>
          <w:color w:val="auto"/>
        </w:rPr>
      </w:pPr>
      <w:r>
        <w:rPr>
          <w:rFonts w:ascii="Arial" w:cs="Arial" w:eastAsia="Arial" w:hAnsi="Arial"/>
          <w:sz w:val="16"/>
          <w:szCs w:val="16"/>
          <w:color w:val="auto"/>
        </w:rPr>
        <w:t>We are subject to taxation in the US and various state jurisdictions. With few exceptions, we are no longer subject to U.S. federal, state, or local examinations by tax authorities for years before 2013. We are currently under examination by the Internal Revenue Service for tax year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Related Party Transactions</w:t>
      </w:r>
    </w:p>
    <w:p>
      <w:pPr>
        <w:spacing w:after="0" w:line="225" w:lineRule="exact"/>
        <w:rPr>
          <w:sz w:val="20"/>
          <w:szCs w:val="20"/>
          <w:color w:val="auto"/>
        </w:rPr>
      </w:pPr>
    </w:p>
    <w:p>
      <w:pPr>
        <w:ind w:right="80" w:firstLine="130"/>
        <w:spacing w:after="0" w:line="286" w:lineRule="auto"/>
        <w:rPr>
          <w:sz w:val="20"/>
          <w:szCs w:val="20"/>
          <w:color w:val="auto"/>
        </w:rPr>
      </w:pPr>
      <w:r>
        <w:rPr>
          <w:rFonts w:ascii="Arial" w:cs="Arial" w:eastAsia="Arial" w:hAnsi="Arial"/>
          <w:sz w:val="17"/>
          <w:szCs w:val="17"/>
          <w:color w:val="auto"/>
        </w:rPr>
        <w:t>In December 2007, one of our directors purchased a $4.0 million subordinated renewable note pursuant to our ongoing program of issuing such notes to the public. The note was purchased through the registered agent and under the same terms and conditions, including the interest rate, that were offered to other purchasers at the time the note was issued. As of December 31, 2016, $4.0 million remains outstanding on this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The Company leases its facilities and certain computer equipment under non-cancelable operating leases, which expire through 2022. Future minimum lease payments at December 31, 2016, under these leases are due during the years ended December 31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Amount</w:t>
            </w:r>
          </w:p>
        </w:tc>
      </w:tr>
      <w:tr>
        <w:trPr>
          <w:trHeight w:val="210"/>
        </w:trPr>
        <w:tc>
          <w:tcPr>
            <w:tcW w:w="100" w:type="dxa"/>
            <w:vAlign w:val="bottom"/>
            <w:tcBorders>
              <w:top w:val="single" w:sz="8" w:color="EEEEEE"/>
            </w:tcBorders>
            <w:shd w:val="clear" w:color="auto" w:fill="EEEEEE"/>
          </w:tcPr>
          <w:p>
            <w:pPr>
              <w:spacing w:after="0"/>
              <w:rPr>
                <w:sz w:val="18"/>
                <w:szCs w:val="18"/>
                <w:color w:val="auto"/>
              </w:rPr>
            </w:pPr>
          </w:p>
        </w:tc>
        <w:tc>
          <w:tcPr>
            <w:tcW w:w="60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180" w:type="dxa"/>
            <w:vAlign w:val="bottom"/>
            <w:gridSpan w:val="2"/>
          </w:tcPr>
          <w:p>
            <w:pPr>
              <w:ind w:left="100"/>
              <w:spacing w:after="0"/>
              <w:rPr>
                <w:sz w:val="20"/>
                <w:szCs w:val="20"/>
                <w:color w:val="auto"/>
              </w:rPr>
            </w:pPr>
            <w:r>
              <w:rPr>
                <w:rFonts w:ascii="Arial" w:cs="Arial" w:eastAsia="Arial" w:hAnsi="Arial"/>
                <w:sz w:val="18"/>
                <w:szCs w:val="18"/>
                <w:color w:val="auto"/>
              </w:rPr>
              <w:t>2017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6,018</w:t>
            </w:r>
          </w:p>
        </w:tc>
      </w:tr>
      <w:tr>
        <w:trPr>
          <w:trHeight w:val="216"/>
        </w:trPr>
        <w:tc>
          <w:tcPr>
            <w:tcW w:w="61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5,729</w:t>
            </w:r>
          </w:p>
        </w:tc>
      </w:tr>
      <w:tr>
        <w:trPr>
          <w:trHeight w:val="216"/>
        </w:trPr>
        <w:tc>
          <w:tcPr>
            <w:tcW w:w="6180" w:type="dxa"/>
            <w:vAlign w:val="bottom"/>
            <w:gridSpan w:val="2"/>
          </w:tcPr>
          <w:p>
            <w:pPr>
              <w:ind w:left="10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5,285</w:t>
            </w:r>
          </w:p>
        </w:tc>
      </w:tr>
      <w:tr>
        <w:trPr>
          <w:trHeight w:val="216"/>
        </w:trPr>
        <w:tc>
          <w:tcPr>
            <w:tcW w:w="61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4,308</w:t>
            </w:r>
          </w:p>
        </w:tc>
      </w:tr>
      <w:tr>
        <w:trPr>
          <w:trHeight w:val="216"/>
        </w:trPr>
        <w:tc>
          <w:tcPr>
            <w:tcW w:w="6180" w:type="dxa"/>
            <w:vAlign w:val="bottom"/>
            <w:gridSpan w:val="2"/>
          </w:tcPr>
          <w:p>
            <w:pPr>
              <w:ind w:left="10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4,393</w:t>
            </w:r>
          </w:p>
        </w:tc>
      </w:tr>
      <w:tr>
        <w:trPr>
          <w:trHeight w:val="230"/>
        </w:trPr>
        <w:tc>
          <w:tcPr>
            <w:tcW w:w="100" w:type="dxa"/>
            <w:vAlign w:val="bottom"/>
            <w:shd w:val="clear" w:color="auto" w:fill="EEEEEE"/>
          </w:tcPr>
          <w:p>
            <w:pPr>
              <w:spacing w:after="0"/>
              <w:rPr>
                <w:sz w:val="19"/>
                <w:szCs w:val="19"/>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3,333</w:t>
            </w:r>
          </w:p>
        </w:tc>
      </w:tr>
      <w:tr>
        <w:trPr>
          <w:trHeight w:val="223"/>
        </w:trPr>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60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29,066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Rent expense for the years ended December 31, 2016, 2015 and 2014, was $5.2 million, $4.1 million and $3.5 million,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640" w:firstLine="130"/>
        <w:spacing w:after="0" w:line="277" w:lineRule="auto"/>
        <w:rPr>
          <w:sz w:val="20"/>
          <w:szCs w:val="20"/>
          <w:color w:val="auto"/>
        </w:rPr>
      </w:pPr>
      <w:r>
        <w:rPr>
          <w:rFonts w:ascii="Arial" w:cs="Arial" w:eastAsia="Arial" w:hAnsi="Arial"/>
          <w:sz w:val="18"/>
          <w:szCs w:val="18"/>
          <w:color w:val="auto"/>
        </w:rPr>
        <w:t>Our facility leases contain certain rental concessions and escalating rental payments, which are recognized as adjustments to rental expense and are amortized on a straight-line basis over the terms of the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140" w:firstLine="130"/>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ind w:right="260" w:firstLine="130"/>
        <w:spacing w:after="0" w:line="277" w:lineRule="auto"/>
        <w:rPr>
          <w:sz w:val="20"/>
          <w:szCs w:val="20"/>
          <w:color w:val="auto"/>
        </w:rPr>
      </w:pPr>
      <w:r>
        <w:rPr>
          <w:rFonts w:ascii="Arial" w:cs="Arial" w:eastAsia="Arial" w:hAnsi="Arial"/>
          <w:sz w:val="18"/>
          <w:szCs w:val="18"/>
          <w:color w:val="auto"/>
        </w:rPr>
        <w:t>As of December 31, 2016, we were subject to one such class action, which has been settled by agreement with the plaintiffs and with the approval of the court. We performed our obligations under the settlement after that date, and prior to the date of this report.</w:t>
      </w:r>
    </w:p>
    <w:p>
      <w:pPr>
        <w:spacing w:after="0" w:line="170" w:lineRule="exact"/>
        <w:rPr>
          <w:sz w:val="20"/>
          <w:szCs w:val="20"/>
          <w:color w:val="auto"/>
        </w:rPr>
      </w:pPr>
    </w:p>
    <w:p>
      <w:pPr>
        <w:ind w:right="180" w:firstLine="130"/>
        <w:spacing w:after="0" w:line="308" w:lineRule="auto"/>
        <w:rPr>
          <w:sz w:val="20"/>
          <w:szCs w:val="20"/>
          <w:color w:val="auto"/>
        </w:rPr>
      </w:pPr>
      <w:r>
        <w:rPr>
          <w:rFonts w:ascii="Arial" w:cs="Arial" w:eastAsia="Arial" w:hAnsi="Arial"/>
          <w:sz w:val="17"/>
          <w:szCs w:val="17"/>
          <w:color w:val="auto"/>
        </w:rPr>
        <w:t>For the most part, we have legal and factual defenses to consumer claims, which we routinely contest or settle (for immaterial amounts) depending on the particular circumstances of each case. We have recorded a liability as of December 31, 2016 with respect to such matters, in the aggregate.</w:t>
      </w:r>
    </w:p>
    <w:p>
      <w:pPr>
        <w:spacing w:after="0" w:line="147" w:lineRule="exact"/>
        <w:rPr>
          <w:sz w:val="20"/>
          <w:szCs w:val="20"/>
          <w:color w:val="auto"/>
        </w:rPr>
      </w:pPr>
    </w:p>
    <w:p>
      <w:pPr>
        <w:ind w:right="40" w:firstLine="130"/>
        <w:spacing w:after="0" w:line="273" w:lineRule="auto"/>
        <w:rPr>
          <w:sz w:val="20"/>
          <w:szCs w:val="20"/>
          <w:color w:val="auto"/>
        </w:rPr>
      </w:pPr>
      <w:r>
        <w:rPr>
          <w:rFonts w:ascii="Arial" w:cs="Arial" w:eastAsia="Arial" w:hAnsi="Arial"/>
          <w:sz w:val="17"/>
          <w:szCs w:val="17"/>
          <w:i w:val="1"/>
          <w:iCs w:val="1"/>
          <w:color w:val="auto"/>
        </w:rPr>
        <w:t>FTC Action</w:t>
      </w:r>
      <w:r>
        <w:rPr>
          <w:rFonts w:ascii="Arial" w:cs="Arial" w:eastAsia="Arial" w:hAnsi="Arial"/>
          <w:sz w:val="17"/>
          <w:szCs w:val="17"/>
          <w:color w:val="auto"/>
        </w:rPr>
        <w:t>. In May 2014, we consented to the FTC’s filing of a lawsuit against us, and to the simultaneous settlement of that lawsuit pursuant to a consent</w:t>
      </w:r>
      <w:r>
        <w:rPr>
          <w:rFonts w:ascii="Arial" w:cs="Arial" w:eastAsia="Arial" w:hAnsi="Arial"/>
          <w:sz w:val="17"/>
          <w:szCs w:val="17"/>
          <w:i w:val="1"/>
          <w:iCs w:val="1"/>
          <w:color w:val="auto"/>
        </w:rPr>
        <w:t xml:space="preserve"> </w:t>
      </w:r>
      <w:r>
        <w:rPr>
          <w:rFonts w:ascii="Arial" w:cs="Arial" w:eastAsia="Arial" w:hAnsi="Arial"/>
          <w:sz w:val="17"/>
          <w:szCs w:val="17"/>
          <w:color w:val="auto"/>
        </w:rPr>
        <w:t>decree. The agreed judgment, entered June 11, 2014, required that we make restitutionary payments to certain of its our customers, that we pay a $2.0 million penalty to the U.S. government, and that we implement procedural changes relating to compliance with fair debt collection practices and credit reporting. We have retained an independent third party to monitor our compliance with the judgment, and we must file certain periodic reports with the FTC. The payments to past and present customers have been completed and paid, partially in cash and partially in the form of credits against amounts owed. The total of such customer payments, cash and credit, was approximately $3.5 million.</w:t>
      </w:r>
    </w:p>
    <w:p>
      <w:pPr>
        <w:spacing w:after="0" w:line="178" w:lineRule="exact"/>
        <w:rPr>
          <w:sz w:val="20"/>
          <w:szCs w:val="20"/>
          <w:color w:val="auto"/>
        </w:rPr>
      </w:pPr>
    </w:p>
    <w:p>
      <w:pPr>
        <w:ind w:right="20" w:firstLine="130"/>
        <w:spacing w:after="0" w:line="289" w:lineRule="auto"/>
        <w:rPr>
          <w:sz w:val="20"/>
          <w:szCs w:val="20"/>
          <w:color w:val="auto"/>
        </w:rPr>
      </w:pPr>
      <w:r>
        <w:rPr>
          <w:rFonts w:ascii="Arial" w:cs="Arial" w:eastAsia="Arial" w:hAnsi="Arial"/>
          <w:sz w:val="16"/>
          <w:szCs w:val="16"/>
          <w:i w:val="1"/>
          <w:iCs w:val="1"/>
          <w:color w:val="auto"/>
        </w:rPr>
        <w:t xml:space="preserve">Department of Justice Subpoena. </w:t>
      </w:r>
      <w:r>
        <w:rPr>
          <w:rFonts w:ascii="Arial" w:cs="Arial" w:eastAsia="Arial" w:hAnsi="Arial"/>
          <w:sz w:val="16"/>
          <w:szCs w:val="16"/>
          <w:color w:val="auto"/>
        </w:rPr>
        <w:t>In January 2015, we were served with a subpoena by the U.S. Department of Justice directing us to produce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We are among several other securitizers of sub-prime automobile receivables who received such subpoenas in 2014 and 2015. Among other matters, the subpoena requested information relating to the underwriting criteria used to originate these automobile contracts and the representations and warranties relating to those underwriting criteria that were made in connection with the securitization of the automobile contracts. We have produced required documents, and are unaware of any subsequent material developments in the government’s investigation. The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67" w:lineRule="exact"/>
        <w:rPr>
          <w:sz w:val="20"/>
          <w:szCs w:val="20"/>
          <w:color w:val="auto"/>
        </w:rPr>
      </w:pPr>
    </w:p>
    <w:p>
      <w:pPr>
        <w:ind w:right="60" w:firstLine="130"/>
        <w:spacing w:after="0" w:line="276" w:lineRule="auto"/>
        <w:rPr>
          <w:sz w:val="20"/>
          <w:szCs w:val="20"/>
          <w:color w:val="auto"/>
        </w:rPr>
      </w:pPr>
      <w:r>
        <w:rPr>
          <w:rFonts w:ascii="Arial" w:cs="Arial" w:eastAsia="Arial" w:hAnsi="Arial"/>
          <w:sz w:val="17"/>
          <w:szCs w:val="17"/>
          <w:i w:val="1"/>
          <w:iCs w:val="1"/>
          <w:color w:val="auto"/>
        </w:rPr>
        <w:t>In General</w:t>
      </w:r>
      <w:r>
        <w:rPr>
          <w:rFonts w:ascii="Arial" w:cs="Arial" w:eastAsia="Arial" w:hAnsi="Arial"/>
          <w:sz w:val="17"/>
          <w:szCs w:val="17"/>
          <w:color w:val="auto"/>
        </w:rPr>
        <w:t>. There can be no assurance as to the outcomes of the matters referenced above. We have recorded a liability as of December 31, 2016,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December 31, 2016, and in excess of the liability we have recorded, does not exceed $1 million.</w:t>
      </w:r>
    </w:p>
    <w:p>
      <w:pPr>
        <w:spacing w:after="0" w:line="173" w:lineRule="exact"/>
        <w:rPr>
          <w:sz w:val="20"/>
          <w:szCs w:val="20"/>
          <w:color w:val="auto"/>
        </w:rPr>
      </w:pPr>
    </w:p>
    <w:p>
      <w:pPr>
        <w:ind w:firstLine="130"/>
        <w:spacing w:after="0" w:line="273" w:lineRule="auto"/>
        <w:rPr>
          <w:sz w:val="20"/>
          <w:szCs w:val="20"/>
          <w:color w:val="auto"/>
        </w:rPr>
      </w:pPr>
      <w:r>
        <w:rPr>
          <w:rFonts w:ascii="Arial" w:cs="Arial" w:eastAsia="Arial" w:hAnsi="Arial"/>
          <w:sz w:val="17"/>
          <w:szCs w:val="17"/>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Employee Benefits</w:t>
      </w:r>
    </w:p>
    <w:p>
      <w:pPr>
        <w:spacing w:after="0" w:line="225" w:lineRule="exact"/>
        <w:rPr>
          <w:sz w:val="20"/>
          <w:szCs w:val="20"/>
          <w:color w:val="auto"/>
        </w:rPr>
      </w:pPr>
    </w:p>
    <w:p>
      <w:pPr>
        <w:ind w:right="180" w:firstLine="130"/>
        <w:spacing w:after="0" w:line="279" w:lineRule="auto"/>
        <w:rPr>
          <w:sz w:val="20"/>
          <w:szCs w:val="20"/>
          <w:color w:val="auto"/>
        </w:rPr>
      </w:pPr>
      <w:r>
        <w:rPr>
          <w:rFonts w:ascii="Arial" w:cs="Arial" w:eastAsia="Arial" w:hAnsi="Arial"/>
          <w:sz w:val="17"/>
          <w:szCs w:val="17"/>
          <w:color w:val="auto"/>
        </w:rPr>
        <w:t>We sponsor a pretax savings and profit sharing plan (the “401(k) Plan”) qualified under Section 401(k) of the Internal Revenue Code. Under the 401(k) Plan, eligible employees are able to contribute up to 15% of their compensation (subject to stricter limitation in the case of highly compensated employees). We may, at our discretion, match 100% of employees’ contributions up to $1,500 per employee per calendar year. Our contributions to the 401(k) Plan were $929,000, $838,000 and $642,000, respectively, for the year ended December 31, 2016, 2015 and 2014.</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We also sponsor a defined benefit plan, the MFN Financial Corporation Pension Plan (the “Plan”). The Plan benefits were frozen on June 30, 2001.</w:t>
      </w:r>
    </w:p>
    <w:p>
      <w:pPr>
        <w:spacing w:after="0" w:line="237" w:lineRule="exact"/>
        <w:rPr>
          <w:sz w:val="20"/>
          <w:szCs w:val="20"/>
          <w:color w:val="auto"/>
        </w:rPr>
      </w:pPr>
    </w:p>
    <w:p>
      <w:pPr>
        <w:ind w:right="160" w:firstLine="130"/>
        <w:spacing w:after="0" w:line="277" w:lineRule="auto"/>
        <w:rPr>
          <w:sz w:val="20"/>
          <w:szCs w:val="20"/>
          <w:color w:val="auto"/>
        </w:rPr>
      </w:pPr>
      <w:r>
        <w:rPr>
          <w:rFonts w:ascii="Arial" w:cs="Arial" w:eastAsia="Arial" w:hAnsi="Arial"/>
          <w:sz w:val="18"/>
          <w:szCs w:val="18"/>
          <w:color w:val="auto"/>
        </w:rPr>
        <w:t>The following tables represents a reconciliation of the change in the plan’s benefit obligations, fair value of plan assets, and funded status at December 31, 2016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65"/>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5"/>
          </w:tcPr>
          <w:p>
            <w:pPr>
              <w:jc w:val="right"/>
              <w:ind w:right="25"/>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Projected benefit obligation, beginning of year</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21,385</w:t>
            </w: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Assumption changes</w:t>
            </w:r>
          </w:p>
        </w:tc>
        <w:tc>
          <w:tcPr>
            <w:tcW w:w="2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Actuarial (gain) loss</w:t>
            </w: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Settlements</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19"/>
                <w:szCs w:val="19"/>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gridSpan w:val="2"/>
            <w:shd w:val="clear" w:color="auto" w:fill="EEEEEE"/>
          </w:tcPr>
          <w:p>
            <w:pPr>
              <w:ind w:left="120"/>
              <w:spacing w:after="0"/>
              <w:rPr>
                <w:sz w:val="20"/>
                <w:szCs w:val="20"/>
                <w:color w:val="auto"/>
              </w:rPr>
            </w:pPr>
            <w:r>
              <w:rPr>
                <w:rFonts w:ascii="Arial" w:cs="Arial" w:eastAsia="Arial" w:hAnsi="Arial"/>
                <w:sz w:val="18"/>
                <w:szCs w:val="18"/>
                <w:color w:val="auto"/>
              </w:rPr>
              <w:t>Projected benefit obligation, end of year</w:t>
            </w:r>
          </w:p>
        </w:tc>
        <w:tc>
          <w:tcPr>
            <w:tcW w:w="280" w:type="dxa"/>
            <w:vAlign w:val="bottom"/>
            <w:tcBorders>
              <w:top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21,515</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tcBorders>
            <w:shd w:val="clear" w:color="auto" w:fill="EEEEEE"/>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21,385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Fair value of plan assets, beginning of year</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16,374</w:t>
            </w: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Return on assets</w:t>
            </w:r>
          </w:p>
        </w:tc>
        <w:tc>
          <w:tcPr>
            <w:tcW w:w="28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Employer contribution</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Benefits paid</w:t>
            </w:r>
          </w:p>
        </w:tc>
        <w:tc>
          <w:tcPr>
            <w:tcW w:w="280" w:type="dxa"/>
            <w:vAlign w:val="bottom"/>
            <w:shd w:val="clear" w:color="auto" w:fill="EEEEEE"/>
          </w:tcPr>
          <w:p>
            <w:pPr>
              <w:spacing w:after="0"/>
              <w:rPr>
                <w:sz w:val="19"/>
                <w:szCs w:val="19"/>
                <w:color w:val="auto"/>
              </w:rPr>
            </w:pPr>
          </w:p>
        </w:tc>
        <w:tc>
          <w:tcPr>
            <w:tcW w:w="15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Fair value of plan assets, end of year</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16,243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60" w:type="dxa"/>
            <w:vAlign w:val="bottom"/>
            <w:tcBorders>
              <w:bottom w:val="single" w:sz="8" w:color="auto"/>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Funded Status at end of year</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(5,272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b w:val="1"/>
                <w:bCs w:val="1"/>
                <w:i w:val="1"/>
                <w:iCs w:val="1"/>
                <w:color w:val="auto"/>
              </w:rPr>
              <w:t>Additional Information</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0" w:type="dxa"/>
            <w:vAlign w:val="bottom"/>
            <w:gridSpan w:val="6"/>
          </w:tcPr>
          <w:p>
            <w:pPr>
              <w:ind w:left="120"/>
              <w:spacing w:after="0"/>
              <w:rPr>
                <w:sz w:val="20"/>
                <w:szCs w:val="20"/>
                <w:color w:val="auto"/>
              </w:rPr>
            </w:pPr>
            <w:r>
              <w:rPr>
                <w:rFonts w:ascii="Arial" w:cs="Arial" w:eastAsia="Arial" w:hAnsi="Arial"/>
                <w:sz w:val="18"/>
                <w:szCs w:val="18"/>
                <w:color w:val="auto"/>
                <w:w w:val="92"/>
              </w:rPr>
              <w:t>Weighted average assumptions used to determine benefit obligations and cost at December 31, 2016 and 2015 were as follows: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28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Discount rate</w:t>
            </w:r>
          </w:p>
        </w:tc>
        <w:tc>
          <w:tcPr>
            <w:tcW w:w="2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4.20%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20"/>
                <w:szCs w:val="20"/>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00" w:firstLine="130"/>
        <w:spacing w:after="0" w:line="277" w:lineRule="auto"/>
        <w:rPr>
          <w:sz w:val="20"/>
          <w:szCs w:val="20"/>
          <w:color w:val="auto"/>
        </w:rPr>
      </w:pPr>
      <w:r>
        <w:rPr>
          <w:rFonts w:ascii="Arial" w:cs="Arial" w:eastAsia="Arial" w:hAnsi="Arial"/>
          <w:sz w:val="18"/>
          <w:szCs w:val="18"/>
          <w:color w:val="auto"/>
        </w:rPr>
        <w:t>Our overall expected long-term rate of return on assets is 7.50% per annum as of December 31, 2016. The expected long-term rate of return is based on the weighted average of historical returns on individual asset categories, which are described in more detail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w w:val="95"/>
              </w:rPr>
              <w:t>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(In thousands)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Amounts recognized on Consolidated Balance Sheet</w:t>
            </w:r>
          </w:p>
        </w:tc>
        <w:tc>
          <w:tcPr>
            <w:tcW w:w="2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assets</w:t>
            </w:r>
          </w:p>
        </w:tc>
        <w:tc>
          <w:tcPr>
            <w:tcW w:w="12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(5,272)</w:t>
            </w:r>
          </w:p>
        </w:tc>
        <w:tc>
          <w:tcPr>
            <w:tcW w:w="16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(5,011)</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20" w:type="dxa"/>
            <w:vAlign w:val="bottom"/>
            <w:tcBorders>
              <w:bottom w:val="single" w:sz="8" w:color="EEEEEE"/>
            </w:tcBorders>
          </w:tcPr>
          <w:p>
            <w:pPr>
              <w:ind w:left="120"/>
              <w:spacing w:after="0"/>
              <w:rPr>
                <w:sz w:val="20"/>
                <w:szCs w:val="20"/>
                <w:color w:val="auto"/>
              </w:rPr>
            </w:pPr>
            <w:r>
              <w:rPr>
                <w:rFonts w:ascii="Arial" w:cs="Arial" w:eastAsia="Arial" w:hAnsi="Arial"/>
                <w:sz w:val="18"/>
                <w:szCs w:val="18"/>
                <w:color w:val="auto"/>
              </w:rPr>
              <w:t>Net amount recognized</w:t>
            </w:r>
          </w:p>
        </w:tc>
        <w:tc>
          <w:tcPr>
            <w:tcW w:w="200" w:type="dxa"/>
            <w:vAlign w:val="bottom"/>
            <w:tcBorders>
              <w:bottom w:val="single" w:sz="8" w:color="EEEEEE"/>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360" w:type="dxa"/>
            <w:vAlign w:val="bottom"/>
            <w:tcBorders>
              <w:bottom w:val="single" w:sz="8" w:color="EEEEEE"/>
            </w:tcBorders>
          </w:tcPr>
          <w:p>
            <w:pPr>
              <w:jc w:val="right"/>
              <w:ind w:right="2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(5,011</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2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Amounts recognized in accumulated other comprehensive loss consists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of:</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4"/>
              </w:rPr>
              <w:t>10,618</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10,592</w:t>
            </w:r>
          </w:p>
        </w:tc>
        <w:tc>
          <w:tcPr>
            <w:tcW w:w="340" w:type="dxa"/>
            <w:vAlign w:val="bottom"/>
            <w:gridSpan w:val="2"/>
            <w:shd w:val="clear" w:color="auto" w:fill="EEEEEE"/>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7,977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Unrecognized transition asset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top w:val="single" w:sz="8" w:color="EEEEEE"/>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amount recognized</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10,618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10,592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7,977</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2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cost</w:t>
            </w:r>
          </w:p>
        </w:tc>
        <w:tc>
          <w:tcPr>
            <w:tcW w:w="12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843</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2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(1,199)</w:t>
            </w: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(1,508)</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553</w:t>
            </w:r>
          </w:p>
        </w:tc>
        <w:tc>
          <w:tcPr>
            <w:tcW w:w="16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349</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Settlement (gain)/loss</w:t>
            </w:r>
          </w:p>
        </w:tc>
        <w:tc>
          <w:tcPr>
            <w:tcW w:w="2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20" w:type="dxa"/>
            <w:vAlign w:val="bottom"/>
            <w:tcBorders>
              <w:bottom w:val="single" w:sz="8" w:color="EEEEEE"/>
            </w:tcBorders>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EEEEEE"/>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w w:val="92"/>
              </w:rPr>
              <w:t>Benefit Obligation Recognized in Other Comprehensive Loss (Income)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Net loss (gain)</w:t>
            </w:r>
          </w:p>
        </w:tc>
        <w:tc>
          <w:tcPr>
            <w:tcW w:w="126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2,615</w:t>
            </w:r>
          </w:p>
        </w:tc>
        <w:tc>
          <w:tcPr>
            <w:tcW w:w="340" w:type="dxa"/>
            <w:vAlign w:val="bottom"/>
            <w:gridSpan w:val="2"/>
            <w:shd w:val="clear" w:color="auto" w:fill="EEEEEE"/>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6,610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Net amount recognized in other comprehensive loss (income)</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The estimated net loss that will be amortized from accumulated other comprehensive income into net periodic benefit cost in 2017 is $405,000.</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weighted average asset allocation of our pension benefits at December 31, 2016 and 2015 were as follows:</w:t>
      </w:r>
    </w:p>
    <w:p>
      <w:pPr>
        <w:spacing w:after="0" w:line="235"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EEEEEE"/>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Asset Allocation at Year-End</w:t>
            </w:r>
          </w:p>
        </w:tc>
        <w:tc>
          <w:tcPr>
            <w:tcW w:w="10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85%</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EEEEEE"/>
          </w:tcPr>
          <w:p>
            <w:pPr>
              <w:spacing w:after="0"/>
              <w:rPr>
                <w:sz w:val="18"/>
                <w:szCs w:val="18"/>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30"/>
        </w:trPr>
        <w:tc>
          <w:tcPr>
            <w:tcW w:w="8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130"/>
        <w:spacing w:after="0" w:line="291" w:lineRule="auto"/>
        <w:rPr>
          <w:sz w:val="20"/>
          <w:szCs w:val="20"/>
          <w:color w:val="auto"/>
        </w:rPr>
      </w:pPr>
      <w:r>
        <w:rPr>
          <w:rFonts w:ascii="Arial" w:cs="Arial" w:eastAsia="Arial" w:hAnsi="Arial"/>
          <w:sz w:val="16"/>
          <w:szCs w:val="16"/>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640" w:type="dxa"/>
            <w:vAlign w:val="bottom"/>
            <w:gridSpan w:val="9"/>
          </w:tcPr>
          <w:p>
            <w:pPr>
              <w:jc w:val="right"/>
              <w:ind w:right="5"/>
              <w:spacing w:after="0"/>
              <w:rPr>
                <w:sz w:val="20"/>
                <w:szCs w:val="20"/>
                <w:color w:val="auto"/>
              </w:rPr>
            </w:pPr>
            <w:r>
              <w:rPr>
                <w:rFonts w:ascii="Arial" w:cs="Arial" w:eastAsia="Arial" w:hAnsi="Arial"/>
                <w:sz w:val="18"/>
                <w:szCs w:val="18"/>
                <w:b w:val="1"/>
                <w:bCs w:val="1"/>
                <w:color w:val="auto"/>
              </w:rPr>
              <w:t>CONSUMER PORTFOLIO SERVICES, INC. AND SUBSIDIARIES</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536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rPr>
              <w:t>NOTES TO CONSOLIDATED FINANCIAL STATEMENTS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Cash Flows</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EEEEEE"/>
          </w:tcPr>
          <w:p>
            <w:pPr>
              <w:ind w:left="120"/>
              <w:spacing w:after="0"/>
              <w:rPr>
                <w:sz w:val="20"/>
                <w:szCs w:val="20"/>
                <w:color w:val="auto"/>
              </w:rPr>
            </w:pPr>
            <w:r>
              <w:rPr>
                <w:rFonts w:ascii="Arial" w:cs="Arial" w:eastAsia="Arial" w:hAnsi="Arial"/>
                <w:sz w:val="18"/>
                <w:szCs w:val="18"/>
                <w:b w:val="1"/>
                <w:bCs w:val="1"/>
                <w:color w:val="auto"/>
              </w:rPr>
              <w:t>Estimated Future Benefit Payments (In thousands)</w:t>
            </w: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2017</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2018</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2019</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2020</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2021</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Years 2022 - 2026</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Anticipated Contributions in 2017</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180" w:type="dxa"/>
            <w:vAlign w:val="bottom"/>
            <w:gridSpan w:val="8"/>
          </w:tcPr>
          <w:p>
            <w:pPr>
              <w:ind w:left="660"/>
              <w:spacing w:after="0"/>
              <w:rPr>
                <w:sz w:val="20"/>
                <w:szCs w:val="20"/>
                <w:color w:val="auto"/>
              </w:rPr>
            </w:pPr>
            <w:r>
              <w:rPr>
                <w:rFonts w:ascii="Arial" w:cs="Arial" w:eastAsia="Arial" w:hAnsi="Arial"/>
                <w:sz w:val="18"/>
                <w:szCs w:val="18"/>
                <w:color w:val="auto"/>
                <w:w w:val="99"/>
              </w:rPr>
              <w:t>The fair value of plan assets at December 31, 2016 and 2015, by asset category, is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December 31, 2016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2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Level 2 (2)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 (3)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6"/>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218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4,581</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Large Cap Value</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Small Cap Growth</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Focus Value</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International Growth</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High Yield</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Money Market</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820" w:type="dxa"/>
            <w:vAlign w:val="bottom"/>
            <w:tcBorders>
              <w:top w:val="single" w:sz="8" w:color="EEEEEE"/>
              <w:bottom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4,581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11,662</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ind w:left="108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December 31, 2015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2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Level 2 (2)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 (3)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6"/>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218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4,643</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Large Cap Value</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Small Cap Growth</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Focus Value</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International Growth</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High Yield</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20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Money Market</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820" w:type="dxa"/>
            <w:vAlign w:val="bottom"/>
            <w:tcBorders>
              <w:top w:val="single" w:sz="8" w:color="EEEEEE"/>
              <w:bottom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4,643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11,731</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ind w:left="108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16,374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40" w:hanging="327"/>
        <w:spacing w:after="0"/>
        <w:tabs>
          <w:tab w:leader="none" w:pos="7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Company common stock is classified as level 1 and valued using quoted prices in active markets for identical assets.</w:t>
      </w:r>
    </w:p>
    <w:p>
      <w:pPr>
        <w:spacing w:after="0" w:line="9" w:lineRule="exact"/>
        <w:rPr>
          <w:rFonts w:ascii="Arial" w:cs="Arial" w:eastAsia="Arial" w:hAnsi="Arial"/>
          <w:sz w:val="18"/>
          <w:szCs w:val="18"/>
          <w:i w:val="1"/>
          <w:iCs w:val="1"/>
          <w:color w:val="auto"/>
        </w:rPr>
      </w:pPr>
    </w:p>
    <w:p>
      <w:pPr>
        <w:ind w:left="740" w:hanging="327"/>
        <w:spacing w:after="0"/>
        <w:tabs>
          <w:tab w:leader="none" w:pos="7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All other plan assets in stock, bond and money market funds are classified as level 2 and valued using significant observable inputs.</w:t>
      </w:r>
    </w:p>
    <w:p>
      <w:pPr>
        <w:spacing w:after="0" w:line="9" w:lineRule="exact"/>
        <w:rPr>
          <w:rFonts w:ascii="Arial" w:cs="Arial" w:eastAsia="Arial" w:hAnsi="Arial"/>
          <w:sz w:val="18"/>
          <w:szCs w:val="18"/>
          <w:i w:val="1"/>
          <w:iCs w:val="1"/>
          <w:color w:val="auto"/>
        </w:rPr>
      </w:pPr>
    </w:p>
    <w:p>
      <w:pPr>
        <w:ind w:left="740" w:hanging="327"/>
        <w:spacing w:after="0"/>
        <w:tabs>
          <w:tab w:leader="none" w:pos="7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plan assets classified as level 3 in the fair value hierarchy as a result of having significant unobservable inputs.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Fair Value Measurements</w:t>
      </w:r>
    </w:p>
    <w:p>
      <w:pPr>
        <w:spacing w:after="0" w:line="225"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are separately disclosed by level within the fair value hierarchy.</w:t>
      </w:r>
    </w:p>
    <w:p>
      <w:pPr>
        <w:spacing w:after="0" w:line="181" w:lineRule="exact"/>
        <w:rPr>
          <w:sz w:val="20"/>
          <w:szCs w:val="20"/>
          <w:color w:val="auto"/>
        </w:rPr>
      </w:pPr>
    </w:p>
    <w:p>
      <w:pPr>
        <w:jc w:val="both"/>
        <w:ind w:firstLine="130"/>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58"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Repossessed vehicle inventory, which is included in Other assets on our consolidated balance sheet, is measured at fair value using level 2 assumptions based on our actual loss experience on sale of repossessed vehicles. At December 31, 2016, the finance receivables related to the repossessed vehicles in inventory totaled $40.1 million. We have applied a valuation adjustment, or loss allowance, of $28.9 million, which is based on a recovery rate of approximately 28%, resulting in an estimated fair value and carrying amount of $11.1 million. The fair value and carrying amount of the repossessed inventory at December 31, 2015 was $12.8 million after applying a valuation adjustment of $26.9 million.</w:t>
      </w:r>
    </w:p>
    <w:p>
      <w:pPr>
        <w:spacing w:after="0" w:line="188" w:lineRule="exact"/>
        <w:rPr>
          <w:sz w:val="20"/>
          <w:szCs w:val="20"/>
          <w:color w:val="auto"/>
        </w:rPr>
      </w:pPr>
    </w:p>
    <w:p>
      <w:pPr>
        <w:ind w:right="300" w:firstLine="130"/>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2016 and 2015. We have no level 3 assets or liabilities that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gridSpan w:val="10"/>
          </w:tcPr>
          <w:p>
            <w:pPr>
              <w:ind w:left="140"/>
              <w:spacing w:after="0"/>
              <w:rPr>
                <w:sz w:val="20"/>
                <w:szCs w:val="20"/>
                <w:color w:val="auto"/>
              </w:rPr>
            </w:pPr>
            <w:r>
              <w:rPr>
                <w:rFonts w:ascii="Arial" w:cs="Arial" w:eastAsia="Arial" w:hAnsi="Arial"/>
                <w:sz w:val="18"/>
                <w:szCs w:val="18"/>
                <w:color w:val="auto"/>
                <w:w w:val="93"/>
              </w:rPr>
              <w:t>The estimated fair values of financial assets and liabilities at December 31, 2016 and 2015, were as follows: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89"/>
              </w:rPr>
              <w:t>As of December 31, 2016</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center"/>
              <w:ind w:right="2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640" w:type="dxa"/>
            <w:vAlign w:val="bottom"/>
            <w:tcBorders>
              <w:top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9"/>
                <w:szCs w:val="19"/>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13,936</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13,936</w:t>
            </w:r>
          </w:p>
        </w:tc>
        <w:tc>
          <w:tcPr>
            <w:tcW w:w="114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112,754</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112,754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112,754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2,172,365</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2,104,503</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2,104,503</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36,233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36,233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36,233</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103,358</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103,358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103,358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3,715</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3,715</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2,080,900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2,138,892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2,138,892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14,949</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14,949</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648"/>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89"/>
              </w:rPr>
              <w:t>As of December 31, 2015</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center"/>
              <w:ind w:right="2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640" w:type="dxa"/>
            <w:vAlign w:val="bottom"/>
            <w:tcBorders>
              <w:top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9"/>
                <w:szCs w:val="19"/>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19,322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19,322</w:t>
            </w:r>
          </w:p>
        </w:tc>
        <w:tc>
          <w:tcPr>
            <w:tcW w:w="114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106,054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106,054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106,054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1,909,490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1,879,510</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1,879,510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31,547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31,547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31,547</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194,056</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194,056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194,056</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3,260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3,260</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9,042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1,720,021</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1,718,418</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1,718,418</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15,138</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15,138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firstLine="130"/>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December 31, 2016 and 2015,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ind w:right="140" w:firstLine="130"/>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and Subordinated Renewable Notes</w:t>
      </w:r>
    </w:p>
    <w:p>
      <w:pPr>
        <w:spacing w:after="0" w:line="225" w:lineRule="exact"/>
        <w:rPr>
          <w:sz w:val="20"/>
          <w:szCs w:val="20"/>
          <w:color w:val="auto"/>
        </w:rPr>
      </w:pPr>
    </w:p>
    <w:p>
      <w:pPr>
        <w:ind w:right="200" w:firstLine="130"/>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Quarterly Financial Data (unaudited)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2016</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100,649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104,933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108,516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12,229</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12,325</w:t>
            </w: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12,455</w:t>
            </w:r>
          </w:p>
        </w:tc>
        <w:tc>
          <w:tcPr>
            <w:tcW w:w="2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7,214</w:t>
            </w:r>
          </w:p>
        </w:tc>
        <w:tc>
          <w:tcPr>
            <w:tcW w:w="28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7,272</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7,348</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0.31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0.25</w:t>
            </w: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2015</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85,989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88,361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93,991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14,749</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15,200</w:t>
            </w: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15,649</w:t>
            </w:r>
          </w:p>
        </w:tc>
        <w:tc>
          <w:tcPr>
            <w:tcW w:w="2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8,333</w:t>
            </w:r>
          </w:p>
        </w:tc>
        <w:tc>
          <w:tcPr>
            <w:tcW w:w="28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8,537</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8,843</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0.34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2014</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68,146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71,594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77,050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11,764</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12,329</w:t>
            </w: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13,804</w:t>
            </w:r>
          </w:p>
        </w:tc>
        <w:tc>
          <w:tcPr>
            <w:tcW w:w="2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6,705</w:t>
            </w:r>
          </w:p>
        </w:tc>
        <w:tc>
          <w:tcPr>
            <w:tcW w:w="28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7,026</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7,776</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0.31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F-29</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83" w:name="page84"/>
    <w:bookmarkEnd w:id="83"/>
    <w:p>
      <w:pPr>
        <w:jc w:val="center"/>
        <w:ind w:right="-7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Subsequent Events</w:t>
      </w:r>
    </w:p>
    <w:p>
      <w:pPr>
        <w:spacing w:after="0" w:line="225" w:lineRule="exact"/>
        <w:rPr>
          <w:sz w:val="20"/>
          <w:szCs w:val="20"/>
          <w:color w:val="auto"/>
        </w:rPr>
      </w:pPr>
    </w:p>
    <w:p>
      <w:pPr>
        <w:ind w:firstLine="130"/>
        <w:spacing w:after="0" w:line="279" w:lineRule="auto"/>
        <w:rPr>
          <w:sz w:val="20"/>
          <w:szCs w:val="20"/>
          <w:color w:val="auto"/>
        </w:rPr>
      </w:pPr>
      <w:r>
        <w:rPr>
          <w:rFonts w:ascii="Arial" w:cs="Arial" w:eastAsia="Arial" w:hAnsi="Arial"/>
          <w:sz w:val="17"/>
          <w:szCs w:val="17"/>
          <w:color w:val="auto"/>
        </w:rPr>
        <w:t>On January 18, 2017 we executed our first securitization of 2017. In the transaction, qualified institutional buyers purchased $206.3 million of asset-backed notes secured by $210.0 million in automobile receivables purchased by us. The sold notes, issued by CPS Auto Receivables Trust 2017-A, consist of five classes. Ratings of the notes were provided by Standard &amp; Poor’s, DBRS and KBRA and were based on the structure of the transaction, the historical performance of similar receivables and our experience as a servicer. The weighted average yield on the notes is approximately 3.91%.</w:t>
      </w:r>
    </w:p>
    <w:p>
      <w:pPr>
        <w:spacing w:after="0" w:line="171" w:lineRule="exact"/>
        <w:rPr>
          <w:sz w:val="20"/>
          <w:szCs w:val="20"/>
          <w:color w:val="auto"/>
        </w:rPr>
      </w:pPr>
    </w:p>
    <w:p>
      <w:pPr>
        <w:ind w:right="40" w:firstLine="130"/>
        <w:spacing w:after="0" w:line="259" w:lineRule="auto"/>
        <w:rPr>
          <w:sz w:val="20"/>
          <w:szCs w:val="20"/>
          <w:color w:val="auto"/>
        </w:rPr>
      </w:pPr>
      <w:r>
        <w:rPr>
          <w:rFonts w:ascii="Arial" w:cs="Arial" w:eastAsia="Arial" w:hAnsi="Arial"/>
          <w:sz w:val="18"/>
          <w:szCs w:val="18"/>
          <w:color w:val="auto"/>
        </w:rPr>
        <w:t>The 2017-A transaction has initial credit enhancement consisting of a cash deposit equal to 1.00% of the original receivable pool balance. The final enhancement level requires accelerated payment of principal on the notes to reach overcollateralization of 5.15% of the then-outstanding receivable pool balance. The transaction utilizes a pre-funding structure, in which CPS sold approximately $131.5 million of receivables on January 18, 2017 and sold $78.5 million of additional receivables on February 15, 2017.</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Exhibit 21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Registrant Consumer Portfolio Services,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9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Jurisdiction of Organization</w:t>
            </w:r>
          </w:p>
        </w:tc>
      </w:tr>
      <w:tr>
        <w:trPr>
          <w:trHeight w:val="210"/>
        </w:trPr>
        <w:tc>
          <w:tcPr>
            <w:tcW w:w="5960" w:type="dxa"/>
            <w:vAlign w:val="bottom"/>
            <w:tcBorders>
              <w:left w:val="single" w:sz="8" w:color="auto"/>
              <w:bottom w:val="single" w:sz="8" w:color="auto"/>
              <w:right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spacing w:after="0"/>
              <w:rPr>
                <w:sz w:val="18"/>
                <w:szCs w:val="18"/>
                <w:color w:val="auto"/>
              </w:rPr>
            </w:pP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CPS Receivables Five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Six Funding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Seven Funding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Nine Funding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which would not constitute a significant subsidiary if considered collectively as a single subsidiary, are omitted.</w:t>
      </w:r>
    </w:p>
    <w:p>
      <w:pPr>
        <w:sectPr>
          <w:pgSz w:w="11900" w:h="16838" w:orient="portrait"/>
          <w:cols w:equalWidth="0" w:num="1">
            <w:col w:w="11420"/>
          </w:cols>
          <w:pgMar w:left="240" w:top="118" w:right="2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333-190766 and 333-168976 on Form S-1, Nos. 333-152969 and 333-204492 on Form S-3, and Nos. 333-58199, 333-35758, 333-75594, 333-115622, 333-135907, 333-161448, 333-166892, and 333-193926 on Form S-8 of Consumer Portfolio Services, Inc. of our report dated March 7, 2017 relating to the financial statements and effectiveness of internal control over financial reporting, appearing in this Annual Report on Form 10-K.</w:t>
      </w:r>
    </w:p>
    <w:p>
      <w:pPr>
        <w:spacing w:after="0" w:line="18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Crowe Horwath LLP</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CROWE HORWATH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2017</w:t>
      </w:r>
    </w:p>
    <w:p>
      <w:pPr>
        <w:sectPr>
          <w:pgSz w:w="11900" w:h="16838" w:orient="portrait"/>
          <w:cols w:equalWidth="0" w:num="1">
            <w:col w:w="11380"/>
          </w:cols>
          <w:pgMar w:left="240" w:top="118"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820" w:hanging="812"/>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2016 of Consumer Portfolio Services, Inc.;</w:t>
      </w:r>
    </w:p>
    <w:p>
      <w:pPr>
        <w:spacing w:after="0" w:line="236"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ind w:left="820" w:right="40" w:hanging="812"/>
        <w:spacing w:after="0" w:line="342" w:lineRule="auto"/>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2017</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360"/>
          </w:cols>
          <w:pgMar w:left="240" w:top="125" w:right="29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Jr., certify that:</w:t>
      </w:r>
    </w:p>
    <w:p>
      <w:pPr>
        <w:spacing w:after="0" w:line="225" w:lineRule="exact"/>
        <w:rPr>
          <w:sz w:val="20"/>
          <w:szCs w:val="20"/>
          <w:color w:val="auto"/>
        </w:rPr>
      </w:pPr>
    </w:p>
    <w:p>
      <w:pPr>
        <w:ind w:left="820" w:hanging="812"/>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2016 of Consumer Portfolio Services, Inc.;</w:t>
      </w:r>
    </w:p>
    <w:p>
      <w:pPr>
        <w:spacing w:after="0" w:line="236"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ind w:left="820" w:right="40" w:hanging="812"/>
        <w:spacing w:after="0" w:line="342"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2017</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360"/>
          </w:cols>
          <w:pgMar w:left="240" w:top="125" w:right="29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 PURSUANT TO 18 U.S.C. SECTION 1350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of Consumer Portfolio Services, Inc. (“Registrant”) on Form 10-K for the fiscal year ended December 31, 2016, as filed with the Securities and Exchange Commission on March 7, 2017 (the “Report”), Charles E. Bradley, Jr., chairman, president and chief executive officer, and Jeffrey P. Fritz , chief financial officer and executive vice president, each hereby certifies, pursuant to 18 U.S.C. Section 1350, as adopted pursuant to Section 906 of the Sarbanes-Oxley Act of 2002, that, to his knowledge:</w:t>
      </w:r>
    </w:p>
    <w:p>
      <w:pPr>
        <w:spacing w:after="0" w:line="200" w:lineRule="exact"/>
        <w:rPr>
          <w:sz w:val="20"/>
          <w:szCs w:val="20"/>
          <w:color w:val="auto"/>
        </w:rPr>
      </w:pPr>
    </w:p>
    <w:p>
      <w:pPr>
        <w:spacing w:after="0" w:line="203" w:lineRule="exact"/>
        <w:rPr>
          <w:sz w:val="20"/>
          <w:szCs w:val="20"/>
          <w:color w:val="auto"/>
        </w:rPr>
      </w:pPr>
    </w:p>
    <w:p>
      <w:pPr>
        <w:ind w:left="820" w:hanging="812"/>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as of December 31,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7, 2017</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2017</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Executive Vice President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4"/>
    </w:lvl>
  </w:abstractNum>
  <w:abstractNum w:abstractNumId="24">
    <w:nsid w:val="2901D82"/>
    <w:multiLevelType w:val="hybridMultilevel"/>
    <w:lvl w:ilvl="0">
      <w:lvlJc w:val="left"/>
      <w:lvlText w:val="%1"/>
      <w:numFmt w:val="decimal"/>
      <w:start w:val="14"/>
    </w:lvl>
  </w:abstractNum>
  <w:abstractNum w:abstractNumId="25">
    <w:nsid w:val="3A95F874"/>
    <w:multiLevelType w:val="hybridMultilevel"/>
    <w:lvl w:ilvl="0">
      <w:lvlJc w:val="left"/>
      <w:lvlText w:val="%1"/>
      <w:numFmt w:val="decimal"/>
      <w:start w:val="2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5"/>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2019-12-29T07:58:09Z</dcterms:created>
  <dcterms:modified xsi:type="dcterms:W3CDTF">2019-12-29T07:58:09Z</dcterms:modified>
</cp:coreProperties>
</file>