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ANNUAL REPORT UNDER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001-14116</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California</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760" w:type="dxa"/>
            <w:vAlign w:val="bottom"/>
          </w:tcPr>
          <w:p>
            <w:pPr>
              <w:jc w:val="right"/>
              <w:ind w:right="1070"/>
              <w:spacing w:after="0"/>
              <w:rPr>
                <w:sz w:val="20"/>
                <w:szCs w:val="20"/>
                <w:color w:val="auto"/>
              </w:rPr>
            </w:pPr>
            <w:r>
              <w:rPr>
                <w:rFonts w:ascii="Arial" w:cs="Arial" w:eastAsia="Arial" w:hAnsi="Arial"/>
                <w:sz w:val="18"/>
                <w:szCs w:val="18"/>
                <w:b w:val="1"/>
                <w:bCs w:val="1"/>
                <w:color w:val="auto"/>
              </w:rPr>
              <w:t>89169</w:t>
            </w:r>
          </w:p>
        </w:tc>
      </w:tr>
      <w:tr>
        <w:trPr>
          <w:trHeight w:val="234"/>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182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200" w:type="dxa"/>
            <w:vAlign w:val="bottom"/>
            <w:gridSpan w:val="2"/>
          </w:tcPr>
          <w:p>
            <w:pPr>
              <w:jc w:val="center"/>
              <w:ind w:right="1840"/>
              <w:spacing w:after="0"/>
              <w:rPr>
                <w:sz w:val="20"/>
                <w:szCs w:val="20"/>
                <w:color w:val="auto"/>
              </w:rPr>
            </w:pPr>
            <w:r>
              <w:rPr>
                <w:rFonts w:ascii="Arial" w:cs="Arial" w:eastAsia="Arial" w:hAnsi="Arial"/>
                <w:sz w:val="18"/>
                <w:szCs w:val="18"/>
                <w:color w:val="auto"/>
                <w:w w:val="90"/>
              </w:rPr>
              <w:t>Title of Each Class</w:t>
            </w:r>
          </w:p>
        </w:tc>
        <w:tc>
          <w:tcPr>
            <w:tcW w:w="1520" w:type="dxa"/>
            <w:vAlign w:val="bottom"/>
          </w:tcPr>
          <w:p>
            <w:pPr>
              <w:spacing w:after="0"/>
              <w:rPr>
                <w:sz w:val="17"/>
                <w:szCs w:val="17"/>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560" w:type="dxa"/>
            <w:vAlign w:val="bottom"/>
            <w:gridSpan w:val="3"/>
          </w:tcPr>
          <w:p>
            <w:pPr>
              <w:jc w:val="center"/>
              <w:ind w:right="1460"/>
              <w:spacing w:after="0"/>
              <w:rPr>
                <w:sz w:val="20"/>
                <w:szCs w:val="20"/>
                <w:color w:val="auto"/>
              </w:rPr>
            </w:pPr>
            <w:r>
              <w:rPr>
                <w:rFonts w:ascii="Arial" w:cs="Arial" w:eastAsia="Arial" w:hAnsi="Arial"/>
                <w:sz w:val="18"/>
                <w:szCs w:val="18"/>
                <w:color w:val="auto"/>
                <w:w w:val="90"/>
              </w:rPr>
              <w:t>Common Stock, no par value</w:t>
            </w:r>
          </w:p>
        </w:tc>
        <w:tc>
          <w:tcPr>
            <w:tcW w:w="4940" w:type="dxa"/>
            <w:vAlign w:val="bottom"/>
            <w:gridSpan w:val="3"/>
          </w:tcPr>
          <w:p>
            <w:pPr>
              <w:jc w:val="center"/>
              <w:ind w:left="1350"/>
              <w:spacing w:after="0"/>
              <w:rPr>
                <w:sz w:val="20"/>
                <w:szCs w:val="20"/>
                <w:color w:val="auto"/>
              </w:rPr>
            </w:pPr>
            <w:r>
              <w:rPr>
                <w:rFonts w:ascii="Arial" w:cs="Arial" w:eastAsia="Arial" w:hAnsi="Arial"/>
                <w:sz w:val="18"/>
                <w:szCs w:val="18"/>
                <w:color w:val="auto"/>
                <w:w w:val="93"/>
              </w:rPr>
              <w:t>The Nasdaq Stock Market LLC (Global Market)</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7140"/>
        <w:spacing w:after="0"/>
        <w:tabs>
          <w:tab w:leader="none" w:pos="7860" w:val="left"/>
        </w:tabs>
        <w:rPr>
          <w:sz w:val="20"/>
          <w:szCs w:val="20"/>
          <w:color w:val="auto"/>
        </w:rPr>
      </w:pPr>
      <w:r>
        <w:rPr>
          <w:rFonts w:ascii="Arial" w:cs="Arial" w:eastAsia="Arial" w:hAnsi="Arial"/>
          <w:sz w:val="18"/>
          <w:szCs w:val="18"/>
          <w:color w:val="auto"/>
        </w:rPr>
        <w:t>Yes [_]</w:t>
        <w:tab/>
        <w:t>No [X]</w:t>
      </w:r>
    </w:p>
    <w:p>
      <w:pPr>
        <w:spacing w:after="0" w:line="211" w:lineRule="exact"/>
        <w:rPr>
          <w:sz w:val="24"/>
          <w:szCs w:val="24"/>
          <w:color w:val="auto"/>
        </w:rPr>
      </w:pPr>
    </w:p>
    <w:p>
      <w:pPr>
        <w:ind w:left="7140" w:right="2020" w:hanging="7130"/>
        <w:spacing w:after="0" w:line="308" w:lineRule="auto"/>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[_] No [X]</w:t>
      </w:r>
    </w:p>
    <w:p>
      <w:pPr>
        <w:spacing w:after="0" w:line="147"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w:t>
      </w:r>
    </w:p>
    <w:p>
      <w:pPr>
        <w:ind w:left="7140"/>
        <w:spacing w:after="0"/>
        <w:tabs>
          <w:tab w:leader="none" w:pos="7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[_]</w:t>
      </w:r>
    </w:p>
    <w:p>
      <w:pPr>
        <w:spacing w:after="0" w:line="211"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[X] No[_]</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right="16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[_]</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[_]</w:t>
      </w:r>
      <w:r>
        <w:rPr>
          <w:sz w:val="20"/>
          <w:szCs w:val="20"/>
          <w:color w:val="auto"/>
        </w:rPr>
        <w:tab/>
      </w:r>
      <w:r>
        <w:rPr>
          <w:rFonts w:ascii="Arial" w:cs="Arial" w:eastAsia="Arial" w:hAnsi="Arial"/>
          <w:sz w:val="16"/>
          <w:szCs w:val="16"/>
          <w:color w:val="auto"/>
        </w:rPr>
        <w:t>Smaller reporting company [X]</w:t>
      </w:r>
    </w:p>
    <w:p>
      <w:pPr>
        <w:sectPr>
          <w:pgSz w:w="11900" w:h="16838" w:orient="portrait"/>
          <w:cols w:equalWidth="0" w:num="1">
            <w:col w:w="11400"/>
          </w:cols>
          <w:pgMar w:left="240" w:top="355" w:right="25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[_]</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3">
            <w:col w:w="8500" w:space="260"/>
            <w:col w:w="220" w:space="260"/>
            <w:col w:w="2160"/>
          </w:cols>
          <w:pgMar w:left="240" w:top="355" w:right="259" w:bottom="1440" w:gutter="0" w:footer="0" w:header="0"/>
          <w:type w:val="continuous"/>
        </w:sectPr>
      </w:pPr>
    </w:p>
    <w:p>
      <w:pPr>
        <w:spacing w:after="0" w:line="25"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The aggregate market value of the 14,928,466 shares of the registrant’s common stock held by non-affiliates as of the date of filing of this report, based upon the closing price of the registrant’s common stock of $4.07 per share reported by Nasdaq as of June 30, 2018, was approximately $60,758,857.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7, 2019 was 22,148,586.</w:t>
      </w:r>
    </w:p>
    <w:p>
      <w:pPr>
        <w:spacing w:after="0" w:line="18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2019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r>
      <w:tr>
        <w:trPr>
          <w:trHeight w:val="392"/>
        </w:trPr>
        <w:tc>
          <w:tcPr>
            <w:tcW w:w="64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520" w:type="dxa"/>
            <w:vAlign w:val="bottom"/>
            <w:gridSpan w:val="19"/>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1</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7260" w:type="dxa"/>
            <w:vAlign w:val="bottom"/>
            <w:gridSpan w:val="17"/>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Unresolved Staff Comments</w:t>
              </w:r>
            </w:hyperlink>
          </w:p>
        </w:tc>
        <w:tc>
          <w:tcPr>
            <w:tcW w:w="6120" w:type="dxa"/>
            <w:vAlign w:val="bottom"/>
            <w:gridSpan w:val="12"/>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27</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816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2"/>
        </w:trPr>
        <w:tc>
          <w:tcPr>
            <w:tcW w:w="15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1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1080" w:type="dxa"/>
            <w:vAlign w:val="bottom"/>
          </w:tcPr>
          <w:p>
            <w:pPr>
              <w:ind w:left="60"/>
              <w:spacing w:after="0"/>
              <w:rPr>
                <w:sz w:val="20"/>
                <w:szCs w:val="20"/>
                <w:color w:val="auto"/>
              </w:rPr>
            </w:pPr>
            <w:r>
              <w:rPr>
                <w:rFonts w:ascii="Arial" w:cs="Arial" w:eastAsia="Arial" w:hAnsi="Arial"/>
                <w:sz w:val="18"/>
                <w:szCs w:val="18"/>
                <w:color w:val="auto"/>
                <w:w w:val="89"/>
              </w:rPr>
              <w:t>not applicable</w:t>
            </w:r>
          </w:p>
        </w:tc>
      </w:tr>
      <w:tr>
        <w:trPr>
          <w:trHeight w:val="190"/>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160" w:type="dxa"/>
            <w:vAlign w:val="bottom"/>
            <w:gridSpan w:val="20"/>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 of the Registrant</w:t>
              </w:r>
            </w:hyperlink>
          </w:p>
        </w:tc>
        <w:tc>
          <w:tcPr>
            <w:tcW w:w="1080" w:type="dxa"/>
            <w:vAlign w:val="bottom"/>
          </w:tcPr>
          <w:p>
            <w:pPr>
              <w:ind w:left="60"/>
              <w:spacing w:after="0" w:line="190" w:lineRule="exact"/>
              <w:rPr>
                <w:sz w:val="20"/>
                <w:szCs w:val="20"/>
                <w:color w:val="auto"/>
              </w:rPr>
            </w:pPr>
            <w:r>
              <w:rPr>
                <w:rFonts w:ascii="Arial" w:cs="Arial" w:eastAsia="Arial" w:hAnsi="Arial"/>
                <w:sz w:val="18"/>
                <w:szCs w:val="18"/>
                <w:color w:val="auto"/>
              </w:rPr>
              <w:t>28</w:t>
            </w:r>
          </w:p>
        </w:tc>
      </w:tr>
      <w:tr>
        <w:trPr>
          <w:trHeight w:val="412"/>
        </w:trPr>
        <w:tc>
          <w:tcPr>
            <w:tcW w:w="150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840" w:type="dxa"/>
            <w:vAlign w:val="bottom"/>
            <w:gridSpan w:val="3"/>
          </w:tcPr>
          <w:p>
            <w:pPr>
              <w:spacing w:after="0"/>
              <w:rPr>
                <w:sz w:val="17"/>
                <w:szCs w:val="17"/>
                <w:color w:val="auto"/>
              </w:rPr>
            </w:pPr>
          </w:p>
        </w:tc>
        <w:tc>
          <w:tcPr>
            <w:tcW w:w="8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40" w:type="dxa"/>
            <w:vAlign w:val="bottom"/>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30</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1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31</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gridSpan w:val="4"/>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34</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3800" w:type="dxa"/>
            <w:vAlign w:val="bottom"/>
            <w:gridSpan w:val="6"/>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81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54</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1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660" w:type="dxa"/>
            <w:vAlign w:val="bottom"/>
            <w:gridSpan w:val="3"/>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6400" w:type="dxa"/>
            <w:vAlign w:val="bottom"/>
            <w:gridSpan w:val="14"/>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55</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7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16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4080" w:type="dxa"/>
            <w:vAlign w:val="bottom"/>
            <w:gridSpan w:val="7"/>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816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 Stockholder Matters</w:t>
              </w:r>
            </w:hyperlink>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880" w:type="dxa"/>
            <w:vAlign w:val="bottom"/>
            <w:gridSpan w:val="2"/>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5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Accountant Fees and Services</w:t>
              </w:r>
            </w:hyperlink>
          </w:p>
        </w:tc>
        <w:tc>
          <w:tcPr>
            <w:tcW w:w="2720" w:type="dxa"/>
            <w:vAlign w:val="bottom"/>
            <w:gridSpan w:val="5"/>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56</w:t>
            </w:r>
          </w:p>
        </w:tc>
      </w:tr>
      <w:tr>
        <w:trPr>
          <w:trHeight w:val="412"/>
        </w:trPr>
        <w:tc>
          <w:tcPr>
            <w:tcW w:w="1500" w:type="dxa"/>
            <w:vAlign w:val="bottom"/>
            <w:gridSpan w:val="5"/>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780" w:type="dxa"/>
            <w:vAlign w:val="bottom"/>
            <w:gridSpan w:val="2"/>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Exhibits, Financial Statement Schedules</w:t>
              </w:r>
            </w:hyperlink>
          </w:p>
        </w:tc>
        <w:tc>
          <w:tcPr>
            <w:tcW w:w="5260" w:type="dxa"/>
            <w:vAlign w:val="bottom"/>
            <w:gridSpan w:val="9"/>
          </w:tcPr>
          <w:p>
            <w:pPr>
              <w:spacing w:after="0"/>
              <w:rPr>
                <w:sz w:val="17"/>
                <w:szCs w:val="17"/>
                <w:color w:val="auto"/>
              </w:rPr>
            </w:pPr>
          </w:p>
        </w:tc>
        <w:tc>
          <w:tcPr>
            <w:tcW w:w="1080" w:type="dxa"/>
            <w:vAlign w:val="bottom"/>
          </w:tcPr>
          <w:p>
            <w:pPr>
              <w:ind w:left="60"/>
              <w:spacing w:after="0" w:line="196" w:lineRule="exact"/>
              <w:rPr>
                <w:sz w:val="20"/>
                <w:szCs w:val="20"/>
                <w:color w:val="auto"/>
              </w:rPr>
            </w:pPr>
            <w:r>
              <w:rPr>
                <w:rFonts w:ascii="Arial" w:cs="Arial" w:eastAsia="Arial" w:hAnsi="Arial"/>
                <w:sz w:val="18"/>
                <w:szCs w:val="18"/>
                <w:color w:val="auto"/>
              </w:rPr>
              <w:t>57</w:t>
            </w:r>
          </w:p>
        </w:tc>
      </w:tr>
      <w:tr>
        <w:trPr>
          <w:trHeight w:val="412"/>
        </w:trPr>
        <w:tc>
          <w:tcPr>
            <w:tcW w:w="2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Index to Financial Statements</w:t>
              </w:r>
            </w:hyperlink>
          </w:p>
        </w:tc>
        <w:tc>
          <w:tcPr>
            <w:tcW w:w="7440" w:type="dxa"/>
            <w:vAlign w:val="bottom"/>
            <w:gridSpan w:val="18"/>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796"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specialty finance company. Our primary business is to purchase and service retail automobile contracts originated primarily by franchised automobile dealers and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We also offer financing directly to sub-prime consumers to facilitate their purchase of a new or used automobile, light truck or passenger van. In this report, we refer to all of such contracts and loans as "automobile contracts" and all such purchases or acquisitions as “originations” or “acquisitions”.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were incorporated and began our operations in March 1991. We consist of Consumer Portfolio Services, Inc. and subsidiaries (collectively, “we,” “us,” “CPS” or “the Company”). From inception through December 31, 2018, we have purchased a total of approximately $15.2 billion of automobile contracts from dealers. In addition, we acquired a total of approximately $822.3 million of automobile contracts in mergers and acquisitions in 2002, 2003, 2004 and, most recently in September 2011. Contract purchase volumes and managed portfolio levels for the five years ended December 31, 2018 are shown in the table below. Managed portfolio comprises both contracts we owned and those we were servicing for non-affiliates.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4"/>
          </w:tcPr>
          <w:p>
            <w:pPr>
              <w:ind w:left="11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Contracts</w:t>
            </w:r>
          </w:p>
        </w:tc>
        <w:tc>
          <w:tcPr>
            <w:tcW w:w="1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6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3300" w:type="dxa"/>
            <w:vAlign w:val="bottom"/>
            <w:gridSpan w:val="2"/>
          </w:tcPr>
          <w:p>
            <w:pPr>
              <w:ind w:left="1340"/>
              <w:spacing w:after="0"/>
              <w:rPr>
                <w:sz w:val="20"/>
                <w:szCs w:val="20"/>
                <w:color w:val="auto"/>
              </w:rPr>
            </w:pPr>
            <w:r>
              <w:rPr>
                <w:rFonts w:ascii="Arial" w:cs="Arial" w:eastAsia="Arial" w:hAnsi="Arial"/>
                <w:sz w:val="18"/>
                <w:szCs w:val="18"/>
                <w:b w:val="1"/>
                <w:bCs w:val="1"/>
                <w:color w:val="auto"/>
              </w:rPr>
              <w:t>Year</w:t>
            </w: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Period</w:t>
            </w: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3040" w:type="dxa"/>
            <w:vAlign w:val="bottom"/>
            <w:tcBorders>
              <w:top w:val="single" w:sz="8" w:color="auto"/>
            </w:tcBorders>
            <w:shd w:val="clear" w:color="auto" w:fill="EEEEEE"/>
          </w:tcPr>
          <w:p>
            <w:pPr>
              <w:ind w:left="1340"/>
              <w:spacing w:after="0"/>
              <w:rPr>
                <w:sz w:val="20"/>
                <w:szCs w:val="20"/>
                <w:color w:val="auto"/>
              </w:rPr>
            </w:pPr>
            <w:r>
              <w:rPr>
                <w:rFonts w:ascii="Arial" w:cs="Arial" w:eastAsia="Arial" w:hAnsi="Arial"/>
                <w:sz w:val="18"/>
                <w:szCs w:val="18"/>
                <w:color w:val="auto"/>
              </w:rPr>
              <w:t>2014</w:t>
            </w:r>
          </w:p>
        </w:tc>
        <w:tc>
          <w:tcPr>
            <w:tcW w:w="26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26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3040" w:type="dxa"/>
            <w:vAlign w:val="bottom"/>
          </w:tcPr>
          <w:p>
            <w:pPr>
              <w:ind w:left="13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1,060,538</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2,031,136</w:t>
            </w:r>
          </w:p>
        </w:tc>
        <w:tc>
          <w:tcPr>
            <w:tcW w:w="60" w:type="dxa"/>
            <w:vAlign w:val="bottom"/>
          </w:tcPr>
          <w:p>
            <w:pPr>
              <w:spacing w:after="0"/>
              <w:rPr>
                <w:sz w:val="18"/>
                <w:szCs w:val="18"/>
                <w:color w:val="auto"/>
              </w:rPr>
            </w:pPr>
          </w:p>
        </w:tc>
      </w:tr>
      <w:tr>
        <w:trPr>
          <w:trHeight w:val="216"/>
        </w:trPr>
        <w:tc>
          <w:tcPr>
            <w:tcW w:w="3040" w:type="dxa"/>
            <w:vAlign w:val="bottom"/>
            <w:shd w:val="clear" w:color="auto" w:fill="EEEEEE"/>
          </w:tcPr>
          <w:p>
            <w:pPr>
              <w:ind w:left="1340"/>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26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60" w:type="dxa"/>
            <w:vAlign w:val="bottom"/>
            <w:shd w:val="clear" w:color="auto" w:fill="EEEEEE"/>
          </w:tcPr>
          <w:p>
            <w:pPr>
              <w:spacing w:after="0"/>
              <w:rPr>
                <w:sz w:val="18"/>
                <w:szCs w:val="18"/>
                <w:color w:val="auto"/>
              </w:rPr>
            </w:pPr>
          </w:p>
        </w:tc>
      </w:tr>
      <w:tr>
        <w:trPr>
          <w:trHeight w:val="216"/>
        </w:trPr>
        <w:tc>
          <w:tcPr>
            <w:tcW w:w="3040" w:type="dxa"/>
            <w:vAlign w:val="bottom"/>
          </w:tcPr>
          <w:p>
            <w:pPr>
              <w:ind w:left="13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859,069</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2,333,530</w:t>
            </w:r>
          </w:p>
        </w:tc>
        <w:tc>
          <w:tcPr>
            <w:tcW w:w="60" w:type="dxa"/>
            <w:vAlign w:val="bottom"/>
          </w:tcPr>
          <w:p>
            <w:pPr>
              <w:spacing w:after="0"/>
              <w:rPr>
                <w:sz w:val="18"/>
                <w:szCs w:val="18"/>
                <w:color w:val="auto"/>
              </w:rPr>
            </w:pPr>
          </w:p>
        </w:tc>
      </w:tr>
      <w:tr>
        <w:trPr>
          <w:trHeight w:val="216"/>
        </w:trPr>
        <w:tc>
          <w:tcPr>
            <w:tcW w:w="3040" w:type="dxa"/>
            <w:vAlign w:val="bottom"/>
            <w:shd w:val="clear" w:color="auto" w:fill="EEEEEE"/>
          </w:tcPr>
          <w:p>
            <w:pPr>
              <w:ind w:left="134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26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6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2018, we had 81 marketing representatives and in that month we received applications from 8,201 dealers in 46 states. As of December 31, 2018, approximately 74% of our active dealers were franchised new car dealers that sell both new and used vehicles, and the remainder were independent used car dealers.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both"/>
        <w:ind w:firstLine="648"/>
        <w:spacing w:after="0" w:line="291" w:lineRule="auto"/>
        <w:rPr>
          <w:sz w:val="20"/>
          <w:szCs w:val="20"/>
          <w:color w:val="auto"/>
        </w:rPr>
      </w:pPr>
      <w:r>
        <w:rPr>
          <w:rFonts w:ascii="Arial" w:cs="Arial" w:eastAsia="Arial" w:hAnsi="Arial"/>
          <w:sz w:val="16"/>
          <w:szCs w:val="16"/>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 During the year ended December 31, 2018 automobile contracts originated under the direct lending platform represented 2.8% of our total acquisitions and represented 1.6% of our outstanding managed portfolio as of December 31, 2018. Regardless of whether an automobile contract is originated from one of our dealers or through our direct lending platform, the discussion that follows regarding our acquisitions guidelines, procedures and demographic statistics applies to all of our originated contracts.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2018, approximately 74% of the automobile contracts originated under our programs consisted of financing for used cars and 26% consisted of financing for new cars, as compared to 75% financing for used cars and 25% for new cars in the year ended December 31,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80 term securitizations of approximately $13.4 billion in automobile contracts. We depend upon the availability of short-term warehouse credit facilities as interim financing for our contract purchases prior to the time we pool those contracts for a securitization. As of December 31, 2018 we have three such short-term warehouse facilities, each with a maximum borrowing amount of $100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We also have a pass-through arrangement with another lender who sends us applications from their dealers in cases where that lender chooses not to approve those applications. For the year ended December 31, 2018, we received approximately 42% of all applications through DealerTrack (the industry leading dealership application aggregator), 38% through a pass-through arrangement we have with another lender, 16% via another aggregator, Route One and 4% via our website. Our automated application decisioning system produced our initial decision within seconds on approximately 99% of those applications.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18"/>
          <w:szCs w:val="18"/>
          <w:color w:val="auto"/>
        </w:rPr>
        <w:t>Upon receipt an application, if the application meets certain minimum criteria, we immediately order two credit reports to document the buyer's credit history. If, upon review by our proprietary automated decisioning system, or in some cases, one of our credit analysts, we determine that the automobile contract meets our underwriting criteria, we advise the dealer of our decision to approve the contract and the terms under which we will purchase it. In some cases where we don’t grant an approval, we may suggest alternatives from the terms proposed by the dealer or request and review further information from the dealer.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2018, no dealer accounted for as much as 1% of the total number of automobile contracts we purchased.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our direct lending platform, the applicant submits a credit application directly to us via our website, or in some cases, through a third-party who accepts such applications and refers them to us for a fee. In either case, we order two credit reports and process the application with the same automated application decisioning process as described above for applications from dealers. We then advise the applicant as to whether or not we would grant them credit and on what terms.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2018 and 2017.</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3"/>
              </w:rPr>
              <w:t>Contracts Purchased During the Year Ended</w:t>
            </w: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3400" w:type="dxa"/>
            <w:vAlign w:val="bottom"/>
            <w:gridSpan w:val="4"/>
          </w:tcPr>
          <w:p>
            <w:pPr>
              <w:ind w:left="800"/>
              <w:spacing w:after="0"/>
              <w:rPr>
                <w:sz w:val="20"/>
                <w:szCs w:val="20"/>
                <w:color w:val="auto"/>
              </w:rPr>
            </w:pPr>
            <w:r>
              <w:rPr>
                <w:rFonts w:ascii="Arial" w:cs="Arial" w:eastAsia="Arial" w:hAnsi="Arial"/>
                <w:sz w:val="18"/>
                <w:szCs w:val="18"/>
                <w:b w:val="1"/>
                <w:bCs w:val="1"/>
                <w:color w:val="auto"/>
              </w:rPr>
              <w:t>December 31, 2018</w:t>
            </w:r>
          </w:p>
        </w:tc>
        <w:tc>
          <w:tcPr>
            <w:tcW w:w="30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340" w:type="dxa"/>
            <w:vAlign w:val="bottom"/>
          </w:tcPr>
          <w:p>
            <w:pPr>
              <w:spacing w:after="0"/>
              <w:rPr>
                <w:sz w:val="19"/>
                <w:szCs w:val="19"/>
                <w:color w:val="auto"/>
              </w:rPr>
            </w:pPr>
          </w:p>
        </w:tc>
        <w:tc>
          <w:tcPr>
            <w:tcW w:w="170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3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Ohio</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4,641</w:t>
            </w:r>
          </w:p>
        </w:tc>
        <w:tc>
          <w:tcPr>
            <w:tcW w:w="3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3,871</w:t>
            </w: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California</w:t>
            </w:r>
          </w:p>
        </w:tc>
        <w:tc>
          <w:tcPr>
            <w:tcW w:w="1360" w:type="dxa"/>
            <w:vAlign w:val="bottom"/>
          </w:tcPr>
          <w:p>
            <w:pPr>
              <w:jc w:val="right"/>
              <w:spacing w:after="0"/>
              <w:rPr>
                <w:sz w:val="20"/>
                <w:szCs w:val="20"/>
                <w:color w:val="auto"/>
              </w:rPr>
            </w:pPr>
            <w:r>
              <w:rPr>
                <w:rFonts w:ascii="Arial" w:cs="Arial" w:eastAsia="Arial" w:hAnsi="Arial"/>
                <w:sz w:val="18"/>
                <w:szCs w:val="18"/>
                <w:color w:val="auto"/>
              </w:rPr>
              <w:t>4,581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3,762</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North Carolina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3,293</w:t>
            </w:r>
          </w:p>
        </w:tc>
        <w:tc>
          <w:tcPr>
            <w:tcW w:w="1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3,041</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Florida</w:t>
            </w:r>
          </w:p>
        </w:tc>
        <w:tc>
          <w:tcPr>
            <w:tcW w:w="1360" w:type="dxa"/>
            <w:vAlign w:val="bottom"/>
          </w:tcPr>
          <w:p>
            <w:pPr>
              <w:jc w:val="right"/>
              <w:spacing w:after="0"/>
              <w:rPr>
                <w:sz w:val="20"/>
                <w:szCs w:val="20"/>
                <w:color w:val="auto"/>
              </w:rPr>
            </w:pPr>
            <w:r>
              <w:rPr>
                <w:rFonts w:ascii="Arial" w:cs="Arial" w:eastAsia="Arial" w:hAnsi="Arial"/>
                <w:sz w:val="18"/>
                <w:szCs w:val="18"/>
                <w:color w:val="auto"/>
              </w:rPr>
              <w:t>3,157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Indiana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2,720</w:t>
            </w:r>
          </w:p>
        </w:tc>
        <w:tc>
          <w:tcPr>
            <w:tcW w:w="1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1,988</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Texas</w:t>
            </w:r>
          </w:p>
        </w:tc>
        <w:tc>
          <w:tcPr>
            <w:tcW w:w="1360" w:type="dxa"/>
            <w:vAlign w:val="bottom"/>
          </w:tcPr>
          <w:p>
            <w:pPr>
              <w:jc w:val="right"/>
              <w:spacing w:after="0"/>
              <w:rPr>
                <w:sz w:val="20"/>
                <w:szCs w:val="20"/>
                <w:color w:val="auto"/>
              </w:rPr>
            </w:pPr>
            <w:r>
              <w:rPr>
                <w:rFonts w:ascii="Arial" w:cs="Arial" w:eastAsia="Arial" w:hAnsi="Arial"/>
                <w:sz w:val="18"/>
                <w:szCs w:val="18"/>
                <w:color w:val="auto"/>
              </w:rPr>
              <w:t>2,689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2,582</w:t>
            </w:r>
          </w:p>
        </w:tc>
        <w:tc>
          <w:tcPr>
            <w:tcW w:w="1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2,887</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EEEEEE"/>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spacing w:after="0"/>
              <w:rPr>
                <w:sz w:val="20"/>
                <w:szCs w:val="20"/>
                <w:color w:val="auto"/>
              </w:rPr>
            </w:pPr>
            <w:r>
              <w:rPr>
                <w:rFonts w:ascii="Arial" w:cs="Arial" w:eastAsia="Arial" w:hAnsi="Arial"/>
                <w:sz w:val="18"/>
                <w:szCs w:val="18"/>
                <w:color w:val="auto"/>
              </w:rPr>
              <w:t>29,068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30,057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r>
      <w:tr>
        <w:trPr>
          <w:trHeight w:val="223"/>
        </w:trPr>
        <w:tc>
          <w:tcPr>
            <w:tcW w:w="3680" w:type="dxa"/>
            <w:vAlign w:val="bottom"/>
            <w:tcBorders>
              <w:top w:val="single" w:sz="8" w:color="EEEEEE"/>
              <w:bottom w:val="single" w:sz="8" w:color="EEEEEE"/>
            </w:tcBorders>
            <w:shd w:val="clear" w:color="auto" w:fill="EEEEEE"/>
          </w:tcPr>
          <w:p>
            <w:pPr>
              <w:ind w:left="15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52,643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hanging="658"/>
        <w:spacing w:after="0"/>
        <w:tabs>
          <w:tab w:leader="none" w:pos="12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2018 and 2017.</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3"/>
          </w:tcPr>
          <w:p>
            <w:pPr>
              <w:ind w:left="580"/>
              <w:spacing w:after="0"/>
              <w:rPr>
                <w:sz w:val="20"/>
                <w:szCs w:val="20"/>
                <w:color w:val="auto"/>
              </w:rPr>
            </w:pPr>
            <w:r>
              <w:rPr>
                <w:rFonts w:ascii="Arial" w:cs="Arial" w:eastAsia="Arial" w:hAnsi="Arial"/>
                <w:sz w:val="18"/>
                <w:szCs w:val="18"/>
                <w:b w:val="1"/>
                <w:bCs w:val="1"/>
                <w:color w:val="auto"/>
                <w:w w:val="96"/>
              </w:rPr>
              <w:t>December 31, 2018</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State Based on Obligor's Residence</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3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 in millions)</w:t>
            </w: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202.9</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5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191.8</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183.8</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Ohio</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170.4</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150.1</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Florida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North Carolina</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137.8</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123.6</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All others</w:t>
            </w:r>
          </w:p>
        </w:tc>
        <w:tc>
          <w:tcPr>
            <w:tcW w:w="2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320" w:type="dxa"/>
            <w:vAlign w:val="bottom"/>
            <w:tcBorders>
              <w:bottom w:val="single" w:sz="8" w:color="EEEEEE"/>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3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1,555.0</w:t>
            </w:r>
          </w:p>
        </w:tc>
        <w:tc>
          <w:tcPr>
            <w:tcW w:w="340" w:type="dxa"/>
            <w:vAlign w:val="bottom"/>
            <w:tcBorders>
              <w:bottom w:val="single" w:sz="8" w:color="EEEEEE"/>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32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auto"/>
            </w:tcBorders>
            <w:shd w:val="clear" w:color="auto" w:fill="EEEEEE"/>
          </w:tcPr>
          <w:p>
            <w:pPr>
              <w:spacing w:after="0"/>
              <w:rPr>
                <w:sz w:val="19"/>
                <w:szCs w:val="19"/>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340" w:type="dxa"/>
            <w:vAlign w:val="bottom"/>
            <w:tcBorders>
              <w:bottom w:val="single" w:sz="8" w:color="EEEEEE"/>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hanging="658"/>
        <w:spacing w:after="0"/>
        <w:tabs>
          <w:tab w:leader="none" w:pos="12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 w:name="page6"/>
    <w:bookmarkEnd w:id="5"/>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6"/>
              </w:rPr>
              <w:t>Average net acquisition fee charged (paid) to dealers (1)</w:t>
            </w:r>
          </w:p>
        </w:tc>
        <w:tc>
          <w:tcPr>
            <w:tcW w:w="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(238)</w:t>
            </w: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2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w w:val="96"/>
              </w:rPr>
              <w:t>Average net acquisition fee as % of amount financed (1)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Weighted average annual percentage interest rate</w:t>
            </w: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18.3%</w:t>
            </w:r>
          </w:p>
        </w:tc>
        <w:tc>
          <w:tcPr>
            <w:tcW w:w="18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2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2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Not applicable to direct lending platform</w:t>
      </w:r>
    </w:p>
    <w:p>
      <w:pPr>
        <w:spacing w:after="0" w:line="20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pricing strategy is driven by our objectives for new contract purchase quantities and yield. We believe that levels of acquisition fees are determined primarily by competition in the marketplace, which has increased over the periods presented, and also by our pricing strategy. The competitive environment in recent years has resulted in higher fees paid to dealers in conjunction with our contract acquisitions, compared to the years 2016 and earlier when dealers were generally paying us fees. This change in the marketplace has increased our capital requirements for acquiring contracts.</w:t>
      </w:r>
    </w:p>
    <w:p>
      <w:pPr>
        <w:spacing w:after="0" w:line="15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offer eight different financing programs, and price each program according to the relative credit risk. Our programs cover a wide band of the credit spectrum and are labeled as follows:</w:t>
      </w:r>
    </w:p>
    <w:p>
      <w:pPr>
        <w:spacing w:after="0" w:line="170" w:lineRule="exact"/>
        <w:rPr>
          <w:sz w:val="20"/>
          <w:szCs w:val="20"/>
          <w:color w:val="auto"/>
        </w:rPr>
      </w:pPr>
    </w:p>
    <w:p>
      <w:pPr>
        <w:ind w:left="140" w:right="40" w:firstLine="648"/>
        <w:spacing w:after="0" w:line="259" w:lineRule="auto"/>
        <w:rPr>
          <w:sz w:val="20"/>
          <w:szCs w:val="20"/>
          <w:color w:val="auto"/>
        </w:rPr>
      </w:pPr>
      <w:r>
        <w:rPr>
          <w:rFonts w:ascii="Arial" w:cs="Arial" w:eastAsia="Arial" w:hAnsi="Arial"/>
          <w:sz w:val="18"/>
          <w:szCs w:val="18"/>
          <w:u w:val="single" w:color="auto"/>
          <w:color w:val="auto"/>
        </w:rPr>
        <w:t>Bravo</w:t>
      </w:r>
      <w:r>
        <w:rPr>
          <w:rFonts w:ascii="Arial" w:cs="Arial" w:eastAsia="Arial" w:hAnsi="Arial"/>
          <w:sz w:val="18"/>
          <w:szCs w:val="18"/>
          <w:color w:val="auto"/>
        </w:rPr>
        <w:t xml:space="preserve"> - this program accommodates an applicant with significant past non-performing credit including recent derogatory credit. Advance rates are lowest of all of our programs to offset the greater risk. To offset the low up-front advance to the dealer, we agree to pay the dealer a portion of future payments we receive from the obligor, depending on loan performance. The Bravo program was introduced in November of 2015 and was terminated in November of 2018.</w:t>
      </w:r>
    </w:p>
    <w:p>
      <w:pPr>
        <w:spacing w:after="0" w:line="187" w:lineRule="exact"/>
        <w:rPr>
          <w:sz w:val="20"/>
          <w:szCs w:val="20"/>
          <w:color w:val="auto"/>
        </w:rPr>
      </w:pPr>
    </w:p>
    <w:p>
      <w:pPr>
        <w:ind w:left="140" w:right="20" w:firstLine="648"/>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left="140" w:right="80" w:firstLine="648"/>
        <w:spacing w:after="0" w:line="264"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81" w:lineRule="exact"/>
        <w:rPr>
          <w:sz w:val="20"/>
          <w:szCs w:val="20"/>
          <w:color w:val="auto"/>
        </w:rPr>
      </w:pPr>
    </w:p>
    <w:p>
      <w:pPr>
        <w:ind w:left="140" w:right="20" w:firstLine="648"/>
        <w:spacing w:after="0" w:line="264"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1" w:lineRule="exact"/>
        <w:rPr>
          <w:sz w:val="20"/>
          <w:szCs w:val="20"/>
          <w:color w:val="auto"/>
        </w:rPr>
      </w:pPr>
    </w:p>
    <w:p>
      <w:pPr>
        <w:ind w:left="140" w:right="280" w:firstLine="648"/>
        <w:spacing w:after="0" w:line="312"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ind w:left="140" w:right="60" w:firstLine="648"/>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ind w:left="140" w:right="40" w:firstLine="648"/>
        <w:spacing w:after="0" w:line="264"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1" w:lineRule="exact"/>
        <w:rPr>
          <w:sz w:val="20"/>
          <w:szCs w:val="20"/>
          <w:color w:val="auto"/>
        </w:rPr>
      </w:pPr>
    </w:p>
    <w:p>
      <w:pPr>
        <w:jc w:val="both"/>
        <w:ind w:left="140" w:right="180" w:firstLine="648"/>
        <w:spacing w:after="0" w:line="264"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79% of our new contract acquisitions in 2018, and 73% in 2017 and 2016, measured by aggregate amount financed.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2018 and 2017.</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December 31, 2018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5"/>
          </w:tcPr>
          <w:p>
            <w:pPr>
              <w:ind w:left="5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40" w:type="dxa"/>
            <w:vAlign w:val="bottom"/>
            <w:gridSpan w:val="3"/>
          </w:tcPr>
          <w:p>
            <w:pPr>
              <w:jc w:val="right"/>
              <w:ind w:right="1565"/>
              <w:spacing w:after="0"/>
              <w:rPr>
                <w:sz w:val="20"/>
                <w:szCs w:val="20"/>
                <w:color w:val="auto"/>
              </w:rPr>
            </w:pPr>
            <w:r>
              <w:rPr>
                <w:rFonts w:ascii="Arial" w:cs="Arial" w:eastAsia="Arial" w:hAnsi="Arial"/>
                <w:sz w:val="18"/>
                <w:szCs w:val="18"/>
                <w:b w:val="1"/>
                <w:bCs w:val="1"/>
                <w:color w:val="auto"/>
                <w:w w:val="91"/>
              </w:rPr>
              <w:t>Program</w:t>
            </w: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Financed</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Financed</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 (1)</w:t>
            </w: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19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52,774</w:t>
            </w:r>
          </w:p>
        </w:tc>
        <w:tc>
          <w:tcPr>
            <w:tcW w:w="3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30,239</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Super Alpha</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93,581</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62,159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1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196,555</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149,918</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Alpha</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372,156</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386,554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1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103,642</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111,963</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9"/>
              </w:rPr>
              <w:t>Mercury / Delta</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55,745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71,453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w w:val="92"/>
              </w:rPr>
              <w:t>First Time Buyer</w:t>
            </w:r>
          </w:p>
        </w:tc>
        <w:tc>
          <w:tcPr>
            <w:tcW w:w="1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23,569</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38,779</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Bravo</w:t>
            </w:r>
          </w:p>
        </w:tc>
        <w:tc>
          <w:tcPr>
            <w:tcW w:w="19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30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34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EEEEEE"/>
            </w:tcBorders>
            <w:shd w:val="clear" w:color="auto" w:fill="EEEEEE"/>
          </w:tcPr>
          <w:p>
            <w:pPr>
              <w:spacing w:after="0"/>
              <w:rPr>
                <w:sz w:val="19"/>
                <w:szCs w:val="19"/>
                <w:color w:val="auto"/>
              </w:rPr>
            </w:pPr>
          </w:p>
        </w:tc>
        <w:tc>
          <w:tcPr>
            <w:tcW w:w="19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3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34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ind w:firstLine="648"/>
        <w:spacing w:after="0" w:line="268" w:lineRule="auto"/>
        <w:rPr>
          <w:sz w:val="20"/>
          <w:szCs w:val="20"/>
          <w:color w:val="auto"/>
        </w:rPr>
      </w:pPr>
      <w:r>
        <w:rPr>
          <w:rFonts w:ascii="Arial" w:cs="Arial" w:eastAsia="Arial" w:hAnsi="Arial"/>
          <w:sz w:val="17"/>
          <w:szCs w:val="17"/>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in excess of 150,000 miles. The maximum term of a purchased contract is 72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each automobile contract two internal "credit scores" at the time the application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and the customer's credit information is retrieved from the credit reporting agencies. These proprietary scores are used to help determine whether or not we want to approve the application and, if so, the program and pricing we will offer either to the dealer, or in the case of our direct lending platform, directly to the customer. Our internal credit scores are based on a variety of parameters including the customer's credit history, data derived from alternative sources such as utilities, telecom, and social media, length of employment, residence stability and total income. Once a vehicle is selected by the customer and a proposed deal structure is provided to us, our scores will then consider various deal structure parameters such as down payment amount, loan to value and the make and mileage of the vehicle.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8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2018 and 2017:</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ind w:left="140"/>
              <w:spacing w:after="0"/>
              <w:rPr>
                <w:sz w:val="20"/>
                <w:szCs w:val="20"/>
                <w:color w:val="auto"/>
              </w:rPr>
            </w:pPr>
            <w:r>
              <w:rPr>
                <w:rFonts w:ascii="Arial" w:cs="Arial" w:eastAsia="Arial" w:hAnsi="Arial"/>
                <w:sz w:val="18"/>
                <w:szCs w:val="18"/>
                <w:b w:val="1"/>
                <w:bCs w:val="1"/>
                <w:color w:val="auto"/>
              </w:rPr>
              <w:t>Contracts Purchased During the 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December 31, 2018</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December 31, 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1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17,114</w:t>
            </w:r>
          </w:p>
        </w:tc>
        <w:tc>
          <w:tcPr>
            <w:tcW w:w="4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16,319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Average Original Term</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69 months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68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9.1%</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16,184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4 years</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center"/>
              <w:ind w:right="1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43 years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center"/>
              <w:ind w:right="18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56,000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6"/>
          <w:szCs w:val="16"/>
          <w:b w:val="1"/>
          <w:bCs w:val="1"/>
          <w:color w:val="auto"/>
        </w:rPr>
        <w:t>.</w:t>
      </w:r>
      <w:r>
        <w:rPr>
          <w:rFonts w:ascii="Arial" w:cs="Arial" w:eastAsia="Arial" w:hAnsi="Arial"/>
          <w:sz w:val="16"/>
          <w:szCs w:val="16"/>
          <w:color w:val="auto"/>
        </w:rPr>
        <w:t xml:space="preserve"> The servicing fee is included in interest income for contracts that are pledged to a warehouse credit facility or a securitization transaction.</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Collection Procedures. </w:t>
      </w:r>
      <w:r>
        <w:rPr>
          <w:rFonts w:ascii="Arial" w:cs="Arial" w:eastAsia="Arial" w:hAnsi="Arial"/>
          <w:sz w:val="17"/>
          <w:szCs w:val="17"/>
          <w:color w:val="auto"/>
        </w:rPr>
        <w:t>We believe that our ability to monitor performance and collect payments owed from sub-prime customers is primarily a</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attempt to make telephonic contact with delinquent customers from one to 20 days after their monthly payment due date, depending on our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6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If we elect to repossess the vehicle, we assign the task to an independent national repossession service. Such services are licensed and/or bonded as required by law. Upon recovery it stored until it is picked up by a wholesale auction that we designate,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6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9" w:name="page10"/>
    <w:bookmarkEnd w:id="9"/>
    <w:p>
      <w:pPr>
        <w:ind w:firstLine="648"/>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represented in the tables below, was 23 months, 21 months and 18 months as of December 31, 2018, December 31, 2017, and December 31, 2016,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became subject to a consent decree that required that we implement procedural changes in our servicing practices, which changes may have contributed to somewhat higher delinquencies, extensions and net losses compared to prior periods. The tables below document the delinquency, repossession and net credit loss experience of all such automobile contracts that we were servicing as of the respective dates shown. The tables do not include the experience of third party servicing portfolios, because we do not bear the credit risk on such portfolios.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 w:name="page11"/>
    <w:bookmarkEnd w:id="10"/>
    <w:p>
      <w:pPr>
        <w:ind w:left="4000"/>
        <w:spacing w:after="0"/>
        <w:rPr>
          <w:sz w:val="20"/>
          <w:szCs w:val="20"/>
          <w:color w:val="auto"/>
        </w:rPr>
      </w:pPr>
      <w:r>
        <w:rPr>
          <w:rFonts w:ascii="Arial" w:cs="Arial" w:eastAsia="Arial" w:hAnsi="Arial"/>
          <w:sz w:val="15"/>
          <w:szCs w:val="15"/>
          <w:b w:val="1"/>
          <w:bCs w:val="1"/>
          <w:color w:val="auto"/>
        </w:rPr>
        <w:t>Delinquency, Repossession and Extension Experience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Delinquency and Extension Experience (1)</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Owned Portfolio</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Delinquency Experience</w:t>
      </w:r>
    </w:p>
    <w:p>
      <w:pPr>
        <w:spacing w:after="0" w:line="221" w:lineRule="auto"/>
        <w:rPr>
          <w:sz w:val="20"/>
          <w:szCs w:val="20"/>
          <w:color w:val="auto"/>
        </w:rPr>
      </w:pPr>
      <w:r>
        <w:rPr>
          <w:rFonts w:ascii="Arial" w:cs="Arial" w:eastAsia="Arial" w:hAnsi="Arial"/>
          <w:sz w:val="14"/>
          <w:szCs w:val="14"/>
          <w:color w:val="auto"/>
        </w:rPr>
        <w:t>Gross servicing portfolio (1)</w:t>
      </w:r>
    </w:p>
    <w:p>
      <w:pPr>
        <w:spacing w:after="0" w:line="221" w:lineRule="auto"/>
        <w:rPr>
          <w:sz w:val="20"/>
          <w:szCs w:val="20"/>
          <w:color w:val="auto"/>
        </w:rPr>
      </w:pPr>
      <w:r>
        <w:rPr>
          <w:rFonts w:ascii="Arial" w:cs="Arial" w:eastAsia="Arial" w:hAnsi="Arial"/>
          <w:sz w:val="14"/>
          <w:szCs w:val="14"/>
          <w:color w:val="auto"/>
        </w:rPr>
        <w:t>Period of delinquency (2)</w:t>
      </w:r>
    </w:p>
    <w:p>
      <w:pPr>
        <w:spacing w:after="0" w:line="222" w:lineRule="auto"/>
        <w:rPr>
          <w:sz w:val="20"/>
          <w:szCs w:val="20"/>
          <w:color w:val="auto"/>
        </w:rPr>
      </w:pPr>
      <w:r>
        <w:rPr>
          <w:rFonts w:ascii="Arial" w:cs="Arial" w:eastAsia="Arial" w:hAnsi="Arial"/>
          <w:sz w:val="14"/>
          <w:szCs w:val="14"/>
          <w:color w:val="auto"/>
        </w:rPr>
        <w:t>31-60 days</w:t>
      </w:r>
    </w:p>
    <w:p>
      <w:pPr>
        <w:spacing w:after="0" w:line="221" w:lineRule="auto"/>
        <w:rPr>
          <w:sz w:val="20"/>
          <w:szCs w:val="20"/>
          <w:color w:val="auto"/>
        </w:rPr>
      </w:pPr>
      <w:r>
        <w:rPr>
          <w:rFonts w:ascii="Arial" w:cs="Arial" w:eastAsia="Arial" w:hAnsi="Arial"/>
          <w:sz w:val="14"/>
          <w:szCs w:val="14"/>
          <w:color w:val="auto"/>
        </w:rPr>
        <w:t>61-90 days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91+ days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Total delinquencies (2)</w:t>
      </w:r>
    </w:p>
    <w:p>
      <w:pPr>
        <w:spacing w:after="0"/>
        <w:rPr>
          <w:sz w:val="20"/>
          <w:szCs w:val="20"/>
          <w:color w:val="auto"/>
        </w:rPr>
      </w:pPr>
      <w:r>
        <w:rPr>
          <w:rFonts w:ascii="Arial" w:cs="Arial" w:eastAsia="Arial" w:hAnsi="Arial"/>
          <w:sz w:val="14"/>
          <w:szCs w:val="14"/>
          <w:color w:val="auto"/>
        </w:rPr>
        <w:t>Amount in repossession (3)</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Total delinquencies and amount in repossession (2)</w:t>
      </w:r>
    </w:p>
    <w:p>
      <w:pPr>
        <w:spacing w:after="0" w:line="33" w:lineRule="exact"/>
        <w:rPr>
          <w:sz w:val="20"/>
          <w:szCs w:val="20"/>
          <w:color w:val="auto"/>
        </w:rPr>
      </w:pPr>
    </w:p>
    <w:p>
      <w:pPr>
        <w:ind w:left="200" w:right="380" w:hanging="197"/>
        <w:spacing w:after="0"/>
        <w:rPr>
          <w:sz w:val="20"/>
          <w:szCs w:val="20"/>
          <w:color w:val="auto"/>
        </w:rPr>
      </w:pPr>
      <w:r>
        <w:rPr>
          <w:rFonts w:ascii="Arial" w:cs="Arial" w:eastAsia="Arial" w:hAnsi="Arial"/>
          <w:sz w:val="14"/>
          <w:szCs w:val="14"/>
          <w:color w:val="auto"/>
        </w:rPr>
        <w:t>Delinquencies as a percentage of gross servicing portfolio</w:t>
      </w:r>
    </w:p>
    <w:p>
      <w:pPr>
        <w:spacing w:after="0" w:line="1" w:lineRule="exact"/>
        <w:rPr>
          <w:sz w:val="20"/>
          <w:szCs w:val="20"/>
          <w:color w:val="auto"/>
        </w:rPr>
      </w:pPr>
    </w:p>
    <w:p>
      <w:pPr>
        <w:ind w:left="200" w:right="180" w:hanging="197"/>
        <w:spacing w:after="0" w:line="237" w:lineRule="auto"/>
        <w:rPr>
          <w:sz w:val="20"/>
          <w:szCs w:val="20"/>
          <w:color w:val="auto"/>
        </w:rPr>
      </w:pPr>
      <w:r>
        <w:rPr>
          <w:rFonts w:ascii="Arial" w:cs="Arial" w:eastAsia="Arial" w:hAnsi="Arial"/>
          <w:sz w:val="14"/>
          <w:szCs w:val="14"/>
          <w:color w:val="auto"/>
        </w:rPr>
        <w:t>Total delinquencies and amount in repossession as a percentage of gross servicing portfolio</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Extension Experience</w:t>
      </w:r>
    </w:p>
    <w:p>
      <w:pPr>
        <w:spacing w:after="0"/>
        <w:rPr>
          <w:sz w:val="20"/>
          <w:szCs w:val="20"/>
          <w:color w:val="auto"/>
        </w:rPr>
      </w:pPr>
      <w:r>
        <w:rPr>
          <w:rFonts w:ascii="Arial" w:cs="Arial" w:eastAsia="Arial" w:hAnsi="Arial"/>
          <w:sz w:val="14"/>
          <w:szCs w:val="14"/>
          <w:color w:val="auto"/>
        </w:rPr>
        <w:t>Contracts with one extension, accruing (4)</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Contracts with two or more extensions, accruing (4)</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Contracts with one extension, non-accrual (4)</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660" w:type="dxa"/>
            <w:vAlign w:val="bottom"/>
            <w:gridSpan w:val="6"/>
          </w:tcPr>
          <w:p>
            <w:pPr>
              <w:ind w:left="5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4"/>
                <w:szCs w:val="14"/>
                <w:color w:val="auto"/>
              </w:rPr>
            </w:pPr>
          </w:p>
        </w:tc>
        <w:tc>
          <w:tcPr>
            <w:tcW w:w="258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4"/>
                <w:szCs w:val="14"/>
                <w:color w:val="auto"/>
              </w:rPr>
            </w:pPr>
          </w:p>
        </w:tc>
        <w:tc>
          <w:tcPr>
            <w:tcW w:w="238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December 31, 2016</w:t>
            </w:r>
          </w:p>
        </w:tc>
      </w:tr>
      <w:tr>
        <w:trPr>
          <w:trHeight w:val="133"/>
        </w:trPr>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r>
      <w:tr>
        <w:trPr>
          <w:trHeight w:val="123"/>
        </w:trPr>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ind w:left="400"/>
              <w:spacing w:after="0" w:line="123"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2"/>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176,042</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2,380,847</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173,998</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2,333,524</w:t>
            </w:r>
          </w:p>
        </w:tc>
        <w:tc>
          <w:tcPr>
            <w:tcW w:w="20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169,720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2,308,058</w:t>
            </w:r>
          </w:p>
        </w:tc>
      </w:tr>
      <w:tr>
        <w:trPr>
          <w:trHeight w:val="263"/>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13,182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183,974</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10,163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138,395</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116,073</w:t>
            </w:r>
          </w:p>
        </w:tc>
      </w:tr>
      <w:tr>
        <w:trPr>
          <w:trHeight w:val="162"/>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5,577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74,485</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63,081</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52,403</w:t>
            </w:r>
          </w:p>
        </w:tc>
      </w:tr>
      <w:tr>
        <w:trPr>
          <w:trHeight w:val="167"/>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35,520</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2,295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27,515</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3,407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44,384</w:t>
            </w:r>
          </w:p>
        </w:tc>
      </w:tr>
      <w:tr>
        <w:trPr>
          <w:trHeight w:val="137"/>
        </w:trPr>
        <w:tc>
          <w:tcPr>
            <w:tcW w:w="11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21,617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293,979</w:t>
            </w:r>
          </w:p>
        </w:tc>
        <w:tc>
          <w:tcPr>
            <w:tcW w:w="220" w:type="dxa"/>
            <w:vAlign w:val="bottom"/>
          </w:tcPr>
          <w:p>
            <w:pPr>
              <w:spacing w:after="0"/>
              <w:rPr>
                <w:sz w:val="11"/>
                <w:szCs w:val="11"/>
                <w:color w:val="auto"/>
              </w:rPr>
            </w:pPr>
          </w:p>
        </w:tc>
        <w:tc>
          <w:tcPr>
            <w:tcW w:w="11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17,199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228,991</w:t>
            </w:r>
          </w:p>
        </w:tc>
        <w:tc>
          <w:tcPr>
            <w:tcW w:w="200" w:type="dxa"/>
            <w:vAlign w:val="bottom"/>
          </w:tcPr>
          <w:p>
            <w:pPr>
              <w:spacing w:after="0"/>
              <w:rPr>
                <w:sz w:val="11"/>
                <w:szCs w:val="11"/>
                <w:color w:val="auto"/>
              </w:rPr>
            </w:pPr>
          </w:p>
        </w:tc>
        <w:tc>
          <w:tcPr>
            <w:tcW w:w="11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16,078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212,860</w:t>
            </w:r>
          </w:p>
        </w:tc>
      </w:tr>
      <w:tr>
        <w:trPr>
          <w:trHeight w:val="167"/>
        </w:trPr>
        <w:tc>
          <w:tcPr>
            <w:tcW w:w="1160" w:type="dxa"/>
            <w:vAlign w:val="bottom"/>
            <w:gridSpan w:val="2"/>
          </w:tcPr>
          <w:p>
            <w:pPr>
              <w:jc w:val="right"/>
              <w:spacing w:after="0"/>
              <w:rPr>
                <w:sz w:val="20"/>
                <w:szCs w:val="20"/>
                <w:color w:val="auto"/>
              </w:rPr>
            </w:pPr>
            <w:r>
              <w:rPr>
                <w:rFonts w:ascii="Arial" w:cs="Arial" w:eastAsia="Arial" w:hAnsi="Arial"/>
                <w:sz w:val="14"/>
                <w:szCs w:val="14"/>
                <w:color w:val="auto"/>
              </w:rPr>
              <w:t>2,840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36,480</w:t>
            </w:r>
          </w:p>
        </w:tc>
        <w:tc>
          <w:tcPr>
            <w:tcW w:w="22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33,679</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40,125</w:t>
            </w: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24,457</w:t>
            </w:r>
          </w:p>
        </w:tc>
        <w:tc>
          <w:tcPr>
            <w:tcW w:w="1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330,459</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19,829</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262,670</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19,240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252,985</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9"/>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9.8%</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11"/>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11.3%</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439"/>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27,192</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364,575</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31,708</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430,801</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34,354</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479,237</w:t>
            </w:r>
          </w:p>
        </w:tc>
      </w:tr>
      <w:tr>
        <w:trPr>
          <w:trHeight w:val="167"/>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61,977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828,573</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55,203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756,561</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30,450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407,631</w:t>
            </w:r>
          </w:p>
        </w:tc>
      </w:tr>
      <w:tr>
        <w:trPr>
          <w:trHeight w:val="176"/>
        </w:trPr>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89,169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1,193,148</w:t>
            </w:r>
          </w:p>
        </w:tc>
        <w:tc>
          <w:tcPr>
            <w:tcW w:w="220" w:type="dxa"/>
            <w:vAlign w:val="bottom"/>
          </w:tcPr>
          <w:p>
            <w:pPr>
              <w:spacing w:after="0"/>
              <w:rPr>
                <w:sz w:val="15"/>
                <w:szCs w:val="15"/>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86,911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1,187,362</w:t>
            </w:r>
          </w:p>
        </w:tc>
        <w:tc>
          <w:tcPr>
            <w:tcW w:w="200" w:type="dxa"/>
            <w:vAlign w:val="bottom"/>
          </w:tcPr>
          <w:p>
            <w:pPr>
              <w:spacing w:after="0"/>
              <w:rPr>
                <w:sz w:val="15"/>
                <w:szCs w:val="15"/>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64,804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886,868</w:t>
            </w:r>
          </w:p>
        </w:tc>
      </w:tr>
      <w:tr>
        <w:trPr>
          <w:trHeight w:val="272"/>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9,518</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12,241</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22,335</w:t>
            </w:r>
          </w:p>
        </w:tc>
      </w:tr>
      <w:tr>
        <w:trPr>
          <w:trHeight w:val="167"/>
        </w:trPr>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3,946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51,912</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2,701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35,626</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1,999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-2005965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-1817370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-1628775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-1423035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-994410</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-702310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-505460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-299720</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-102235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80" w:space="160"/>
            <w:col w:w="808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61,430</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47,867</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3,675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47,952</w:t>
            </w:r>
          </w:p>
        </w:tc>
        <w:tc>
          <w:tcPr>
            <w:tcW w:w="80" w:type="dxa"/>
            <w:vAlign w:val="bottom"/>
          </w:tcPr>
          <w:p>
            <w:pPr>
              <w:spacing w:after="0"/>
              <w:rPr>
                <w:sz w:val="12"/>
                <w:szCs w:val="12"/>
                <w:color w:val="auto"/>
              </w:rPr>
            </w:pPr>
          </w:p>
        </w:tc>
      </w:tr>
      <w:tr>
        <w:trPr>
          <w:trHeight w:val="162"/>
        </w:trPr>
        <w:tc>
          <w:tcPr>
            <w:tcW w:w="3340" w:type="dxa"/>
            <w:vAlign w:val="bottom"/>
            <w:shd w:val="clear" w:color="auto" w:fill="EEEEEE"/>
          </w:tcPr>
          <w:p>
            <w:pPr>
              <w:spacing w:after="0"/>
              <w:rPr>
                <w:sz w:val="14"/>
                <w:szCs w:val="14"/>
                <w:color w:val="auto"/>
              </w:rPr>
            </w:pPr>
          </w:p>
        </w:tc>
        <w:tc>
          <w:tcPr>
            <w:tcW w:w="1160" w:type="dxa"/>
            <w:vAlign w:val="bottom"/>
            <w:tcBorders>
              <w:bottom w:val="single" w:sz="8" w:color="auto"/>
            </w:tcBorders>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320" w:type="dxa"/>
            <w:vAlign w:val="bottom"/>
            <w:tcBorders>
              <w:bottom w:val="single" w:sz="8" w:color="auto"/>
            </w:tcBorders>
            <w:shd w:val="clear" w:color="auto" w:fill="EEEEEE"/>
          </w:tcPr>
          <w:p>
            <w:pPr>
              <w:spacing w:after="0"/>
              <w:rPr>
                <w:sz w:val="14"/>
                <w:szCs w:val="14"/>
                <w:color w:val="auto"/>
              </w:rPr>
            </w:pPr>
          </w:p>
        </w:tc>
        <w:tc>
          <w:tcPr>
            <w:tcW w:w="84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32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340" w:type="dxa"/>
            <w:vAlign w:val="bottom"/>
            <w:tcBorders>
              <w:bottom w:val="single" w:sz="8" w:color="auto"/>
            </w:tcBorders>
            <w:shd w:val="clear" w:color="auto" w:fill="EEEEEE"/>
          </w:tcPr>
          <w:p>
            <w:pPr>
              <w:spacing w:after="0"/>
              <w:rPr>
                <w:sz w:val="14"/>
                <w:szCs w:val="14"/>
                <w:color w:val="auto"/>
              </w:rPr>
            </w:pPr>
          </w:p>
        </w:tc>
        <w:tc>
          <w:tcPr>
            <w:tcW w:w="78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r>
      <w:tr>
        <w:trPr>
          <w:trHeight w:val="156"/>
        </w:trPr>
        <w:tc>
          <w:tcPr>
            <w:tcW w:w="3340" w:type="dxa"/>
            <w:vAlign w:val="bottom"/>
          </w:tcPr>
          <w:p>
            <w:pPr>
              <w:spacing w:after="0" w:line="155" w:lineRule="exact"/>
              <w:rPr>
                <w:sz w:val="20"/>
                <w:szCs w:val="20"/>
                <w:color w:val="auto"/>
              </w:rPr>
            </w:pPr>
            <w:r>
              <w:rPr>
                <w:rFonts w:ascii="Arial" w:cs="Arial" w:eastAsia="Arial" w:hAnsi="Arial"/>
                <w:sz w:val="14"/>
                <w:szCs w:val="14"/>
                <w:color w:val="auto"/>
              </w:rPr>
              <w:t>Total accounts with extensions</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1,254,578</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90,644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1,235,229</w:t>
            </w:r>
          </w:p>
        </w:tc>
        <w:tc>
          <w:tcPr>
            <w:tcW w:w="20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68,479</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7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934,820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4"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2" w:lineRule="exact"/>
        <w:rPr>
          <w:rFonts w:ascii="Arial" w:cs="Arial" w:eastAsia="Arial" w:hAnsi="Arial"/>
          <w:sz w:val="18"/>
          <w:szCs w:val="18"/>
          <w:i w:val="1"/>
          <w:iCs w:val="1"/>
          <w:color w:val="auto"/>
        </w:rPr>
      </w:pPr>
    </w:p>
    <w:p>
      <w:pPr>
        <w:ind w:left="340" w:right="60" w:hanging="332"/>
        <w:spacing w:after="0" w:line="250"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do not recognize interest income on accounts past due more than 90 days.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2,341,954</w:t>
            </w:r>
          </w:p>
        </w:tc>
        <w:tc>
          <w:tcPr>
            <w:tcW w:w="6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2,334,008</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2,226,056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charge-offs as a percentage of average servicing portfolio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20" w:hanging="332"/>
        <w:spacing w:after="0" w:line="256"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third-parties on which we earn servicing fees only, and have no credit risk.</w:t>
      </w:r>
    </w:p>
    <w:p>
      <w:pPr>
        <w:ind w:left="340" w:right="20" w:hanging="332"/>
        <w:spacing w:after="0" w:line="255"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an obligor will not be permitted more than two such extensions in any 12-month period and no more than six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 rather than troubled debt restructurings.</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or partial payment from the obligor, thereby indicating an additional monetary and psychological commitment to the contract on the obligor’s part.</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charge-offs.We believe that a prudent extension program is an integral component to mitigating losses in our portfolio of sub-prime automobile receivables. The table below summarizes the status, as of December 31, 2018, for accounts that received extensions from 2008 through 2017: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Active or Paid</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 Active or Paid</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Charged Off &gt; 6</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Charged Off &gt;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Charged Off &lt;=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 Charged Off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Avg Months to</w:t>
            </w:r>
          </w:p>
        </w:tc>
      </w:tr>
      <w:tr>
        <w:trPr>
          <w:trHeight w:val="149"/>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 of Extensions</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Off at December</w:t>
            </w: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Off at December</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6 Months After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6 Months After</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&lt;= 6 Months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Charge Off Post</w:t>
            </w:r>
          </w:p>
        </w:tc>
      </w:tr>
      <w:tr>
        <w:trPr>
          <w:trHeight w:val="167"/>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Period of Extension</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Granted</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31, 2018</w:t>
            </w:r>
          </w:p>
        </w:tc>
        <w:tc>
          <w:tcPr>
            <w:tcW w:w="240" w:type="dxa"/>
            <w:vAlign w:val="bottom"/>
          </w:tcPr>
          <w:p>
            <w:pPr>
              <w:spacing w:after="0"/>
              <w:rPr>
                <w:sz w:val="14"/>
                <w:szCs w:val="14"/>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31, 2018</w:t>
            </w:r>
          </w:p>
        </w:tc>
        <w:tc>
          <w:tcPr>
            <w:tcW w:w="2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Extension</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After Extension</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r>
      <w:tr>
        <w:trPr>
          <w:trHeight w:val="142"/>
        </w:trPr>
        <w:tc>
          <w:tcPr>
            <w:tcW w:w="1160" w:type="dxa"/>
            <w:vAlign w:val="bottom"/>
            <w:tcBorders>
              <w:top w:val="single" w:sz="8" w:color="auto"/>
            </w:tcBorders>
            <w:shd w:val="clear" w:color="auto" w:fill="EEEEEE"/>
          </w:tcPr>
          <w:p>
            <w:pPr>
              <w:jc w:val="right"/>
              <w:ind w:right="248"/>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EEEEEE"/>
            </w:tcBorders>
            <w:shd w:val="clear" w:color="auto" w:fill="EEEEEE"/>
          </w:tcPr>
          <w:p>
            <w:pPr>
              <w:spacing w:after="0"/>
              <w:rPr>
                <w:sz w:val="12"/>
                <w:szCs w:val="12"/>
                <w:color w:val="auto"/>
              </w:rPr>
            </w:pPr>
          </w:p>
        </w:tc>
        <w:tc>
          <w:tcPr>
            <w:tcW w:w="10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35,588</w:t>
            </w:r>
          </w:p>
        </w:tc>
        <w:tc>
          <w:tcPr>
            <w:tcW w:w="260" w:type="dxa"/>
            <w:vAlign w:val="bottom"/>
            <w:tcBorders>
              <w:top w:val="single" w:sz="8" w:color="EEEEEE"/>
            </w:tcBorders>
            <w:shd w:val="clear" w:color="auto" w:fill="EEEEEE"/>
          </w:tcPr>
          <w:p>
            <w:pPr>
              <w:spacing w:after="0"/>
              <w:rPr>
                <w:sz w:val="12"/>
                <w:szCs w:val="12"/>
                <w:color w:val="auto"/>
              </w:rPr>
            </w:pPr>
          </w:p>
        </w:tc>
        <w:tc>
          <w:tcPr>
            <w:tcW w:w="10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10,710</w:t>
            </w:r>
          </w:p>
        </w:tc>
        <w:tc>
          <w:tcPr>
            <w:tcW w:w="240" w:type="dxa"/>
            <w:vAlign w:val="bottom"/>
            <w:tcBorders>
              <w:top w:val="single" w:sz="8" w:color="EEEEEE"/>
            </w:tcBorders>
            <w:shd w:val="clear" w:color="auto" w:fill="EEEEEE"/>
          </w:tcPr>
          <w:p>
            <w:pPr>
              <w:spacing w:after="0"/>
              <w:rPr>
                <w:sz w:val="12"/>
                <w:szCs w:val="12"/>
                <w:color w:val="auto"/>
              </w:rPr>
            </w:pPr>
          </w:p>
        </w:tc>
        <w:tc>
          <w:tcPr>
            <w:tcW w:w="1040" w:type="dxa"/>
            <w:vAlign w:val="bottom"/>
            <w:tcBorders>
              <w:top w:val="single" w:sz="8" w:color="auto"/>
            </w:tcBorders>
            <w:shd w:val="clear" w:color="auto" w:fill="EEEEEE"/>
          </w:tcPr>
          <w:p>
            <w:pPr>
              <w:jc w:val="right"/>
              <w:ind w:right="208"/>
              <w:spacing w:after="0" w:line="142" w:lineRule="exact"/>
              <w:rPr>
                <w:sz w:val="20"/>
                <w:szCs w:val="20"/>
                <w:color w:val="auto"/>
              </w:rPr>
            </w:pPr>
            <w:r>
              <w:rPr>
                <w:rFonts w:ascii="Arial" w:cs="Arial" w:eastAsia="Arial" w:hAnsi="Arial"/>
                <w:sz w:val="14"/>
                <w:szCs w:val="14"/>
                <w:color w:val="auto"/>
              </w:rPr>
              <w:t>30.1%</w:t>
            </w:r>
          </w:p>
        </w:tc>
        <w:tc>
          <w:tcPr>
            <w:tcW w:w="240" w:type="dxa"/>
            <w:vAlign w:val="bottom"/>
            <w:tcBorders>
              <w:top w:val="single" w:sz="8" w:color="EEEEEE"/>
            </w:tcBorders>
            <w:shd w:val="clear" w:color="auto" w:fill="EEEEEE"/>
          </w:tcPr>
          <w:p>
            <w:pPr>
              <w:spacing w:after="0"/>
              <w:rPr>
                <w:sz w:val="12"/>
                <w:szCs w:val="12"/>
                <w:color w:val="auto"/>
              </w:rPr>
            </w:pPr>
          </w:p>
        </w:tc>
        <w:tc>
          <w:tcPr>
            <w:tcW w:w="10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20,059</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ind w:right="188"/>
              <w:spacing w:after="0" w:line="142" w:lineRule="exact"/>
              <w:rPr>
                <w:sz w:val="20"/>
                <w:szCs w:val="20"/>
                <w:color w:val="auto"/>
              </w:rPr>
            </w:pPr>
            <w:r>
              <w:rPr>
                <w:rFonts w:ascii="Arial" w:cs="Arial" w:eastAsia="Arial" w:hAnsi="Arial"/>
                <w:sz w:val="14"/>
                <w:szCs w:val="14"/>
                <w:color w:val="auto"/>
              </w:rPr>
              <w:t>56.4%</w:t>
            </w:r>
          </w:p>
        </w:tc>
        <w:tc>
          <w:tcPr>
            <w:tcW w:w="22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4,819</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center"/>
              <w:ind w:left="28"/>
              <w:spacing w:after="0" w:line="142" w:lineRule="exact"/>
              <w:rPr>
                <w:sz w:val="20"/>
                <w:szCs w:val="20"/>
                <w:color w:val="auto"/>
              </w:rPr>
            </w:pPr>
            <w:r>
              <w:rPr>
                <w:rFonts w:ascii="Arial" w:cs="Arial" w:eastAsia="Arial" w:hAnsi="Arial"/>
                <w:sz w:val="14"/>
                <w:szCs w:val="14"/>
                <w:color w:val="auto"/>
                <w:w w:val="95"/>
              </w:rPr>
              <w:t>13.5%</w:t>
            </w:r>
          </w:p>
        </w:tc>
        <w:tc>
          <w:tcPr>
            <w:tcW w:w="22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ind w:right="308"/>
              <w:spacing w:after="0" w:line="142" w:lineRule="exact"/>
              <w:rPr>
                <w:sz w:val="20"/>
                <w:szCs w:val="20"/>
                <w:color w:val="auto"/>
              </w:rPr>
            </w:pPr>
            <w:r>
              <w:rPr>
                <w:rFonts w:ascii="Arial" w:cs="Arial" w:eastAsia="Arial" w:hAnsi="Arial"/>
                <w:sz w:val="14"/>
                <w:szCs w:val="14"/>
                <w:color w:val="auto"/>
              </w:rPr>
              <w:t>19</w:t>
            </w:r>
          </w:p>
        </w:tc>
        <w:tc>
          <w:tcPr>
            <w:tcW w:w="100" w:type="dxa"/>
            <w:vAlign w:val="bottom"/>
            <w:tcBorders>
              <w:top w:val="single" w:sz="8" w:color="EEEEEE"/>
            </w:tcBorders>
            <w:shd w:val="clear" w:color="auto" w:fill="EEEEEE"/>
          </w:tcPr>
          <w:p>
            <w:pPr>
              <w:spacing w:after="0"/>
              <w:rPr>
                <w:sz w:val="12"/>
                <w:szCs w:val="12"/>
                <w:color w:val="auto"/>
              </w:rPr>
            </w:pPr>
          </w:p>
        </w:tc>
      </w:tr>
      <w:tr>
        <w:trPr>
          <w:trHeight w:val="149"/>
        </w:trPr>
        <w:tc>
          <w:tcPr>
            <w:tcW w:w="11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32,226</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10,275</w:t>
            </w:r>
          </w:p>
        </w:tc>
        <w:tc>
          <w:tcPr>
            <w:tcW w:w="10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31.9%</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16,168</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50.2%</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5,783</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17.9%</w:t>
            </w:r>
          </w:p>
        </w:tc>
        <w:tc>
          <w:tcPr>
            <w:tcW w:w="22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r>
      <w:tr>
        <w:trPr>
          <w:trHeight w:val="149"/>
        </w:trPr>
        <w:tc>
          <w:tcPr>
            <w:tcW w:w="1160" w:type="dxa"/>
            <w:vAlign w:val="bottom"/>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2010</w:t>
            </w:r>
          </w:p>
        </w:tc>
        <w:tc>
          <w:tcPr>
            <w:tcW w:w="3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26,167</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12,165</w:t>
            </w:r>
          </w:p>
        </w:tc>
        <w:tc>
          <w:tcPr>
            <w:tcW w:w="1040" w:type="dxa"/>
            <w:vAlign w:val="bottom"/>
            <w:shd w:val="clear" w:color="auto" w:fill="EEEEEE"/>
          </w:tcPr>
          <w:p>
            <w:pPr>
              <w:jc w:val="right"/>
              <w:ind w:right="208"/>
              <w:spacing w:after="0" w:line="149" w:lineRule="exact"/>
              <w:rPr>
                <w:sz w:val="20"/>
                <w:szCs w:val="20"/>
                <w:color w:val="auto"/>
              </w:rPr>
            </w:pPr>
            <w:r>
              <w:rPr>
                <w:rFonts w:ascii="Arial" w:cs="Arial" w:eastAsia="Arial" w:hAnsi="Arial"/>
                <w:sz w:val="14"/>
                <w:szCs w:val="14"/>
                <w:color w:val="auto"/>
              </w:rPr>
              <w:t>46.5%</w:t>
            </w:r>
          </w:p>
        </w:tc>
        <w:tc>
          <w:tcPr>
            <w:tcW w:w="24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12,003</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1,999</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7.6%</w:t>
            </w:r>
          </w:p>
        </w:tc>
        <w:tc>
          <w:tcPr>
            <w:tcW w:w="22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308"/>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EEEEEE"/>
          </w:tcPr>
          <w:p>
            <w:pPr>
              <w:spacing w:after="0"/>
              <w:rPr>
                <w:sz w:val="12"/>
                <w:szCs w:val="12"/>
                <w:color w:val="auto"/>
              </w:rPr>
            </w:pPr>
          </w:p>
        </w:tc>
      </w:tr>
      <w:tr>
        <w:trPr>
          <w:trHeight w:val="149"/>
        </w:trPr>
        <w:tc>
          <w:tcPr>
            <w:tcW w:w="11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2011</w:t>
            </w:r>
          </w:p>
        </w:tc>
        <w:tc>
          <w:tcPr>
            <w:tcW w:w="3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18,786</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10,975</w:t>
            </w:r>
          </w:p>
        </w:tc>
        <w:tc>
          <w:tcPr>
            <w:tcW w:w="10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58.4%</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6,879</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36.6%</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5.0%</w:t>
            </w:r>
          </w:p>
        </w:tc>
        <w:tc>
          <w:tcPr>
            <w:tcW w:w="22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r>
      <w:tr>
        <w:trPr>
          <w:trHeight w:val="149"/>
        </w:trPr>
        <w:tc>
          <w:tcPr>
            <w:tcW w:w="1160" w:type="dxa"/>
            <w:vAlign w:val="bottom"/>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2012</w:t>
            </w:r>
          </w:p>
        </w:tc>
        <w:tc>
          <w:tcPr>
            <w:tcW w:w="3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18,783</w:t>
            </w: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11,351</w:t>
            </w:r>
          </w:p>
        </w:tc>
        <w:tc>
          <w:tcPr>
            <w:tcW w:w="2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08"/>
              <w:spacing w:after="0" w:line="149" w:lineRule="exact"/>
              <w:rPr>
                <w:sz w:val="20"/>
                <w:szCs w:val="20"/>
                <w:color w:val="auto"/>
              </w:rPr>
            </w:pPr>
            <w:r>
              <w:rPr>
                <w:rFonts w:ascii="Arial" w:cs="Arial" w:eastAsia="Arial" w:hAnsi="Arial"/>
                <w:sz w:val="14"/>
                <w:szCs w:val="14"/>
                <w:color w:val="auto"/>
              </w:rPr>
              <w:t>60.4%</w:t>
            </w:r>
          </w:p>
        </w:tc>
        <w:tc>
          <w:tcPr>
            <w:tcW w:w="24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6,636</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35.3%</w:t>
            </w: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796</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4.2%</w:t>
            </w:r>
          </w:p>
        </w:tc>
        <w:tc>
          <w:tcPr>
            <w:tcW w:w="22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308"/>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EEEEEE"/>
          </w:tcPr>
          <w:p>
            <w:pPr>
              <w:spacing w:after="0"/>
              <w:rPr>
                <w:sz w:val="12"/>
                <w:szCs w:val="12"/>
                <w:color w:val="auto"/>
              </w:rPr>
            </w:pPr>
          </w:p>
        </w:tc>
      </w:tr>
      <w:tr>
        <w:trPr>
          <w:trHeight w:val="149"/>
        </w:trPr>
        <w:tc>
          <w:tcPr>
            <w:tcW w:w="11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2013</w:t>
            </w:r>
          </w:p>
        </w:tc>
        <w:tc>
          <w:tcPr>
            <w:tcW w:w="3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23,398</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11,539</w:t>
            </w:r>
          </w:p>
        </w:tc>
        <w:tc>
          <w:tcPr>
            <w:tcW w:w="240" w:type="dxa"/>
            <w:vAlign w:val="bottom"/>
          </w:tcPr>
          <w:p>
            <w:pPr>
              <w:spacing w:after="0"/>
              <w:rPr>
                <w:sz w:val="12"/>
                <w:szCs w:val="12"/>
                <w:color w:val="auto"/>
              </w:rPr>
            </w:pPr>
          </w:p>
        </w:tc>
        <w:tc>
          <w:tcPr>
            <w:tcW w:w="10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49.3%</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10,883</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46.5%</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976</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4.2%</w:t>
            </w:r>
          </w:p>
        </w:tc>
        <w:tc>
          <w:tcPr>
            <w:tcW w:w="22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r>
      <w:tr>
        <w:trPr>
          <w:trHeight w:val="149"/>
        </w:trPr>
        <w:tc>
          <w:tcPr>
            <w:tcW w:w="1160" w:type="dxa"/>
            <w:vAlign w:val="bottom"/>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2014</w:t>
            </w:r>
          </w:p>
        </w:tc>
        <w:tc>
          <w:tcPr>
            <w:tcW w:w="3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25,773</w:t>
            </w: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11,760</w:t>
            </w:r>
          </w:p>
        </w:tc>
        <w:tc>
          <w:tcPr>
            <w:tcW w:w="2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08"/>
              <w:spacing w:after="0" w:line="149" w:lineRule="exact"/>
              <w:rPr>
                <w:sz w:val="20"/>
                <w:szCs w:val="20"/>
                <w:color w:val="auto"/>
              </w:rPr>
            </w:pPr>
            <w:r>
              <w:rPr>
                <w:rFonts w:ascii="Arial" w:cs="Arial" w:eastAsia="Arial" w:hAnsi="Arial"/>
                <w:sz w:val="14"/>
                <w:szCs w:val="14"/>
                <w:color w:val="auto"/>
              </w:rPr>
              <w:t>45.6%</w:t>
            </w:r>
          </w:p>
        </w:tc>
        <w:tc>
          <w:tcPr>
            <w:tcW w:w="24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13,187</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51.2%</w:t>
            </w: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826</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3.2%</w:t>
            </w:r>
          </w:p>
        </w:tc>
        <w:tc>
          <w:tcPr>
            <w:tcW w:w="22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308"/>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EEEEEE"/>
          </w:tcPr>
          <w:p>
            <w:pPr>
              <w:spacing w:after="0"/>
              <w:rPr>
                <w:sz w:val="12"/>
                <w:szCs w:val="12"/>
                <w:color w:val="auto"/>
              </w:rPr>
            </w:pPr>
          </w:p>
        </w:tc>
      </w:tr>
      <w:tr>
        <w:trPr>
          <w:trHeight w:val="149"/>
        </w:trPr>
        <w:tc>
          <w:tcPr>
            <w:tcW w:w="11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2015</w:t>
            </w:r>
          </w:p>
        </w:tc>
        <w:tc>
          <w:tcPr>
            <w:tcW w:w="3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53,319</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28,188</w:t>
            </w:r>
          </w:p>
        </w:tc>
        <w:tc>
          <w:tcPr>
            <w:tcW w:w="10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52.9%</w:t>
            </w: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24,049</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45.1%</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1,082</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2.0%</w:t>
            </w:r>
          </w:p>
        </w:tc>
        <w:tc>
          <w:tcPr>
            <w:tcW w:w="22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r>
      <w:tr>
        <w:trPr>
          <w:trHeight w:val="149"/>
        </w:trPr>
        <w:tc>
          <w:tcPr>
            <w:tcW w:w="1160" w:type="dxa"/>
            <w:vAlign w:val="bottom"/>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2016</w:t>
            </w:r>
          </w:p>
        </w:tc>
        <w:tc>
          <w:tcPr>
            <w:tcW w:w="3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80,897</w:t>
            </w:r>
          </w:p>
        </w:tc>
        <w:tc>
          <w:tcPr>
            <w:tcW w:w="12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64,334</w:t>
            </w:r>
          </w:p>
        </w:tc>
        <w:tc>
          <w:tcPr>
            <w:tcW w:w="1040" w:type="dxa"/>
            <w:vAlign w:val="bottom"/>
            <w:shd w:val="clear" w:color="auto" w:fill="EEEEEE"/>
          </w:tcPr>
          <w:p>
            <w:pPr>
              <w:jc w:val="right"/>
              <w:ind w:right="208"/>
              <w:spacing w:after="0" w:line="149" w:lineRule="exact"/>
              <w:rPr>
                <w:sz w:val="20"/>
                <w:szCs w:val="20"/>
                <w:color w:val="auto"/>
              </w:rPr>
            </w:pPr>
            <w:r>
              <w:rPr>
                <w:rFonts w:ascii="Arial" w:cs="Arial" w:eastAsia="Arial" w:hAnsi="Arial"/>
                <w:sz w:val="14"/>
                <w:szCs w:val="14"/>
                <w:color w:val="auto"/>
              </w:rPr>
              <w:t>79.5%</w:t>
            </w:r>
          </w:p>
        </w:tc>
        <w:tc>
          <w:tcPr>
            <w:tcW w:w="24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14,630</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18.1%</w:t>
            </w:r>
          </w:p>
        </w:tc>
        <w:tc>
          <w:tcPr>
            <w:tcW w:w="2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1,933</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2.4%</w:t>
            </w:r>
          </w:p>
        </w:tc>
        <w:tc>
          <w:tcPr>
            <w:tcW w:w="22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308"/>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EEEEEE"/>
          </w:tcPr>
          <w:p>
            <w:pPr>
              <w:spacing w:after="0"/>
              <w:rPr>
                <w:sz w:val="12"/>
                <w:szCs w:val="12"/>
                <w:color w:val="auto"/>
              </w:rPr>
            </w:pPr>
          </w:p>
        </w:tc>
      </w:tr>
      <w:tr>
        <w:trPr>
          <w:trHeight w:val="182"/>
        </w:trPr>
        <w:tc>
          <w:tcPr>
            <w:tcW w:w="1160" w:type="dxa"/>
            <w:vAlign w:val="bottom"/>
          </w:tcPr>
          <w:p>
            <w:pPr>
              <w:jc w:val="right"/>
              <w:ind w:right="2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133,881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100,631</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75.2%</w:t>
            </w:r>
          </w:p>
        </w:tc>
        <w:tc>
          <w:tcPr>
            <w:tcW w:w="2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26,290</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6,926</w:t>
            </w:r>
          </w:p>
        </w:tc>
        <w:tc>
          <w:tcPr>
            <w:tcW w:w="1000" w:type="dxa"/>
            <w:vAlign w:val="bottom"/>
          </w:tcPr>
          <w:p>
            <w:pPr>
              <w:jc w:val="center"/>
              <w:ind w:left="28"/>
              <w:spacing w:after="0"/>
              <w:rPr>
                <w:sz w:val="20"/>
                <w:szCs w:val="20"/>
                <w:color w:val="auto"/>
              </w:rPr>
            </w:pPr>
            <w:r>
              <w:rPr>
                <w:rFonts w:ascii="Arial" w:cs="Arial" w:eastAsia="Arial" w:hAnsi="Arial"/>
                <w:sz w:val="14"/>
                <w:szCs w:val="14"/>
                <w:color w:val="auto"/>
                <w:w w:val="93"/>
              </w:rPr>
              <w:t>5.2%</w:t>
            </w:r>
          </w:p>
        </w:tc>
        <w:tc>
          <w:tcPr>
            <w:tcW w:w="22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r>
    </w:tbl>
    <w:p>
      <w:pPr>
        <w:spacing w:after="0" w:line="16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at December 31, 2018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In such cases, in spite of the ultimate loss, we received additional payments of principal and interest that otherwise we would not have received.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8"/>
                <w:szCs w:val="18"/>
                <w:color w:val="auto"/>
                <w:w w:val="89"/>
              </w:rPr>
              <w:t>For the Year Ended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5"/>
          </w:tcPr>
          <w:p>
            <w:pPr>
              <w:jc w:val="center"/>
              <w:ind w:right="40"/>
              <w:spacing w:after="0" w:line="195" w:lineRule="exact"/>
              <w:rPr>
                <w:sz w:val="20"/>
                <w:szCs w:val="20"/>
                <w:color w:val="auto"/>
              </w:rPr>
            </w:pPr>
            <w:r>
              <w:rPr>
                <w:rFonts w:ascii="Arial" w:cs="Arial" w:eastAsia="Arial" w:hAnsi="Arial"/>
                <w:sz w:val="18"/>
                <w:szCs w:val="18"/>
                <w:color w:val="auto"/>
                <w:w w:val="88"/>
              </w:rPr>
              <w:t>December 31,</w:t>
            </w:r>
          </w:p>
        </w:tc>
        <w:tc>
          <w:tcPr>
            <w:tcW w:w="280" w:type="dxa"/>
            <w:vAlign w:val="bottom"/>
          </w:tcPr>
          <w:p>
            <w:pPr>
              <w:spacing w:after="0"/>
              <w:rPr>
                <w:sz w:val="16"/>
                <w:szCs w:val="16"/>
                <w:color w:val="auto"/>
              </w:rPr>
            </w:pPr>
          </w:p>
        </w:tc>
        <w:tc>
          <w:tcPr>
            <w:tcW w:w="1860" w:type="dxa"/>
            <w:vAlign w:val="bottom"/>
            <w:gridSpan w:val="8"/>
          </w:tcPr>
          <w:p>
            <w:pPr>
              <w:jc w:val="center"/>
              <w:ind w:right="500"/>
              <w:spacing w:after="0" w:line="195" w:lineRule="exact"/>
              <w:rPr>
                <w:sz w:val="20"/>
                <w:szCs w:val="20"/>
                <w:color w:val="auto"/>
              </w:rPr>
            </w:pPr>
            <w:r>
              <w:rPr>
                <w:rFonts w:ascii="Arial" w:cs="Arial" w:eastAsia="Arial" w:hAnsi="Arial"/>
                <w:sz w:val="18"/>
                <w:szCs w:val="18"/>
                <w:color w:val="auto"/>
                <w:w w:val="88"/>
              </w:rPr>
              <w:t>December 31,</w:t>
            </w:r>
          </w:p>
        </w:tc>
        <w:tc>
          <w:tcPr>
            <w:tcW w:w="124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w w:val="90"/>
              </w:rPr>
              <w:t>December 31,</w:t>
            </w:r>
          </w:p>
        </w:tc>
        <w:tc>
          <w:tcPr>
            <w:tcW w:w="1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0"/>
              </w:rPr>
              <w:t>Average number of extensions granted per month</w:t>
            </w:r>
          </w:p>
        </w:tc>
        <w:tc>
          <w:tcPr>
            <w:tcW w:w="2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10,128</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11,157</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3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174,738</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173,137</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163,050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3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60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9"/>
              </w:rPr>
              <w:t>Average monthly extensions as % of average</w:t>
            </w:r>
          </w:p>
        </w:tc>
        <w:tc>
          <w:tcPr>
            <w:tcW w:w="2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outstandings</w:t>
            </w:r>
          </w:p>
        </w:tc>
        <w:tc>
          <w:tcPr>
            <w:tcW w:w="11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 2018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9"/>
          </w:tcPr>
          <w:p>
            <w:pPr>
              <w:ind w:left="80"/>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24"/>
                <w:szCs w:val="24"/>
                <w:color w:val="auto"/>
              </w:rPr>
            </w:pPr>
          </w:p>
        </w:tc>
        <w:tc>
          <w:tcPr>
            <w:tcW w:w="2700" w:type="dxa"/>
            <w:vAlign w:val="bottom"/>
            <w:gridSpan w:val="8"/>
          </w:tcPr>
          <w:p>
            <w:pPr>
              <w:ind w:left="58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2"/>
              </w:rPr>
              <w:t>Number of</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Contracts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ind w:left="18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11"/>
          </w:tcPr>
          <w:p>
            <w:pPr>
              <w:ind w:left="460"/>
              <w:spacing w:after="0"/>
              <w:rPr>
                <w:sz w:val="20"/>
                <w:szCs w:val="20"/>
                <w:color w:val="auto"/>
              </w:rPr>
            </w:pPr>
            <w:r>
              <w:rPr>
                <w:rFonts w:ascii="Arial" w:cs="Arial" w:eastAsia="Arial" w:hAnsi="Arial"/>
                <w:sz w:val="18"/>
                <w:szCs w:val="18"/>
                <w:color w:val="auto"/>
              </w:rPr>
              <w:t>(Dollars in thousands)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27,991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374,116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32,740</w:t>
            </w:r>
          </w:p>
        </w:tc>
        <w:tc>
          <w:tcPr>
            <w:tcW w:w="36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443,042</w:t>
            </w:r>
          </w:p>
        </w:tc>
        <w:tc>
          <w:tcPr>
            <w:tcW w:w="158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36,030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20,789</w:t>
            </w:r>
          </w:p>
        </w:tc>
        <w:tc>
          <w:tcPr>
            <w:tcW w:w="2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277,497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335,643</w:t>
            </w:r>
          </w:p>
        </w:tc>
        <w:tc>
          <w:tcPr>
            <w:tcW w:w="1580" w:type="dxa"/>
            <w:vAlign w:val="bottom"/>
            <w:gridSpan w:val="5"/>
          </w:tcPr>
          <w:p>
            <w:pPr>
              <w:jc w:val="right"/>
              <w:ind w:right="160"/>
              <w:spacing w:after="0"/>
              <w:rPr>
                <w:sz w:val="20"/>
                <w:szCs w:val="20"/>
                <w:color w:val="auto"/>
              </w:rPr>
            </w:pPr>
            <w:r>
              <w:rPr>
                <w:rFonts w:ascii="Arial" w:cs="Arial" w:eastAsia="Arial" w:hAnsi="Arial"/>
                <w:sz w:val="18"/>
                <w:szCs w:val="18"/>
                <w:color w:val="auto"/>
              </w:rPr>
              <w:t>17,800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17,210</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231,905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16,378</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227,980</w:t>
            </w:r>
          </w:p>
        </w:tc>
        <w:tc>
          <w:tcPr>
            <w:tcW w:w="158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8,794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13,583</w:t>
            </w:r>
          </w:p>
        </w:tc>
        <w:tc>
          <w:tcPr>
            <w:tcW w:w="2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185,114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129,795</w:t>
            </w:r>
          </w:p>
        </w:tc>
        <w:tc>
          <w:tcPr>
            <w:tcW w:w="1580" w:type="dxa"/>
            <w:vAlign w:val="bottom"/>
            <w:gridSpan w:val="5"/>
          </w:tcPr>
          <w:p>
            <w:pPr>
              <w:jc w:val="right"/>
              <w:ind w:right="160"/>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9,189</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121,836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5,096</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67,703</w:t>
            </w:r>
          </w:p>
        </w:tc>
        <w:tc>
          <w:tcPr>
            <w:tcW w:w="158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1,426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5,152</w:t>
            </w:r>
          </w:p>
        </w:tc>
        <w:tc>
          <w:tcPr>
            <w:tcW w:w="2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64,134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31,067</w:t>
            </w:r>
          </w:p>
        </w:tc>
        <w:tc>
          <w:tcPr>
            <w:tcW w:w="1580" w:type="dxa"/>
            <w:vAlign w:val="bottom"/>
            <w:gridSpan w:val="5"/>
          </w:tcPr>
          <w:p>
            <w:pPr>
              <w:jc w:val="right"/>
              <w:ind w:right="16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EEEEEE"/>
            </w:tcBorders>
            <w:shd w:val="clear" w:color="auto" w:fill="EEEEEE"/>
          </w:tcPr>
          <w:p>
            <w:pPr>
              <w:spacing w:after="0"/>
              <w:rPr>
                <w:sz w:val="18"/>
                <w:szCs w:val="18"/>
                <w:color w:val="auto"/>
              </w:rPr>
            </w:pPr>
          </w:p>
        </w:tc>
        <w:tc>
          <w:tcPr>
            <w:tcW w:w="208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93,914</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1,254,602</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6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1,235,230</w:t>
            </w:r>
          </w:p>
        </w:tc>
        <w:tc>
          <w:tcPr>
            <w:tcW w:w="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176,042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5"/>
              </w:rPr>
              <w:t>173,998</w:t>
            </w:r>
          </w:p>
        </w:tc>
        <w:tc>
          <w:tcPr>
            <w:tcW w:w="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2,333,524</w:t>
            </w:r>
          </w:p>
        </w:tc>
        <w:tc>
          <w:tcPr>
            <w:tcW w:w="158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169,720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65"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Since 1994 we have conducted 80 term securitizations of automobile contracts that we originated under our regular programs. As of December 31, 2018, 19 of those securitizations are active and all are structured as secured financings. We have generally conducted our securitizations on a quarterly basis, near the end of each calendar quarter, resulting in four securitizations per calendar year. In recent years, we have found that the securitizations we conducted in December of those years, had a tendency toward less investor demand in the related bonds than the securitizations we conducted in other times of the year. As a result, in 2015, we elected to defer what would have been our December securitization in favor of a securitization in January 2016, and since then have conducted our securitizations near the beginning of each calendar quarter.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2860" w:type="dxa"/>
            <w:vAlign w:val="bottom"/>
            <w:gridSpan w:val="4"/>
          </w:tcPr>
          <w:p>
            <w:pPr>
              <w:ind w:left="180"/>
              <w:spacing w:after="0"/>
              <w:rPr>
                <w:sz w:val="20"/>
                <w:szCs w:val="20"/>
                <w:color w:val="auto"/>
              </w:rPr>
            </w:pPr>
            <w:r>
              <w:rPr>
                <w:rFonts w:ascii="Arial" w:cs="Arial" w:eastAsia="Arial" w:hAnsi="Arial"/>
                <w:sz w:val="18"/>
                <w:szCs w:val="18"/>
                <w:color w:val="auto"/>
                <w:w w:val="90"/>
              </w:rPr>
              <w:t>Recent Asset-Backed Securitizations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Number of Term</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8"/>
                <w:szCs w:val="18"/>
                <w:color w:val="auto"/>
                <w:w w:val="92"/>
              </w:rPr>
              <w:t>Period</w:t>
            </w:r>
          </w:p>
        </w:tc>
        <w:tc>
          <w:tcPr>
            <w:tcW w:w="420" w:type="dxa"/>
            <w:vAlign w:val="bottom"/>
          </w:tcPr>
          <w:p>
            <w:pPr>
              <w:spacing w:after="0"/>
              <w:rPr>
                <w:sz w:val="20"/>
                <w:szCs w:val="20"/>
                <w:color w:val="auto"/>
              </w:rPr>
            </w:pPr>
          </w:p>
        </w:tc>
        <w:tc>
          <w:tcPr>
            <w:tcW w:w="24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Securitizations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Amount of Receivables</w:t>
            </w:r>
          </w:p>
        </w:tc>
      </w:tr>
      <w:tr>
        <w:trPr>
          <w:trHeight w:val="210"/>
        </w:trPr>
        <w:tc>
          <w:tcPr>
            <w:tcW w:w="1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18"/>
                <w:szCs w:val="18"/>
                <w:color w:val="auto"/>
              </w:rPr>
            </w:pP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2</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34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1</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234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34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34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1,214,997</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34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870,000</w:t>
            </w:r>
          </w:p>
        </w:tc>
      </w:tr>
      <w:tr>
        <w:trPr>
          <w:trHeight w:val="216"/>
        </w:trPr>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2340" w:type="dxa"/>
            <w:vAlign w:val="bottom"/>
            <w:gridSpan w:val="2"/>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883,452</w:t>
            </w: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and adding an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extending the revolving period to November 2019, followed by an amortization period to November 2021.</w:t>
      </w:r>
    </w:p>
    <w:p>
      <w:pPr>
        <w:spacing w:after="0" w:line="1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ind w:right="6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2018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Dodd-Frank Wall Street Reform and Consumer Protection Act (the “Dodd-Frank Act”) was enacted in July 2010, and many of its provisions became effective in July 2011. The Dodd-Frank Act restructured the regulation and supervision of the financial services industry and created the Consumer Financial Protection Bureau (the “CFPB”).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 Further, the CFPB has general supervisory and examination authority over non-depository “larger participants” in the market for automotive finance companies. We are subject to such supervision and examination.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ind w:firstLine="648"/>
        <w:spacing w:after="0" w:line="302" w:lineRule="auto"/>
        <w:rPr>
          <w:sz w:val="20"/>
          <w:szCs w:val="20"/>
          <w:color w:val="auto"/>
        </w:rPr>
      </w:pPr>
      <w:r>
        <w:rPr>
          <w:rFonts w:ascii="Arial" w:cs="Arial" w:eastAsia="Arial" w:hAnsi="Arial"/>
          <w:sz w:val="16"/>
          <w:szCs w:val="16"/>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2018, we had 1,032 employees. The breakdown of the employees is as follows: 10 were senior management personnel; 610 were servicing personnel; 215 were automobile contract origination personnel; 132 were marketing personnel and program development (81 of whom were marketing representatives); 65 were various administration personnel including human resources, legal, accounting and systems. We believe that our relations with our employees are good. We are not a party to any collective bargaining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8" w:name="page19"/>
    <w:bookmarkEnd w:id="18"/>
    <w:p>
      <w:pPr>
        <w:ind w:right="300" w:firstLine="648"/>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expect to earn quarterly profits during 2019;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in each of the seven years fiscal ended December 31, 2018, although not in every quarter within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 requires that warehouse credit facilities be available in order to purchase significant volumes of receivables.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$300 million, comprising three credit facilities, each with a maximum credit limit of $100 million. Each of the three warehouse credit facilities includes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9" w:name="page20"/>
    <w:bookmarkEnd w:id="19"/>
    <w:p>
      <w:pPr>
        <w:ind w:firstLine="648"/>
        <w:spacing w:after="0" w:line="276" w:lineRule="auto"/>
        <w:rPr>
          <w:sz w:val="20"/>
          <w:szCs w:val="20"/>
          <w:color w:val="auto"/>
        </w:rPr>
      </w:pPr>
      <w:r>
        <w:rPr>
          <w:rFonts w:ascii="Arial" w:cs="Arial" w:eastAsia="Arial" w:hAnsi="Arial"/>
          <w:sz w:val="17"/>
          <w:szCs w:val="17"/>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and thereafter, as compared to 2008 and 2009, if the market conditions for asset-backed securitizations should reverse, we could expect a material adverse effect on our results of operations.</w:t>
      </w:r>
    </w:p>
    <w:p>
      <w:pPr>
        <w:spacing w:after="0" w:line="16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3"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6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54" w:lineRule="exact"/>
        <w:rPr>
          <w:sz w:val="20"/>
          <w:szCs w:val="20"/>
          <w:color w:val="auto"/>
        </w:rPr>
      </w:pPr>
    </w:p>
    <w:p>
      <w:pPr>
        <w:ind w:left="1300" w:right="58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1300" w:right="320" w:hanging="644"/>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31 securitization transactions we executed from 2010 through 2018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which would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7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2018 and 2017,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1" w:name="page22"/>
    <w:bookmarkEnd w:id="21"/>
    <w:p>
      <w:pPr>
        <w:ind w:right="60" w:firstLine="648"/>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materially comply with all laws and regulations applicable to us could materially and adversely affect our ability to operate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numerous federal and state consumer protection laws and regulations, which, among other things:</w:t>
      </w:r>
    </w:p>
    <w:p>
      <w:pPr>
        <w:spacing w:after="0" w:line="21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right="20" w:firstLine="648"/>
        <w:spacing w:after="0" w:line="288" w:lineRule="auto"/>
        <w:rPr>
          <w:sz w:val="20"/>
          <w:szCs w:val="20"/>
          <w:color w:val="auto"/>
        </w:rPr>
      </w:pPr>
      <w:r>
        <w:rPr>
          <w:rFonts w:ascii="Arial" w:cs="Arial" w:eastAsia="Arial" w:hAnsi="Arial"/>
          <w:sz w:val="16"/>
          <w:szCs w:val="16"/>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Our industry has also been under investigation by the United States Department of Justice, which has conducted and may continue to conduct an inquiry that appears to be focused on securitization practices. In that inquiry, we received a subpoena in January 2015, which required that we produce specified documents. We have been advised by the Department of Justice that we have provided such information as is required, and that no enforcement action against us is recommended. 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6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2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("Dodd-Frank"), adopted in 2010, made numerous changes to the laws applicable to the consumer financial services industry. Among other things, Dodd-Frank created the CFPB, which is authorized to promulgate and enforce consumer protection regulations relating to financial products and mandated that other federal agencies adopt rules implementing risk retention requirements in securitizations.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are also subject to regulation by each state in which we operate, and such states’ laws and regulations, and the interpretations thereof, also change from time to time.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Compliance with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 Retention Rules May Limit Our Liquidity and Increase Our Capital Requirements.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Securitizations of automobile receivables after December 2016 are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in our securitization structures may require more capital of us, or may release less cash to us, than might be the case in the absence of such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39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currently have and will continue to have a substantial amount of indebtedness. At December 31, 2018, we had approximately $2,256.9 million of debt outstanding. Such debt consisted primarily of $2,063.6 million of securitization trust debt, $136.8 million of warehouse lines of credit, $39.1 million of residual interest financing debt and $17.3 million in subordinated renewable notes. We are also currently offering the subordinated renewable notes to the public on a continuous basis, and such notes have maturities that range from three months to 10 years.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300" w:right="8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300" w:right="7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Fair Value Accounting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we’ve acquired since January 1, 2018 are accounted for based on the fair value method of accounting.</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6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Carrying Value for Some or All of the Receivables Measured at Fair Value.</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re-evaluate the carrying value of receivables measured at fair value at the close of each quarter. If the re-evaluation were to yield a value materially different from the previous carrying value, an adjustment would be required. If actual credit losses were to exceed our estimates, or if the actual amortization and prepayments of the receivables were to be materially different from our estimates, we might be required to adjust the carrying value of such receivables. A downward readjustment in carrying value would correspondingly reduce our income and book value for and as of the end of the related quarter.</w:t>
      </w:r>
    </w:p>
    <w:p>
      <w:pPr>
        <w:spacing w:after="0" w:line="184" w:lineRule="exact"/>
        <w:rPr>
          <w:sz w:val="20"/>
          <w:szCs w:val="20"/>
          <w:color w:val="auto"/>
        </w:rPr>
      </w:pPr>
    </w:p>
    <w:p>
      <w:pPr>
        <w:ind w:right="600"/>
        <w:spacing w:after="0" w:line="313" w:lineRule="auto"/>
        <w:rPr>
          <w:sz w:val="20"/>
          <w:szCs w:val="20"/>
          <w:color w:val="auto"/>
        </w:rPr>
      </w:pPr>
      <w:r>
        <w:rPr>
          <w:rFonts w:ascii="Arial" w:cs="Arial" w:eastAsia="Arial" w:hAnsi="Arial"/>
          <w:sz w:val="17"/>
          <w:szCs w:val="17"/>
          <w:b w:val="1"/>
          <w:bCs w:val="1"/>
          <w:color w:val="auto"/>
        </w:rPr>
        <w:t>If Actual Market Conditions Indicate That the Amount a Market Participant Would Pay for Our Receivables is Materially Lower Than Our Carrying Value, We May Be Required to Reduce the Carrying Value for Some or All of the Receivables Measured at Fair Value.</w:t>
      </w:r>
    </w:p>
    <w:p>
      <w:pPr>
        <w:spacing w:after="0" w:line="14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carrying value, we might be required to adjust the carrying value of our receivables. A downward readjustment in carrying value would correspondingly reduce our income and book value.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Florida, North Carolina and Pennsylvania,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2018, our directors and executive officers collectively owned 5.1 million shares of our common stock, or approximately 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Our principal executive offices are located in Las Vegas, Nevada, where we currently lease approximately 45,000 square feet of general office space from an unaffiliated lessor. The annual base rent is approximately $1.5 million, increasing to approximately $1.7 million through 2022.</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Our operating headquarters are located in Irvine, California, where we currently lease approximately 129,000 square feet of general office space from an unaffiliated lessor. The annual base rent is approximately $4.0 million, increasing to approximately $4.5 million through 2022.</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remaining three regional servicing centers occupy a total of approximately 59,000 square feet of leased space in Chesapeake, Virginia; Maitland, Florida; and Lombard, Illinois. The termination dates of such leases range from 2019 to 2025. The annual base rent for these facilities total approximately $1.4 million increasing to approximately $1.6 million through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Wage and Hour Claim. </w:t>
      </w:r>
      <w:r>
        <w:rPr>
          <w:rFonts w:ascii="Arial" w:cs="Arial" w:eastAsia="Arial" w:hAnsi="Arial"/>
          <w:sz w:val="17"/>
          <w:szCs w:val="17"/>
          <w:color w:val="auto"/>
        </w:rPr>
        <w:t>On September 24, 2018, a former employee filed a lawsuit against us in the Superior Court of Orange County,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that we incorrectly classified our sales and marketing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believe that our compensation practices with respect to our marketing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w:t>
      </w:r>
      <w:r>
        <w:rPr>
          <w:rFonts w:ascii="Arial" w:cs="Arial" w:eastAsia="Arial" w:hAnsi="Arial"/>
          <w:sz w:val="17"/>
          <w:szCs w:val="17"/>
          <w:i w:val="1"/>
          <w:iCs w:val="1"/>
          <w:color w:val="auto"/>
        </w:rPr>
        <w:t xml:space="preserve"> </w:t>
      </w:r>
      <w:r>
        <w:rPr>
          <w:rFonts w:ascii="Arial" w:cs="Arial" w:eastAsia="Arial" w:hAnsi="Arial"/>
          <w:sz w:val="17"/>
          <w:szCs w:val="17"/>
          <w:color w:val="auto"/>
        </w:rPr>
        <w:t>to 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2018,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2018 is immaterial, and that the range of reasonably possible losses for the legal proceedings and contingencies we face, including those described or referenced above, as of December 31, 2018 does not exceed $3 million.</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0" w:firstLine="648"/>
        <w:spacing w:after="0" w:line="288"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59, has been our President and a director since our formation in March 1991, and was elected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w:t>
      </w:r>
    </w:p>
    <w:p>
      <w:pPr>
        <w:spacing w:after="0"/>
        <w:rPr>
          <w:sz w:val="20"/>
          <w:szCs w:val="20"/>
          <w:color w:val="auto"/>
        </w:rPr>
      </w:pPr>
      <w:r>
        <w:rPr>
          <w:rFonts w:ascii="Arial" w:cs="Arial" w:eastAsia="Arial" w:hAnsi="Arial"/>
          <w:sz w:val="16"/>
          <w:szCs w:val="16"/>
          <w:color w:val="auto"/>
        </w:rPr>
        <w:t>The Harding Group, a private investment banking firm. Mr. Bradley does not currently serve on the board of directors of any other publicly-traded companies.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59</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Executive Vice President and Chief Financial Officer since March 2014. Prior to that, he was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Michael T. Lavin, </w:t>
      </w:r>
      <w:r>
        <w:rPr>
          <w:rFonts w:ascii="Arial" w:cs="Arial" w:eastAsia="Arial" w:hAnsi="Arial"/>
          <w:sz w:val="18"/>
          <w:szCs w:val="18"/>
          <w:color w:val="auto"/>
        </w:rPr>
        <w:t>46, has been Executive Vice President and Chief Operating Officer since February 2019, and our Chief Legal Officer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Prior to that, he was our Senior Vice President – 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62, has been Senior Vice President – Product Development since May 2010. Previously he was our Senior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Mark A. Creatura, </w:t>
      </w:r>
      <w:r>
        <w:rPr>
          <w:rFonts w:ascii="Arial" w:cs="Arial" w:eastAsia="Arial" w:hAnsi="Arial"/>
          <w:sz w:val="17"/>
          <w:szCs w:val="17"/>
          <w:color w:val="auto"/>
        </w:rPr>
        <w:t>59, has been Senior Vice President – General Counsel since October 1996. From October 1993 through October 1996, he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6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Christopher Terry, 51</w:t>
      </w:r>
      <w:r>
        <w:rPr>
          <w:rFonts w:ascii="Arial" w:cs="Arial" w:eastAsia="Arial" w:hAnsi="Arial"/>
          <w:sz w:val="17"/>
          <w:szCs w:val="17"/>
          <w:color w:val="auto"/>
        </w:rPr>
        <w:t>, has been Senior Vice President of Risk Management since May 2017. Prior to that he was our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7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56,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52</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i w:val="1"/>
          <w:iCs w:val="1"/>
          <w:color w:val="auto"/>
        </w:rPr>
        <w:t>John P. Harton</w:t>
      </w:r>
      <w:r>
        <w:rPr>
          <w:rFonts w:ascii="Arial" w:cs="Arial" w:eastAsia="Arial" w:hAnsi="Arial"/>
          <w:sz w:val="16"/>
          <w:szCs w:val="16"/>
          <w:color w:val="auto"/>
        </w:rPr>
        <w:t>, 54, has been Senior Vice President - Marketing since March 2014. Prior to that, he held the position of Vice President –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51, has been Senior Vice President – Finance since April 2016. Previously, he was our Vice President – Finance from June 2002.</w:t>
      </w:r>
      <w:r>
        <w:rPr>
          <w:rFonts w:ascii="Arial" w:cs="Arial" w:eastAsia="Arial" w:hAnsi="Arial"/>
          <w:sz w:val="18"/>
          <w:szCs w:val="18"/>
          <w:i w:val="1"/>
          <w:iCs w:val="1"/>
          <w:color w:val="auto"/>
        </w:rPr>
        <w:t xml:space="preserve"> </w:t>
      </w:r>
      <w:r>
        <w:rPr>
          <w:rFonts w:ascii="Arial" w:cs="Arial" w:eastAsia="Arial" w:hAnsi="Arial"/>
          <w:sz w:val="18"/>
          <w:szCs w:val="18"/>
          <w:color w:val="auto"/>
        </w:rPr>
        <w:t>He 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960" w:type="dxa"/>
            <w:vAlign w:val="bottom"/>
            <w:gridSpan w:val="2"/>
          </w:tcPr>
          <w:p>
            <w:pPr>
              <w:ind w:left="620"/>
              <w:spacing w:after="0"/>
              <w:rPr>
                <w:sz w:val="20"/>
                <w:szCs w:val="20"/>
                <w:color w:val="auto"/>
              </w:rPr>
            </w:pPr>
            <w:r>
              <w:rPr>
                <w:rFonts w:ascii="Arial" w:cs="Arial" w:eastAsia="Arial" w:hAnsi="Arial"/>
                <w:sz w:val="18"/>
                <w:szCs w:val="18"/>
                <w:b w:val="1"/>
                <w:bCs w:val="1"/>
                <w:color w:val="auto"/>
              </w:rPr>
              <w:t>High</w:t>
            </w:r>
          </w:p>
        </w:tc>
        <w:tc>
          <w:tcPr>
            <w:tcW w:w="1740" w:type="dxa"/>
            <w:vAlign w:val="bottom"/>
            <w:gridSpan w:val="2"/>
          </w:tcPr>
          <w:p>
            <w:pPr>
              <w:ind w:left="640"/>
              <w:spacing w:after="0"/>
              <w:rPr>
                <w:sz w:val="20"/>
                <w:szCs w:val="20"/>
                <w:color w:val="auto"/>
              </w:rPr>
            </w:pPr>
            <w:r>
              <w:rPr>
                <w:rFonts w:ascii="Arial" w:cs="Arial" w:eastAsia="Arial" w:hAnsi="Arial"/>
                <w:sz w:val="18"/>
                <w:szCs w:val="18"/>
                <w:b w:val="1"/>
                <w:bCs w:val="1"/>
                <w:color w:val="auto"/>
              </w:rPr>
              <w:t>Low</w:t>
            </w:r>
          </w:p>
        </w:tc>
      </w:tr>
      <w:tr>
        <w:trPr>
          <w:trHeight w:val="210"/>
        </w:trPr>
        <w:tc>
          <w:tcPr>
            <w:tcW w:w="20" w:type="dxa"/>
            <w:vAlign w:val="bottom"/>
          </w:tcPr>
          <w:p>
            <w:pPr>
              <w:spacing w:after="0"/>
              <w:rPr>
                <w:sz w:val="18"/>
                <w:szCs w:val="18"/>
                <w:color w:val="auto"/>
              </w:rPr>
            </w:pPr>
          </w:p>
        </w:tc>
        <w:tc>
          <w:tcPr>
            <w:tcW w:w="5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2017</w:t>
            </w:r>
          </w:p>
        </w:tc>
        <w:tc>
          <w:tcPr>
            <w:tcW w:w="1620" w:type="dxa"/>
            <w:vAlign w:val="bottom"/>
            <w:tcBorders>
              <w:top w:val="single" w:sz="8" w:color="auto"/>
            </w:tcBorders>
            <w:shd w:val="clear" w:color="auto" w:fill="EEEEEE"/>
          </w:tcPr>
          <w:p>
            <w:pPr>
              <w:jc w:val="right"/>
              <w:ind w:right="510"/>
              <w:spacing w:after="0"/>
              <w:rPr>
                <w:sz w:val="20"/>
                <w:szCs w:val="20"/>
                <w:color w:val="auto"/>
              </w:rPr>
            </w:pPr>
            <w:r>
              <w:rPr>
                <w:rFonts w:ascii="Arial" w:cs="Arial" w:eastAsia="Arial" w:hAnsi="Arial"/>
                <w:sz w:val="18"/>
                <w:szCs w:val="18"/>
                <w:color w:val="auto"/>
              </w:rPr>
              <w:t>5.69</w:t>
            </w:r>
          </w:p>
        </w:tc>
        <w:tc>
          <w:tcPr>
            <w:tcW w:w="34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April 1 - June 30, 2017</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18"/>
                <w:szCs w:val="18"/>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2017</w:t>
            </w:r>
          </w:p>
        </w:tc>
        <w:tc>
          <w:tcPr>
            <w:tcW w:w="1620" w:type="dxa"/>
            <w:vAlign w:val="bottom"/>
            <w:shd w:val="clear" w:color="auto" w:fill="EEEEEE"/>
          </w:tcPr>
          <w:p>
            <w:pPr>
              <w:jc w:val="right"/>
              <w:ind w:right="510"/>
              <w:spacing w:after="0"/>
              <w:rPr>
                <w:sz w:val="20"/>
                <w:szCs w:val="20"/>
                <w:color w:val="auto"/>
              </w:rPr>
            </w:pPr>
            <w:r>
              <w:rPr>
                <w:rFonts w:ascii="Arial" w:cs="Arial" w:eastAsia="Arial" w:hAnsi="Arial"/>
                <w:sz w:val="18"/>
                <w:szCs w:val="18"/>
                <w:color w:val="auto"/>
              </w:rPr>
              <w:t>4.86</w:t>
            </w:r>
          </w:p>
        </w:tc>
        <w:tc>
          <w:tcPr>
            <w:tcW w:w="34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October 1 - December 31, 2017</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8"/>
                <w:szCs w:val="18"/>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2018</w:t>
            </w:r>
          </w:p>
        </w:tc>
        <w:tc>
          <w:tcPr>
            <w:tcW w:w="1620" w:type="dxa"/>
            <w:vAlign w:val="bottom"/>
            <w:shd w:val="clear" w:color="auto" w:fill="EEEEEE"/>
          </w:tcPr>
          <w:p>
            <w:pPr>
              <w:jc w:val="right"/>
              <w:ind w:right="510"/>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April 1 - June 30, 2018</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8"/>
                <w:szCs w:val="18"/>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2018</w:t>
            </w:r>
          </w:p>
        </w:tc>
        <w:tc>
          <w:tcPr>
            <w:tcW w:w="1620" w:type="dxa"/>
            <w:vAlign w:val="bottom"/>
            <w:shd w:val="clear" w:color="auto" w:fill="EEEEEE"/>
          </w:tcPr>
          <w:p>
            <w:pPr>
              <w:jc w:val="right"/>
              <w:ind w:right="510"/>
              <w:spacing w:after="0"/>
              <w:rPr>
                <w:sz w:val="20"/>
                <w:szCs w:val="20"/>
                <w:color w:val="auto"/>
              </w:rPr>
            </w:pPr>
            <w:r>
              <w:rPr>
                <w:rFonts w:ascii="Arial" w:cs="Arial" w:eastAsia="Arial" w:hAnsi="Arial"/>
                <w:sz w:val="18"/>
                <w:szCs w:val="18"/>
                <w:color w:val="auto"/>
              </w:rPr>
              <w:t>4.22</w:t>
            </w:r>
          </w:p>
        </w:tc>
        <w:tc>
          <w:tcPr>
            <w:tcW w:w="34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October 1 - December 31, 2018</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January 1, 2019, there were 29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securities to be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issued upon</w:t>
            </w:r>
          </w:p>
        </w:tc>
        <w:tc>
          <w:tcPr>
            <w:tcW w:w="16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outstanding</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options, warrants</w:t>
            </w:r>
          </w:p>
        </w:tc>
        <w:tc>
          <w:tcPr>
            <w:tcW w:w="16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options, warrants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gridSpan w:val="2"/>
          </w:tcPr>
          <w:p>
            <w:pPr>
              <w:ind w:left="2600"/>
              <w:spacing w:after="0"/>
              <w:rPr>
                <w:sz w:val="20"/>
                <w:szCs w:val="20"/>
                <w:color w:val="auto"/>
              </w:rPr>
            </w:pPr>
            <w:r>
              <w:rPr>
                <w:rFonts w:ascii="Arial" w:cs="Arial" w:eastAsia="Arial" w:hAnsi="Arial"/>
                <w:sz w:val="18"/>
                <w:szCs w:val="18"/>
                <w:b w:val="1"/>
                <w:bCs w:val="1"/>
                <w:color w:val="auto"/>
              </w:rPr>
              <w:t>Plan category</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and rights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and rights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w:t>
            </w: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14,420,649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1360" w:type="dxa"/>
            <w:vAlign w:val="bottom"/>
          </w:tcPr>
          <w:p>
            <w:pPr>
              <w:jc w:val="right"/>
              <w:spacing w:after="0"/>
              <w:rPr>
                <w:sz w:val="20"/>
                <w:szCs w:val="20"/>
                <w:color w:val="auto"/>
              </w:rPr>
            </w:pPr>
            <w:r>
              <w:rPr>
                <w:rFonts w:ascii="Arial" w:cs="Arial" w:eastAsia="Arial" w:hAnsi="Arial"/>
                <w:sz w:val="18"/>
                <w:szCs w:val="18"/>
                <w:color w:val="auto"/>
              </w:rPr>
              <w:t>2,872,581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14,420,649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1360" w:type="dxa"/>
            <w:vAlign w:val="bottom"/>
          </w:tcPr>
          <w:p>
            <w:pPr>
              <w:jc w:val="right"/>
              <w:spacing w:after="0"/>
              <w:rPr>
                <w:sz w:val="20"/>
                <w:szCs w:val="20"/>
                <w:color w:val="auto"/>
              </w:rPr>
            </w:pPr>
            <w:r>
              <w:rPr>
                <w:rFonts w:ascii="Arial" w:cs="Arial" w:eastAsia="Arial" w:hAnsi="Arial"/>
                <w:sz w:val="18"/>
                <w:szCs w:val="18"/>
                <w:color w:val="auto"/>
              </w:rPr>
              <w:t>2,872,581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0" w:type="dxa"/>
            <w:vAlign w:val="bottom"/>
            <w:gridSpan w:val="9"/>
          </w:tcPr>
          <w:p>
            <w:pPr>
              <w:ind w:left="100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Average</w:t>
            </w:r>
          </w:p>
        </w:tc>
        <w:tc>
          <w:tcPr>
            <w:tcW w:w="2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Price Paid</w:t>
            </w:r>
          </w:p>
        </w:tc>
        <w:tc>
          <w:tcPr>
            <w:tcW w:w="21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Period(1)</w:t>
            </w: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Purchased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per Share</w:t>
            </w:r>
          </w:p>
        </w:tc>
        <w:tc>
          <w:tcPr>
            <w:tcW w:w="2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Programs(2)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October 2018</w:t>
            </w:r>
          </w:p>
        </w:tc>
        <w:tc>
          <w:tcPr>
            <w:tcW w:w="1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66,526</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3.85</w:t>
            </w:r>
          </w:p>
        </w:tc>
        <w:tc>
          <w:tcPr>
            <w:tcW w:w="21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66,526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8,084,394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1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90,714</w:t>
            </w:r>
          </w:p>
        </w:tc>
        <w:tc>
          <w:tcPr>
            <w:tcW w:w="34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3.92</w:t>
            </w:r>
          </w:p>
        </w:tc>
        <w:tc>
          <w:tcPr>
            <w:tcW w:w="2100" w:type="dxa"/>
            <w:vAlign w:val="bottom"/>
            <w:gridSpan w:val="3"/>
          </w:tcPr>
          <w:p>
            <w:pPr>
              <w:jc w:val="right"/>
              <w:ind w:right="160"/>
              <w:spacing w:after="0"/>
              <w:rPr>
                <w:sz w:val="20"/>
                <w:szCs w:val="20"/>
                <w:color w:val="auto"/>
              </w:rPr>
            </w:pPr>
            <w:r>
              <w:rPr>
                <w:rFonts w:ascii="Arial" w:cs="Arial" w:eastAsia="Arial" w:hAnsi="Arial"/>
                <w:sz w:val="18"/>
                <w:szCs w:val="18"/>
                <w:color w:val="auto"/>
              </w:rPr>
              <w:t>90,714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7,729,238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December 2018</w:t>
            </w:r>
          </w:p>
        </w:tc>
        <w:tc>
          <w:tcPr>
            <w:tcW w:w="14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77,147</w:t>
            </w:r>
          </w:p>
        </w:tc>
        <w:tc>
          <w:tcPr>
            <w:tcW w:w="340" w:type="dxa"/>
            <w:vAlign w:val="bottom"/>
            <w:shd w:val="clear" w:color="auto" w:fill="EEEEEE"/>
          </w:tcPr>
          <w:p>
            <w:pPr>
              <w:spacing w:after="0"/>
              <w:rPr>
                <w:sz w:val="19"/>
                <w:szCs w:val="19"/>
                <w:color w:val="auto"/>
              </w:rPr>
            </w:pP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3.35</w:t>
            </w:r>
          </w:p>
        </w:tc>
        <w:tc>
          <w:tcPr>
            <w:tcW w:w="21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77,147</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7,470,537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234,387</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234,387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260" w:right="100" w:hanging="252"/>
        <w:spacing w:after="0" w:line="254" w:lineRule="auto"/>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2018, our board of directors had authorized the purchase of up to $74.5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2018, we have purchased $5.0 million in principal amount of debt securities and $62.1 million of our common stock representing 17,360,654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6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w w:val="93"/>
              </w:rPr>
              <w:t>As of and For the Year Ended December 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380,297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424,174</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408,996</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349,912</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10,209</w:t>
            </w: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13,286</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389,775</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434,383</w:t>
            </w:r>
          </w:p>
        </w:tc>
        <w:tc>
          <w:tcPr>
            <w:tcW w:w="3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422,282</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363,650</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300,256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Employee costs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79,318</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72,967</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65,549</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59,556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57,208</w:t>
            </w: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50,287</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48,620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101,466</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92,345</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79,941</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57,745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133,080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186,713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178,511</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142,618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371,072</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402,312</w:t>
            </w:r>
          </w:p>
        </w:tc>
        <w:tc>
          <w:tcPr>
            <w:tcW w:w="3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372,621</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302,268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18,703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32,071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3,841</w:t>
            </w:r>
          </w:p>
        </w:tc>
        <w:tc>
          <w:tcPr>
            <w:tcW w:w="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28,306</w:t>
            </w: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20,361</w:t>
            </w:r>
          </w:p>
        </w:tc>
        <w:tc>
          <w:tcPr>
            <w:tcW w:w="24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26,701</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14,862</w:t>
            </w:r>
          </w:p>
        </w:tc>
        <w:tc>
          <w:tcPr>
            <w:tcW w:w="3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3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29,300</w:t>
            </w:r>
          </w:p>
        </w:tc>
        <w:tc>
          <w:tcPr>
            <w:tcW w:w="32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share-diluted</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1.10</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Pre-tax income per share-basic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Pre-tax income per share-diluted (2)</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0.75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1.94</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21,989</w:t>
            </w: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22,687</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24,356</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25,935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outstanding-diluted</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24,988</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27,214</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29,035</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31,584</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2,485,680</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2,424,841</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2,410,402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2,128,925</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12,787</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12,731</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13,936</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19,322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117,323</w:t>
            </w: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111,965</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112,754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106,054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2,172,365</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1,909,490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821,066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136,847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112,408</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103,358</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194,056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39,106</w:t>
            </w: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2,063,627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2,083,215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2,080,900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1,720,021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17,290</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16,566</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14,949</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197,118</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183,937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186,218</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161,159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00" w:hanging="332"/>
        <w:spacing w:after="0" w:line="258"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outstanding-basic. Included for illustrative purposes because some of the periods presented include significant income tax expense or benefit.</w:t>
      </w:r>
    </w:p>
    <w:p>
      <w:pPr>
        <w:spacing w:after="0" w:line="1" w:lineRule="exact"/>
        <w:rPr>
          <w:rFonts w:ascii="Arial" w:cs="Arial" w:eastAsia="Arial" w:hAnsi="Arial"/>
          <w:sz w:val="18"/>
          <w:szCs w:val="18"/>
          <w:i w:val="1"/>
          <w:iCs w:val="1"/>
          <w:color w:val="auto"/>
        </w:rPr>
      </w:pPr>
    </w:p>
    <w:p>
      <w:pPr>
        <w:ind w:left="340" w:right="560" w:hanging="332"/>
        <w:spacing w:after="0" w:line="261"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outstanding-diluted. Included for illustrative purposes because some of the periods presented include significant income tax expense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As of and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8"/>
                <w:szCs w:val="18"/>
                <w:b w:val="1"/>
                <w:bCs w:val="1"/>
                <w:color w:val="auto"/>
                <w:w w:val="96"/>
              </w:rPr>
              <w:t>For the Year Ended December 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Contract Originations / Securitizations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Automobile contract originations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902,416</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859,069</w:t>
            </w:r>
          </w:p>
        </w:tc>
        <w:tc>
          <w:tcPr>
            <w:tcW w:w="16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1,088,785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1,060,538</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Automobile contracts securitized</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883,452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1,214,997</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795,000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Managed Portfolio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Contracts associated with the allowance for finance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credit losses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1,551,797</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2,333,497</w:t>
            </w:r>
          </w:p>
        </w:tc>
        <w:tc>
          <w:tcPr>
            <w:tcW w:w="160" w:type="dxa"/>
            <w:vAlign w:val="bottom"/>
          </w:tcPr>
          <w:p>
            <w:pPr>
              <w:spacing w:after="0"/>
              <w:rPr>
                <w:sz w:val="20"/>
                <w:szCs w:val="20"/>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2,307,956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2,030,652</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1,640,536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Contracts measured at fair value</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829,039</w:t>
            </w: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Contracts held by consolidated subsidiaries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2,380,836</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2,333,497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2,307,956</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Fireside portfolio</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Contracts held by non-consolidated subsidiaries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portfolios (1)</w:t>
            </w:r>
          </w:p>
        </w:tc>
        <w:tc>
          <w:tcPr>
            <w:tcW w:w="2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managed portfolio</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2,380,847</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2,333,530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2,308,070</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Average managed portfolio</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2,341,957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2,334,015</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2,226,073</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1,847,945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1,422,870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Weighted average fixed effective interest rate (total</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managed portfolio) (2)</w:t>
            </w:r>
          </w:p>
        </w:tc>
        <w:tc>
          <w:tcPr>
            <w:tcW w:w="2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EEEEEE"/>
          </w:tcPr>
          <w:p>
            <w:pPr>
              <w:spacing w:after="0"/>
              <w:rPr>
                <w:sz w:val="20"/>
                <w:szCs w:val="20"/>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Core operating expenses (% of average managed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portfolio) (3)</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Allowance for finance credit losses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67,376</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95,578</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75,603</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Allowance for finance credit losses (% of total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contracts associated with the allowance)</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Aggregate allowance for finance credit losses and</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repossessions in inventory</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91,940</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133,211</w:t>
            </w:r>
          </w:p>
        </w:tc>
        <w:tc>
          <w:tcPr>
            <w:tcW w:w="4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124,503</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102,557</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Aggregate allowance for finance credit losses (%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w w:val="96"/>
              </w:rPr>
              <w:t>repossessions in inventory and contracts associated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with the allowance)</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 (4)</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340" w:right="12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340" w:right="20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340" w:right="160" w:hanging="332"/>
        <w:spacing w:after="0" w:line="25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December 31, 2018, we have originated a total of approximately $15.2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6020" w:type="dxa"/>
            <w:vAlign w:val="bottom"/>
            <w:gridSpan w:val="8"/>
          </w:tcPr>
          <w:p>
            <w:pPr>
              <w:jc w:val="right"/>
              <w:ind w:right="1640"/>
              <w:spacing w:after="0"/>
              <w:rPr>
                <w:sz w:val="20"/>
                <w:szCs w:val="20"/>
                <w:color w:val="auto"/>
              </w:rPr>
            </w:pPr>
            <w:r>
              <w:rPr>
                <w:rFonts w:ascii="Arial" w:cs="Arial" w:eastAsia="Arial" w:hAnsi="Arial"/>
                <w:sz w:val="18"/>
                <w:szCs w:val="18"/>
                <w:b w:val="1"/>
                <w:bCs w:val="1"/>
                <w:color w:val="auto"/>
                <w:w w:val="90"/>
              </w:rPr>
              <w:t>Contract Purchases and Outstanding Managed Portfolio</w:t>
            </w:r>
          </w:p>
        </w:tc>
      </w:tr>
      <w:tr>
        <w:trPr>
          <w:trHeight w:val="230"/>
        </w:trPr>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 in thousands</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center"/>
              <w:ind w:right="680"/>
              <w:spacing w:after="0" w:line="191" w:lineRule="exact"/>
              <w:rPr>
                <w:sz w:val="20"/>
                <w:szCs w:val="20"/>
                <w:color w:val="auto"/>
              </w:rPr>
            </w:pPr>
            <w:r>
              <w:rPr>
                <w:rFonts w:ascii="Arial" w:cs="Arial" w:eastAsia="Arial" w:hAnsi="Arial"/>
                <w:sz w:val="18"/>
                <w:szCs w:val="18"/>
                <w:b w:val="1"/>
                <w:bCs w:val="1"/>
                <w:color w:val="auto"/>
                <w:w w:val="90"/>
              </w:rPr>
              <w:t>Contracts</w:t>
            </w:r>
          </w:p>
        </w:tc>
        <w:tc>
          <w:tcPr>
            <w:tcW w:w="440" w:type="dxa"/>
            <w:vAlign w:val="bottom"/>
          </w:tcPr>
          <w:p>
            <w:pPr>
              <w:spacing w:after="0"/>
              <w:rPr>
                <w:sz w:val="16"/>
                <w:szCs w:val="16"/>
                <w:color w:val="auto"/>
              </w:rPr>
            </w:pPr>
          </w:p>
        </w:tc>
        <w:tc>
          <w:tcPr>
            <w:tcW w:w="164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w w:val="92"/>
              </w:rPr>
              <w:t>Managed</w:t>
            </w:r>
          </w:p>
        </w:tc>
        <w:tc>
          <w:tcPr>
            <w:tcW w:w="12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Purchased</w:t>
            </w:r>
          </w:p>
        </w:tc>
        <w:tc>
          <w:tcPr>
            <w:tcW w:w="44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1500" w:type="dxa"/>
            <w:vAlign w:val="bottom"/>
          </w:tcPr>
          <w:p>
            <w:pPr>
              <w:ind w:left="1120"/>
              <w:spacing w:after="0"/>
              <w:rPr>
                <w:sz w:val="20"/>
                <w:szCs w:val="20"/>
                <w:color w:val="auto"/>
              </w:rPr>
            </w:pPr>
            <w:r>
              <w:rPr>
                <w:rFonts w:ascii="Arial" w:cs="Arial" w:eastAsia="Arial" w:hAnsi="Arial"/>
                <w:sz w:val="18"/>
                <w:szCs w:val="18"/>
                <w:b w:val="1"/>
                <w:bCs w:val="1"/>
                <w:color w:val="auto"/>
                <w:w w:val="92"/>
              </w:rPr>
              <w:t>Year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0"/>
              </w:rPr>
              <w:t>in Period</w:t>
            </w:r>
          </w:p>
        </w:tc>
        <w:tc>
          <w:tcPr>
            <w:tcW w:w="44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1500" w:type="dxa"/>
            <w:vAlign w:val="bottom"/>
            <w:tcBorders>
              <w:top w:val="single" w:sz="8" w:color="auto"/>
            </w:tcBorders>
            <w:shd w:val="clear" w:color="auto" w:fill="EEEEEE"/>
          </w:tcPr>
          <w:p>
            <w:pPr>
              <w:ind w:left="1120"/>
              <w:spacing w:after="0"/>
              <w:rPr>
                <w:sz w:val="20"/>
                <w:szCs w:val="20"/>
                <w:color w:val="auto"/>
              </w:rPr>
            </w:pPr>
            <w:r>
              <w:rPr>
                <w:rFonts w:ascii="Arial" w:cs="Arial" w:eastAsia="Arial" w:hAnsi="Arial"/>
                <w:sz w:val="18"/>
                <w:szCs w:val="18"/>
                <w:color w:val="auto"/>
                <w:w w:val="89"/>
              </w:rPr>
              <w:t>2008</w:t>
            </w:r>
          </w:p>
        </w:tc>
        <w:tc>
          <w:tcPr>
            <w:tcW w:w="1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500" w:type="dxa"/>
            <w:vAlign w:val="bottom"/>
          </w:tcPr>
          <w:p>
            <w:pPr>
              <w:ind w:left="1120"/>
              <w:spacing w:after="0"/>
              <w:rPr>
                <w:sz w:val="20"/>
                <w:szCs w:val="20"/>
                <w:color w:val="auto"/>
              </w:rPr>
            </w:pPr>
            <w:r>
              <w:rPr>
                <w:rFonts w:ascii="Arial" w:cs="Arial" w:eastAsia="Arial" w:hAnsi="Arial"/>
                <w:sz w:val="18"/>
                <w:szCs w:val="18"/>
                <w:color w:val="auto"/>
                <w:w w:val="89"/>
              </w:rPr>
              <w:t>2009</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8,599</w:t>
            </w: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1,194,722</w:t>
            </w:r>
          </w:p>
        </w:tc>
      </w:tr>
      <w:tr>
        <w:trPr>
          <w:trHeight w:val="216"/>
        </w:trPr>
        <w:tc>
          <w:tcPr>
            <w:tcW w:w="150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89"/>
              </w:rPr>
              <w:t>2010</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113,023</w:t>
            </w:r>
          </w:p>
        </w:tc>
        <w:tc>
          <w:tcPr>
            <w:tcW w:w="4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756,203</w:t>
            </w:r>
          </w:p>
        </w:tc>
      </w:tr>
      <w:tr>
        <w:trPr>
          <w:trHeight w:val="216"/>
        </w:trPr>
        <w:tc>
          <w:tcPr>
            <w:tcW w:w="1500" w:type="dxa"/>
            <w:vAlign w:val="bottom"/>
          </w:tcPr>
          <w:p>
            <w:pPr>
              <w:ind w:left="1120"/>
              <w:spacing w:after="0"/>
              <w:rPr>
                <w:sz w:val="20"/>
                <w:szCs w:val="20"/>
                <w:color w:val="auto"/>
              </w:rPr>
            </w:pPr>
            <w:r>
              <w:rPr>
                <w:rFonts w:ascii="Arial" w:cs="Arial" w:eastAsia="Arial" w:hAnsi="Arial"/>
                <w:sz w:val="18"/>
                <w:szCs w:val="18"/>
                <w:color w:val="auto"/>
                <w:w w:val="89"/>
              </w:rPr>
              <w:t>2011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284,236</w:t>
            </w: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794,649</w:t>
            </w:r>
          </w:p>
        </w:tc>
      </w:tr>
      <w:tr>
        <w:trPr>
          <w:trHeight w:val="216"/>
        </w:trPr>
        <w:tc>
          <w:tcPr>
            <w:tcW w:w="150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89"/>
              </w:rPr>
              <w:t>2012</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551,742</w:t>
            </w:r>
          </w:p>
        </w:tc>
        <w:tc>
          <w:tcPr>
            <w:tcW w:w="4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897,575</w:t>
            </w:r>
          </w:p>
        </w:tc>
      </w:tr>
      <w:tr>
        <w:trPr>
          <w:trHeight w:val="216"/>
        </w:trPr>
        <w:tc>
          <w:tcPr>
            <w:tcW w:w="1500" w:type="dxa"/>
            <w:vAlign w:val="bottom"/>
          </w:tcPr>
          <w:p>
            <w:pPr>
              <w:ind w:left="1120"/>
              <w:spacing w:after="0"/>
              <w:rPr>
                <w:sz w:val="20"/>
                <w:szCs w:val="20"/>
                <w:color w:val="auto"/>
              </w:rPr>
            </w:pPr>
            <w:r>
              <w:rPr>
                <w:rFonts w:ascii="Arial" w:cs="Arial" w:eastAsia="Arial" w:hAnsi="Arial"/>
                <w:sz w:val="18"/>
                <w:szCs w:val="18"/>
                <w:color w:val="auto"/>
                <w:w w:val="89"/>
              </w:rPr>
              <w:t>2013</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764,087</w:t>
            </w: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1,231,422</w:t>
            </w:r>
          </w:p>
        </w:tc>
      </w:tr>
      <w:tr>
        <w:trPr>
          <w:trHeight w:val="216"/>
        </w:trPr>
        <w:tc>
          <w:tcPr>
            <w:tcW w:w="150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89"/>
              </w:rPr>
              <w:t>2014</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944,944</w:t>
            </w:r>
          </w:p>
        </w:tc>
        <w:tc>
          <w:tcPr>
            <w:tcW w:w="4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1,643,920</w:t>
            </w:r>
          </w:p>
        </w:tc>
      </w:tr>
      <w:tr>
        <w:trPr>
          <w:trHeight w:val="216"/>
        </w:trPr>
        <w:tc>
          <w:tcPr>
            <w:tcW w:w="1500" w:type="dxa"/>
            <w:vAlign w:val="bottom"/>
          </w:tcPr>
          <w:p>
            <w:pPr>
              <w:ind w:left="1120"/>
              <w:spacing w:after="0"/>
              <w:rPr>
                <w:sz w:val="20"/>
                <w:szCs w:val="20"/>
                <w:color w:val="auto"/>
              </w:rPr>
            </w:pPr>
            <w:r>
              <w:rPr>
                <w:rFonts w:ascii="Arial" w:cs="Arial" w:eastAsia="Arial" w:hAnsi="Arial"/>
                <w:sz w:val="18"/>
                <w:szCs w:val="18"/>
                <w:color w:val="auto"/>
                <w:w w:val="89"/>
              </w:rPr>
              <w:t>2015</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1,060,538</w:t>
            </w: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2,031,136</w:t>
            </w:r>
          </w:p>
        </w:tc>
      </w:tr>
      <w:tr>
        <w:trPr>
          <w:trHeight w:val="216"/>
        </w:trPr>
        <w:tc>
          <w:tcPr>
            <w:tcW w:w="150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89"/>
              </w:rPr>
              <w:t>2016</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1,088,785</w:t>
            </w:r>
          </w:p>
        </w:tc>
        <w:tc>
          <w:tcPr>
            <w:tcW w:w="4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2,308,070</w:t>
            </w:r>
          </w:p>
        </w:tc>
      </w:tr>
      <w:tr>
        <w:trPr>
          <w:trHeight w:val="216"/>
        </w:trPr>
        <w:tc>
          <w:tcPr>
            <w:tcW w:w="1500" w:type="dxa"/>
            <w:vAlign w:val="bottom"/>
          </w:tcPr>
          <w:p>
            <w:pPr>
              <w:ind w:left="1120"/>
              <w:spacing w:after="0"/>
              <w:rPr>
                <w:sz w:val="20"/>
                <w:szCs w:val="20"/>
                <w:color w:val="auto"/>
              </w:rPr>
            </w:pPr>
            <w:r>
              <w:rPr>
                <w:rFonts w:ascii="Arial" w:cs="Arial" w:eastAsia="Arial" w:hAnsi="Arial"/>
                <w:sz w:val="18"/>
                <w:szCs w:val="18"/>
                <w:color w:val="auto"/>
                <w:w w:val="89"/>
              </w:rPr>
              <w:t>2017</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859,069</w:t>
            </w:r>
          </w:p>
        </w:tc>
        <w:tc>
          <w:tcPr>
            <w:tcW w:w="4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2,333,530</w:t>
            </w:r>
          </w:p>
        </w:tc>
      </w:tr>
      <w:tr>
        <w:trPr>
          <w:trHeight w:val="216"/>
        </w:trPr>
        <w:tc>
          <w:tcPr>
            <w:tcW w:w="1500" w:type="dxa"/>
            <w:vAlign w:val="bottom"/>
            <w:shd w:val="clear" w:color="auto" w:fill="EEEEEE"/>
          </w:tcPr>
          <w:p>
            <w:pPr>
              <w:ind w:left="1120"/>
              <w:spacing w:after="0"/>
              <w:rPr>
                <w:sz w:val="20"/>
                <w:szCs w:val="20"/>
                <w:color w:val="auto"/>
              </w:rPr>
            </w:pPr>
            <w:r>
              <w:rPr>
                <w:rFonts w:ascii="Arial" w:cs="Arial" w:eastAsia="Arial" w:hAnsi="Arial"/>
                <w:sz w:val="18"/>
                <w:szCs w:val="18"/>
                <w:color w:val="auto"/>
                <w:w w:val="89"/>
              </w:rPr>
              <w:t>2018</w:t>
            </w:r>
          </w:p>
        </w:tc>
        <w:tc>
          <w:tcPr>
            <w:tcW w:w="1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902,416</w:t>
            </w:r>
          </w:p>
        </w:tc>
        <w:tc>
          <w:tcPr>
            <w:tcW w:w="4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2,380,847</w:t>
            </w: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6" w:name="page37"/>
    <w:bookmarkEnd w:id="36"/>
    <w:p>
      <w:pPr>
        <w:jc w:val="both"/>
        <w:ind w:right="180"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Since 1994 we have conducted 80 term securitizations of automobile contracts that we originated. As of December 31, 2018, 19 of those securitizations are active, all of which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00" w:type="dxa"/>
            <w:vAlign w:val="bottom"/>
            <w:gridSpan w:val="7"/>
          </w:tcPr>
          <w:p>
            <w:pPr>
              <w:jc w:val="right"/>
              <w:ind w:right="2200"/>
              <w:spacing w:after="0"/>
              <w:rPr>
                <w:sz w:val="20"/>
                <w:szCs w:val="20"/>
                <w:color w:val="auto"/>
              </w:rPr>
            </w:pPr>
            <w:r>
              <w:rPr>
                <w:rFonts w:ascii="Arial" w:cs="Arial" w:eastAsia="Arial" w:hAnsi="Arial"/>
                <w:sz w:val="18"/>
                <w:szCs w:val="18"/>
                <w:b w:val="1"/>
                <w:bCs w:val="1"/>
                <w:color w:val="auto"/>
                <w:w w:val="95"/>
              </w:rPr>
              <w:t>Recent Asset-Backed Term Securitizations</w:t>
            </w:r>
          </w:p>
        </w:tc>
      </w:tr>
      <w:tr>
        <w:trPr>
          <w:trHeight w:val="230"/>
        </w:trPr>
        <w:tc>
          <w:tcPr>
            <w:tcW w:w="1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80" w:type="dxa"/>
            <w:vAlign w:val="bottom"/>
            <w:gridSpan w:val="4"/>
          </w:tcPr>
          <w:p>
            <w:pPr>
              <w:jc w:val="right"/>
              <w:ind w:right="1820"/>
              <w:spacing w:after="0"/>
              <w:rPr>
                <w:sz w:val="20"/>
                <w:szCs w:val="20"/>
                <w:color w:val="auto"/>
              </w:rPr>
            </w:pPr>
            <w:r>
              <w:rPr>
                <w:rFonts w:ascii="Arial" w:cs="Arial" w:eastAsia="Arial" w:hAnsi="Arial"/>
                <w:sz w:val="18"/>
                <w:szCs w:val="18"/>
                <w:i w:val="1"/>
                <w:iCs w:val="1"/>
                <w:color w:val="auto"/>
                <w:w w:val="88"/>
              </w:rPr>
              <w:t>$ in thousands</w:t>
            </w:r>
          </w:p>
        </w:tc>
      </w:tr>
      <w:tr>
        <w:trPr>
          <w:trHeight w:val="191"/>
        </w:trPr>
        <w:tc>
          <w:tcPr>
            <w:tcW w:w="1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Number of Term</w:t>
            </w:r>
          </w:p>
        </w:tc>
        <w:tc>
          <w:tcPr>
            <w:tcW w:w="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182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Period</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Securitizations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Amount of Receivables</w:t>
            </w:r>
          </w:p>
        </w:tc>
      </w:tr>
      <w:tr>
        <w:trPr>
          <w:trHeight w:val="210"/>
        </w:trPr>
        <w:tc>
          <w:tcPr>
            <w:tcW w:w="1820" w:type="dxa"/>
            <w:vAlign w:val="bottom"/>
            <w:tcBorders>
              <w:top w:val="single" w:sz="8" w:color="auto"/>
            </w:tcBorders>
            <w:shd w:val="clear" w:color="auto" w:fill="EEEEEE"/>
          </w:tcPr>
          <w:p>
            <w:pPr>
              <w:jc w:val="center"/>
              <w:ind w:left="690"/>
              <w:spacing w:after="0"/>
              <w:rPr>
                <w:sz w:val="20"/>
                <w:szCs w:val="20"/>
                <w:color w:val="auto"/>
              </w:rPr>
            </w:pPr>
            <w:r>
              <w:rPr>
                <w:rFonts w:ascii="Arial" w:cs="Arial" w:eastAsia="Arial" w:hAnsi="Arial"/>
                <w:sz w:val="18"/>
                <w:szCs w:val="18"/>
                <w:color w:val="auto"/>
                <w:w w:val="89"/>
              </w:rPr>
              <w:t>2008</w:t>
            </w:r>
          </w:p>
        </w:tc>
        <w:tc>
          <w:tcPr>
            <w:tcW w:w="8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ind w:right="490"/>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820" w:type="dxa"/>
            <w:vAlign w:val="bottom"/>
          </w:tcPr>
          <w:p>
            <w:pPr>
              <w:jc w:val="center"/>
              <w:ind w:left="690"/>
              <w:spacing w:after="0"/>
              <w:rPr>
                <w:sz w:val="20"/>
                <w:szCs w:val="20"/>
                <w:color w:val="auto"/>
              </w:rPr>
            </w:pPr>
            <w:r>
              <w:rPr>
                <w:rFonts w:ascii="Arial" w:cs="Arial" w:eastAsia="Arial" w:hAnsi="Arial"/>
                <w:sz w:val="18"/>
                <w:szCs w:val="18"/>
                <w:color w:val="auto"/>
                <w:w w:val="89"/>
              </w:rPr>
              <w:t>2009</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shd w:val="clear" w:color="auto" w:fill="EEEEEE"/>
          </w:tcPr>
          <w:p>
            <w:pPr>
              <w:jc w:val="center"/>
              <w:ind w:left="690"/>
              <w:spacing w:after="0"/>
              <w:rPr>
                <w:sz w:val="20"/>
                <w:szCs w:val="20"/>
                <w:color w:val="auto"/>
              </w:rPr>
            </w:pPr>
            <w:r>
              <w:rPr>
                <w:rFonts w:ascii="Arial" w:cs="Arial" w:eastAsia="Arial" w:hAnsi="Arial"/>
                <w:sz w:val="18"/>
                <w:szCs w:val="18"/>
                <w:color w:val="auto"/>
                <w:w w:val="89"/>
              </w:rPr>
              <w:t>2010</w:t>
            </w:r>
          </w:p>
        </w:tc>
        <w:tc>
          <w:tcPr>
            <w:tcW w:w="2820" w:type="dxa"/>
            <w:vAlign w:val="bottom"/>
            <w:gridSpan w:val="3"/>
            <w:shd w:val="clear" w:color="auto" w:fill="EEEEEE"/>
          </w:tcPr>
          <w:p>
            <w:pPr>
              <w:jc w:val="right"/>
              <w:ind w:right="490"/>
              <w:spacing w:after="0"/>
              <w:rPr>
                <w:sz w:val="20"/>
                <w:szCs w:val="20"/>
                <w:color w:val="auto"/>
              </w:rPr>
            </w:pPr>
            <w:r>
              <w:rPr>
                <w:rFonts w:ascii="Arial" w:cs="Arial" w:eastAsia="Arial" w:hAnsi="Arial"/>
                <w:sz w:val="18"/>
                <w:szCs w:val="18"/>
                <w:color w:val="auto"/>
              </w:rPr>
              <w:t>1</w:t>
            </w:r>
          </w:p>
        </w:tc>
        <w:tc>
          <w:tcPr>
            <w:tcW w:w="28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1820" w:type="dxa"/>
            <w:vAlign w:val="bottom"/>
          </w:tcPr>
          <w:p>
            <w:pPr>
              <w:jc w:val="center"/>
              <w:ind w:left="710"/>
              <w:spacing w:after="0"/>
              <w:rPr>
                <w:sz w:val="20"/>
                <w:szCs w:val="20"/>
                <w:color w:val="auto"/>
              </w:rPr>
            </w:pPr>
            <w:r>
              <w:rPr>
                <w:rFonts w:ascii="Arial" w:cs="Arial" w:eastAsia="Arial" w:hAnsi="Arial"/>
                <w:sz w:val="18"/>
                <w:szCs w:val="18"/>
                <w:color w:val="auto"/>
                <w:w w:val="84"/>
              </w:rPr>
              <w:t>2011</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3</w:t>
            </w:r>
          </w:p>
        </w:tc>
        <w:tc>
          <w:tcPr>
            <w:tcW w:w="2880" w:type="dxa"/>
            <w:vAlign w:val="bottom"/>
            <w:gridSpan w:val="4"/>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1820" w:type="dxa"/>
            <w:vAlign w:val="bottom"/>
            <w:shd w:val="clear" w:color="auto" w:fill="EEEEEE"/>
          </w:tcPr>
          <w:p>
            <w:pPr>
              <w:jc w:val="center"/>
              <w:ind w:left="690"/>
              <w:spacing w:after="0"/>
              <w:rPr>
                <w:sz w:val="20"/>
                <w:szCs w:val="20"/>
                <w:color w:val="auto"/>
              </w:rPr>
            </w:pPr>
            <w:r>
              <w:rPr>
                <w:rFonts w:ascii="Arial" w:cs="Arial" w:eastAsia="Arial" w:hAnsi="Arial"/>
                <w:sz w:val="18"/>
                <w:szCs w:val="18"/>
                <w:color w:val="auto"/>
                <w:w w:val="89"/>
              </w:rPr>
              <w:t>2012</w:t>
            </w:r>
          </w:p>
        </w:tc>
        <w:tc>
          <w:tcPr>
            <w:tcW w:w="2820" w:type="dxa"/>
            <w:vAlign w:val="bottom"/>
            <w:gridSpan w:val="3"/>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1820" w:type="dxa"/>
            <w:vAlign w:val="bottom"/>
          </w:tcPr>
          <w:p>
            <w:pPr>
              <w:jc w:val="center"/>
              <w:ind w:left="690"/>
              <w:spacing w:after="0"/>
              <w:rPr>
                <w:sz w:val="20"/>
                <w:szCs w:val="20"/>
                <w:color w:val="auto"/>
              </w:rPr>
            </w:pPr>
            <w:r>
              <w:rPr>
                <w:rFonts w:ascii="Arial" w:cs="Arial" w:eastAsia="Arial" w:hAnsi="Arial"/>
                <w:sz w:val="18"/>
                <w:szCs w:val="18"/>
                <w:color w:val="auto"/>
                <w:w w:val="89"/>
              </w:rPr>
              <w:t>2013</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1820" w:type="dxa"/>
            <w:vAlign w:val="bottom"/>
            <w:shd w:val="clear" w:color="auto" w:fill="EEEEEE"/>
          </w:tcPr>
          <w:p>
            <w:pPr>
              <w:jc w:val="center"/>
              <w:ind w:left="690"/>
              <w:spacing w:after="0"/>
              <w:rPr>
                <w:sz w:val="20"/>
                <w:szCs w:val="20"/>
                <w:color w:val="auto"/>
              </w:rPr>
            </w:pPr>
            <w:r>
              <w:rPr>
                <w:rFonts w:ascii="Arial" w:cs="Arial" w:eastAsia="Arial" w:hAnsi="Arial"/>
                <w:sz w:val="18"/>
                <w:szCs w:val="18"/>
                <w:color w:val="auto"/>
                <w:w w:val="89"/>
              </w:rPr>
              <w:t>2014</w:t>
            </w:r>
          </w:p>
        </w:tc>
        <w:tc>
          <w:tcPr>
            <w:tcW w:w="2820" w:type="dxa"/>
            <w:vAlign w:val="bottom"/>
            <w:gridSpan w:val="3"/>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923,000</w:t>
            </w:r>
          </w:p>
        </w:tc>
      </w:tr>
      <w:tr>
        <w:trPr>
          <w:trHeight w:val="216"/>
        </w:trPr>
        <w:tc>
          <w:tcPr>
            <w:tcW w:w="1820" w:type="dxa"/>
            <w:vAlign w:val="bottom"/>
          </w:tcPr>
          <w:p>
            <w:pPr>
              <w:jc w:val="center"/>
              <w:ind w:left="690"/>
              <w:spacing w:after="0"/>
              <w:rPr>
                <w:sz w:val="20"/>
                <w:szCs w:val="20"/>
                <w:color w:val="auto"/>
              </w:rPr>
            </w:pPr>
            <w:r>
              <w:rPr>
                <w:rFonts w:ascii="Arial" w:cs="Arial" w:eastAsia="Arial" w:hAnsi="Arial"/>
                <w:sz w:val="18"/>
                <w:szCs w:val="18"/>
                <w:color w:val="auto"/>
                <w:w w:val="89"/>
              </w:rPr>
              <w:t>2015</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3</w:t>
            </w:r>
          </w:p>
        </w:tc>
        <w:tc>
          <w:tcPr>
            <w:tcW w:w="2880" w:type="dxa"/>
            <w:vAlign w:val="bottom"/>
            <w:gridSpan w:val="4"/>
          </w:tcPr>
          <w:p>
            <w:pPr>
              <w:jc w:val="right"/>
              <w:ind w:right="120"/>
              <w:spacing w:after="0"/>
              <w:rPr>
                <w:sz w:val="20"/>
                <w:szCs w:val="20"/>
                <w:color w:val="auto"/>
              </w:rPr>
            </w:pPr>
            <w:r>
              <w:rPr>
                <w:rFonts w:ascii="Arial" w:cs="Arial" w:eastAsia="Arial" w:hAnsi="Arial"/>
                <w:sz w:val="18"/>
                <w:szCs w:val="18"/>
                <w:color w:val="auto"/>
              </w:rPr>
              <w:t>795,000</w:t>
            </w:r>
          </w:p>
        </w:tc>
      </w:tr>
      <w:tr>
        <w:trPr>
          <w:trHeight w:val="216"/>
        </w:trPr>
        <w:tc>
          <w:tcPr>
            <w:tcW w:w="1820" w:type="dxa"/>
            <w:vAlign w:val="bottom"/>
            <w:shd w:val="clear" w:color="auto" w:fill="EEEEEE"/>
          </w:tcPr>
          <w:p>
            <w:pPr>
              <w:jc w:val="center"/>
              <w:ind w:left="690"/>
              <w:spacing w:after="0"/>
              <w:rPr>
                <w:sz w:val="20"/>
                <w:szCs w:val="20"/>
                <w:color w:val="auto"/>
              </w:rPr>
            </w:pPr>
            <w:r>
              <w:rPr>
                <w:rFonts w:ascii="Arial" w:cs="Arial" w:eastAsia="Arial" w:hAnsi="Arial"/>
                <w:sz w:val="18"/>
                <w:szCs w:val="18"/>
                <w:color w:val="auto"/>
                <w:w w:val="89"/>
              </w:rPr>
              <w:t>2016</w:t>
            </w:r>
          </w:p>
        </w:tc>
        <w:tc>
          <w:tcPr>
            <w:tcW w:w="2820" w:type="dxa"/>
            <w:vAlign w:val="bottom"/>
            <w:gridSpan w:val="3"/>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1,214,997</w:t>
            </w:r>
          </w:p>
        </w:tc>
      </w:tr>
      <w:tr>
        <w:trPr>
          <w:trHeight w:val="216"/>
        </w:trPr>
        <w:tc>
          <w:tcPr>
            <w:tcW w:w="1820" w:type="dxa"/>
            <w:vAlign w:val="bottom"/>
          </w:tcPr>
          <w:p>
            <w:pPr>
              <w:jc w:val="center"/>
              <w:ind w:left="690"/>
              <w:spacing w:after="0"/>
              <w:rPr>
                <w:sz w:val="20"/>
                <w:szCs w:val="20"/>
                <w:color w:val="auto"/>
              </w:rPr>
            </w:pPr>
            <w:r>
              <w:rPr>
                <w:rFonts w:ascii="Arial" w:cs="Arial" w:eastAsia="Arial" w:hAnsi="Arial"/>
                <w:sz w:val="18"/>
                <w:szCs w:val="18"/>
                <w:color w:val="auto"/>
                <w:w w:val="89"/>
              </w:rPr>
              <w:t>2017</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tcPr>
          <w:p>
            <w:pPr>
              <w:jc w:val="right"/>
              <w:ind w:right="120"/>
              <w:spacing w:after="0"/>
              <w:rPr>
                <w:sz w:val="20"/>
                <w:szCs w:val="20"/>
                <w:color w:val="auto"/>
              </w:rPr>
            </w:pPr>
            <w:r>
              <w:rPr>
                <w:rFonts w:ascii="Arial" w:cs="Arial" w:eastAsia="Arial" w:hAnsi="Arial"/>
                <w:sz w:val="18"/>
                <w:szCs w:val="18"/>
                <w:color w:val="auto"/>
              </w:rPr>
              <w:t>870,000</w:t>
            </w:r>
          </w:p>
        </w:tc>
      </w:tr>
      <w:tr>
        <w:trPr>
          <w:trHeight w:val="216"/>
        </w:trPr>
        <w:tc>
          <w:tcPr>
            <w:tcW w:w="1820" w:type="dxa"/>
            <w:vAlign w:val="bottom"/>
            <w:shd w:val="clear" w:color="auto" w:fill="EEEEEE"/>
          </w:tcPr>
          <w:p>
            <w:pPr>
              <w:jc w:val="center"/>
              <w:ind w:left="690"/>
              <w:spacing w:after="0"/>
              <w:rPr>
                <w:sz w:val="20"/>
                <w:szCs w:val="20"/>
                <w:color w:val="auto"/>
              </w:rPr>
            </w:pPr>
            <w:r>
              <w:rPr>
                <w:rFonts w:ascii="Arial" w:cs="Arial" w:eastAsia="Arial" w:hAnsi="Arial"/>
                <w:sz w:val="18"/>
                <w:szCs w:val="18"/>
                <w:color w:val="auto"/>
                <w:w w:val="89"/>
              </w:rPr>
              <w:t>2018</w:t>
            </w:r>
          </w:p>
        </w:tc>
        <w:tc>
          <w:tcPr>
            <w:tcW w:w="2820" w:type="dxa"/>
            <w:vAlign w:val="bottom"/>
            <w:gridSpan w:val="3"/>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28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883,452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7" w:name="page38"/>
    <w:bookmarkEnd w:id="37"/>
    <w:p>
      <w:pPr>
        <w:ind w:firstLine="648"/>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and adding an amortization period through September 2021. In April 2015, we entered into a second $100 million facility. This facility was renewed in April 2017 and again in February 2019, extending the revolving period to February 2021, followed by an amortization period to April 2023. In November 2015, we entered into a third $100 million facility. This facility was renewed in November 2017, extending the revolving period to November 2019, followed by an amortization period to November 2021.</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believe that our accounting policies related to (a) Finance Receivables at Fair Value, (b) Allowance for Finance Credit Losses, (c) Amortization of Deferred Origination Costs and Acquisition Fees, (d) Term Securitizations, (e) Accrual for Contingent Liabilities and (f)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p>
      <w:pPr>
        <w:ind w:firstLine="648"/>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including Finance Receivables at Fair Value, is summarized in the table below:</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Weighted Average Age in Months</w:t>
            </w:r>
          </w:p>
        </w:tc>
      </w:tr>
      <w:tr>
        <w:trPr>
          <w:trHeight w:val="234"/>
        </w:trPr>
        <w:tc>
          <w:tcPr>
            <w:tcW w:w="2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Owned Portfolio</w:t>
            </w:r>
          </w:p>
        </w:tc>
      </w:tr>
      <w:tr>
        <w:trPr>
          <w:trHeight w:val="210"/>
        </w:trPr>
        <w:tc>
          <w:tcPr>
            <w:tcW w:w="26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360" w:type="dxa"/>
            <w:vAlign w:val="bottom"/>
            <w:tcBorders>
              <w:top w:val="single" w:sz="8" w:color="EEEEEE"/>
            </w:tcBorders>
            <w:shd w:val="clear" w:color="auto" w:fill="EEEEEE"/>
          </w:tcPr>
          <w:p>
            <w:pPr>
              <w:spacing w:after="0"/>
              <w:rPr>
                <w:sz w:val="18"/>
                <w:szCs w:val="18"/>
                <w:color w:val="auto"/>
              </w:rPr>
            </w:pPr>
          </w:p>
        </w:tc>
        <w:tc>
          <w:tcPr>
            <w:tcW w:w="2600" w:type="dxa"/>
            <w:vAlign w:val="bottom"/>
            <w:tcBorders>
              <w:top w:val="single" w:sz="8" w:color="auto"/>
            </w:tcBorders>
            <w:shd w:val="clear" w:color="auto" w:fill="EEEEEE"/>
          </w:tcPr>
          <w:p>
            <w:pPr>
              <w:jc w:val="right"/>
              <w:ind w:right="107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Pr>
          <w:p>
            <w:pPr>
              <w:spacing w:after="0"/>
              <w:rPr>
                <w:sz w:val="18"/>
                <w:szCs w:val="18"/>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6"/>
        </w:trPr>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36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EEEEE"/>
          </w:tcPr>
          <w:p>
            <w:pPr>
              <w:spacing w:after="0"/>
              <w:rPr>
                <w:sz w:val="18"/>
                <w:szCs w:val="18"/>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60" w:type="dxa"/>
            <w:vAlign w:val="bottom"/>
          </w:tcPr>
          <w:p>
            <w:pPr>
              <w:spacing w:after="0"/>
              <w:rPr>
                <w:sz w:val="18"/>
                <w:szCs w:val="18"/>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36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EEEEE"/>
          </w:tcPr>
          <w:p>
            <w:pPr>
              <w:spacing w:after="0"/>
              <w:rPr>
                <w:sz w:val="18"/>
                <w:szCs w:val="18"/>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60" w:type="dxa"/>
            <w:vAlign w:val="bottom"/>
          </w:tcPr>
          <w:p>
            <w:pPr>
              <w:spacing w:after="0"/>
              <w:rPr>
                <w:sz w:val="18"/>
                <w:szCs w:val="18"/>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EEEEE"/>
          </w:tcPr>
          <w:p>
            <w:pPr>
              <w:spacing w:after="0"/>
              <w:rPr>
                <w:sz w:val="18"/>
                <w:szCs w:val="18"/>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360" w:type="dxa"/>
            <w:vAlign w:val="bottom"/>
          </w:tcPr>
          <w:p>
            <w:pPr>
              <w:spacing w:after="0"/>
              <w:rPr>
                <w:sz w:val="18"/>
                <w:szCs w:val="18"/>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36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EEEEE"/>
          </w:tcPr>
          <w:p>
            <w:pPr>
              <w:spacing w:after="0"/>
              <w:rPr>
                <w:sz w:val="18"/>
                <w:szCs w:val="18"/>
                <w:color w:val="auto"/>
              </w:rPr>
            </w:pP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60" w:type="dxa"/>
            <w:vAlign w:val="bottom"/>
          </w:tcPr>
          <w:p>
            <w:pPr>
              <w:spacing w:after="0"/>
              <w:rPr>
                <w:sz w:val="20"/>
                <w:szCs w:val="20"/>
                <w:color w:val="auto"/>
              </w:rPr>
            </w:pPr>
          </w:p>
        </w:tc>
        <w:tc>
          <w:tcPr>
            <w:tcW w:w="2600" w:type="dxa"/>
            <w:vAlign w:val="bottom"/>
          </w:tcPr>
          <w:p>
            <w:pPr>
              <w:jc w:val="right"/>
              <w:ind w:right="10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We generally do not lower the contractual interest rate or waive or forgive principal when our borrowers incur financial difficulty on either a temporary or permanent basis. An exception to this policy is when a court order mandates the terms of the contract to be modified, such as in a Chapter 13 bankruptcy proceeding. In such cases, which represent an immaterial portion of our portfolio of finance receivables, we have estimated the amount of impairment that results from such modification and established an appropriate allowance within our Allowance for Finance Credit Losses.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In addition, we incur certain direct costs associated with acquisitions of our contracts. All such acquisition fees and direct costs are applied to the carrying value of finance receivables and are accreted into earnings as an adjustment to the yield over the estimated life of the contract using the interest method. Receivables acquired after 2017 are accounted for using fair value. In accordance with the fair value method of accounting for finance receivables, any dealer acquisition fees will be incorporated into acquisition price of the receivables and no direct costs will be deferred.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7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ind w:right="40" w:firstLine="8"/>
        <w:spacing w:after="0" w:line="251"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8" w:lineRule="exact"/>
        <w:rPr>
          <w:sz w:val="20"/>
          <w:szCs w:val="20"/>
          <w:color w:val="auto"/>
        </w:rPr>
      </w:pPr>
    </w:p>
    <w:p>
      <w:pPr>
        <w:jc w:val="both"/>
        <w:ind w:right="360" w:firstLine="648"/>
        <w:spacing w:after="0" w:line="381" w:lineRule="auto"/>
        <w:rPr>
          <w:sz w:val="20"/>
          <w:szCs w:val="20"/>
          <w:color w:val="auto"/>
        </w:rPr>
      </w:pPr>
      <w:r>
        <w:rPr>
          <w:rFonts w:ascii="Arial" w:cs="Arial" w:eastAsia="Arial" w:hAnsi="Arial"/>
          <w:sz w:val="15"/>
          <w:szCs w:val="15"/>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0" w:name="page41"/>
    <w:bookmarkEnd w:id="40"/>
    <w:p>
      <w:pPr>
        <w:ind w:right="80" w:firstLine="648"/>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have recorded a liability as of December 31, 2018,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2018, and in excess of the liability we have recorded, does not exceed $3 million.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8"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We depend upon the availability of warehouse credit facilities and access to long-term financing through the issuance of asset-backed securities collateralized by our automobile contracts. Since 1994, we have completed 80 term securitizations of approximately $13.4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2018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2018 with the year ended December 31, 2017</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year ended December 31, 2018, our revenues were $389.8 million, a decrease of $44.6 million, or 10.3%,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of $434.4 million. The primary reason for the decrease in revenues is a decrease in interest income. Interest income for the year ended December 31, 2017 decreased $43.9 million, or 10.3%, to $380.3 million from $424.2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2018 and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Yield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1,860,388</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336,434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2,299,218</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424,174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Finance receivables measured at fair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3"/>
          </w:tcPr>
          <w:p>
            <w:pPr>
              <w:ind w:left="34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447,167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43,863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2,307,555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380,297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2,299,218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424,174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 decreased by $730,000, or 7.2%, to $9.5 million in the year ended December 31, 2018 from $10.2 million during the prior year. The decrease in other income resulted from a decrease of $600,000 in revenues associated with direct mail and other related products and services that we offer to our dealers, and a decrease of $200,000 in payments from third-party providers of convenience fees paid by our customers for web based and other electronic payments.</w:t>
      </w:r>
    </w:p>
    <w:p>
      <w:pPr>
        <w:spacing w:after="0" w:line="1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(other than our portfolio of finance receivables measured at fair value, as to which expected credit losses have the effect of reducing the interest rate applicable to such receivables).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Total operating expenses were $371.1 million for the year ended December 31, 2018, compared to $402.3 million for the prior year, a decrease of $31.2 million, or 7.8%. The decrease is primarily due to a decrease in provision for credit losses, offsetting increases in employee costs, interest expense, marketing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p>
      <w:pPr>
        <w:ind w:right="20" w:firstLine="648"/>
        <w:spacing w:after="0" w:line="257" w:lineRule="auto"/>
        <w:rPr>
          <w:sz w:val="20"/>
          <w:szCs w:val="20"/>
          <w:color w:val="auto"/>
        </w:rPr>
      </w:pPr>
      <w:r>
        <w:rPr>
          <w:rFonts w:ascii="Arial" w:cs="Arial" w:eastAsia="Arial" w:hAnsi="Arial"/>
          <w:sz w:val="18"/>
          <w:szCs w:val="18"/>
          <w:color w:val="auto"/>
        </w:rPr>
        <w:t>Employee costs increased by $6.4 million or 8.7%, to $79.3 million during the year ended December 31, 2018, representing 21.4% of total operating expenses, from $73.0 million for the prior year, or 18.1% of total operating expenses. Employee costs for the prior year period were net of $5.4 million of direct employee costs associated with the originations of contracts during that period. Such deferred costs are then recognized over the life of the related receivables using the interest method. The table below summarizes our employees by category as well as contract purchases and units in our managed portfolio as of, and for the years ended, December 31, 2018 and 2017:</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w:t>
            </w:r>
          </w:p>
        </w:tc>
        <w:tc>
          <w:tcPr>
            <w:tcW w:w="1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859.1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1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176,042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177,760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$31.0 million, an increase of $4.5 million, or 16.8%, compared to the previous year and represented 8.4% of total operating expenses.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Interest expense for the year ended December 31, 2018 increased by $9.1 million to $101.5 million, or 9.9%, compared to $92.3 million in the previous year.</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Interest on securitization trust debt increased by $6.8 million, or 8.2%, for the year ended December 31, 2018 compared to the prior year. The average balance of securitization trust debt decreased 1.5% to $2,140.1 million for the year ended December 31, 2018 compared to $2,172.1 million for the year ended December 31, 2017. In addition, the blended interest rates on our term securitizations have generally increased since June 2014. As a result, the cost of securitization debt during the year ended December 31, 2018 was 4.2%, compared to 3.8%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in 2018 compared to 2017. The blended interest rates of our recent securitizations are summarized in the table below: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9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9"/>
              </w:rPr>
              <w:t>Period</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Blended Cost of</w:t>
            </w:r>
          </w:p>
        </w:tc>
        <w:tc>
          <w:tcPr>
            <w:tcW w:w="0" w:type="dxa"/>
            <w:vAlign w:val="bottom"/>
          </w:tcPr>
          <w:p>
            <w:pPr>
              <w:spacing w:after="0"/>
              <w:rPr>
                <w:sz w:val="1"/>
                <w:szCs w:val="1"/>
                <w:color w:val="auto"/>
              </w:rPr>
            </w:pPr>
          </w:p>
        </w:tc>
      </w:tr>
      <w:tr>
        <w:trPr>
          <w:trHeight w:val="234"/>
        </w:trPr>
        <w:tc>
          <w:tcPr>
            <w:tcW w:w="3980" w:type="dxa"/>
            <w:vAlign w:val="bottom"/>
            <w:vMerge w:val="continue"/>
          </w:tcPr>
          <w:p>
            <w:pPr>
              <w:spacing w:after="0"/>
              <w:rPr>
                <w:sz w:val="20"/>
                <w:szCs w:val="20"/>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Funds</w:t>
            </w:r>
          </w:p>
        </w:tc>
        <w:tc>
          <w:tcPr>
            <w:tcW w:w="0" w:type="dxa"/>
            <w:vAlign w:val="bottom"/>
          </w:tcPr>
          <w:p>
            <w:pPr>
              <w:spacing w:after="0"/>
              <w:rPr>
                <w:sz w:val="1"/>
                <w:szCs w:val="1"/>
                <w:color w:val="auto"/>
              </w:rPr>
            </w:pPr>
          </w:p>
        </w:tc>
      </w:tr>
      <w:tr>
        <w:trPr>
          <w:trHeight w:val="210"/>
        </w:trPr>
        <w:tc>
          <w:tcPr>
            <w:tcW w:w="3980" w:type="dxa"/>
            <w:vAlign w:val="bottom"/>
            <w:tcBorders>
              <w:top w:val="single" w:sz="8" w:color="EEEEEE"/>
            </w:tcBorders>
            <w:shd w:val="clear" w:color="auto" w:fill="EEEEEE"/>
          </w:tcPr>
          <w:p>
            <w:pPr>
              <w:jc w:val="center"/>
              <w:ind w:right="150"/>
              <w:spacing w:after="0"/>
              <w:rPr>
                <w:sz w:val="20"/>
                <w:szCs w:val="20"/>
                <w:color w:val="auto"/>
              </w:rPr>
            </w:pPr>
            <w:r>
              <w:rPr>
                <w:rFonts w:ascii="Arial" w:cs="Arial" w:eastAsia="Arial" w:hAnsi="Arial"/>
                <w:sz w:val="18"/>
                <w:szCs w:val="18"/>
                <w:color w:val="auto"/>
                <w:w w:val="89"/>
              </w:rPr>
              <w:t>January 2017</w:t>
            </w:r>
          </w:p>
        </w:tc>
        <w:tc>
          <w:tcPr>
            <w:tcW w:w="158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auto"/>
                <w:w w:val="93"/>
              </w:rPr>
              <w:t>3.91%</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6"/>
              </w:rPr>
              <w:t>April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3.52%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9"/>
              </w:rPr>
              <w:t>October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9"/>
              </w:rPr>
              <w:t>January 2018</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3.46%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6"/>
              </w:rPr>
              <w:t>April 2018</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2018</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4.18%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9"/>
              </w:rPr>
              <w:t>October 2018</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4.22%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1" w:right="279" w:bottom="1440" w:gutter="0" w:footer="0" w:header="0"/>
        </w:sectPr>
      </w:pPr>
    </w:p>
    <w:bookmarkStart w:id="44" w:name="page45"/>
    <w:bookmarkEnd w:id="44"/>
    <w:p>
      <w:pPr>
        <w:ind w:right="20"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4.2% for the year ended December 31, 2018 compared to 3.8%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Interest expense on our subordinated debt increased by $117,000, or 8.8%, for the year ended December 31, 2018 compared to the prior year. The increase was the result of an increase in the average interest rate on our subordinated renewable notes to 8.7% for the year ended December 31, 2018 from 8.3% for the year ended December 31, 2017. This increase was also the result of an increase in the average balance of the notes from $16.0 million in the prior year to $16.5 million for the year ended December 31, 2018.</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on residual interest financing was $2.3 million in the year ended December 31, 2018. There was no residual interest financing debt outstanding during 2017.</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Interest expense on warehouse lines of credit decreased by $181,000, or 2.3% for the year ended December 31, 2018 compared to the prior year. The decrease is due primarily to a decrease in the average interest rate on our warehouse credit line debt from 12.7% in 2017 to 11.6% in 2018. However, most of the decrease in interest expense was offset by higher utilization of our warehouse lines in 2018 compared to 2017.</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6"/>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1,860,388</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336,434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2,299,218</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424,174</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447,167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43,863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2,307,555</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380,297</w:t>
            </w:r>
          </w:p>
        </w:tc>
        <w:tc>
          <w:tcPr>
            <w:tcW w:w="320" w:type="dxa"/>
            <w:vAlign w:val="bottom"/>
            <w:tcBorders>
              <w:top w:val="single" w:sz="8" w:color="EEEEEE"/>
            </w:tcBorders>
            <w:shd w:val="clear" w:color="auto" w:fill="EEEEEE"/>
          </w:tcPr>
          <w:p>
            <w:pPr>
              <w:spacing w:after="0"/>
              <w:rPr>
                <w:sz w:val="18"/>
                <w:szCs w:val="18"/>
                <w:color w:val="auto"/>
              </w:rPr>
            </w:pPr>
          </w:p>
        </w:tc>
        <w:tc>
          <w:tcPr>
            <w:tcW w:w="1300" w:type="dxa"/>
            <w:vAlign w:val="bottom"/>
            <w:tcBorders>
              <w:top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2,299,218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424,174</w:t>
            </w:r>
          </w:p>
        </w:tc>
        <w:tc>
          <w:tcPr>
            <w:tcW w:w="32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4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66,984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7,752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62,353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7,933</w:t>
            </w: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2,343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2,140,093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89,926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2,172,145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83,084</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16,533</w:t>
            </w: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3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16,028</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1,328</w:t>
            </w:r>
          </w:p>
        </w:tc>
        <w:tc>
          <w:tcPr>
            <w:tcW w:w="320" w:type="dxa"/>
            <w:vAlign w:val="bottom"/>
            <w:shd w:val="clear" w:color="auto" w:fill="EEEEEE"/>
          </w:tcPr>
          <w:p>
            <w:pPr>
              <w:spacing w:after="0"/>
              <w:rPr>
                <w:sz w:val="19"/>
                <w:szCs w:val="19"/>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2,248,610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101,466</w:t>
            </w:r>
          </w:p>
        </w:tc>
        <w:tc>
          <w:tcPr>
            <w:tcW w:w="3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2,250,526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92,345</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20" w:type="dxa"/>
            <w:vAlign w:val="bottom"/>
            <w:gridSpan w:val="6"/>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278,831</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331,829</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margin (3)</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300" w:type="dxa"/>
            <w:vAlign w:val="bottom"/>
            <w:tcBorders>
              <w:top w:val="single" w:sz="8" w:color="EEEEEE"/>
            </w:tcBorders>
            <w:gridSpan w:val="2"/>
            <w:shd w:val="clear" w:color="auto" w:fill="EEEEEE"/>
          </w:tcPr>
          <w:p>
            <w:pPr>
              <w:jc w:val="right"/>
              <w:ind w:right="160"/>
              <w:spacing w:after="0" w:line="196" w:lineRule="exact"/>
              <w:rPr>
                <w:sz w:val="20"/>
                <w:szCs w:val="20"/>
                <w:color w:val="auto"/>
              </w:rPr>
            </w:pPr>
            <w:r>
              <w:rPr>
                <w:rFonts w:ascii="Arial" w:cs="Arial" w:eastAsia="Arial" w:hAnsi="Arial"/>
                <w:sz w:val="18"/>
                <w:szCs w:val="18"/>
                <w:color w:val="auto"/>
              </w:rPr>
              <w:t>12.1%</w:t>
            </w:r>
          </w:p>
        </w:tc>
        <w:tc>
          <w:tcPr>
            <w:tcW w:w="1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400" w:type="dxa"/>
            <w:vAlign w:val="bottom"/>
            <w:tcBorders>
              <w:top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gridSpan w:val="7"/>
          </w:tcPr>
          <w:p>
            <w:pPr>
              <w:jc w:val="center"/>
              <w:ind w:left="830"/>
              <w:spacing w:after="0"/>
              <w:rPr>
                <w:sz w:val="20"/>
                <w:szCs w:val="20"/>
                <w:color w:val="auto"/>
              </w:rPr>
            </w:pPr>
            <w:r>
              <w:rPr>
                <w:rFonts w:ascii="Arial" w:cs="Arial" w:eastAsia="Arial" w:hAnsi="Arial"/>
                <w:sz w:val="18"/>
                <w:szCs w:val="18"/>
                <w:b w:val="1"/>
                <w:bCs w:val="1"/>
                <w:color w:val="auto"/>
                <w:w w:val="90"/>
              </w:rPr>
              <w:t>Year Ended December 31, 2018</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89"/>
              </w:rPr>
              <w:t>Compared to 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1"/>
              </w:rPr>
              <w:t>Change Due</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vMerge w:val="restart"/>
          </w:tcPr>
          <w:p>
            <w:pPr>
              <w:jc w:val="center"/>
              <w:ind w:right="1020"/>
              <w:spacing w:after="0"/>
              <w:rPr>
                <w:sz w:val="20"/>
                <w:szCs w:val="20"/>
                <w:color w:val="auto"/>
              </w:rPr>
            </w:pPr>
            <w:r>
              <w:rPr>
                <w:rFonts w:ascii="Arial" w:cs="Arial" w:eastAsia="Arial" w:hAnsi="Arial"/>
                <w:sz w:val="18"/>
                <w:szCs w:val="18"/>
                <w:b w:val="1"/>
                <w:bCs w:val="1"/>
                <w:color w:val="auto"/>
                <w:w w:val="89"/>
              </w:rPr>
              <w:t>Interest Earning Assets</w:t>
            </w:r>
          </w:p>
        </w:tc>
        <w:tc>
          <w:tcPr>
            <w:tcW w:w="26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to Volume</w:t>
            </w: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3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(87,740)</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(80,958)</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43,863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43,863</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(43,877)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(37,095)</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(6,782)</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40" w:type="dxa"/>
            <w:vAlign w:val="bottom"/>
            <w:gridSpan w:val="4"/>
          </w:tcPr>
          <w:p>
            <w:pPr>
              <w:jc w:val="center"/>
              <w:ind w:right="88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2,343</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6,842</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9,121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1,748</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7,373</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(52,998</w:t>
            </w:r>
          </w:p>
        </w:tc>
        <w:tc>
          <w:tcPr>
            <w:tcW w:w="200" w:type="dxa"/>
            <w:vAlign w:val="bottom"/>
            <w:tcBorders>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(38,843</w:t>
            </w:r>
          </w:p>
        </w:tc>
        <w:tc>
          <w:tcPr>
            <w:tcW w:w="340" w:type="dxa"/>
            <w:vAlign w:val="bottom"/>
            <w:tcBorders>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(14,155</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Provision for credit losses was $133.1 million for the year ended December 31, 2018, a decrease of $53.6 million, or 28.7% compared to the prior year and represented 35.9% of total operating expenses. The provision for credit losses maintains the allowance for finance credit losses at levels that we feel are adequate for probable incurred credit losses that can be reasonably estimated.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 This is the primary reason for the reduction in provision for credit losses in 2018.</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$2.0 million, or 12.5%, to $17.6 million during the year ended December 31, 2018, compared to $15.6 million in the prior year, and represented 4.7% of total operating expenses. For the year ended December 31, 2018, we purchased 52,731 contracts representing $902.4 million in receivables compared to 52,643 contracts representing $859.1 million in receivables in the prior year.</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Occupancy expenses increased by $445,000 or 6.2%, to $7.6 million compared to $7.2 million in the previous year and represented 2.1% of total operating expenses.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Depreciation and amortization expenses increased by $58,000 or 6.2%, to $992,000 compared to $934,000 in the previous year and represented 0.3% of total operating expenses.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For the year ended December 31, 2018, we recorded income tax expense of $3.8 million, representing an effective income tax rate of 20.5%. This includes $2.1 million of income tax benefit related to certain tax planning strategies and other adjustments. Excluding the impact of the tax benefit, the effective tax rate for 2018 would have been 31.8%. For the year ended December 31, 2017, we recorded income tax expense of $28.3 million, representing an effective income tax rate of 88.3%. This includes $15.1 million of income tax expense related to the effects of the Tax Act, which are required to be recorded in the period of enactment. Excluding the impact of the Tax Act, the effective tax rate for 2017 would have been 41.1%.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Comparison of Operating Results for the year ended December 31, 2017 with the year ended December 31, 2016</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2017, our revenues were $434.4 million, an increase of $12.1 million, or 2.9%,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$422.3 million. The primary reason for the increase in revenues is an increase in interest income. Interest income for the year ended December 31, 2017 increased $15.2 million, or 3.7%, to $424.2 million from $409.0 million in the prior year. The primary reason for the increase in interest income is the increase in finance receivables held by consolidated subsidiaries, which increased from $2,307.9 million at December 31, 2016 to $2,333.5 million at December 31, 2017.</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income decreased by $3.1 million, or 23.2%, to $10.2 million in the year ended December 31, 2017 from $13.3 million during the prior year. The decrease in other income resulted from a decrease of $2.8 million in revenues associated with direct mail and other related products and services that we offer to our dealers, a decrease of $245,000 in payments from third-party providers of convenience fees paid by our customers for web based and other electronic payments and a decrease of $203,000 in recoveries on previously charged off receivables.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Total operating expenses were $402.3 million for the year ended December 31, 2017, compared to $372.6 million for the prior year, an increase of $29.7 million, or 8.0%. The increase is primarily due to the increase in interest expense, provision for credit losses and servicing costs.</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Employee costs increased by $7.4 million or 11.3%, to $73.0 million during the year ended December 31, 2017, representing 18.1% of total operating expenses, from $65.5 million for the prior year, or 17.6% of total operating expenses. During the year ended December 31, 2017, we added Servicing staff to accommodate the increase in the number of accounts in our managed portfolio. The table below summarizes our employees by category as well as contract purchases and units in our managed portfolio as of, and for the years ended, December 31, 2017 and 2016:</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859.1</w:t>
            </w:r>
          </w:p>
        </w:tc>
        <w:tc>
          <w:tcPr>
            <w:tcW w:w="1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1,088.8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52,643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14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2,308.1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177,760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169,720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00" w:right="359" w:bottom="1440" w:gutter="0" w:footer="0" w:header="0"/>
        </w:sectPr>
      </w:pPr>
    </w:p>
    <w:bookmarkStart w:id="47" w:name="page48"/>
    <w:bookmarkEnd w:id="47"/>
    <w:p>
      <w:pPr>
        <w:ind w:right="8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$26.6 million, an increase of $1.8 million, or 7.0%, compared to the previous year and represented 6.6% of total operating expenses.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Interest expense for the year ended December 31, 2017 increased by $12.4 million to $92.3 million, or 15.5%, compared to $79.9 million in the previous year.</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Interest on securitization trust debt increased by $13.9 million, or 20.1%, for the year ended December 31, 2017 compared to the prior year. The average balance of securitization trust debt increased 4.7% to $2,172.1 million at December 31, 2017 compared to $2,075.1 million at December 31, 2016. In addition, the blended interest rates on our term securitizations have generally increased since June 2014. As a result, the cost of securitization debt during the year ended December 31, 2017 was 3.8%, compared to 3.3%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9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9"/>
              </w:rPr>
              <w:t>Period</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Blended Cost of</w:t>
            </w:r>
          </w:p>
        </w:tc>
        <w:tc>
          <w:tcPr>
            <w:tcW w:w="0" w:type="dxa"/>
            <w:vAlign w:val="bottom"/>
          </w:tcPr>
          <w:p>
            <w:pPr>
              <w:spacing w:after="0"/>
              <w:rPr>
                <w:sz w:val="1"/>
                <w:szCs w:val="1"/>
                <w:color w:val="auto"/>
              </w:rPr>
            </w:pPr>
          </w:p>
        </w:tc>
      </w:tr>
      <w:tr>
        <w:trPr>
          <w:trHeight w:val="234"/>
        </w:trPr>
        <w:tc>
          <w:tcPr>
            <w:tcW w:w="3980" w:type="dxa"/>
            <w:vAlign w:val="bottom"/>
            <w:vMerge w:val="continue"/>
          </w:tcPr>
          <w:p>
            <w:pPr>
              <w:spacing w:after="0"/>
              <w:rPr>
                <w:sz w:val="20"/>
                <w:szCs w:val="20"/>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Funds</w:t>
            </w:r>
          </w:p>
        </w:tc>
        <w:tc>
          <w:tcPr>
            <w:tcW w:w="0" w:type="dxa"/>
            <w:vAlign w:val="bottom"/>
          </w:tcPr>
          <w:p>
            <w:pPr>
              <w:spacing w:after="0"/>
              <w:rPr>
                <w:sz w:val="1"/>
                <w:szCs w:val="1"/>
                <w:color w:val="auto"/>
              </w:rPr>
            </w:pPr>
          </w:p>
        </w:tc>
      </w:tr>
      <w:tr>
        <w:trPr>
          <w:trHeight w:val="210"/>
        </w:trPr>
        <w:tc>
          <w:tcPr>
            <w:tcW w:w="3980" w:type="dxa"/>
            <w:vAlign w:val="bottom"/>
            <w:tcBorders>
              <w:top w:val="single" w:sz="8" w:color="EEEEEE"/>
            </w:tcBorders>
            <w:shd w:val="clear" w:color="auto" w:fill="EEEEEE"/>
          </w:tcPr>
          <w:p>
            <w:pPr>
              <w:jc w:val="center"/>
              <w:ind w:right="150"/>
              <w:spacing w:after="0"/>
              <w:rPr>
                <w:sz w:val="20"/>
                <w:szCs w:val="20"/>
                <w:color w:val="auto"/>
              </w:rPr>
            </w:pPr>
            <w:r>
              <w:rPr>
                <w:rFonts w:ascii="Arial" w:cs="Arial" w:eastAsia="Arial" w:hAnsi="Arial"/>
                <w:sz w:val="18"/>
                <w:szCs w:val="18"/>
                <w:color w:val="auto"/>
                <w:w w:val="87"/>
              </w:rPr>
              <w:t>June 2014</w:t>
            </w:r>
          </w:p>
        </w:tc>
        <w:tc>
          <w:tcPr>
            <w:tcW w:w="158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auto"/>
                <w:w w:val="93"/>
              </w:rPr>
              <w:t>2.37%</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8"/>
              </w:rPr>
              <w:t>September 2014</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8"/>
              </w:rPr>
              <w:t>December 2014</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3.07%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0"/>
              </w:rPr>
              <w:t>March 2015</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7"/>
              </w:rPr>
              <w:t>June 2015</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3.18%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8"/>
              </w:rPr>
              <w:t>September 2015</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9"/>
              </w:rPr>
              <w:t>January 2016</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4.34%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6"/>
              </w:rPr>
              <w:t>April 2016</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2016</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4.48%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9"/>
              </w:rPr>
              <w:t>October 2016</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89"/>
              </w:rPr>
              <w:t>January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3.91%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96"/>
              </w:rPr>
              <w:t>April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EEEEE"/>
          </w:tcPr>
          <w:p>
            <w:pPr>
              <w:jc w:val="center"/>
              <w:ind w:right="150"/>
              <w:spacing w:after="0"/>
              <w:rPr>
                <w:sz w:val="20"/>
                <w:szCs w:val="20"/>
                <w:color w:val="auto"/>
              </w:rPr>
            </w:pPr>
            <w:r>
              <w:rPr>
                <w:rFonts w:ascii="Arial" w:cs="Arial" w:eastAsia="Arial" w:hAnsi="Arial"/>
                <w:sz w:val="18"/>
                <w:szCs w:val="18"/>
                <w:color w:val="auto"/>
                <w:w w:val="90"/>
              </w:rPr>
              <w:t>July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3.52%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jc w:val="center"/>
              <w:ind w:right="150"/>
              <w:spacing w:after="0"/>
              <w:rPr>
                <w:sz w:val="20"/>
                <w:szCs w:val="20"/>
                <w:color w:val="auto"/>
              </w:rPr>
            </w:pPr>
            <w:r>
              <w:rPr>
                <w:rFonts w:ascii="Arial" w:cs="Arial" w:eastAsia="Arial" w:hAnsi="Arial"/>
                <w:sz w:val="18"/>
                <w:szCs w:val="18"/>
                <w:color w:val="auto"/>
                <w:w w:val="89"/>
              </w:rPr>
              <w:t>October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3.8% for the year ended December 31, 2017 compared to 3.3%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Interest expense on our subordinated debt decreased by $20,000, or 1.5%, for the year ended December 31, 2017 compared to the prior year. The reduction was the result of a decrease in the average interest rate on our subordinated renewable notes to 8.3% for the year ended December 31, 2017 from 8.9% for the year ended December 31, 2016. This decrease was mostly offset by an increase in the average balance of the notes from $15.1 million in the prior year to $16.0 million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48" w:name="page49"/>
    <w:bookmarkEnd w:id="48"/>
    <w:p>
      <w:pPr>
        <w:ind w:left="660"/>
        <w:spacing w:after="0"/>
        <w:rPr>
          <w:sz w:val="20"/>
          <w:szCs w:val="20"/>
          <w:color w:val="auto"/>
        </w:rPr>
      </w:pPr>
      <w:r>
        <w:rPr>
          <w:rFonts w:ascii="Arial" w:cs="Arial" w:eastAsia="Arial" w:hAnsi="Arial"/>
          <w:sz w:val="16"/>
          <w:szCs w:val="16"/>
          <w:color w:val="auto"/>
        </w:rPr>
        <w:t>Interest expense on residual interest financing was $846,000 in the year ended December 31, 2016. This debt was repaid in full in November 2016.</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expense on warehouse lines of credit decreased by $636,000, or 7.4% for the year ended December 31, 2017 compared to the prior year. The decrease is due primarily to lower utilization of our warehouse lines in 2017 compared to 2016.</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6"/>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2,299,218</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424,174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18.4%</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2,188,852</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408,996</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4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62,353</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7,933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8,569</w:t>
            </w: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6,413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846</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2,172,145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83,084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2,075,127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69,178</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16,028</w:t>
            </w: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1,328</w:t>
            </w:r>
          </w:p>
        </w:tc>
        <w:tc>
          <w:tcPr>
            <w:tcW w:w="3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15,062</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EEEEEE"/>
          </w:tcPr>
          <w:p>
            <w:pPr>
              <w:spacing w:after="0"/>
              <w:rPr>
                <w:sz w:val="19"/>
                <w:szCs w:val="19"/>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2,250,526</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92,345</w:t>
            </w:r>
          </w:p>
        </w:tc>
        <w:tc>
          <w:tcPr>
            <w:tcW w:w="3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2,172,810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79,941</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20" w:type="dxa"/>
            <w:vAlign w:val="bottom"/>
            <w:gridSpan w:val="6"/>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331,829</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329,055</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margin (3)</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300" w:type="dxa"/>
            <w:vAlign w:val="bottom"/>
            <w:tcBorders>
              <w:top w:val="single" w:sz="8" w:color="EEEEEE"/>
            </w:tcBorders>
            <w:gridSpan w:val="2"/>
            <w:shd w:val="clear" w:color="auto" w:fill="EEEEEE"/>
          </w:tcPr>
          <w:p>
            <w:pPr>
              <w:jc w:val="right"/>
              <w:ind w:right="160"/>
              <w:spacing w:after="0" w:line="196" w:lineRule="exact"/>
              <w:rPr>
                <w:sz w:val="20"/>
                <w:szCs w:val="20"/>
                <w:color w:val="auto"/>
              </w:rPr>
            </w:pPr>
            <w:r>
              <w:rPr>
                <w:rFonts w:ascii="Arial" w:cs="Arial" w:eastAsia="Arial" w:hAnsi="Arial"/>
                <w:sz w:val="18"/>
                <w:szCs w:val="18"/>
                <w:color w:val="auto"/>
              </w:rPr>
              <w:t>14.4%</w:t>
            </w:r>
          </w:p>
        </w:tc>
        <w:tc>
          <w:tcPr>
            <w:tcW w:w="1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400" w:type="dxa"/>
            <w:vAlign w:val="bottom"/>
            <w:tcBorders>
              <w:top w:val="single" w:sz="8" w:color="EEEEEE"/>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gridSpan w:val="7"/>
          </w:tcPr>
          <w:p>
            <w:pPr>
              <w:jc w:val="center"/>
              <w:ind w:left="830"/>
              <w:spacing w:after="0"/>
              <w:rPr>
                <w:sz w:val="20"/>
                <w:szCs w:val="20"/>
                <w:color w:val="auto"/>
              </w:rPr>
            </w:pPr>
            <w:r>
              <w:rPr>
                <w:rFonts w:ascii="Arial" w:cs="Arial" w:eastAsia="Arial" w:hAnsi="Arial"/>
                <w:sz w:val="18"/>
                <w:szCs w:val="18"/>
                <w:b w:val="1"/>
                <w:bCs w:val="1"/>
                <w:color w:val="auto"/>
                <w:w w:val="90"/>
              </w:rPr>
              <w:t>Year Ended December 31, 2017</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89"/>
              </w:rPr>
              <w:t>Compared to December 31,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Change Due</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vMerge w:val="restart"/>
          </w:tcPr>
          <w:p>
            <w:pPr>
              <w:jc w:val="center"/>
              <w:ind w:right="1020"/>
              <w:spacing w:after="0"/>
              <w:rPr>
                <w:sz w:val="20"/>
                <w:szCs w:val="20"/>
                <w:color w:val="auto"/>
              </w:rPr>
            </w:pPr>
            <w:r>
              <w:rPr>
                <w:rFonts w:ascii="Arial" w:cs="Arial" w:eastAsia="Arial" w:hAnsi="Arial"/>
                <w:sz w:val="18"/>
                <w:szCs w:val="18"/>
                <w:b w:val="1"/>
                <w:bCs w:val="1"/>
                <w:color w:val="auto"/>
                <w:w w:val="89"/>
              </w:rPr>
              <w:t>Interest Earning Assets</w:t>
            </w: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to Volume</w:t>
            </w:r>
          </w:p>
        </w:tc>
        <w:tc>
          <w:tcPr>
            <w:tcW w:w="200" w:type="dxa"/>
            <w:vAlign w:val="bottom"/>
          </w:tcPr>
          <w:p>
            <w:pPr>
              <w:spacing w:after="0"/>
              <w:rPr>
                <w:sz w:val="20"/>
                <w:szCs w:val="20"/>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4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15,178</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20,622</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EEEEEE"/>
            </w:tcBorders>
            <w:shd w:val="clear" w:color="auto" w:fill="EEEEEE"/>
          </w:tcPr>
          <w:p>
            <w:pPr>
              <w:spacing w:after="0"/>
              <w:rPr>
                <w:sz w:val="17"/>
                <w:szCs w:val="17"/>
                <w:color w:val="auto"/>
              </w:rPr>
            </w:pPr>
          </w:p>
        </w:tc>
        <w:tc>
          <w:tcPr>
            <w:tcW w:w="206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8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1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3,234</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19,706</w:t>
            </w:r>
          </w:p>
        </w:tc>
        <w:tc>
          <w:tcPr>
            <w:tcW w:w="3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(16,932</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Provision for credit losses was $186.7 million for the year ended December 31, 2017, an increase of $8.2 million, or 4.6% compared to the prior year and represented 46.4%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larger portfolio owned by our consolidated subsidiaries compared to the prior year and an adverse trend in the performance of our receivables.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$2.2 million, or 12.4%, to $15.6 million during the year ended December 31, 2017, compared to $17.8 million in the prior year, and represented 3.9% of total operating expenses. For the year ended December 31, 2017, we purchased 52,643 contracts representing $859.1 million in receivables compared to 66,527 contracts representing $1,088.8 million in receivables in the prior year.</w:t>
      </w:r>
    </w:p>
    <w:p>
      <w:pPr>
        <w:spacing w:after="0" w:line="19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Occupancy expenses increased by $2.0 million or 38.1%, to $7.2 million compared to $5.2 million in the previous year and represented 1.8% of total operating expenses. The increase in occupancy expense is a result of leases for additional office space in Irvine, California and Las Vegas, Nevada.</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Depreciation and amortization expenses increased by $157,000 or 20.2%, to $934,000 compared to $777,000 in the previous year and represented 0.1% of total operating expenses.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ended December 31, 2017, we recorded income tax expense of $28.3 million, representing an effective income tax rate of 88.3%. This includes $15.1 million of income tax expense related to the effects of the Tax Act, which are required to be recorded in the period of enactment. Excluding the impact of the Tax Act, the effective tax rate for 2017 would have been 41.1%. In 2016, we recorded $20.4 million of income tax expense, representing a 41.0%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business requires substantial cash to support our acquisitions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acquisitions of automobile contracts, repayment of securitization trust debt, repayment of amounts borrowed under warehouse credit facilities,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2018, 2017 and 2016 was $216.2 million, $215.6 million and $196.3 million, respectively. Net cash from operating activities is generally provided by net income from operations adjusted for significant non-cash items such as our provision for credit losses and accretion of deferred acquisition fees.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investing activities for the years ended December 31, 2018, 2017 and 2016 was $242.2 million, $210.6 million and $437.8 million, respectively. Cash provided by investing activities primarily results from principal payments and other proceeds received on finance receivables held for investment. Cash used in investing activities generally relates to acquisitions of finance receivables. Acquisitions of finance receivables held for investment were $914.9 million (includes acquisition fees paid), $859.1 million and $1,088.8 million in 2018, 2017 and 2016, respectively.</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provided by financing activities for the years ended December 31, 2018 and 2016 was $31.4 million and $242.8 million, respectively. Net cash used in financing activities for the year ended December 31, 2017 was $7.0 million. Cash used or provided by financing activities is primarily attributable to the repayment or issuance of debt, and in particular, securitization trust debt and portfolio acquisition financing. We issued $855.8 million in new securitization trust debt in 2018 compared to $852.6 million in 2017 and $1,197.5 million in 2016. Repayments of securitization debt were $876.1 million, $851.2 million and $834.9 million in 2018, 2017 and 2016, respectively.</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access to the asset-backed securitization market for long-term financing of our portfolio of automobile contracts. In addition, from time to time, we have relied on the availability of cash from outside sources in order to finance our continuing operations, as well as to fund the portion of automobile contract purchase prices not financed under revolving warehouse credit facilities.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acquire automobile contracts.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ind w:right="40"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December 31, 2018, we had unrestricted cash of $12.8 million. We had an aggregate of $161.9 million available under our three $100 million warehouse credit facilities (subject to available eligible collateral and our own capital). During 2018 we completed four securitizations aggregating $883.5 million of receivables, and we intend to continue completing securitizations regularly during 2019,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w:t>
      </w:r>
    </w:p>
    <w:p>
      <w:pPr>
        <w:spacing w:after="0" w:line="2" w:lineRule="exact"/>
        <w:rPr>
          <w:sz w:val="20"/>
          <w:szCs w:val="20"/>
          <w:color w:val="auto"/>
        </w:rPr>
      </w:pPr>
    </w:p>
    <w:p>
      <w:pPr>
        <w:ind w:right="220" w:firstLine="8"/>
        <w:spacing w:after="0" w:line="255"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require increased credit enhancement to be accumulated for the particular pool; or (ii) in certain circumstances, may permit the transfer of servicing on some or all of the automobile contracts to another servicer. There can be no assurance that collections from the related trusts will continue to generate sufficient cash.</w:t>
      </w:r>
    </w:p>
    <w:p>
      <w:pPr>
        <w:spacing w:after="0" w:line="19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currently have and will continue to have a substantial amount of indebtedness. At December 31, 2018, we had approximately $2,256.9 million of debt outstanding. Such debt consisted primarily of $2,063.6 million of securitization trust debt, $136.8 million of warehouse lines of credit, $39.1 million of residual interest financing debt and $17.3 million in subordinated renewable notes. We are also currently offering the subordinated renewable notes to the public on a continuous basis, and such notes have maturities that range from three months to 10 years.</w:t>
      </w:r>
    </w:p>
    <w:p>
      <w:pPr>
        <w:spacing w:after="0" w:line="17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material contractual obligations as of December 31, 2018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1"/>
              </w:rPr>
              <w:t>Payment Due by Period (1)</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8"/>
              </w:rPr>
              <w:t>Less than</w:t>
            </w:r>
          </w:p>
        </w:tc>
        <w:tc>
          <w:tcPr>
            <w:tcW w:w="260" w:type="dxa"/>
            <w:vAlign w:val="bottom"/>
          </w:tcPr>
          <w:p>
            <w:pPr>
              <w:spacing w:after="0"/>
              <w:rPr>
                <w:sz w:val="17"/>
                <w:szCs w:val="17"/>
                <w:color w:val="auto"/>
              </w:rPr>
            </w:pPr>
          </w:p>
        </w:tc>
        <w:tc>
          <w:tcPr>
            <w:tcW w:w="1240" w:type="dxa"/>
            <w:vAlign w:val="bottom"/>
            <w:gridSpan w:val="2"/>
          </w:tcPr>
          <w:p>
            <w:pPr>
              <w:jc w:val="center"/>
              <w:ind w:right="500"/>
              <w:spacing w:after="0" w:line="205" w:lineRule="exact"/>
              <w:rPr>
                <w:sz w:val="20"/>
                <w:szCs w:val="20"/>
                <w:color w:val="auto"/>
              </w:rPr>
            </w:pPr>
            <w:r>
              <w:rPr>
                <w:rFonts w:ascii="Arial" w:cs="Arial" w:eastAsia="Arial" w:hAnsi="Arial"/>
                <w:sz w:val="18"/>
                <w:szCs w:val="18"/>
                <w:b w:val="1"/>
                <w:bCs w:val="1"/>
                <w:color w:val="auto"/>
                <w:w w:val="89"/>
              </w:rPr>
              <w:t>2 to 3</w:t>
            </w:r>
          </w:p>
        </w:tc>
        <w:tc>
          <w:tcPr>
            <w:tcW w:w="300" w:type="dxa"/>
            <w:vAlign w:val="bottom"/>
          </w:tcPr>
          <w:p>
            <w:pPr>
              <w:spacing w:after="0"/>
              <w:rPr>
                <w:sz w:val="17"/>
                <w:szCs w:val="17"/>
                <w:color w:val="auto"/>
              </w:rPr>
            </w:pPr>
          </w:p>
        </w:tc>
        <w:tc>
          <w:tcPr>
            <w:tcW w:w="1200" w:type="dxa"/>
            <w:vAlign w:val="bottom"/>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4 to 5</w:t>
            </w:r>
          </w:p>
        </w:tc>
        <w:tc>
          <w:tcPr>
            <w:tcW w:w="16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34"/>
        </w:trPr>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5 Years</w:t>
            </w:r>
          </w:p>
        </w:tc>
      </w:tr>
      <w:tr>
        <w:trPr>
          <w:trHeight w:val="210"/>
        </w:trPr>
        <w:tc>
          <w:tcPr>
            <w:tcW w:w="1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17,290</w:t>
            </w:r>
          </w:p>
        </w:tc>
        <w:tc>
          <w:tcPr>
            <w:tcW w:w="3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6,867</w:t>
            </w:r>
          </w:p>
        </w:tc>
        <w:tc>
          <w:tcPr>
            <w:tcW w:w="3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5,773</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1,973</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30,942</w:t>
            </w:r>
          </w:p>
        </w:tc>
        <w:tc>
          <w:tcPr>
            <w:tcW w:w="18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7,684</w:t>
            </w:r>
          </w:p>
        </w:tc>
        <w:tc>
          <w:tcPr>
            <w:tcW w:w="26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15,064</w:t>
            </w:r>
          </w:p>
        </w:tc>
        <w:tc>
          <w:tcPr>
            <w:tcW w:w="3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7,505</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r>
    </w:tbl>
    <w:p>
      <w:pPr>
        <w:spacing w:after="0" w:line="187" w:lineRule="exact"/>
        <w:rPr>
          <w:sz w:val="20"/>
          <w:szCs w:val="20"/>
          <w:color w:val="auto"/>
        </w:rPr>
      </w:pPr>
    </w:p>
    <w:p>
      <w:pPr>
        <w:ind w:left="340" w:right="100" w:hanging="332"/>
        <w:spacing w:after="0" w:line="254"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$2,063.6 million as of December 31, 2018, is omitted from this table because it becomes due as and when the related receivables balance is reduced by payments and charge-offs. Expected payments, which will depend on the performance of such receivables, as to which there can be no assurance, are $780.0 million in 2019, $587.5 million in 2020, $378.8 million in 2021, $194.6 million in 2022, $116.0 million in 2023, and $6.8 million in 2024.</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repaying debt due in 2019 with a combination of cash flows from operations and the potential issuance of new debt.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is structured to allow us to fund a portion of the purchase price of automobile contracts by borrowing from a credit facility to our consolidated subsidiary Page Eight Funding, LLC. The facility provides for effective advances up to 87.0% of eligible finance receivables. The loans under the facility accrue interest at one-month LIBOR plus 3.00% per annum, with a minimum rate of 3.75% per annum. In September 2018, this facility was amended to extend the revolving period to September 2020 and to include an amortization period through September 2021 for any receivables pledged to the facility at the end of the revolving period. At December 31, 2018 there was $99.9 million outstanding under this facility.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Facility Established in April 2015. </w:t>
      </w:r>
      <w:r>
        <w:rPr>
          <w:rFonts w:ascii="Arial" w:cs="Arial" w:eastAsia="Arial" w:hAnsi="Arial"/>
          <w:sz w:val="17"/>
          <w:szCs w:val="17"/>
          <w:color w:val="auto"/>
        </w:rPr>
        <w:t>On April 17, 2015, we entered into an additional $100 million one-year warehouse credit line with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April 2017, this facility was amended to extend the revolving period to April 2019 followed by an amortization period through April 2021 for any receivables pledged to the facility at the end of the revolving period. At December 31, 2018 there was $38.2 million outstanding under this facility. In February 2019, this facility was amended to extend the revolving period to February 2021 followed by an amortization period through February 2023.</w:t>
      </w:r>
    </w:p>
    <w:p>
      <w:pPr>
        <w:spacing w:after="0" w:line="178" w:lineRule="exact"/>
        <w:rPr>
          <w:sz w:val="20"/>
          <w:szCs w:val="20"/>
          <w:color w:val="auto"/>
        </w:rPr>
      </w:pPr>
    </w:p>
    <w:p>
      <w:pPr>
        <w:ind w:right="380" w:firstLine="648"/>
        <w:spacing w:after="0" w:line="288" w:lineRule="auto"/>
        <w:rPr>
          <w:sz w:val="20"/>
          <w:szCs w:val="20"/>
          <w:color w:val="auto"/>
        </w:rPr>
      </w:pPr>
      <w:r>
        <w:rPr>
          <w:rFonts w:ascii="Arial" w:cs="Arial" w:eastAsia="Arial" w:hAnsi="Arial"/>
          <w:sz w:val="16"/>
          <w:szCs w:val="16"/>
          <w:i w:val="1"/>
          <w:iCs w:val="1"/>
          <w:color w:val="auto"/>
        </w:rPr>
        <w:t xml:space="preserve">Facility Established in November 2015. </w:t>
      </w:r>
      <w:r>
        <w:rPr>
          <w:rFonts w:ascii="Arial" w:cs="Arial" w:eastAsia="Arial" w:hAnsi="Arial"/>
          <w:sz w:val="16"/>
          <w:szCs w:val="16"/>
          <w:color w:val="auto"/>
        </w:rPr>
        <w:t>On November 24, 2015, we entered into an additional $100 million one-year warehouse credit line with</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w:t>
      </w:r>
    </w:p>
    <w:p>
      <w:pPr>
        <w:ind w:right="40"/>
        <w:spacing w:after="0" w:line="254" w:lineRule="auto"/>
        <w:rPr>
          <w:sz w:val="20"/>
          <w:szCs w:val="20"/>
          <w:color w:val="auto"/>
        </w:rPr>
      </w:pPr>
      <w:r>
        <w:rPr>
          <w:rFonts w:ascii="Arial" w:cs="Arial" w:eastAsia="Arial" w:hAnsi="Arial"/>
          <w:sz w:val="18"/>
          <w:szCs w:val="18"/>
          <w:color w:val="auto"/>
        </w:rPr>
        <w:t>88.0% of eligible finance receivables, or up to 80.0% for certain other receivables. The loans under the facility accrue interest at a commercial paper rate plus 6.75% per annum, with a minimum rate of 7.75% per annum. In November 2017, this facility was amended to extend the revolving period to November 2019 followed by an amortization period through November 2021 for any receivables pledged to the facility at the end of the revolving period. At December 31, 2018 there was no amount outstanding under this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Over the period from January 1, 2016 through December 31, 2018 we have managed our capitalization by issuing and refinancing debt as summarized in the following table: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8"/>
                <w:szCs w:val="18"/>
                <w:b w:val="1"/>
                <w:bCs w:val="1"/>
                <w:color w:val="auto"/>
                <w:w w:val="91"/>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8"/>
                <w:szCs w:val="18"/>
                <w:color w:val="auto"/>
                <w:w w:val="94"/>
              </w:rPr>
              <w:t>(Dollars 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Capitalization of deferred financing costs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39,106</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2,083,215</w:t>
            </w:r>
          </w:p>
        </w:tc>
        <w:tc>
          <w:tcPr>
            <w:tcW w:w="160" w:type="dxa"/>
            <w:vAlign w:val="bottom"/>
          </w:tcPr>
          <w:p>
            <w:pPr>
              <w:spacing w:after="0"/>
              <w:rPr>
                <w:sz w:val="18"/>
                <w:szCs w:val="18"/>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2,080,900</w:t>
            </w:r>
          </w:p>
        </w:tc>
        <w:tc>
          <w:tcPr>
            <w:tcW w:w="3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855,828</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852,615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(876,094)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(851,193)</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Reclassification of deferred financing costs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Capitalization of deferred financing costs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(6,198)</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(6,104)</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6,876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2,083,215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2,080,900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16,566</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14,949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3,175</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4,083</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(2,466)</w:t>
            </w:r>
          </w:p>
        </w:tc>
        <w:tc>
          <w:tcPr>
            <w:tcW w:w="3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17,290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16,566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As of December 31, 2018, $40.0 million of residual interest financing debt remains outstanding. This amount does not exclude $894,000 in unamortized debt issuance costs.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4" w:name="page55"/>
    <w:bookmarkEnd w:id="54"/>
    <w:p>
      <w:pPr>
        <w:ind w:right="220" w:firstLine="648"/>
        <w:spacing w:after="0" w:line="276"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17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30 of our securitizations of automobile contracts as secured financings for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and the asset-backed securities issued in such securitizations remain on our consolidated balance sheet as securitization trust debt. We had $2,063.6 million of securitization trust debt outstanding at December 31, 2018.</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2018 there were $17.3 million of such notes outstanding.</w:t>
      </w:r>
    </w:p>
    <w:p>
      <w:pPr>
        <w:spacing w:after="0" w:line="18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2018,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management of the Company has evaluated the effectiveness of the design and operation of the Company’s disclosure controls and procedures, as defined in Rules 13a-15(e) and 15d-15(e) under the Securities Exchange Act of 1934 (the "Exchange Act") as of December 31, 2018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56" w:name="page57"/>
    <w:bookmarkEnd w:id="56"/>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quarter ended December 31, 2018,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2018.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2018, our internal control over financial reporting is effective based on those criteria.</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internal control over financial reporting as of December 31, 2018, has been audited by Crowe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57" w:name="page58"/>
    <w:bookmarkEnd w:id="5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2019 (the "2019 Proxy Statement"). The 2019 Proxy Statement will be filed not later than April 30, 2019. Information regarding executive officers of the registrant appears in Part I of this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2019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2019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2019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2019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797" w:right="4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Exhibit Number</w:t>
            </w:r>
          </w:p>
        </w:tc>
        <w:tc>
          <w:tcPr>
            <w:tcW w:w="10040" w:type="dxa"/>
            <w:vAlign w:val="bottom"/>
            <w:gridSpan w:val="4"/>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69"/>
        </w:trPr>
        <w:tc>
          <w:tcPr>
            <w:tcW w:w="11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10040" w:type="dxa"/>
            <w:vAlign w:val="bottom"/>
            <w:tcBorders>
              <w:top w:val="single" w:sz="8" w:color="auto"/>
            </w:tcBorders>
            <w:gridSpan w:val="4"/>
          </w:tcPr>
          <w:p>
            <w:pPr>
              <w:spacing w:after="0" w:line="170" w:lineRule="exact"/>
              <w:rPr>
                <w:rFonts w:ascii="Arial" w:cs="Arial" w:eastAsia="Arial" w:hAnsi="Arial"/>
                <w:sz w:val="18"/>
                <w:szCs w:val="18"/>
                <w:color w:val="0000EE"/>
              </w:rPr>
            </w:pPr>
            <w:hyperlink r:id="rId78">
              <w:r>
                <w:rPr>
                  <w:rFonts w:ascii="Arial" w:cs="Arial" w:eastAsia="Arial" w:hAnsi="Arial"/>
                  <w:sz w:val="18"/>
                  <w:szCs w:val="18"/>
                  <w:color w:val="0000EE"/>
                </w:rPr>
                <w:t xml:space="preserve">Restated Articles of Incorporation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0"/>
        </w:trPr>
        <w:tc>
          <w:tcPr>
            <w:tcW w:w="1380" w:type="dxa"/>
            <w:vAlign w:val="bottom"/>
            <w:gridSpan w:val="2"/>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13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3.1.1</w:t>
            </w:r>
          </w:p>
        </w:tc>
        <w:tc>
          <w:tcPr>
            <w:tcW w:w="10040" w:type="dxa"/>
            <w:vAlign w:val="bottom"/>
            <w:gridSpan w:val="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 xml:space="preserve">Certificate of Designation re Series B Preferred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0"/>
        </w:trPr>
        <w:tc>
          <w:tcPr>
            <w:tcW w:w="1380" w:type="dxa"/>
            <w:vAlign w:val="bottom"/>
            <w:gridSpan w:val="2"/>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13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w:t>
            </w:r>
          </w:p>
        </w:tc>
        <w:tc>
          <w:tcPr>
            <w:tcW w:w="10040" w:type="dxa"/>
            <w:vAlign w:val="bottom"/>
            <w:gridSpan w:val="4"/>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Amended and Restated Bylaws (Exhibit 3.3 to Form 8-K filed July 20, 2009)</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80" w:hanging="359"/>
        <w:spacing w:after="0"/>
        <w:tabs>
          <w:tab w:leader="none" w:pos="1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Instruments defining the rights of holders of long-term debt of certain consolidated subsidiaries of the registrant are omitted pursuant to the</w:t>
      </w:r>
    </w:p>
    <w:p>
      <w:pPr>
        <w:spacing w:after="0" w:line="46" w:lineRule="exact"/>
        <w:rPr>
          <w:sz w:val="20"/>
          <w:szCs w:val="20"/>
          <w:color w:val="auto"/>
        </w:rPr>
      </w:pPr>
    </w:p>
    <w:p>
      <w:pPr>
        <w:ind w:left="1380" w:right="340"/>
        <w:spacing w:after="0" w:line="250" w:lineRule="auto"/>
        <w:rPr>
          <w:sz w:val="20"/>
          <w:szCs w:val="20"/>
          <w:color w:val="auto"/>
        </w:rPr>
      </w:pPr>
      <w:r>
        <w:rPr>
          <w:rFonts w:ascii="Arial" w:cs="Arial" w:eastAsia="Arial" w:hAnsi="Arial"/>
          <w:sz w:val="18"/>
          <w:szCs w:val="18"/>
          <w:color w:val="auto"/>
        </w:rPr>
        <w:t>exclusion set forth in subdivisions (b)(iv)(iii)(A) and (b) (v) of Item 601 of Regulation S-K (17 CFR 229.601). The registrant agrees to provide copies of such instruments to the United States Securities and Exchange Commission upon request.</w:t>
      </w:r>
    </w:p>
    <w:p>
      <w:pPr>
        <w:spacing w:after="0" w:line="1"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1">
        <w:r>
          <w:rPr>
            <w:rFonts w:ascii="Arial" w:cs="Arial" w:eastAsia="Arial" w:hAnsi="Arial"/>
            <w:sz w:val="16"/>
            <w:szCs w:val="16"/>
            <w:u w:val="single" w:color="auto"/>
            <w:color w:val="0000EE"/>
          </w:rPr>
          <w:t xml:space="preserve">Form of Indenture re Renewable Unsecured Subordinated Notes </w:t>
        </w:r>
      </w:hyperlink>
      <w:r>
        <w:rPr>
          <w:rFonts w:ascii="Arial" w:cs="Arial" w:eastAsia="Arial" w:hAnsi="Arial"/>
          <w:sz w:val="16"/>
          <w:szCs w:val="16"/>
          <w:color w:val="000000"/>
        </w:rPr>
        <w:t>(“RUS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S-2, no. 333-121913)</w:t>
      </w:r>
    </w:p>
    <w:p>
      <w:pPr>
        <w:spacing w:after="0" w:line="9" w:lineRule="exact"/>
        <w:rPr>
          <w:sz w:val="20"/>
          <w:szCs w:val="20"/>
          <w:color w:val="auto"/>
        </w:rPr>
      </w:pPr>
    </w:p>
    <w:p>
      <w:pPr>
        <w:ind w:left="80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82">
        <w:r>
          <w:rPr>
            <w:rFonts w:ascii="Arial" w:cs="Arial" w:eastAsia="Arial" w:hAnsi="Arial"/>
            <w:sz w:val="16"/>
            <w:szCs w:val="16"/>
            <w:u w:val="single" w:color="auto"/>
            <w:color w:val="0000EE"/>
          </w:rPr>
          <w:t>Form of RUS Notes (Exhibit 4.2 to Form S-2, no. 333-121913)</w:t>
        </w:r>
      </w:hyperlink>
    </w:p>
    <w:p>
      <w:pPr>
        <w:spacing w:after="0" w:line="9"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83">
        <w:r>
          <w:rPr>
            <w:rFonts w:ascii="Arial" w:cs="Arial" w:eastAsia="Arial" w:hAnsi="Arial"/>
            <w:sz w:val="16"/>
            <w:szCs w:val="16"/>
            <w:u w:val="single" w:color="auto"/>
            <w:color w:val="0000EE"/>
          </w:rPr>
          <w:t xml:space="preserve">Form of Indenture re additional Renewable Unsecured Subordinated Notes </w:t>
        </w:r>
      </w:hyperlink>
      <w:r>
        <w:rPr>
          <w:rFonts w:ascii="Arial" w:cs="Arial" w:eastAsia="Arial" w:hAnsi="Arial"/>
          <w:sz w:val="16"/>
          <w:szCs w:val="16"/>
          <w:color w:val="000000"/>
        </w:rPr>
        <w:t>(“ARUS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S-1, no. 333-168976)</w:t>
      </w:r>
    </w:p>
    <w:p>
      <w:pPr>
        <w:spacing w:after="0" w:line="9" w:lineRule="exact"/>
        <w:rPr>
          <w:sz w:val="20"/>
          <w:szCs w:val="20"/>
          <w:color w:val="auto"/>
        </w:rPr>
      </w:pPr>
    </w:p>
    <w:p>
      <w:pPr>
        <w:ind w:left="80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4.3.1</w:t>
      </w:r>
      <w:r>
        <w:rPr>
          <w:sz w:val="20"/>
          <w:szCs w:val="20"/>
          <w:color w:val="auto"/>
        </w:rPr>
        <w:tab/>
      </w:r>
      <w:hyperlink r:id="rId84">
        <w:r>
          <w:rPr>
            <w:rFonts w:ascii="Arial" w:cs="Arial" w:eastAsia="Arial" w:hAnsi="Arial"/>
            <w:sz w:val="16"/>
            <w:szCs w:val="16"/>
            <w:u w:val="single" w:color="auto"/>
            <w:color w:val="0000EE"/>
          </w:rPr>
          <w:t xml:space="preserve">Form of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4.2 to Form S-1, no. 333-168976)</w:t>
      </w:r>
    </w:p>
    <w:p>
      <w:pPr>
        <w:spacing w:after="0" w:line="9"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5">
        <w:r>
          <w:rPr>
            <w:rFonts w:ascii="Arial" w:cs="Arial" w:eastAsia="Arial" w:hAnsi="Arial"/>
            <w:sz w:val="16"/>
            <w:szCs w:val="16"/>
            <w:u w:val="single" w:color="auto"/>
            <w:color w:val="0000EE"/>
          </w:rPr>
          <w:t xml:space="preserve">Supplement dated December 7, 2010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4.3 to Form S-1, no. 333-168976)</w:t>
      </w:r>
    </w:p>
    <w:p>
      <w:pPr>
        <w:spacing w:after="0" w:line="9"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6">
        <w:r>
          <w:rPr>
            <w:rFonts w:ascii="Arial" w:cs="Arial" w:eastAsia="Arial" w:hAnsi="Arial"/>
            <w:sz w:val="16"/>
            <w:szCs w:val="16"/>
            <w:u w:val="single" w:color="auto"/>
            <w:color w:val="0000EE"/>
          </w:rPr>
          <w:t xml:space="preserve">Supplement dated January 22, 2014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4.4 to Form S-1, no. 333-190766)</w:t>
      </w:r>
    </w:p>
    <w:p>
      <w:pPr>
        <w:spacing w:after="0" w:line="9"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4.61</w:t>
      </w:r>
      <w:r>
        <w:rPr>
          <w:sz w:val="20"/>
          <w:szCs w:val="20"/>
          <w:color w:val="auto"/>
        </w:rPr>
        <w:tab/>
      </w:r>
      <w:hyperlink r:id="rId87">
        <w:r>
          <w:rPr>
            <w:rFonts w:ascii="Arial" w:cs="Arial" w:eastAsia="Arial" w:hAnsi="Arial"/>
            <w:sz w:val="16"/>
            <w:szCs w:val="16"/>
            <w:u w:val="single" w:color="auto"/>
            <w:color w:val="0000EE"/>
          </w:rPr>
          <w:t xml:space="preserve">Indenture re Notes issued by CPS Auto Receivables Trust 2015-B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4.61 to Form 8-K/A filed by the registrant on June 26, 2015)</w:t>
      </w:r>
    </w:p>
    <w:p>
      <w:pPr>
        <w:spacing w:after="0" w:line="9" w:lineRule="exact"/>
        <w:rPr>
          <w:sz w:val="20"/>
          <w:szCs w:val="20"/>
          <w:color w:val="auto"/>
        </w:rPr>
      </w:pPr>
    </w:p>
    <w:p>
      <w:pPr>
        <w:ind w:left="1380" w:right="300" w:hanging="543"/>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4.62</w:t>
      </w:r>
      <w:r>
        <w:rPr>
          <w:sz w:val="20"/>
          <w:szCs w:val="20"/>
          <w:color w:val="auto"/>
        </w:rPr>
        <w:tab/>
      </w:r>
      <w:hyperlink r:id="rId88">
        <w:r>
          <w:rPr>
            <w:rFonts w:ascii="Arial" w:cs="Arial" w:eastAsia="Arial" w:hAnsi="Arial"/>
            <w:sz w:val="18"/>
            <w:szCs w:val="18"/>
            <w:u w:val="single" w:color="auto"/>
            <w:color w:val="0000EE"/>
          </w:rPr>
          <w:t xml:space="preserve">Sale and Servicing Agreement dated as of June 1, 2015, related to notes issued by CPS Auto Receivables Trust 2015-B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4.62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Form 8-K/A filed by the registrant on June 26, 2015)</w:t>
      </w:r>
    </w:p>
    <w:p>
      <w:pPr>
        <w:spacing w:after="0" w:line="1"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4.63</w:t>
      </w:r>
      <w:r>
        <w:rPr>
          <w:sz w:val="20"/>
          <w:szCs w:val="20"/>
          <w:color w:val="auto"/>
        </w:rPr>
        <w:tab/>
      </w:r>
      <w:hyperlink r:id="rId89">
        <w:r>
          <w:rPr>
            <w:rFonts w:ascii="Arial" w:cs="Arial" w:eastAsia="Arial" w:hAnsi="Arial"/>
            <w:sz w:val="16"/>
            <w:szCs w:val="16"/>
            <w:u w:val="single" w:color="auto"/>
            <w:color w:val="0000EE"/>
          </w:rPr>
          <w:t xml:space="preserve">Indenture re Notes issued by CPS Auto Receivables Trust 2015-C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4.63 to Form 8-K filed by the registrant on September 22, 2015)</w:t>
      </w:r>
    </w:p>
    <w:p>
      <w:pPr>
        <w:spacing w:after="0" w:line="9" w:lineRule="exact"/>
        <w:rPr>
          <w:sz w:val="20"/>
          <w:szCs w:val="20"/>
          <w:color w:val="auto"/>
        </w:rPr>
      </w:pPr>
    </w:p>
    <w:p>
      <w:pPr>
        <w:ind w:left="1380" w:right="60" w:hanging="543"/>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4.64</w:t>
      </w:r>
      <w:r>
        <w:rPr>
          <w:sz w:val="20"/>
          <w:szCs w:val="20"/>
          <w:color w:val="auto"/>
        </w:rPr>
        <w:tab/>
      </w:r>
      <w:hyperlink r:id="rId90">
        <w:r>
          <w:rPr>
            <w:rFonts w:ascii="Arial" w:cs="Arial" w:eastAsia="Arial" w:hAnsi="Arial"/>
            <w:sz w:val="18"/>
            <w:szCs w:val="18"/>
            <w:u w:val="single" w:color="auto"/>
            <w:color w:val="0000EE"/>
          </w:rPr>
          <w:t xml:space="preserve">Sale and Servicing Agreement dated as of September 1, 2015, related to notes issued by CPS Auto Receivables Trust 2015-C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4.64</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Form 8-K filed by the registrant on September 22, 2015)</w:t>
      </w:r>
    </w:p>
    <w:p>
      <w:pPr>
        <w:spacing w:after="0" w:line="1"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4.65</w:t>
      </w:r>
      <w:r>
        <w:rPr>
          <w:sz w:val="20"/>
          <w:szCs w:val="20"/>
          <w:color w:val="auto"/>
        </w:rPr>
        <w:tab/>
      </w:r>
      <w:hyperlink r:id="rId91">
        <w:r>
          <w:rPr>
            <w:rFonts w:ascii="Arial" w:cs="Arial" w:eastAsia="Arial" w:hAnsi="Arial"/>
            <w:sz w:val="16"/>
            <w:szCs w:val="16"/>
            <w:u w:val="single" w:color="auto"/>
            <w:color w:val="0000EE"/>
          </w:rPr>
          <w:t xml:space="preserve">Indenture re Notes issued by CPS Auto Receivables Trust 2016-A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4.65 to Form 10-Q/A filed by the registrant on May 4, 2016)</w:t>
      </w:r>
    </w:p>
    <w:p>
      <w:pPr>
        <w:spacing w:after="0" w:line="9" w:lineRule="exact"/>
        <w:rPr>
          <w:sz w:val="20"/>
          <w:szCs w:val="20"/>
          <w:color w:val="auto"/>
        </w:rPr>
      </w:pPr>
    </w:p>
    <w:p>
      <w:pPr>
        <w:ind w:left="1380" w:right="40" w:hanging="543"/>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4.66</w:t>
      </w:r>
      <w:r>
        <w:rPr>
          <w:sz w:val="20"/>
          <w:szCs w:val="20"/>
          <w:color w:val="auto"/>
        </w:rPr>
        <w:tab/>
      </w:r>
      <w:hyperlink r:id="rId92">
        <w:r>
          <w:rPr>
            <w:rFonts w:ascii="Arial" w:cs="Arial" w:eastAsia="Arial" w:hAnsi="Arial"/>
            <w:sz w:val="18"/>
            <w:szCs w:val="18"/>
            <w:u w:val="single" w:color="auto"/>
            <w:color w:val="0000EE"/>
          </w:rPr>
          <w:t>Sale and Servicing Agreement dated as of September 1, 2015</w:t>
        </w:r>
      </w:hyperlink>
      <w:r>
        <w:rPr>
          <w:rFonts w:ascii="Arial" w:cs="Arial" w:eastAsia="Arial" w:hAnsi="Arial"/>
          <w:sz w:val="18"/>
          <w:szCs w:val="18"/>
          <w:color w:val="000000"/>
        </w:rPr>
        <w: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related to notes issued by CPS Auto Receivables Trust 2016-A (exhibit 4.66</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Form 10-Q/A filed by the registrant on May 4, 2016)</w:t>
      </w:r>
    </w:p>
    <w:p>
      <w:pPr>
        <w:spacing w:after="0" w:line="1"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4.67</w:t>
      </w:r>
      <w:r>
        <w:rPr>
          <w:sz w:val="20"/>
          <w:szCs w:val="20"/>
          <w:color w:val="auto"/>
        </w:rPr>
        <w:tab/>
      </w:r>
      <w:hyperlink r:id="rId93">
        <w:r>
          <w:rPr>
            <w:rFonts w:ascii="Arial" w:cs="Arial" w:eastAsia="Arial" w:hAnsi="Arial"/>
            <w:sz w:val="16"/>
            <w:szCs w:val="16"/>
            <w:u w:val="single" w:color="auto"/>
            <w:color w:val="0000EE"/>
          </w:rPr>
          <w:t xml:space="preserve">Indenture re Notes issued by CPS Auto Receivables Trust 2016-B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4.67 to Form 10-Q/A filed by the registrant on May 4, 2016)</w:t>
      </w:r>
    </w:p>
    <w:p>
      <w:pPr>
        <w:spacing w:after="0" w:line="9" w:lineRule="exact"/>
        <w:rPr>
          <w:sz w:val="20"/>
          <w:szCs w:val="20"/>
          <w:color w:val="auto"/>
        </w:rPr>
      </w:pPr>
    </w:p>
    <w:p>
      <w:pPr>
        <w:ind w:left="1380" w:right="60" w:hanging="543"/>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4.68</w:t>
      </w:r>
      <w:r>
        <w:rPr>
          <w:sz w:val="20"/>
          <w:szCs w:val="20"/>
          <w:color w:val="auto"/>
        </w:rPr>
        <w:tab/>
      </w:r>
      <w:hyperlink r:id="rId94">
        <w:r>
          <w:rPr>
            <w:rFonts w:ascii="Arial" w:cs="Arial" w:eastAsia="Arial" w:hAnsi="Arial"/>
            <w:sz w:val="18"/>
            <w:szCs w:val="18"/>
            <w:u w:val="single" w:color="auto"/>
            <w:color w:val="0000EE"/>
          </w:rPr>
          <w:t xml:space="preserve">Sale and Servicing Agreement dated as of September 1, 2015, related to notes issued by CPS Auto Receivables Trust 2016-B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4.68</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Form 10-Q/A filed by the registrant on May 4, 2016)</w:t>
      </w:r>
    </w:p>
    <w:p>
      <w:pPr>
        <w:spacing w:after="0" w:line="1"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4.69</w:t>
      </w:r>
      <w:r>
        <w:rPr>
          <w:sz w:val="20"/>
          <w:szCs w:val="20"/>
          <w:color w:val="auto"/>
        </w:rPr>
        <w:tab/>
      </w:r>
      <w:hyperlink r:id="rId95">
        <w:r>
          <w:rPr>
            <w:rFonts w:ascii="Arial" w:cs="Arial" w:eastAsia="Arial" w:hAnsi="Arial"/>
            <w:sz w:val="16"/>
            <w:szCs w:val="16"/>
            <w:u w:val="single" w:color="auto"/>
            <w:color w:val="0000EE"/>
          </w:rPr>
          <w:t xml:space="preserve">Indenture re Notes issued by CPS Auto Receivables Trust 2016-C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4.69 to Form 8-K filed by the registrant on July 27, 2016)</w:t>
      </w:r>
    </w:p>
    <w:p>
      <w:pPr>
        <w:spacing w:after="0" w:line="9" w:lineRule="exact"/>
        <w:rPr>
          <w:sz w:val="20"/>
          <w:szCs w:val="20"/>
          <w:color w:val="auto"/>
        </w:rPr>
      </w:pPr>
    </w:p>
    <w:p>
      <w:pPr>
        <w:ind w:left="1380" w:right="60" w:hanging="543"/>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4.70</w:t>
      </w:r>
      <w:r>
        <w:rPr>
          <w:sz w:val="20"/>
          <w:szCs w:val="20"/>
          <w:color w:val="auto"/>
        </w:rPr>
        <w:tab/>
      </w:r>
      <w:hyperlink r:id="rId96">
        <w:r>
          <w:rPr>
            <w:rFonts w:ascii="Arial" w:cs="Arial" w:eastAsia="Arial" w:hAnsi="Arial"/>
            <w:sz w:val="18"/>
            <w:szCs w:val="18"/>
            <w:u w:val="single" w:color="auto"/>
            <w:color w:val="0000EE"/>
          </w:rPr>
          <w:t xml:space="preserve">Sale and Servicing Agreement dated as of September 1, 2016, related to notes issued by CPS Auto Receivables Trust 2016-C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4.70</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Form 8-K filed by the registrant on July 27, 2016)</w:t>
      </w:r>
    </w:p>
    <w:p>
      <w:pPr>
        <w:spacing w:after="0" w:line="1" w:lineRule="exact"/>
        <w:rPr>
          <w:sz w:val="20"/>
          <w:szCs w:val="20"/>
          <w:color w:val="auto"/>
        </w:rPr>
      </w:pPr>
    </w:p>
    <w:p>
      <w:pPr>
        <w:ind w:left="1380" w:right="120" w:hanging="634"/>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7">
        <w:r>
          <w:rPr>
            <w:rFonts w:ascii="Arial" w:cs="Arial" w:eastAsia="Arial" w:hAnsi="Arial"/>
            <w:sz w:val="18"/>
            <w:szCs w:val="18"/>
            <w:u w:val="single" w:color="auto"/>
            <w:color w:val="0000EE"/>
          </w:rPr>
          <w:t xml:space="preserve">2006 Long-Term Equity Incentive Plan as amended May 18, 2015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 pages A-1 through A-10 of the definitive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proxy statement filed by the registrant on April 27, 2015)**</w:t>
      </w:r>
    </w:p>
    <w:p>
      <w:pPr>
        <w:spacing w:after="0" w:line="1" w:lineRule="exact"/>
        <w:rPr>
          <w:sz w:val="20"/>
          <w:szCs w:val="20"/>
          <w:color w:val="auto"/>
        </w:rPr>
      </w:pPr>
    </w:p>
    <w:p>
      <w:pPr>
        <w:ind w:left="62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10.14.1</w:t>
      </w:r>
      <w:r>
        <w:rPr>
          <w:sz w:val="20"/>
          <w:szCs w:val="20"/>
          <w:color w:val="auto"/>
        </w:rPr>
        <w:tab/>
      </w:r>
      <w:hyperlink r:id="rId98">
        <w:r>
          <w:rPr>
            <w:rFonts w:ascii="Arial" w:cs="Arial" w:eastAsia="Arial" w:hAnsi="Arial"/>
            <w:sz w:val="16"/>
            <w:szCs w:val="16"/>
            <w:u w:val="single" w:color="auto"/>
            <w:color w:val="0000EE"/>
          </w:rPr>
          <w:t xml:space="preserve">Form of Option Agreement under the 2006 Long-Term Equity Incentive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10.14.1 to registrant's Form 10-K filed March 9,</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ind w:left="1380" w:right="740" w:hanging="769"/>
        <w:spacing w:after="0" w:line="261"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99">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99.(D)(2)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9" w:name="page60"/>
    <w:bookmarkEnd w:id="59"/>
    <w:p>
      <w:pPr>
        <w:ind w:left="900" w:right="300" w:hanging="769"/>
        <w:spacing w:after="0" w:line="258"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01">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99.(D)(3)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28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02">
        <w:r>
          <w:rPr>
            <w:rFonts w:ascii="Arial" w:cs="Arial" w:eastAsia="Arial" w:hAnsi="Arial"/>
            <w:sz w:val="16"/>
            <w:szCs w:val="16"/>
            <w:u w:val="single" w:color="auto"/>
            <w:color w:val="0000EE"/>
          </w:rPr>
          <w:t xml:space="preserve">Warrant dated July 10, 2008, issued to Citigroup Global Markets Inc.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10.23 to registrant's Form 10-Q filed August 11, 2008)</w:t>
      </w:r>
    </w:p>
    <w:p>
      <w:pPr>
        <w:spacing w:after="0" w:line="9" w:lineRule="exact"/>
        <w:rPr>
          <w:sz w:val="20"/>
          <w:szCs w:val="20"/>
          <w:color w:val="auto"/>
        </w:rPr>
      </w:pPr>
    </w:p>
    <w:p>
      <w:pPr>
        <w:ind w:left="900" w:hanging="404"/>
        <w:spacing w:after="0"/>
        <w:tabs>
          <w:tab w:leader="none" w:pos="900" w:val="left"/>
        </w:tabs>
        <w:numPr>
          <w:ilvl w:val="0"/>
          <w:numId w:val="26"/>
        </w:numPr>
        <w:rPr>
          <w:rFonts w:ascii="Arial" w:cs="Arial" w:eastAsia="Arial" w:hAnsi="Arial"/>
          <w:sz w:val="18"/>
          <w:szCs w:val="18"/>
          <w:color w:val="0000EE"/>
        </w:rPr>
      </w:pPr>
      <w:hyperlink r:id="rId103">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rFonts w:ascii="Arial" w:cs="Arial" w:eastAsia="Arial" w:hAnsi="Arial"/>
          <w:sz w:val="18"/>
          <w:szCs w:val="18"/>
          <w:color w:val="0000EE"/>
        </w:rPr>
      </w:pPr>
    </w:p>
    <w:p>
      <w:pPr>
        <w:ind w:left="900" w:hanging="404"/>
        <w:spacing w:after="0"/>
        <w:tabs>
          <w:tab w:leader="none" w:pos="900" w:val="left"/>
        </w:tabs>
        <w:numPr>
          <w:ilvl w:val="0"/>
          <w:numId w:val="27"/>
        </w:numPr>
        <w:rPr>
          <w:rFonts w:ascii="Arial" w:cs="Arial" w:eastAsia="Arial" w:hAnsi="Arial"/>
          <w:sz w:val="18"/>
          <w:szCs w:val="18"/>
          <w:color w:val="0000EE"/>
        </w:rPr>
      </w:pPr>
      <w:hyperlink w:anchor="page97">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bl>
      <w:tblPr>
        <w:tblLayout w:type="fixed"/>
        <w:tblInd w:w="0" w:type="dxa"/>
        <w:tblCellMar>
          <w:top w:w="0" w:type="dxa"/>
          <w:left w:w="0" w:type="dxa"/>
          <w:bottom w:w="0" w:type="dxa"/>
          <w:right w:w="0" w:type="dxa"/>
        </w:tblCellMar>
      </w:tblPr>
      <w:tr>
        <w:trPr>
          <w:trHeight w:val="185"/>
        </w:trPr>
        <w:tc>
          <w:tcPr>
            <w:tcW w:w="900" w:type="dxa"/>
            <w:vAlign w:val="bottom"/>
          </w:tcPr>
          <w:p>
            <w:pPr>
              <w:jc w:val="right"/>
              <w:ind w:right="130"/>
              <w:spacing w:after="0" w:line="185" w:lineRule="exact"/>
              <w:rPr>
                <w:sz w:val="20"/>
                <w:szCs w:val="20"/>
                <w:color w:val="auto"/>
              </w:rPr>
            </w:pPr>
            <w:r>
              <w:rPr>
                <w:rFonts w:ascii="Arial" w:cs="Arial" w:eastAsia="Arial" w:hAnsi="Arial"/>
                <w:sz w:val="18"/>
                <w:szCs w:val="18"/>
                <w:color w:val="auto"/>
              </w:rPr>
              <w:t>23.1</w:t>
            </w:r>
          </w:p>
        </w:tc>
        <w:tc>
          <w:tcPr>
            <w:tcW w:w="5160" w:type="dxa"/>
            <w:vAlign w:val="bottom"/>
            <w:gridSpan w:val="4"/>
          </w:tcPr>
          <w:p>
            <w:pPr>
              <w:spacing w:after="0" w:line="185" w:lineRule="exact"/>
              <w:rPr>
                <w:rFonts w:ascii="Arial" w:cs="Arial" w:eastAsia="Arial" w:hAnsi="Arial"/>
                <w:sz w:val="18"/>
                <w:szCs w:val="18"/>
                <w:color w:val="0000EE"/>
              </w:rPr>
            </w:pPr>
            <w:hyperlink w:anchor="page98">
              <w:r>
                <w:rPr>
                  <w:rFonts w:ascii="Arial" w:cs="Arial" w:eastAsia="Arial" w:hAnsi="Arial"/>
                  <w:sz w:val="18"/>
                  <w:szCs w:val="18"/>
                  <w:color w:val="0000EE"/>
                </w:rPr>
                <w:t xml:space="preserve">Consent of Crowe LLP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9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31.1</w:t>
            </w:r>
          </w:p>
        </w:tc>
        <w:tc>
          <w:tcPr>
            <w:tcW w:w="5160" w:type="dxa"/>
            <w:vAlign w:val="bottom"/>
            <w:gridSpan w:val="4"/>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 xml:space="preserve">Rule 13a-14(a) certification by Chief Executive Officer </w:t>
              </w:r>
            </w:hyperlink>
            <w:r>
              <w:rPr>
                <w:rFonts w:ascii="Arial" w:cs="Arial" w:eastAsia="Arial" w:hAnsi="Arial"/>
                <w:sz w:val="18"/>
                <w:szCs w:val="18"/>
                <w:color w:val="000000"/>
                <w:w w:val="93"/>
              </w:rPr>
              <w:t>(filed</w:t>
            </w:r>
            <w:r>
              <w:rPr>
                <w:rFonts w:ascii="Arial" w:cs="Arial" w:eastAsia="Arial" w:hAnsi="Arial"/>
                <w:sz w:val="18"/>
                <w:szCs w:val="18"/>
                <w:color w:val="0000EE"/>
                <w:w w:val="93"/>
              </w:rPr>
              <w:t xml:space="preserve"> </w:t>
            </w:r>
            <w:r>
              <w:rPr>
                <w:rFonts w:ascii="Arial" w:cs="Arial" w:eastAsia="Arial" w:hAnsi="Arial"/>
                <w:sz w:val="18"/>
                <w:szCs w:val="18"/>
                <w:color w:val="000000"/>
                <w:w w:val="93"/>
              </w:rPr>
              <w:t>herewith)</w:t>
            </w:r>
          </w:p>
        </w:tc>
      </w:tr>
      <w:tr>
        <w:trPr>
          <w:trHeight w:val="20"/>
        </w:trPr>
        <w:tc>
          <w:tcPr>
            <w:tcW w:w="9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1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31.2</w:t>
            </w:r>
          </w:p>
        </w:tc>
        <w:tc>
          <w:tcPr>
            <w:tcW w:w="5160" w:type="dxa"/>
            <w:vAlign w:val="bottom"/>
            <w:gridSpan w:val="4"/>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 xml:space="preserve">Rule 13a-14(a) certification by Chief Financial Officer </w:t>
              </w:r>
            </w:hyperlink>
            <w:r>
              <w:rPr>
                <w:rFonts w:ascii="Arial" w:cs="Arial" w:eastAsia="Arial" w:hAnsi="Arial"/>
                <w:sz w:val="18"/>
                <w:szCs w:val="18"/>
                <w:color w:val="000000"/>
                <w:w w:val="94"/>
              </w:rPr>
              <w:t>(filed</w:t>
            </w:r>
            <w:r>
              <w:rPr>
                <w:rFonts w:ascii="Arial" w:cs="Arial" w:eastAsia="Arial" w:hAnsi="Arial"/>
                <w:sz w:val="18"/>
                <w:szCs w:val="18"/>
                <w:color w:val="0000EE"/>
                <w:w w:val="94"/>
              </w:rPr>
              <w:t xml:space="preserve"> </w:t>
            </w:r>
            <w:r>
              <w:rPr>
                <w:rFonts w:ascii="Arial" w:cs="Arial" w:eastAsia="Arial" w:hAnsi="Arial"/>
                <w:sz w:val="18"/>
                <w:szCs w:val="18"/>
                <w:color w:val="000000"/>
                <w:w w:val="94"/>
              </w:rPr>
              <w:t>herewith)</w:t>
            </w:r>
          </w:p>
        </w:tc>
      </w:tr>
      <w:tr>
        <w:trPr>
          <w:trHeight w:val="196"/>
        </w:trPr>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32</w:t>
            </w:r>
          </w:p>
        </w:tc>
        <w:tc>
          <w:tcPr>
            <w:tcW w:w="4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 xml:space="preserve">Section 1350 certification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c>
          <w:tcPr>
            <w:tcW w:w="11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438"/>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101.INS</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Instances Document</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color w:val="auto"/>
                <w:w w:val="90"/>
              </w:rPr>
              <w:t>101.SCH</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color w:val="auto"/>
                <w:w w:val="94"/>
              </w:rPr>
              <w:t>101.CAL</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color w:val="auto"/>
                <w:w w:val="92"/>
              </w:rPr>
              <w:t>101.DEF</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color w:val="auto"/>
                <w:w w:val="95"/>
              </w:rPr>
              <w:t>101.LAB</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jc w:val="right"/>
              <w:ind w:right="130"/>
              <w:spacing w:after="0"/>
              <w:rPr>
                <w:sz w:val="20"/>
                <w:szCs w:val="20"/>
                <w:color w:val="auto"/>
              </w:rPr>
            </w:pPr>
            <w:r>
              <w:rPr>
                <w:rFonts w:ascii="Arial" w:cs="Arial" w:eastAsia="Arial" w:hAnsi="Arial"/>
                <w:sz w:val="18"/>
                <w:szCs w:val="18"/>
                <w:color w:val="auto"/>
                <w:w w:val="91"/>
              </w:rPr>
              <w:t>101.PRE</w:t>
            </w:r>
          </w:p>
        </w:tc>
        <w:tc>
          <w:tcPr>
            <w:tcW w:w="5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720" w:top="1287" w:right="6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March 13, 2019</w:t>
            </w: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By:    /s/ CHARLES E. BRADLEY, JR.</w:t>
            </w:r>
          </w:p>
        </w:tc>
      </w:tr>
      <w:tr>
        <w:trPr>
          <w:trHeight w:val="224"/>
        </w:trPr>
        <w:tc>
          <w:tcPr>
            <w:tcW w:w="34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5720" w:type="dxa"/>
            <w:vAlign w:val="bottom"/>
          </w:tcPr>
          <w:p>
            <w:pPr>
              <w:spacing w:after="0"/>
              <w:rPr>
                <w:sz w:val="20"/>
                <w:szCs w:val="20"/>
                <w:color w:val="auto"/>
              </w:rPr>
            </w:pPr>
            <w:r>
              <w:rPr>
                <w:rFonts w:ascii="Arial" w:cs="Arial" w:eastAsia="Arial" w:hAnsi="Arial"/>
                <w:sz w:val="18"/>
                <w:szCs w:val="18"/>
                <w:color w:val="auto"/>
              </w:rPr>
              <w:t>March 13,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1" w:name="page62"/>
    <w:bookmarkEnd w:id="61"/>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Balance Sheets as of December 31, 2018 and 2017</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Income for the years ended December 31, 2018, 2017 and 2016</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Consolidated Statements of Comprehensive Income for the years ended December 31, 2018, 2017 and 2016</w:t>
        </w:r>
      </w:hyperlink>
    </w:p>
    <w:p>
      <w:pPr>
        <w:spacing w:after="0" w:line="248"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Consolidated Statements of Shareholders’ Equity for the years ended December 31, 2018, 2017 and 2016</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Cash Flows for the years ended December 31, 2018, 2017 and 2016</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Reference</w:t>
      </w:r>
    </w:p>
    <w:p>
      <w:pPr>
        <w:spacing w:after="0" w:line="2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F-2</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F-3</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F-4</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F-5</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F-6</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F-7</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F-8</w:t>
      </w:r>
    </w:p>
    <w:p>
      <w:pPr>
        <w:sectPr>
          <w:pgSz w:w="11900" w:h="16838" w:orient="portrait"/>
          <w:cols w:equalWidth="0" w:num="2">
            <w:col w:w="9480" w:space="720"/>
            <w:col w:w="1180"/>
          </w:cols>
          <w:pgMar w:left="240" w:top="905"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Consumer Portfolio Services, Inc. and Subsidiaries (the "Company") as of December 31, 2018 and 2017, the related consolidated statements of income, comprehensive income, shareholders’ equity, and cash flows for each of the years in the three-year period ended December 31, 2018, and the related notes (collectively referred to as the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2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CONSUMER PORTFOLIO SERVICES, INC. AND SUBSIDIARIES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jc w:val="center"/>
              <w:ind w:left="355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jc w:val="center"/>
              <w:ind w:left="35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12,787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117,323</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1,522,085</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2,304,984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(67,376)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(109,187)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821,066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19,188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32,446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31,969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46,753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26,801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23,397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2,485,680</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2,424,841</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31,692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136,847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112,408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39,106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2,083,215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17,290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2,288,562</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2,240,904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value;authorized 4,998,130 shares; none issued</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value;authorized 5,000,000 shares; none issued</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value;authorized 1,870 shares; none issued</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22,421,688 and 21,488,589 shares issued</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December 31, 2018 and</w:t>
            </w: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70,273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71,582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134,399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119,537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(7,554)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197,118</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183,937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2,485,680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2,424,841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380,297</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424,174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408,996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9,478</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10,209</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389,775</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434,383</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422,282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79,318</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72,967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26,578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101,466</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92,345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186,713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17,572</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15,613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7,162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992</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371,072</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402,312</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372,621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18,703</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32,071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49,661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28,306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14,862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29,300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0.68</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21,989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22,687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24,988</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27,214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w w:val="87"/>
              </w:rPr>
              <w:t>14,862</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3,765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change in funded status of pension plan, net of</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$173, $232 and $7 in tax for 2018, 2017 and 2016, respectively</w:t>
            </w:r>
          </w:p>
        </w:tc>
        <w:tc>
          <w:tcPr>
            <w:tcW w:w="880" w:type="dxa"/>
            <w:vAlign w:val="bottom"/>
          </w:tcPr>
          <w:p>
            <w:pPr>
              <w:spacing w:after="0"/>
              <w:rPr>
                <w:sz w:val="21"/>
                <w:szCs w:val="21"/>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14,490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440" w:type="dxa"/>
            <w:vAlign w:val="bottom"/>
            <w:gridSpan w:val="4"/>
          </w:tcPr>
          <w:p>
            <w:pPr>
              <w:ind w:left="120"/>
              <w:spacing w:after="0"/>
              <w:rPr>
                <w:sz w:val="20"/>
                <w:szCs w:val="20"/>
                <w:color w:val="auto"/>
              </w:rPr>
            </w:pPr>
            <w:r>
              <w:rPr>
                <w:rFonts w:ascii="Arial" w:cs="Arial" w:eastAsia="Arial" w:hAnsi="Arial"/>
                <w:sz w:val="18"/>
                <w:szCs w:val="18"/>
                <w:color w:val="auto"/>
              </w:rPr>
              <w:t>Comprehensive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2016</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25,617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81,337</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86,472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(6,650)</w:t>
            </w:r>
          </w:p>
        </w:tc>
        <w:tc>
          <w:tcPr>
            <w:tcW w:w="2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161,159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29,300</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29,300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20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77,128</w:t>
            </w:r>
          </w:p>
        </w:tc>
        <w:tc>
          <w:tcPr>
            <w:tcW w:w="20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115,772</w:t>
            </w: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186,218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(12,346)</w:t>
            </w: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5,715</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21,489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71,582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119,537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183,937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(372)</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14,862</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14,862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14,862</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3,765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Accretion of deferred acquisition fees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2,655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1,305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26,162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934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8,453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8,738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133,080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186,713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3,515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5,715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700"/>
              <w:spacing w:after="0"/>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14,784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(10,520)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(4,161)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5,361</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70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13,258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10,399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2,605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3,238</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216,205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215,648</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196,333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Originations of finance receivables held for investment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(859,069)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605,353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647,619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Purchases of finance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(914,949)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receivables portfolio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67,721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1,490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(242,195</w:t>
            </w:r>
          </w:p>
        </w:tc>
        <w:tc>
          <w:tcPr>
            <w:tcW w:w="200" w:type="dxa"/>
            <w:vAlign w:val="bottom"/>
            <w:tcBorders>
              <w:bottom w:val="single" w:sz="8" w:color="EEEEEE"/>
            </w:tcBorders>
          </w:tcPr>
          <w:p>
            <w:pPr>
              <w:jc w:val="right"/>
              <w:ind w:right="55"/>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(210,625</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(437,798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855,828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852,615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1,197,515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3,175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4,083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(2,466)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proceeds from (repayments of) warehouse lines of credit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23,809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9,309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residual interest financing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advances of residual interest financing debt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(876,094)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(851,193)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(8,039)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(8,104)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(5,307)</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(12,346)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tcPr>
          <w:p>
            <w:pPr>
              <w:spacing w:after="0"/>
              <w:rPr>
                <w:sz w:val="19"/>
                <w:szCs w:val="19"/>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1,085</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31,404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(7,017</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242,779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124,696</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126,690</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125,376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130,110</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124,696</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126,690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during the period for:</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92,405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83,110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9,319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32,909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Ohio, California, North Carolina, Florida and Indiana represented 8.8%, 8.7%, 6.2%, 6.0% and 5.2%, respectively, of contracts purchased during 2018 compared with 7.4%, 7.1%, 5.8%, 5.9% and 3.8% respectively in 2017. No other state had a concentration in excess of 5.2% in 2018. We specialize in contracts with vehicle purchasers who generally would not be expected to qualify for traditional financing provided by commercial banks or automobile manufacturers’ captive finance companies.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2018, our unrestricted cash balance was $12.8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Income.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$8.9 million and $9.7 million at December 31, 2018 and 2017,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w:t>
      </w:r>
    </w:p>
    <w:p>
      <w:pPr>
        <w:spacing w:after="0" w:line="5" w:lineRule="exact"/>
        <w:rPr>
          <w:sz w:val="20"/>
          <w:szCs w:val="20"/>
          <w:color w:val="auto"/>
        </w:rPr>
      </w:pPr>
    </w:p>
    <w:p>
      <w:pPr>
        <w:ind w:right="40" w:firstLine="8"/>
        <w:spacing w:after="0" w:line="288"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primary components of Other Income:</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100" w:type="dxa"/>
            <w:vAlign w:val="bottom"/>
            <w:shd w:val="clear" w:color="auto" w:fill="EEEEEE"/>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5,829</w:t>
            </w:r>
          </w:p>
        </w:tc>
        <w:tc>
          <w:tcPr>
            <w:tcW w:w="4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6,432</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9,202</w:t>
            </w:r>
          </w:p>
        </w:tc>
        <w:tc>
          <w:tcPr>
            <w:tcW w:w="80" w:type="dxa"/>
            <w:vAlign w:val="bottom"/>
            <w:shd w:val="clear" w:color="auto" w:fill="EEEEEE"/>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1,900</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8"/>
                <w:szCs w:val="18"/>
                <w:color w:val="auto"/>
              </w:rPr>
            </w:pPr>
          </w:p>
        </w:tc>
      </w:tr>
      <w:tr>
        <w:trPr>
          <w:trHeight w:val="202"/>
        </w:trPr>
        <w:tc>
          <w:tcPr>
            <w:tcW w:w="3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Recoveries on previously charged-off</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3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contracts</w:t>
            </w:r>
          </w:p>
        </w:tc>
        <w:tc>
          <w:tcPr>
            <w:tcW w:w="1100" w:type="dxa"/>
            <w:vAlign w:val="bottom"/>
            <w:shd w:val="clear" w:color="auto" w:fill="EEEEEE"/>
          </w:tcPr>
          <w:p>
            <w:pPr>
              <w:spacing w:after="0"/>
              <w:rPr>
                <w:sz w:val="20"/>
                <w:szCs w:val="20"/>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563</w:t>
            </w:r>
          </w:p>
        </w:tc>
        <w:tc>
          <w:tcPr>
            <w:tcW w:w="36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EEEEEE"/>
          </w:tcPr>
          <w:p>
            <w:pPr>
              <w:spacing w:after="0"/>
              <w:rPr>
                <w:sz w:val="20"/>
                <w:szCs w:val="20"/>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Sales tax refunds</w:t>
            </w:r>
          </w:p>
        </w:tc>
        <w:tc>
          <w:tcPr>
            <w:tcW w:w="1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r>
      <w:tr>
        <w:trPr>
          <w:trHeight w:val="230"/>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448</w:t>
            </w:r>
          </w:p>
        </w:tc>
        <w:tc>
          <w:tcPr>
            <w:tcW w:w="3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EEEEEE"/>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10,209</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computation of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89"/>
              </w:rPr>
              <w:t>Year Ended December 31,</w:t>
            </w: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60" w:type="dxa"/>
            <w:vAlign w:val="bottom"/>
            <w:gridSpan w:val="8"/>
          </w:tcPr>
          <w:p>
            <w:pPr>
              <w:jc w:val="right"/>
              <w:ind w:right="65"/>
              <w:spacing w:after="0"/>
              <w:rPr>
                <w:sz w:val="20"/>
                <w:szCs w:val="20"/>
                <w:color w:val="auto"/>
              </w:rPr>
            </w:pPr>
            <w:r>
              <w:rPr>
                <w:rFonts w:ascii="Arial" w:cs="Arial" w:eastAsia="Arial" w:hAnsi="Arial"/>
                <w:sz w:val="18"/>
                <w:szCs w:val="18"/>
                <w:b w:val="1"/>
                <w:bCs w:val="1"/>
                <w:color w:val="auto"/>
                <w:w w:val="97"/>
              </w:rPr>
              <w:t>(In thousands, except per share data)</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4"/>
              </w:rPr>
              <w:t>Numerator for basic and diluted earnings per</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share</w:t>
            </w:r>
          </w:p>
        </w:tc>
        <w:tc>
          <w:tcPr>
            <w:tcW w:w="12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14,862</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Pr>
          <w:p>
            <w:pPr>
              <w:spacing w:after="0"/>
              <w:rPr>
                <w:sz w:val="24"/>
                <w:szCs w:val="24"/>
                <w:color w:val="auto"/>
              </w:rPr>
            </w:pPr>
          </w:p>
        </w:tc>
        <w:tc>
          <w:tcPr>
            <w:tcW w:w="520" w:type="dxa"/>
            <w:vAlign w:val="bottom"/>
            <w:gridSpan w:val="2"/>
          </w:tcPr>
          <w:p>
            <w:pPr>
              <w:jc w:val="right"/>
              <w:ind w:right="325"/>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29,300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338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54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4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8"/>
              </w:rPr>
              <w:t>Denominator for basic earnings per share -</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weighted average number of common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shares outstanding during the year</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21,989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22,687</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24,356</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Incremental common shares attributable to</w:t>
            </w:r>
          </w:p>
        </w:tc>
        <w:tc>
          <w:tcPr>
            <w:tcW w:w="1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outstanding options and</w:t>
            </w:r>
          </w:p>
        </w:tc>
        <w:tc>
          <w:tcPr>
            <w:tcW w:w="1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33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160" w:type="dxa"/>
            <w:vAlign w:val="bottom"/>
            <w:shd w:val="clear" w:color="auto" w:fill="EEEEEE"/>
          </w:tcPr>
          <w:p>
            <w:pPr>
              <w:spacing w:after="0"/>
              <w:rPr>
                <w:sz w:val="21"/>
                <w:szCs w:val="21"/>
                <w:color w:val="auto"/>
              </w:rPr>
            </w:pPr>
          </w:p>
        </w:tc>
        <w:tc>
          <w:tcPr>
            <w:tcW w:w="104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2,999</w:t>
            </w:r>
          </w:p>
        </w:tc>
        <w:tc>
          <w:tcPr>
            <w:tcW w:w="1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4,527</w:t>
            </w:r>
          </w:p>
        </w:tc>
        <w:tc>
          <w:tcPr>
            <w:tcW w:w="2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4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4,679</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3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w w:val="98"/>
              </w:rPr>
              <w:t>Denominator for diluted earnings per share</w:t>
            </w:r>
          </w:p>
        </w:tc>
        <w:tc>
          <w:tcPr>
            <w:tcW w:w="160" w:type="dxa"/>
            <w:vAlign w:val="bottom"/>
            <w:tcBorders>
              <w:bottom w:val="single" w:sz="8" w:color="EEEEEE"/>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24,988</w:t>
            </w:r>
          </w:p>
        </w:tc>
        <w:tc>
          <w:tcPr>
            <w:tcW w:w="1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27,214</w:t>
            </w:r>
          </w:p>
        </w:tc>
        <w:tc>
          <w:tcPr>
            <w:tcW w:w="28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120" w:type="dxa"/>
            <w:vAlign w:val="bottom"/>
            <w:tcBorders>
              <w:bottom w:val="single" w:sz="8" w:color="EEEEEE"/>
            </w:tcBorders>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33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EEEEEE"/>
            </w:tcBorders>
            <w:shd w:val="clear" w:color="auto" w:fill="EEEEEE"/>
          </w:tcPr>
          <w:p>
            <w:pPr>
              <w:spacing w:after="0"/>
              <w:rPr>
                <w:sz w:val="17"/>
                <w:szCs w:val="17"/>
                <w:color w:val="auto"/>
              </w:rPr>
            </w:pPr>
          </w:p>
        </w:tc>
        <w:tc>
          <w:tcPr>
            <w:tcW w:w="1040" w:type="dxa"/>
            <w:vAlign w:val="bottom"/>
            <w:tcBorders>
              <w:bottom w:val="single" w:sz="8" w:color="auto"/>
            </w:tcBorders>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0.68</w:t>
            </w:r>
          </w:p>
        </w:tc>
        <w:tc>
          <w:tcPr>
            <w:tcW w:w="1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480" w:type="dxa"/>
            <w:vAlign w:val="bottom"/>
            <w:tcBorders>
              <w:bottom w:val="single" w:sz="8" w:color="auto"/>
            </w:tcBorders>
            <w:shd w:val="clear" w:color="auto" w:fill="EEEEEE"/>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EEEEEE"/>
            </w:tcBorders>
            <w:shd w:val="clear" w:color="auto" w:fill="EEEEE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3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1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Incremental shares of 10.3 million, 7.5 million and 7.9 million related to stock options and warrants have been excluded from the diluted earnings per share calculation for the years ended December 31, 2018, 2017 and 2016, respectively, because the effect is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recognize compensation costs in the financial statements based on the grant date fair value estimated in accordance with the provisions of ASC 718 “Stock Compensation”. Compensation cost is recognized over the required service period, generally defined as the vesting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2018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have recorded a liability as of December 31, 2018, which represents our best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2016, the FASB issued Accounting Standards Update ("ASU") 2016-13 - Financial Instruments - Credit Losses (Topic 326): Measurement of Credit Losses on Financial Instruments. The revised accounting guidance changes the criteria under which credit losses are measured. The amendment introduces a new credit reserving model known as the Current Expected Credit Loss (CECL) model, which replaces the incurred loss impairment methodology in current U.S. GAAP with a methodology that reflects expected credit losses and requires consideration of a broader range of reasonable and supportable information to establish credit loss estimates. This new accounting guidance will be effective for interim and annual reporting periods beginning after December 15, 2019. The Company is currently evaluating the provisions of ASU No. 2016-13, however, it is expected that the new CECL model will alter the assumptions used in calculating the Company's credit losses, given the change to estimated losses for the estimated life of the financial asset, and will likely result in a material effect on the Company’s financial position and results of operations.</w:t>
      </w:r>
    </w:p>
    <w:p>
      <w:pPr>
        <w:spacing w:after="0" w:line="1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We will adopt ASU 2016-02 effective January 1, 2019 utilizing the modified retrospective transition method. The Company anticipates recording lease assets and liabilities of approximately $24.2 million on its Consolidated Balance Sheets, with no material impact to its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$117.3 million and $112.0 million as of December 31, 2018 and 2017, respectively.</w:t>
      </w:r>
    </w:p>
    <w:p>
      <w:pPr>
        <w:spacing w:after="0" w:line="124"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$48.5 million and $45.7 million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3"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5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1,518,395</w:t>
            </w:r>
          </w:p>
        </w:tc>
        <w:tc>
          <w:tcPr>
            <w:tcW w:w="840" w:type="dxa"/>
            <w:vAlign w:val="bottom"/>
            <w:gridSpan w:val="2"/>
            <w:shd w:val="clear" w:color="auto" w:fill="EEEEEE"/>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2,298,608</w:t>
            </w:r>
          </w:p>
        </w:tc>
        <w:tc>
          <w:tcPr>
            <w:tcW w:w="0" w:type="dxa"/>
            <w:vAlign w:val="bottom"/>
          </w:tcPr>
          <w:p>
            <w:pPr>
              <w:spacing w:after="0"/>
              <w:rPr>
                <w:sz w:val="1"/>
                <w:szCs w:val="1"/>
                <w:color w:val="auto"/>
              </w:rPr>
            </w:pPr>
          </w:p>
        </w:tc>
      </w:tr>
      <w:tr>
        <w:trPr>
          <w:trHeight w:val="202"/>
        </w:trPr>
        <w:tc>
          <w:tcPr>
            <w:tcW w:w="5260" w:type="dxa"/>
            <w:vAlign w:val="bottom"/>
          </w:tcPr>
          <w:p>
            <w:pPr>
              <w:ind w:left="180"/>
              <w:spacing w:after="0" w:line="201" w:lineRule="exact"/>
              <w:rPr>
                <w:sz w:val="20"/>
                <w:szCs w:val="20"/>
                <w:color w:val="auto"/>
              </w:rPr>
            </w:pPr>
            <w:r>
              <w:rPr>
                <w:rFonts w:ascii="Arial" w:cs="Arial" w:eastAsia="Arial" w:hAnsi="Arial"/>
                <w:sz w:val="18"/>
                <w:szCs w:val="18"/>
                <w:color w:val="auto"/>
                <w:w w:val="93"/>
              </w:rPr>
              <w:t>Unearned acquisition fees, discounts and deferred origination costs,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60" w:type="dxa"/>
            <w:vAlign w:val="bottom"/>
          </w:tcPr>
          <w:p>
            <w:pPr>
              <w:ind w:left="36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3,690</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23"/>
        </w:trPr>
        <w:tc>
          <w:tcPr>
            <w:tcW w:w="526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1,522,085</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2,304,984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2018 and 2017:</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1,262,730</w:t>
            </w:r>
          </w:p>
        </w:tc>
        <w:tc>
          <w:tcPr>
            <w:tcW w:w="300" w:type="dxa"/>
            <w:vAlign w:val="bottom"/>
          </w:tcPr>
          <w:p>
            <w:pPr>
              <w:spacing w:after="0"/>
              <w:rPr>
                <w:sz w:val="18"/>
                <w:szCs w:val="18"/>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2,069,617</w:t>
            </w:r>
          </w:p>
        </w:tc>
        <w:tc>
          <w:tcPr>
            <w:tcW w:w="8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157,688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138,395</w:t>
            </w:r>
          </w:p>
        </w:tc>
        <w:tc>
          <w:tcPr>
            <w:tcW w:w="80" w:type="dxa"/>
            <w:vAlign w:val="bottom"/>
            <w:shd w:val="clear" w:color="auto" w:fill="EEEEEE"/>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2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66,134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63,081</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0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31,843</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27,515</w:t>
            </w:r>
          </w:p>
        </w:tc>
      </w:tr>
      <w:tr>
        <w:trPr>
          <w:trHeight w:val="223"/>
        </w:trPr>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1,518,395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Finance receivables totaling $31.8 million and $27.5 million at December 31, 2018 and 2017, respectively,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income.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2018,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(In thousands)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109,187</w:t>
            </w:r>
          </w:p>
        </w:tc>
        <w:tc>
          <w:tcPr>
            <w:tcW w:w="30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95,578</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75,603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133,080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186,713</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178,511</w:t>
            </w: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(220,523)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(211,948)</w:t>
            </w: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(192,366)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45,632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38,844</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33,830</w:t>
            </w:r>
          </w:p>
        </w:tc>
      </w:tr>
      <w:tr>
        <w:trPr>
          <w:trHeight w:val="223"/>
        </w:trPr>
        <w:tc>
          <w:tcPr>
            <w:tcW w:w="3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67,376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95,578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88"/>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4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33,462</w:t>
            </w:r>
          </w:p>
        </w:tc>
        <w:tc>
          <w:tcPr>
            <w:tcW w:w="5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(24,564)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(24,024)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3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8,898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9,655</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(4) Furniture and Equipment</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presents the components of furniture and equipment: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88"/>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1,647</w:t>
            </w:r>
          </w:p>
        </w:tc>
        <w:tc>
          <w:tcPr>
            <w:tcW w:w="3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1,507</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(7,520)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totaled $992,000, $934,000 and $777,000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Scheduled</w:t>
            </w: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Pledged at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at</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Payment</w:t>
            </w: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Initial</w:t>
            </w: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Series</w:t>
            </w:r>
          </w:p>
        </w:tc>
        <w:tc>
          <w:tcPr>
            <w:tcW w:w="27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2018 (2)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2013-B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2020</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18,407</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2013-C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December 2020</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25,559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2013-D</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2021</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24,917</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2014-A</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June 2021</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17,442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30,521</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15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CPS 2014-B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2021</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26,092</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24,051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44,516</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4.42%</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2014-C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December 2021</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42,912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40,896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71,174</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2014-D</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2022</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48,279</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46,489</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79,099</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4.95%</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2015-A</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June 2022</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54,983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52,448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87,194</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2015-B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2022</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65,736</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64,591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102,873</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4.43%</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2015-C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December 2022</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92,123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90,639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141,362</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2016-A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2023</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121,404</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329,460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119,444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180,761</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5.18%</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2016-B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June 2023</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139,696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135,688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201,199</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2016-C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2023</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139,406</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318,500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136,114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203,504</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5.12%</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2016-D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April 2024</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107,009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206,325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104,645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149,671</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2017-A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April 2024</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115,991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206,320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113,527</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161,892</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2017-B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December 2023</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140,953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127,726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186,594</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2017-C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2024</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142,106</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224,825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131,845</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197,155</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2017-D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June 2024</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142,370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196,300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132,919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189,277</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2018-A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March 2025</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151,620</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142,643</w:t>
            </w:r>
          </w:p>
        </w:tc>
        <w:tc>
          <w:tcPr>
            <w:tcW w:w="1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2018-B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175,363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167,809</w:t>
            </w: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16"/>
        </w:trPr>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CPS 2018-C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2025</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214,617</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230,275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204,418</w:t>
            </w:r>
          </w:p>
        </w:tc>
        <w:tc>
          <w:tcPr>
            <w:tcW w:w="1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3.65%</w:t>
            </w:r>
          </w:p>
        </w:tc>
      </w:tr>
      <w:tr>
        <w:trPr>
          <w:trHeight w:val="230"/>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CPS 2018-D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June 2025</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236,410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224,189</w:t>
            </w:r>
          </w:p>
        </w:tc>
        <w:tc>
          <w:tcPr>
            <w:tcW w:w="10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23"/>
        </w:trPr>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7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2,174,512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5,206,418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2,075,409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2,095,675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6"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-154940</wp:posOffset>
            </wp:positionV>
            <wp:extent cx="35159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20" w:lineRule="exact"/>
        <w:rPr>
          <w:sz w:val="20"/>
          <w:szCs w:val="20"/>
          <w:color w:val="auto"/>
        </w:rPr>
      </w:pPr>
    </w:p>
    <w:p>
      <w:pPr>
        <w:ind w:left="340" w:right="40" w:hanging="332"/>
        <w:spacing w:after="0" w:line="259"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$780.0 million in 2019, $587.5 million in 2020, $378.8 million in 2021, $194.6 million in 2022, $116.0 million in 2023, and $6.8 million in 2024.</w:t>
      </w:r>
    </w:p>
    <w:p>
      <w:pPr>
        <w:spacing w:after="0" w:line="186" w:lineRule="exact"/>
        <w:rPr>
          <w:rFonts w:ascii="Arial" w:cs="Arial" w:eastAsia="Arial" w:hAnsi="Arial"/>
          <w:sz w:val="18"/>
          <w:szCs w:val="18"/>
          <w:i w:val="1"/>
          <w:iCs w:val="1"/>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Debt issuance costs of $11.8 million and $12.5 million as of December 31, 2018 and December 31, 2017, respectively, have been excluded from the table above. These debt issuance costs are presented as a direct deduction to the carrying amount of the Securitization trust debt on our Consolidated Balance Sheets.</w:t>
      </w:r>
    </w:p>
    <w:p>
      <w:pPr>
        <w:spacing w:after="0" w:line="18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2018.</w:t>
      </w:r>
    </w:p>
    <w:p>
      <w:pPr>
        <w:spacing w:after="0" w:line="1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2018, restricted cash under the various agreements totaled approximately $117.3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debt outstanding at December 31, 2018 and 2017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vMerge w:val="restart"/>
          </w:tcPr>
          <w:p>
            <w:pPr>
              <w:ind w:left="660"/>
              <w:spacing w:after="0"/>
              <w:rPr>
                <w:sz w:val="20"/>
                <w:szCs w:val="20"/>
                <w:color w:val="auto"/>
              </w:rPr>
            </w:pPr>
            <w:r>
              <w:rPr>
                <w:rFonts w:ascii="Arial" w:cs="Arial" w:eastAsia="Arial" w:hAnsi="Arial"/>
                <w:sz w:val="18"/>
                <w:szCs w:val="18"/>
                <w:color w:val="auto"/>
              </w:rPr>
              <w:t>Description</w:t>
            </w: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6"/>
              </w:rPr>
              <w:t>Maturity</w:t>
            </w:r>
          </w:p>
        </w:tc>
        <w:tc>
          <w:tcPr>
            <w:tcW w:w="260" w:type="dxa"/>
            <w:vAlign w:val="bottom"/>
          </w:tcPr>
          <w:p>
            <w:pPr>
              <w:spacing w:after="0"/>
              <w:rPr>
                <w:sz w:val="19"/>
                <w:szCs w:val="19"/>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3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0"/>
              </w:rPr>
              <w:t>February 2021</w:t>
            </w:r>
          </w:p>
        </w:tc>
        <w:tc>
          <w:tcPr>
            <w:tcW w:w="260" w:type="dxa"/>
            <w:vAlign w:val="bottom"/>
            <w:vMerge w:val="restart"/>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8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38,198</w:t>
            </w:r>
          </w:p>
        </w:tc>
        <w:tc>
          <w:tcPr>
            <w:tcW w:w="580" w:type="dxa"/>
            <w:vAlign w:val="bottom"/>
            <w:gridSpan w:val="2"/>
            <w:vMerge w:val="restart"/>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25,629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gridSpan w:val="2"/>
            <w:vMerge w:val="continue"/>
            <w:shd w:val="clear" w:color="auto" w:fill="EEEEEE"/>
          </w:tcPr>
          <w:p>
            <w:pPr>
              <w:spacing w:after="0"/>
              <w:rPr>
                <w:sz w:val="10"/>
                <w:szCs w:val="10"/>
                <w:color w:val="auto"/>
              </w:rPr>
            </w:pPr>
          </w:p>
        </w:tc>
        <w:tc>
          <w:tcPr>
            <w:tcW w:w="24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300" w:type="dxa"/>
            <w:vAlign w:val="bottom"/>
            <w:gridSpan w:val="2"/>
            <w:vMerge w:val="continue"/>
            <w:shd w:val="clear" w:color="auto" w:fill="EEEEEE"/>
          </w:tcPr>
          <w:p>
            <w:pPr>
              <w:spacing w:after="0"/>
              <w:rPr>
                <w:sz w:val="10"/>
                <w:szCs w:val="10"/>
                <w:color w:val="auto"/>
              </w:rPr>
            </w:pPr>
          </w:p>
        </w:tc>
        <w:tc>
          <w:tcPr>
            <w:tcW w:w="260" w:type="dxa"/>
            <w:vAlign w:val="bottom"/>
            <w:vMerge w:val="continue"/>
            <w:shd w:val="clear" w:color="auto" w:fill="EEEEEE"/>
          </w:tcPr>
          <w:p>
            <w:pPr>
              <w:spacing w:after="0"/>
              <w:rPr>
                <w:sz w:val="10"/>
                <w:szCs w:val="10"/>
                <w:color w:val="auto"/>
              </w:rPr>
            </w:pPr>
          </w:p>
        </w:tc>
        <w:tc>
          <w:tcPr>
            <w:tcW w:w="1840" w:type="dxa"/>
            <w:vAlign w:val="bottom"/>
            <w:gridSpan w:val="2"/>
            <w:vMerge w:val="continue"/>
            <w:shd w:val="clear" w:color="auto" w:fill="EEEEEE"/>
          </w:tcPr>
          <w:p>
            <w:pPr>
              <w:spacing w:after="0"/>
              <w:rPr>
                <w:sz w:val="10"/>
                <w:szCs w:val="10"/>
                <w:color w:val="auto"/>
              </w:rPr>
            </w:pPr>
          </w:p>
        </w:tc>
        <w:tc>
          <w:tcPr>
            <w:tcW w:w="580" w:type="dxa"/>
            <w:vAlign w:val="bottom"/>
            <w:gridSpan w:val="2"/>
            <w:vMerge w:val="continue"/>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0" w:type="dxa"/>
            <w:vAlign w:val="bottom"/>
            <w:gridSpan w:val="2"/>
            <w:vMerge w:val="continue"/>
            <w:shd w:val="clear" w:color="auto" w:fill="EEEEEE"/>
          </w:tcPr>
          <w:p>
            <w:pPr>
              <w:spacing w:after="0"/>
              <w:rPr>
                <w:sz w:val="9"/>
                <w:szCs w:val="9"/>
                <w:color w:val="auto"/>
              </w:rPr>
            </w:pPr>
          </w:p>
        </w:tc>
        <w:tc>
          <w:tcPr>
            <w:tcW w:w="20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6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3.00% over one month Libor</w:t>
            </w:r>
          </w:p>
        </w:tc>
        <w:tc>
          <w:tcPr>
            <w:tcW w:w="23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88"/>
              </w:rPr>
              <w:t>September 2020</w:t>
            </w:r>
          </w:p>
        </w:tc>
        <w:tc>
          <w:tcPr>
            <w:tcW w:w="260" w:type="dxa"/>
            <w:vAlign w:val="bottom"/>
            <w:shd w:val="clear" w:color="auto" w:fill="EEEEEE"/>
          </w:tcPr>
          <w:p>
            <w:pPr>
              <w:spacing w:after="0"/>
              <w:rPr>
                <w:sz w:val="17"/>
                <w:szCs w:val="17"/>
                <w:color w:val="auto"/>
              </w:rPr>
            </w:pPr>
          </w:p>
        </w:tc>
        <w:tc>
          <w:tcPr>
            <w:tcW w:w="18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99,885</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77,546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4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3.75%)</w:t>
            </w:r>
          </w:p>
        </w:tc>
        <w:tc>
          <w:tcPr>
            <w:tcW w:w="2300" w:type="dxa"/>
            <w:vAlign w:val="bottom"/>
            <w:gridSpan w:val="2"/>
            <w:vMerge w:val="continue"/>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84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0" w:type="dxa"/>
            <w:vAlign w:val="bottom"/>
            <w:gridSpan w:val="2"/>
            <w:vMerge w:val="continue"/>
            <w:shd w:val="clear" w:color="auto" w:fill="EEEEEE"/>
          </w:tcPr>
          <w:p>
            <w:pPr>
              <w:spacing w:after="0"/>
              <w:rPr>
                <w:sz w:val="9"/>
                <w:szCs w:val="9"/>
                <w:color w:val="auto"/>
              </w:rPr>
            </w:pPr>
          </w:p>
        </w:tc>
        <w:tc>
          <w:tcPr>
            <w:tcW w:w="20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6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6.75% over a commercial</w:t>
            </w:r>
          </w:p>
        </w:tc>
        <w:tc>
          <w:tcPr>
            <w:tcW w:w="23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2"/>
              </w:rPr>
              <w:t>November 2019</w:t>
            </w:r>
          </w:p>
        </w:tc>
        <w:tc>
          <w:tcPr>
            <w:tcW w:w="260" w:type="dxa"/>
            <w:vAlign w:val="bottom"/>
            <w:shd w:val="clear" w:color="auto" w:fill="EEEEEE"/>
          </w:tcPr>
          <w:p>
            <w:pPr>
              <w:spacing w:after="0"/>
              <w:rPr>
                <w:sz w:val="17"/>
                <w:szCs w:val="17"/>
                <w:color w:val="auto"/>
              </w:rPr>
            </w:pPr>
          </w:p>
        </w:tc>
        <w:tc>
          <w:tcPr>
            <w:tcW w:w="18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4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 7.75%)</w:t>
            </w:r>
          </w:p>
        </w:tc>
        <w:tc>
          <w:tcPr>
            <w:tcW w:w="2300" w:type="dxa"/>
            <w:vAlign w:val="bottom"/>
            <w:gridSpan w:val="2"/>
            <w:vMerge w:val="continue"/>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84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0" w:type="dxa"/>
            <w:vAlign w:val="bottom"/>
            <w:gridSpan w:val="2"/>
            <w:vMerge w:val="continue"/>
            <w:shd w:val="clear" w:color="auto" w:fill="EEEEEE"/>
          </w:tcPr>
          <w:p>
            <w:pPr>
              <w:spacing w:after="0"/>
              <w:rPr>
                <w:sz w:val="9"/>
                <w:szCs w:val="9"/>
                <w:color w:val="auto"/>
              </w:rPr>
            </w:pPr>
          </w:p>
        </w:tc>
        <w:tc>
          <w:tcPr>
            <w:tcW w:w="20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6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8.60%</w:t>
            </w: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January 2026</w:t>
            </w:r>
          </w:p>
        </w:tc>
        <w:tc>
          <w:tcPr>
            <w:tcW w:w="26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9"/>
              </w:rPr>
              <w:t>Weighted average rate of</w:t>
            </w: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Weighted average maturity</w:t>
            </w:r>
          </w:p>
        </w:tc>
        <w:tc>
          <w:tcPr>
            <w:tcW w:w="2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8.53% and 7.99% at</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of January 2021 and March</w:t>
            </w:r>
          </w:p>
        </w:tc>
        <w:tc>
          <w:tcPr>
            <w:tcW w:w="2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7"/>
              </w:rPr>
              <w:t>Subordinated renewable notes</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December 31, 2018 and</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2020 at December 31, 2018</w:t>
            </w:r>
          </w:p>
        </w:tc>
        <w:tc>
          <w:tcPr>
            <w:tcW w:w="26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17,290</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9"/>
              </w:rPr>
              <w:t>December 31, 2017,</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and December 31, 2017,</w:t>
            </w:r>
          </w:p>
        </w:tc>
        <w:tc>
          <w:tcPr>
            <w:tcW w:w="2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respectively</w:t>
            </w:r>
          </w:p>
        </w:tc>
        <w:tc>
          <w:tcPr>
            <w:tcW w:w="260" w:type="dxa"/>
            <w:vAlign w:val="bottom"/>
            <w:shd w:val="clear" w:color="auto" w:fill="EEEEEE"/>
          </w:tcPr>
          <w:p>
            <w:pPr>
              <w:spacing w:after="0"/>
              <w:rPr>
                <w:sz w:val="20"/>
                <w:szCs w:val="20"/>
                <w:color w:val="auto"/>
              </w:rPr>
            </w:pPr>
          </w:p>
        </w:tc>
        <w:tc>
          <w:tcPr>
            <w:tcW w:w="16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1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0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0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195,373</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130,841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Debt issuance costs of $1.2 million and $1.9 million as of December 31, 2018 and December 31, 2017, respectively, have been excluded from the table above. These debt issuance costs are presented as a direct deduction to the carrying amount of the Warehouse lines of credit and residual interest financing on our Consolidated Balance Sheets.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87.0% of eligible finance receivables. The loans under the facility accrue interest at one-month LIBOR plus 3.00% per annum, with a minimum rate of 3.75% per annum. In September 2018, this facility was amended to extend the revolving period to September 2020 and to include an amortization period through September 2021 for any receivables pledged to the facility at the end of the revolving period. At December 31, 2018 there was $99.9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April 17, 2015, we entered into an additional $100 million one-year warehouse credit line with Fortress 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April 2017, this facility was amended to extend the revolving period to April 2019 followed by an amortization period through April 2021 for any receivables pledged to the facility at the end of the revolving period. At December 31, 2018 there was $38.2 million outstanding under this facility. In February 2019, this facility was amended to extend the revolving period to February 2021 followed by an amortization period through February 2023.</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November 24, 2015, we entered into an additional $100 million one-year warehouse credit line with 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or up to 80.0% for certain other receivables. The loans under the facility accrue interest at a commercial paper rate plus 6.75% per annum, with a minimum rate of 7.75% per annum. In November 2017, this facility was amended to extend the revolving period to November 2019 followed by an amortization period through November 2021 for any receivables pledged to the facility at the end of the revolving period. At December 31, 2018 there was no amount outstanding under this facility.</w:t>
      </w:r>
    </w:p>
    <w:p>
      <w:pPr>
        <w:spacing w:after="0" w:line="18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total outstanding debt on our three warehouse lines of credit was $138.1 million as of December 31, 2018, compared to $114.3 million outstanding as of December 31, 2017.</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8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173"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Unamortized debt issuance costs of $894,000 have been excluded from the amount reported above for residual interest financing. These debt issuance costs are presented as a direct deduction to the carrying amount of the debt on our Consolidated Balance Sheets.</w:t>
      </w:r>
    </w:p>
    <w:p>
      <w:pPr>
        <w:spacing w:after="0" w:line="14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2018:</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Subordinated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renewable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2"/>
          </w:tcPr>
          <w:p>
            <w:pPr>
              <w:ind w:left="1080"/>
              <w:spacing w:after="0"/>
              <w:rPr>
                <w:sz w:val="20"/>
                <w:szCs w:val="20"/>
                <w:color w:val="auto"/>
              </w:rPr>
            </w:pPr>
            <w:r>
              <w:rPr>
                <w:rFonts w:ascii="Arial" w:cs="Arial" w:eastAsia="Arial" w:hAnsi="Arial"/>
                <w:sz w:val="18"/>
                <w:szCs w:val="18"/>
                <w:b w:val="1"/>
                <w:bCs w:val="1"/>
                <w:color w:val="auto"/>
              </w:rPr>
              <w:t>Contractual maturity date</w:t>
            </w:r>
          </w:p>
        </w:tc>
        <w:tc>
          <w:tcPr>
            <w:tcW w:w="8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8,561</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3,607</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ending December 31, 2018, we purchased 1,382,401 shares of our common stock at an average price of $3.81. In October 2017 our board of directors authorized the repurchase of up to $10 million of our common stock. There is approximately $7.5 million of board authorization remaining under such plans, which have no expiration date. The table below describes the purchase of our common stock for the twelve-month periods ended December 31, 2018 and 2017:</w:t>
      </w:r>
    </w:p>
    <w:p>
      <w:pPr>
        <w:sectPr>
          <w:pgSz w:w="11900" w:h="16838" w:orient="portrait"/>
          <w:cols w:equalWidth="0" w:num="1">
            <w:col w:w="11380"/>
          </w:cols>
          <w:pgMar w:left="240" w:top="7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ind w:left="460"/>
              <w:spacing w:after="0"/>
              <w:rPr>
                <w:sz w:val="20"/>
                <w:szCs w:val="20"/>
                <w:color w:val="auto"/>
              </w:rPr>
            </w:pPr>
            <w:r>
              <w:rPr>
                <w:rFonts w:ascii="Arial" w:cs="Arial" w:eastAsia="Arial" w:hAnsi="Arial"/>
                <w:sz w:val="18"/>
                <w:szCs w:val="18"/>
                <w:b w:val="1"/>
                <w:bCs w:val="1"/>
                <w:color w:val="auto"/>
              </w:rPr>
              <w:t>Twelve Months Ended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6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December 31, 2018</w:t>
            </w:r>
          </w:p>
        </w:tc>
        <w:tc>
          <w:tcPr>
            <w:tcW w:w="306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17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360" w:type="dxa"/>
            <w:vAlign w:val="bottom"/>
          </w:tcPr>
          <w:p>
            <w:pPr>
              <w:spacing w:after="0"/>
              <w:rPr>
                <w:sz w:val="19"/>
                <w:szCs w:val="19"/>
                <w:color w:val="auto"/>
              </w:rPr>
            </w:pPr>
          </w:p>
        </w:tc>
        <w:tc>
          <w:tcPr>
            <w:tcW w:w="168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1,258,797</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3.77</w:t>
            </w:r>
          </w:p>
        </w:tc>
        <w:tc>
          <w:tcPr>
            <w:tcW w:w="36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2,693,562</w:t>
            </w:r>
          </w:p>
        </w:tc>
        <w:tc>
          <w:tcPr>
            <w:tcW w:w="3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4.48</w:t>
            </w:r>
          </w:p>
        </w:tc>
        <w:tc>
          <w:tcPr>
            <w:tcW w:w="20" w:type="dxa"/>
            <w:vAlign w:val="bottom"/>
          </w:tcPr>
          <w:p>
            <w:pPr>
              <w:spacing w:after="0"/>
              <w:rPr>
                <w:sz w:val="16"/>
                <w:szCs w:val="16"/>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33,604</w:t>
            </w:r>
          </w:p>
        </w:tc>
        <w:tc>
          <w:tcPr>
            <w:tcW w:w="20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51,931</w:t>
            </w: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4.13</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1,382,401</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2,745,493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4.49</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-608330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-325120</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100" w:space="720"/>
            <w:col w:w="6560"/>
          </w:cols>
          <w:pgMar w:left="240" w:top="796" w:right="279" w:bottom="1440" w:gutter="0" w:footer="0" w:header="0"/>
          <w:type w:val="continuous"/>
        </w:sectPr>
      </w:pPr>
    </w:p>
    <w:p>
      <w:pPr>
        <w:spacing w:after="0" w:line="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and again in July 2018, the shareholders of the Company approved an amendment to the 2006 Plan to increase the maximum number of shares that may be subject to awards under the 2006 Plan to 5,000,000, 7,200,000, 12,200,000, 17,200,000 and 19,200,000,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2018, 2017 and 2016 was $1.06, $1.32 and $1.38,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31% to 34% for 2018, 35% to 37% for 2017, and 44% to 51% for 2016.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8"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120" w:type="dxa"/>
            <w:vAlign w:val="bottom"/>
            <w:tcBorders>
              <w:bottom w:val="single" w:sz="8" w:color="EEEEEE"/>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EEEEEE"/>
            </w:tcBorders>
          </w:tcPr>
          <w:p>
            <w:pPr>
              <w:spacing w:after="0"/>
              <w:rPr>
                <w:sz w:val="19"/>
                <w:szCs w:val="19"/>
                <w:color w:val="auto"/>
              </w:rPr>
            </w:pPr>
          </w:p>
        </w:tc>
      </w:tr>
      <w:tr>
        <w:trPr>
          <w:trHeight w:val="210"/>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9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4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EEEEEE"/>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5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34%</w:t>
            </w:r>
          </w:p>
        </w:tc>
        <w:tc>
          <w:tcPr>
            <w:tcW w:w="1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36%</w:t>
            </w:r>
          </w:p>
        </w:tc>
        <w:tc>
          <w:tcPr>
            <w:tcW w:w="15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years ended December 31, 2018, 2017 and 2016, we recorded stock-based compensation costs in the amount of $3.5 million, $5.7 million and $5.6 million, respectively. As of December 31, 2018, the unrecognized stock-based compensation costs to be recognized over future periods was equal to $3.6 million. This amount will be recognized as expense over a weighted-average period of 2.1 years.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December 31, 2018 and 2017, options outstanding had intrinsic values of $4.9 million and $10.4 million, respectively. At December 31, 2018 and 2017, options exercisable had intrinsic values of $4.9 million and $9.5 million, respectively. The total intrinsic value of options exercised was $869,000 and $1.9 million for the years ended December 31, 2018 and 2017, respectively. New shares were issued for all options exercised during the year ended December 2018 and cash of $483,000 million was received. At December 31, 2018, there were a total of 2,873,000 additional shares available for grant under the 2006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year ended December 31, 2018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Forfeited/Expired</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7.20</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14,421</w:t>
            </w:r>
          </w:p>
        </w:tc>
        <w:tc>
          <w:tcPr>
            <w:tcW w:w="200" w:type="dxa"/>
            <w:vAlign w:val="bottom"/>
            <w:tcBorders>
              <w:top w:val="single" w:sz="8" w:color="EEEEEE"/>
            </w:tcBorders>
            <w:shd w:val="clear" w:color="auto" w:fill="EEEEEE"/>
          </w:tcPr>
          <w:p>
            <w:pPr>
              <w:spacing w:after="0"/>
              <w:rPr>
                <w:sz w:val="19"/>
                <w:szCs w:val="19"/>
                <w:color w:val="auto"/>
              </w:rPr>
            </w:pPr>
          </w:p>
        </w:tc>
        <w:tc>
          <w:tcPr>
            <w:tcW w:w="26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4.57</w:t>
            </w:r>
          </w:p>
        </w:tc>
        <w:tc>
          <w:tcPr>
            <w:tcW w:w="148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3.91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8,789</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4.76</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3.42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and allocated $4,071,429 of the aggregate consideration received in that transaction to the issuance of the warrants. The warrants represented the right to purchase CPS common shares at a nominal exercise price. In March 2010 we repurchased the warrants for 500,000 of these shares for $1.0 million. Warrants to purchase 2,000,000 shares were exercised on July 10, 2018 and 1,999,995 net shares were issued to the holder, following surrender of five shares in payment of the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185"/>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334,634</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423,567</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408,723</w:t>
            </w:r>
          </w:p>
        </w:tc>
        <w:tc>
          <w:tcPr>
            <w:tcW w:w="80" w:type="dxa"/>
            <w:vAlign w:val="bottom"/>
            <w:shd w:val="clear" w:color="auto" w:fill="EEEEEE"/>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43,863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607</w:t>
            </w:r>
          </w:p>
        </w:tc>
        <w:tc>
          <w:tcPr>
            <w:tcW w:w="3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273</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424,174</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1360"/>
          </w:cols>
          <w:pgMar w:left="240" w:top="79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jc w:val="right"/>
        <w:ind w:right="74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state tax expense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89,926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83,084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69,178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7,933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8,569</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92,345</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-736600</wp:posOffset>
            </wp:positionV>
            <wp:extent cx="579755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-462280</wp:posOffset>
            </wp:positionV>
            <wp:extent cx="57975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-179705</wp:posOffset>
            </wp:positionV>
            <wp:extent cx="579755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(7,526)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14,369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22,872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10,131</w:t>
            </w: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(6,329)</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28,306</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-736600</wp:posOffset>
            </wp:positionV>
            <wp:extent cx="57975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-462280</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-179705</wp:posOffset>
            </wp:positionV>
            <wp:extent cx="579755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480"/>
          </w:cols>
          <w:pgMar w:left="240" w:top="796" w:right="2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Income tax expense for the years ended December 31, 2018, 2017 and 2016 differs from the amount determined by applying the statutory federal rate to income before income taxes as follows: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8"/>
                <w:szCs w:val="18"/>
                <w:b w:val="1"/>
                <w:bCs w:val="1"/>
                <w:color w:val="auto"/>
                <w:w w:val="91"/>
              </w:rPr>
              <w:t>Year Ended 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144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3,928</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11,225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17,381</w:t>
            </w:r>
          </w:p>
        </w:tc>
        <w:tc>
          <w:tcPr>
            <w:tcW w:w="80" w:type="dxa"/>
            <w:vAlign w:val="bottom"/>
            <w:shd w:val="clear" w:color="auto" w:fill="EEEEEE"/>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2,679</w:t>
            </w:r>
          </w:p>
        </w:tc>
        <w:tc>
          <w:tcPr>
            <w:tcW w:w="8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EEEEEE"/>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Effect of change in tax rate</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15,117</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Accounting method change</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(668)</w:t>
            </w:r>
          </w:p>
        </w:tc>
      </w:tr>
      <w:tr>
        <w:trPr>
          <w:trHeight w:val="223"/>
        </w:trPr>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28,306</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For the year ended December 31, 2018, we recorded income tax expense of $3.8 million which include a $2.1 million net tax benefit related to certain tax planning strategies and other adjustments. Without the benefit, income tax expense for 2018 would have been $5.9 million.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effected cumulative temporary differences that give rise to deferred tax assets and liabilities as of December 31, 2018 and 2017 are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Finance receivables</w:t>
            </w:r>
          </w:p>
        </w:tc>
        <w:tc>
          <w:tcPr>
            <w:tcW w:w="30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1,867</w:t>
            </w:r>
          </w:p>
        </w:tc>
        <w:tc>
          <w:tcPr>
            <w:tcW w:w="18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23,034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NOL carryforwards</w:t>
            </w: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Built in losses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4,651</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5,277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Pension accrual</w:t>
            </w: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4,161</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3,642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assets</w:t>
            </w:r>
          </w:p>
        </w:tc>
        <w:tc>
          <w:tcPr>
            <w:tcW w:w="19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20,579</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34,924</w:t>
            </w:r>
          </w:p>
        </w:tc>
        <w:tc>
          <w:tcPr>
            <w:tcW w:w="100" w:type="dxa"/>
            <w:vAlign w:val="bottom"/>
            <w:tcBorders>
              <w:top w:val="single" w:sz="8" w:color="EEEEEE"/>
            </w:tcBorders>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Liabilities: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 loan costs</w:t>
            </w: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(2,233)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w:t>
            </w:r>
          </w:p>
        </w:tc>
        <w:tc>
          <w:tcPr>
            <w:tcW w:w="19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2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960" w:type="dxa"/>
            <w:vAlign w:val="bottom"/>
            <w:tcBorders>
              <w:bottom w:val="single" w:sz="8" w:color="EEEEEE"/>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bottom w:val="single" w:sz="8" w:color="EEEEEE"/>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EEEEE"/>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30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19,188</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32,446</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F-24</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$19.2 million as of December 31, 2018 is more likely than not based on forecasted future net earnings. Our net deferred tax asset of $19.2 million consists of approximately $13.9 million of net U.S. federal deferred tax assets and $5.3 million of net state deferred tax assets. The major components of the deferred tax asset are $12.4 million in net operating loss carryforwards and built in losses and $6.8 million in net deductions which have not yet been taken on a tax return.</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2018, we had net operating loss carryforwards for state income tax purposes of $35.7 million. These state net operating losses begin to expire in 2019.</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2018, we had no unrecognized tax benefits for uncertain tax positions.</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 Party Transactions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2018, $4.0 million was outstanding on this note. The note was redeemed at par plus accrued interest in February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leases its facilities and certain computer equipment under non-cancelable operating leases, which expire through 2025. Future minimum lease payments at December 31, 2018, under these leases are due during the years ended December 31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2018, 2017 and 2016, was $7.2 million, $6.3 million and $5.2 million, respectively.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w:t>
      </w:r>
      <w:r>
        <w:rPr>
          <w:rFonts w:ascii="Arial" w:cs="Arial" w:eastAsia="Arial" w:hAnsi="Arial"/>
          <w:sz w:val="17"/>
          <w:szCs w:val="17"/>
          <w:i w:val="1"/>
          <w:iCs w:val="1"/>
          <w:color w:val="auto"/>
        </w:rPr>
        <w:t xml:space="preserve"> </w:t>
      </w:r>
      <w:r>
        <w:rPr>
          <w:rFonts w:ascii="Arial" w:cs="Arial" w:eastAsia="Arial" w:hAnsi="Arial"/>
          <w:sz w:val="17"/>
          <w:szCs w:val="17"/>
          <w:color w:val="auto"/>
        </w:rPr>
        <w:t>to 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and marketing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compensation practices with respect to our marketing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2018,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2018 is immaterial, and that the range of reasonably possible losses for the legal proceedings and contingencies we face, including those described or referenced above, as of December 31, 2018 does not exceed $3 million.</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Employee Benefits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$1.5 million, $1.2 million, and $929,000 respectively, for the years ended December 31, 2018, 2017 and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sponsor a defined benefit plan, the MFN Financial Corporation Pension Plan (the “Plan”). The Plan benefits were frozen on June 30, 2001.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8" w:name="page89"/>
    <w:bookmarkEnd w:id="88"/>
    <w:p>
      <w:pPr>
        <w:jc w:val="center"/>
        <w:ind w:right="-69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represents a reconciliation of the change in the plan’s benefit obligations, fair value of plan assets, and funded status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2100" w:type="dxa"/>
            <w:vAlign w:val="bottom"/>
            <w:gridSpan w:val="2"/>
          </w:tcPr>
          <w:p>
            <w:pPr>
              <w:jc w:val="right"/>
              <w:ind w:right="88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22,562</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(1,867)</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Actuarial (gain) loss</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Projected benefit obligation, end of year</w:t>
            </w:r>
          </w:p>
        </w:tc>
        <w:tc>
          <w:tcPr>
            <w:tcW w:w="10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20,085</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100" w:type="dxa"/>
            <w:vAlign w:val="bottom"/>
            <w:gridSpan w:val="2"/>
          </w:tcPr>
          <w:p>
            <w:pPr>
              <w:jc w:val="right"/>
              <w:ind w:right="88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16,446</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(1,806)</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Employer contribution</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10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Settlements</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Fair value of plan assets, end of year</w:t>
            </w:r>
          </w:p>
        </w:tc>
        <w:tc>
          <w:tcPr>
            <w:tcW w:w="1060" w:type="dxa"/>
            <w:vAlign w:val="bottom"/>
          </w:tcPr>
          <w:p>
            <w:pPr>
              <w:spacing w:after="0"/>
              <w:rPr>
                <w:sz w:val="18"/>
                <w:szCs w:val="18"/>
                <w:color w:val="auto"/>
              </w:rPr>
            </w:pPr>
          </w:p>
        </w:tc>
        <w:tc>
          <w:tcPr>
            <w:tcW w:w="1040" w:type="dxa"/>
            <w:vAlign w:val="bottom"/>
            <w:tcBorders>
              <w:top w:val="single" w:sz="8" w:color="auto"/>
            </w:tcBorders>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14,368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560" w:type="dxa"/>
            <w:vAlign w:val="bottom"/>
            <w:tcBorders>
              <w:bottom w:val="single" w:sz="8" w:color="auto"/>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1060" w:type="dxa"/>
            <w:vAlign w:val="bottom"/>
          </w:tcPr>
          <w:p>
            <w:pPr>
              <w:spacing w:after="0"/>
              <w:rPr>
                <w:sz w:val="19"/>
                <w:szCs w:val="19"/>
                <w:color w:val="auto"/>
              </w:rPr>
            </w:pP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(5,717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(6,116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Weighted average assumptions used to determine benefit obligations and cost at December 31, 2018 and 2017 were as follows:</w:t>
      </w:r>
    </w:p>
    <w:p>
      <w:pPr>
        <w:spacing w:after="0" w:line="24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500" w:type="dxa"/>
            <w:vAlign w:val="bottom"/>
            <w:gridSpan w:val="2"/>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w w:val="91"/>
              </w:rPr>
              <w:t>Weighted average assumptions used to determine benefit obligations</w:t>
            </w:r>
          </w:p>
        </w:tc>
        <w:tc>
          <w:tcPr>
            <w:tcW w:w="104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Weighted average assumptions used to determine net periodic</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gridSpan w:val="2"/>
          </w:tcPr>
          <w:p>
            <w:pPr>
              <w:jc w:val="right"/>
              <w:ind w:right="5390"/>
              <w:spacing w:after="0"/>
              <w:rPr>
                <w:sz w:val="20"/>
                <w:szCs w:val="20"/>
                <w:color w:val="auto"/>
              </w:rPr>
            </w:pPr>
            <w:r>
              <w:rPr>
                <w:rFonts w:ascii="Arial" w:cs="Arial" w:eastAsia="Arial" w:hAnsi="Arial"/>
                <w:sz w:val="18"/>
                <w:szCs w:val="18"/>
                <w:b w:val="1"/>
                <w:bCs w:val="1"/>
                <w:color w:val="auto"/>
              </w:rPr>
              <w:t>benefit cost</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3.50%</w:t>
            </w:r>
          </w:p>
        </w:tc>
        <w:tc>
          <w:tcPr>
            <w:tcW w:w="1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7.25%</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796" w:right="9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overall expected long-term rate of return on assets is 7.25% per annum as of December 31, 2018. The expected long-term rate of return is based on the weighted average of historical returns on individual asset categories, which are described in more detail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(5,717)</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(6,116)</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(5,717</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w w:val="99"/>
              </w:rPr>
              <w:t>Amounts recognized in accumulated other comprehensive loss consists of:</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11,896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11,350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10,618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11,896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11,350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(1,163)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(1,149)</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Loss (Income)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545</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amount recognized in other comprehensive loss (income)</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net loss that will be amortized from accumulated other comprehensive income into net periodic benefit cost in 2019 is $376,000.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our pension benefits at December 31, 2018 and 2017 were as follows:</w:t>
      </w:r>
    </w:p>
    <w:p>
      <w:pPr>
        <w:spacing w:after="0" w:line="235"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5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securities</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55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184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18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18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18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18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Years 2024 - 2028</w:t>
            </w:r>
          </w:p>
        </w:tc>
        <w:tc>
          <w:tcPr>
            <w:tcW w:w="18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Anticipated Contributions in 2019</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plan assets at December 31, 2018 and 2017, by asset category,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2,635</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1,983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Blend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2,031</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2,635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3,633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Blend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2,683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1,870</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12,813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80" w:type="dxa"/>
            <w:vAlign w:val="bottom"/>
            <w:gridSpan w:val="5"/>
          </w:tcPr>
          <w:p>
            <w:pPr>
              <w:jc w:val="center"/>
              <w:ind w:left="275"/>
              <w:spacing w:after="0"/>
              <w:rPr>
                <w:sz w:val="20"/>
                <w:szCs w:val="20"/>
                <w:color w:val="auto"/>
              </w:rPr>
            </w:pPr>
            <w:r>
              <w:rPr>
                <w:rFonts w:ascii="Arial" w:cs="Arial" w:eastAsia="Arial" w:hAnsi="Arial"/>
                <w:sz w:val="18"/>
                <w:szCs w:val="18"/>
                <w:b w:val="1"/>
                <w:bCs w:val="1"/>
                <w:color w:val="auto"/>
                <w:w w:val="89"/>
              </w:rPr>
              <w:t>Twelve Months Ended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565"/>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gridSpan w:val="4"/>
          </w:tcPr>
          <w:p>
            <w:pPr>
              <w:jc w:val="center"/>
              <w:ind w:right="565"/>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740" w:type="dxa"/>
            <w:vAlign w:val="bottom"/>
            <w:gridSpan w:val="2"/>
            <w:shd w:val="clear" w:color="auto" w:fill="EEEEEE"/>
          </w:tcPr>
          <w:p>
            <w:pPr>
              <w:jc w:val="right"/>
              <w:ind w:right="83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105"/>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914,949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7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5"/>
              </w:rPr>
              <w:t>(67,720)</w:t>
            </w:r>
          </w:p>
        </w:tc>
        <w:tc>
          <w:tcPr>
            <w:tcW w:w="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(26,163)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7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Pr>
          <w:p>
            <w:pPr>
              <w:spacing w:after="0"/>
              <w:rPr>
                <w:sz w:val="19"/>
                <w:szCs w:val="19"/>
                <w:color w:val="auto"/>
              </w:rPr>
            </w:pPr>
          </w:p>
        </w:tc>
        <w:tc>
          <w:tcPr>
            <w:tcW w:w="1000" w:type="dxa"/>
            <w:vAlign w:val="bottom"/>
            <w:tcBorders>
              <w:top w:val="single" w:sz="8" w:color="auto"/>
            </w:tcBorders>
          </w:tcPr>
          <w:p>
            <w:pPr>
              <w:jc w:val="right"/>
              <w:ind w:right="83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821,066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top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Contractual</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right"/>
              <w:ind w:right="290"/>
              <w:spacing w:after="0" w:line="205" w:lineRule="exact"/>
              <w:rPr>
                <w:sz w:val="20"/>
                <w:szCs w:val="20"/>
                <w:color w:val="auto"/>
              </w:rPr>
            </w:pPr>
            <w:r>
              <w:rPr>
                <w:rFonts w:ascii="Arial" w:cs="Arial" w:eastAsia="Arial" w:hAnsi="Arial"/>
                <w:sz w:val="18"/>
                <w:szCs w:val="18"/>
                <w:b w:val="1"/>
                <w:bCs w:val="1"/>
                <w:color w:val="auto"/>
                <w:w w:val="99"/>
              </w:rPr>
              <w:t>Contractual</w:t>
            </w: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70"/>
              <w:spacing w:after="0" w:line="205"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8"/>
              </w:rPr>
              <w:t>Balance</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7"/>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829,039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821,066</w:t>
            </w:r>
          </w:p>
        </w:tc>
        <w:tc>
          <w:tcPr>
            <w:tcW w:w="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11"/>
          </w:tcPr>
          <w:p>
            <w:pPr>
              <w:jc w:val="right"/>
              <w:ind w:right="100"/>
              <w:spacing w:after="0"/>
              <w:rPr>
                <w:sz w:val="20"/>
                <w:szCs w:val="20"/>
                <w:color w:val="auto"/>
              </w:rPr>
            </w:pPr>
            <w:r>
              <w:rPr>
                <w:rFonts w:ascii="Arial" w:cs="Arial" w:eastAsia="Arial" w:hAnsi="Arial"/>
                <w:sz w:val="18"/>
                <w:szCs w:val="18"/>
                <w:color w:val="auto"/>
                <w:w w:val="99"/>
              </w:rPr>
              <w:t>The following table provides certain qualitative information about our level 3 fair value measurements: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6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Fair Values as of</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Inputs as of</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auto"/>
            </w:tcBorders>
            <w:gridSpan w:val="4"/>
          </w:tcPr>
          <w:p>
            <w:pPr>
              <w:jc w:val="center"/>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Unobservable Inputs</w:t>
            </w:r>
          </w:p>
        </w:tc>
        <w:tc>
          <w:tcPr>
            <w:tcW w:w="14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821,066</w:t>
            </w:r>
          </w:p>
        </w:tc>
        <w:tc>
          <w:tcPr>
            <w:tcW w:w="110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2"/>
              </w:rPr>
              <w:t>Discount rate</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 - 9.9%</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Cumulative net losses</w:t>
            </w:r>
          </w:p>
        </w:tc>
        <w:tc>
          <w:tcPr>
            <w:tcW w:w="1400" w:type="dxa"/>
            <w:vAlign w:val="bottom"/>
            <w:gridSpan w:val="3"/>
          </w:tcPr>
          <w:p>
            <w:pPr>
              <w:jc w:val="right"/>
              <w:ind w:right="30"/>
              <w:spacing w:after="0"/>
              <w:rPr>
                <w:sz w:val="20"/>
                <w:szCs w:val="20"/>
                <w:color w:val="auto"/>
              </w:rPr>
            </w:pPr>
            <w:r>
              <w:rPr>
                <w:rFonts w:ascii="Arial" w:cs="Arial" w:eastAsia="Arial" w:hAnsi="Arial"/>
                <w:sz w:val="18"/>
                <w:szCs w:val="18"/>
                <w:color w:val="auto"/>
              </w:rPr>
              <w:t>15% - 16%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delinquency status using the contractual balance of these finance receivables measured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ind w:left="104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790,727</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46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26,285</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ind w:left="134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4680" w:type="dxa"/>
            <w:vAlign w:val="bottom"/>
          </w:tcPr>
          <w:p>
            <w:pPr>
              <w:ind w:left="20"/>
              <w:spacing w:after="0"/>
              <w:rPr>
                <w:sz w:val="20"/>
                <w:szCs w:val="20"/>
                <w:color w:val="auto"/>
              </w:rPr>
            </w:pPr>
            <w:r>
              <w:rPr>
                <w:rFonts w:ascii="Arial" w:cs="Arial" w:eastAsia="Arial" w:hAnsi="Arial"/>
                <w:sz w:val="18"/>
                <w:szCs w:val="18"/>
                <w:color w:val="auto"/>
              </w:rPr>
              <w:t>- 90 days</w:t>
            </w:r>
          </w:p>
        </w:tc>
        <w:tc>
          <w:tcPr>
            <w:tcW w:w="1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8,350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46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3,677</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ind w:left="1340"/>
              <w:spacing w:after="0"/>
              <w:rPr>
                <w:sz w:val="20"/>
                <w:szCs w:val="20"/>
                <w:color w:val="auto"/>
              </w:rPr>
            </w:pPr>
            <w:r>
              <w:rPr>
                <w:rFonts w:ascii="Arial" w:cs="Arial" w:eastAsia="Arial" w:hAnsi="Arial"/>
                <w:sz w:val="18"/>
                <w:szCs w:val="18"/>
                <w:color w:val="auto"/>
              </w:rPr>
              <w:t>–</w:t>
            </w:r>
          </w:p>
        </w:tc>
      </w:tr>
      <w:tr>
        <w:trPr>
          <w:trHeight w:val="223"/>
        </w:trPr>
        <w:tc>
          <w:tcPr>
            <w:tcW w:w="2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829,039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ind w:left="134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consolidated balance sheet, is measured at fair value using level 2 assumptions based on our actual loss experience on sale of repossessed vehicles. At December 31, 2018, the finance receivables related to the repossessed vehicles in inventory totaled $33.5 million. We have applied a valuation adjustment, or loss allowance, of $24.6 million, which is based on a recovery rate of approximately 27%, resulting in an estimated fair value and carrying amount of $8.9 million. The fair value and carrying amount of the repossessed inventory at December 31, 2017 was $9.7 million after applying a valuation adjustment of $24.0 million.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2018 and 2017. We have no level 3 assets or liabilities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December 31, 2018 and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b w:val="1"/>
                <w:bCs w:val="1"/>
                <w:color w:val="auto"/>
                <w:w w:val="89"/>
              </w:rPr>
              <w:t>As of December 31, 2018</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60"/>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12,787</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117,323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1,454,709</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1,434,631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1,434,631</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136,847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136,847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2,063,627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2,051,920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2,051,920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17,290</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17,290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446"/>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b w:val="1"/>
                <w:bCs w:val="1"/>
                <w:color w:val="auto"/>
                <w:w w:val="89"/>
              </w:rPr>
              <w:t>As of December 31, 2017</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60"/>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12,731</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111,965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2,195,797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2,171,846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2,171,846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112,408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112,408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2,083,215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2,089,678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2,089,678</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15) Subsequent Events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23, 2019 we executed our first securitization of 2019. In the transaction, qualified institutional buyers purchased $254.4 million of asset-backed notes secured by $265.0 million in automobile receivables purchased by us. The sold notes, issued by CPS Auto Receivables Trust 2019-A, consist of five classes. Ratings of the notes were provided by Standard &amp; Poor’s, and DBRS and were based on the structure of the transaction, the historical performance of similar receivables and our experience as a servicer. The weighted average yield on the notes is approximately 4.22%.</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2019-A transaction has initial credit enhancement consisting of a cash deposit equal to 1.00% of the original receivable pool balance. The final enhancement level requires accelerated payment of principal on the notes to reach overcollateralization of the lesser of 8.50% of the original receivable pool balance, or 18.70% of the then outstanding pool balance. The transaction utilizes a pre-funding structure, in which CPS sold approximately $166.1 million of receivables on January 23, 2019 and sold $98.9 million of additional receivables on February 13, 2019. The transaction was a private offering of securities, not registered under the Securities Act of 1933, or any state securities law.</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22, 2019 we amended our $100 million warehouse credit line with Fortress Investment Group extending the revolving period to February 2021 followed by an amortization period through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Exhibit 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10"/>
        </w:trPr>
        <w:tc>
          <w:tcPr>
            <w:tcW w:w="5960" w:type="dxa"/>
            <w:vAlign w:val="bottom"/>
            <w:tcBorders>
              <w:left w:val="single" w:sz="8" w:color="auto"/>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Six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Seven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420"/>
          </w:cols>
          <w:pgMar w:left="240" w:top="118"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Exhibit 23.1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333-190766 and 333-168976 on Form S-1, Nos. 333-152969 and 333-204492 on Form S-3, and Nos. 333-58199, 333-35758, 333-75594, 333-115622, 333-135907, 333-161448, 333-166892, and 333-193926 on Form S-8 of Consumer Portfolio Services, Inc. of our report dated March 13, 2019 relating to the financial statements and effectiveness of internal control over financial reporting, appearing in this Annual Report on Form 10-K.</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Crowe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ectPr>
          <w:pgSz w:w="11900" w:h="16838" w:orient="portrait"/>
          <w:cols w:equalWidth="0" w:num="1">
            <w:col w:w="11420"/>
          </w:cols>
          <w:pgMar w:left="240" w:top="11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2018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2019</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2018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2019</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360"/>
          </w:cols>
          <w:pgMar w:left="240" w:top="125" w:right="2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2018, as filed with the Securities and Exchange Commission on March 13, 2019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lowerRoman"/>
      <w:start w:val="4"/>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14"/>
    </w:lvl>
  </w:abstractNum>
  <w:abstractNum w:abstractNumId="26">
    <w:nsid w:val="7C3DBD3D"/>
    <w:multiLevelType w:val="hybridMultilevel"/>
    <w:lvl w:ilvl="0">
      <w:lvlJc w:val="left"/>
      <w:lvlText w:val="%1"/>
      <w:numFmt w:val="decimal"/>
      <w:start w:val="2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00"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78" Type="http://schemas.openxmlformats.org/officeDocument/2006/relationships/hyperlink" Target="http://www.sec.gov/Archives/edgar/data/889609/000088960909000010/exh3-1.htm" TargetMode="External"/><Relationship Id="rId79" Type="http://schemas.openxmlformats.org/officeDocument/2006/relationships/hyperlink" Target="http://www.sec.gov/Archives/edgar/data/889609/000088960910000073/cpssex313.htm" TargetMode="External"/><Relationship Id="rId80" Type="http://schemas.openxmlformats.org/officeDocument/2006/relationships/hyperlink" Target="http://www.sec.gov/Archives/edgar/data/889609/000088960909000032/cpssexhibit33.htm" TargetMode="External"/><Relationship Id="rId81" Type="http://schemas.openxmlformats.org/officeDocument/2006/relationships/hyperlink" Target="http://www.sec.gov/Archives/edgar/data/889609/000101968705000040/cps_s2ex4-1.txt" TargetMode="External"/><Relationship Id="rId82" Type="http://schemas.openxmlformats.org/officeDocument/2006/relationships/hyperlink" Target="http://www.sec.gov/Archives/edgar/data/889609/000101968705000040/cps_s2ex4-2.txt" TargetMode="External"/><Relationship Id="rId83" Type="http://schemas.openxmlformats.org/officeDocument/2006/relationships/hyperlink" Target="http://www.sec.gov/Archives/edgar/data/889609/000088960910000033/cpssexh41.htm" TargetMode="External"/><Relationship Id="rId84" Type="http://schemas.openxmlformats.org/officeDocument/2006/relationships/hyperlink" Target="http://www.sec.gov/Archives/edgar/data/889609/000088960910000033/cpss42.htm" TargetMode="External"/><Relationship Id="rId85" Type="http://schemas.openxmlformats.org/officeDocument/2006/relationships/hyperlink" Target="http://www.sec.gov/Archives/edgar/data/889609/000088960910000059/cpssex43_dtd121207.htm" TargetMode="External"/><Relationship Id="rId86" Type="http://schemas.openxmlformats.org/officeDocument/2006/relationships/hyperlink" Target="http://www.sec.gov/Archives/edgar/data/889609/000101968714000228/cps_s1a1-ex0404.htm" TargetMode="External"/><Relationship Id="rId87" Type="http://schemas.openxmlformats.org/officeDocument/2006/relationships/hyperlink" Target="http://www.sec.gov/Archives/edgar/data/889609/000088960915000030/cpss8kaexh461_dtd150625.htm" TargetMode="External"/><Relationship Id="rId88" Type="http://schemas.openxmlformats.org/officeDocument/2006/relationships/hyperlink" Target="http://www.sec.gov/Archives/edgar/data/889609/000088960915000030/cpss8kaex462_dtd150625.htm" TargetMode="External"/><Relationship Id="rId89" Type="http://schemas.openxmlformats.org/officeDocument/2006/relationships/hyperlink" Target="http://www.sec.gov/Archives/edgar/data/889609/000088960915000041/cpss8kex463_dtd150916.htm" TargetMode="External"/><Relationship Id="rId90" Type="http://schemas.openxmlformats.org/officeDocument/2006/relationships/hyperlink" Target="http://www.sec.gov/Archives/edgar/data/889609/000088960915000041/cpss8kex464_dtd150916.htm" TargetMode="External"/><Relationship Id="rId91" Type="http://schemas.openxmlformats.org/officeDocument/2006/relationships/hyperlink" Target="http://www.sec.gov/Archives/edgar/data/889609/000088960916000054/cpss10qa_exh465dtd160502.htm" TargetMode="External"/><Relationship Id="rId92" Type="http://schemas.openxmlformats.org/officeDocument/2006/relationships/hyperlink" Target="http://www.sec.gov/Archives/edgar/data/889609/000088960916000054/cpss10qa_exh466dtd160502.htm" TargetMode="External"/><Relationship Id="rId93" Type="http://schemas.openxmlformats.org/officeDocument/2006/relationships/hyperlink" Target="http://www.sec.gov/Archives/edgar/data/889609/000088960916000054/cpss10qa_exh467dtd160502.htm" TargetMode="External"/><Relationship Id="rId94" Type="http://schemas.openxmlformats.org/officeDocument/2006/relationships/hyperlink" Target="http://www.sec.gov/Archives/edgar/data/889609/000088960916000054/cpss10qa_exh468dtd160502.htm" TargetMode="External"/><Relationship Id="rId95" Type="http://schemas.openxmlformats.org/officeDocument/2006/relationships/hyperlink" Target="http://www.sec.gov/Archives/edgar/data/889609/000101968716007049/cps_8k-ex0469.htm" TargetMode="External"/><Relationship Id="rId96" Type="http://schemas.openxmlformats.org/officeDocument/2006/relationships/hyperlink" Target="http://www.sec.gov/Archives/edgar/data/889609/000101968716007049/cps_8k-ex0470.htm" TargetMode="External"/><Relationship Id="rId97" Type="http://schemas.openxmlformats.org/officeDocument/2006/relationships/hyperlink" Target="http://www.sec.gov/Archives/edgar/data/889609/000101968715001620/cps_def14a.htm" TargetMode="External"/><Relationship Id="rId98" Type="http://schemas.openxmlformats.org/officeDocument/2006/relationships/hyperlink" Target="http://www.sec.gov/Archives/edgar/data/889609/000101968707000676/cps_10kex14-1.txt" TargetMode="External"/><Relationship Id="rId99" Type="http://schemas.openxmlformats.org/officeDocument/2006/relationships/hyperlink" Target="http://www.sec.gov/Archives/edgar/data/889609/000088960909000053/cpsslongterm2006.htm" TargetMode="External"/><Relationship Id="rId101" Type="http://schemas.openxmlformats.org/officeDocument/2006/relationships/hyperlink" Target="http://www.sec.gov/Archives/edgar/data/889609/000088960909000053/cpsslongterm2006non.htm" TargetMode="External"/><Relationship Id="rId102" Type="http://schemas.openxmlformats.org/officeDocument/2006/relationships/hyperlink" Target="http://www.sec.gov/Archives/edgar/data/889609/000101968708003496/cps_ex10-23.txt" TargetMode="External"/><Relationship Id="rId103" Type="http://schemas.openxmlformats.org/officeDocument/2006/relationships/hyperlink" Target="http://www.sec.gov/Archives/edgar/data/889609/000101968706000537/cps_10kex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2019-12-28T14:20:55Z</dcterms:created>
  <dcterms:modified xsi:type="dcterms:W3CDTF">2019-12-28T14:20:55Z</dcterms:modified>
</cp:coreProperties>
</file>