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4_edei--DocumentType_c20260722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E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2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3_edei--EntityFileNumber_c20260722"/>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9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C_edei--EntityAddressAddressLine1_"/>
            <w:bookmarkEnd w:id="8"/>
            <w:r>
              <w:rPr>
                <w:sz w:val="20"/>
              </w:rPr>
              <w:t xml:space="preserve">3800 Howard Hughes Pkwy, </w:t>
            </w:r>
            <w:bookmarkStart w:id="9" w:name="xdx_902_edei--EntityAddressAddressLine2_"/>
            <w:bookmarkEnd w:id="9"/>
            <w:r>
              <w:rPr>
                <w:sz w:val="20"/>
              </w:rPr>
              <w:t xml:space="preserve">Suite 1400, </w:t>
            </w:r>
            <w:bookmarkStart w:id="10" w:name="xdx_90B_edei--EntityAddressCityOrTown_c2"/>
            <w:bookmarkEnd w:id="10"/>
            <w:r>
              <w:rPr>
                <w:sz w:val="20"/>
              </w:rPr>
              <w:t xml:space="preserve">Las Vegas, </w:t>
            </w:r>
            <w:bookmarkStart w:id="11" w:name="xdx_90C_edei--EntityAddressStateOrProvin"/>
            <w:bookmarkEnd w:id="11"/>
            <w:r>
              <w:rPr>
                <w:sz w:val="20"/>
              </w:rPr>
              <w:t xml:space="preserve">NV </w:t>
            </w:r>
            <w:bookmarkStart w:id="12" w:name="xdx_903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1_edei--CityAreaCode_c20260722__20"/>
      <w:bookmarkEnd w:id="13"/>
      <w:r>
        <w:rPr>
          <w:rFonts w:ascii="Times New Roman;Times;Serif" w:hAnsi="Times New Roman;Times;Serif"/>
          <w:b w:val="false"/>
          <w:i w:val="false"/>
          <w:caps w:val="false"/>
          <w:smallCaps w:val="false"/>
          <w:sz w:val="20"/>
        </w:rPr>
        <w:t xml:space="preserve">949) </w:t>
      </w:r>
      <w:bookmarkStart w:id="14" w:name="xdx_905_edei--LocalPhoneNumber_c20260722"/>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B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0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4_edei--SolicitingMaterial_c202607"/>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6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E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1_edei--Security12bTitle_c20260722"/>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F_edei--TradingSymbol_c20260722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2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F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Securitization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registrant Consumer Portfolio Services, Inc. (“CPS”) and its wholly owned subsidiary CPS Receivables Five LLC (“Subsidiary”) entered into a series of agreements under which Subsidiary purchased from CPS, and sold to CPS Auto Receivables Trust 2026-C (the “Trust”), approximately $734.51 million of subprime automotive receivables (the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Securitization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Subsidiary, the Trust and others on July 22, 2026, entered into a series of agreements that, among other things, created long-term obligations that are material to CPS, Subsidiary and the Trust. Under these agreements (i) CPS sold the Receivables to Subsidiary (ii) Subsidiary sold the Receivables to the Trust (iii) the Trust deposited the Receivables with Computershare Trust Company, N.A. (“CTCNA”), as trustee of a grantor trust, receiving in return a certificate of beneficial interest (“CBI”) representing beneficial ownership of the Receivables, (iv) the Trust pledged the CBI to CTCNA as indenture trustee for benefit of the holders of the Notes (as defined below), (v) the Trust issued and sold $716.88 million of asset-backed Notes, in five classes (such Notes collectively, the “Notes”), and (vi) a cash deposit (the “Reserve Account”) in the amount of 1.00% of the aggregate balance of the Receivables was pledged for the benefit of the holders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for the repayment of the Notes consists of the Receivables and the rights to payments relating to the Receivables. CPS will act as the servicer of the Receivables. Credit enhancement for the Notes consists of over-collateralization and the Reserve Account. CTCNA will act as collateral agent and trustee on behalf of the secured parties, and is the backup servicer.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obligations only of the Trust, and not of Subsidiary nor of CPS. Nevertheless, the Notes are properly treated as long-term debt obligations of CPS. The sale and issuance of the Notes, treated as secured financings for accounting and tax purposes, are treated as sales for all other purposes, including legal and bankruptcy purposes. None of the assets of the Trust or Subsidiary are available to pay other creditors of CPS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holds a fixed pool of amortizing assets. The Trust is obligated to pay principal and interest on the Notes on a monthly basis. Interest is payable at fixed rates on the outstanding principal balance of each of the five classes of the Notes, and principal is payable by reference to the aggregate principal balance of the Receivables (adjusted for chargeoffs and prepayments, among other things) and agreed required over-collateralization. The following table sets forth the interest rates and initial principal amounts of the five classes of Notes:</w:t>
      </w:r>
    </w:p>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10" w:type="dxa"/>
        <w:tblLayout w:type="fixed"/>
        <w:tblCellMar>
          <w:top w:w="28" w:type="dxa"/>
          <w:left w:w="28" w:type="dxa"/>
          <w:bottom w:w="28" w:type="dxa"/>
          <w:right w:w="28" w:type="dxa"/>
        </w:tblCellMar>
      </w:tblPr>
      <w:tblGrid>
        <w:gridCol w:w="920"/>
        <w:gridCol w:w="1100"/>
        <w:gridCol w:w="1220"/>
      </w:tblGrid>
      <w:tr>
        <w:trPr/>
        <w:tc>
          <w:tcPr>
            <w:tcW w:w="920" w:type="dxa"/>
            <w:tcBorders>
              <w:top w:val="single" w:sz="8" w:space="0" w:color="BFBFBF"/>
              <w:left w:val="single" w:sz="8" w:space="0" w:color="BFBFBF"/>
              <w:bottom w:val="single" w:sz="8" w:space="0" w:color="BFBFBF"/>
              <w:right w:val="single" w:sz="8" w:space="0" w:color="BFBFBF"/>
            </w:tcBorders>
            <w:vAlign w:val="center"/>
          </w:tcPr>
          <w:p>
            <w:pPr>
              <w:pStyle w:val="TableContents"/>
              <w:bidi w:val="0"/>
              <w:spacing w:before="0" w:after="283"/>
              <w:jc w:val="center"/>
              <w:rPr>
                <w:b/>
                <w:sz w:val="20"/>
              </w:rPr>
            </w:pPr>
            <w:r>
              <w:rPr>
                <w:b/>
                <w:sz w:val="20"/>
              </w:rPr>
              <w:t>Note Class</w:t>
            </w:r>
          </w:p>
        </w:tc>
        <w:tc>
          <w:tcPr>
            <w:tcW w:w="1100"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center"/>
              <w:rPr>
                <w:b/>
                <w:sz w:val="20"/>
              </w:rPr>
            </w:pPr>
            <w:r>
              <w:rPr>
                <w:b/>
                <w:sz w:val="20"/>
              </w:rPr>
              <w:t>Interest Rate</w:t>
            </w:r>
          </w:p>
        </w:tc>
        <w:tc>
          <w:tcPr>
            <w:tcW w:w="1220"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center"/>
              <w:rPr>
                <w:b/>
                <w:sz w:val="20"/>
              </w:rPr>
            </w:pPr>
            <w:r>
              <w:rPr>
                <w:b/>
                <w:sz w:val="20"/>
              </w:rPr>
              <w:t>Amount</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A</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4.52%</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$ 317,300,000</w:t>
            </w:r>
          </w:p>
        </w:tc>
      </w:tr>
      <w:tr>
        <w:trPr/>
        <w:tc>
          <w:tcPr>
            <w:tcW w:w="920" w:type="dxa"/>
            <w:tcBorders>
              <w:left w:val="single" w:sz="8" w:space="0" w:color="BFBFBF"/>
              <w:bottom w:val="single" w:sz="8" w:space="0" w:color="BFBFBF"/>
              <w:right w:val="single" w:sz="8" w:space="0" w:color="BFBFBF"/>
            </w:tcBorders>
            <w:shd w:fill="FFFFFF" w:val="clear"/>
            <w:tcMar>
              <w:top w:w="0" w:type="dxa"/>
            </w:tcMar>
            <w:vAlign w:val="center"/>
          </w:tcPr>
          <w:p>
            <w:pPr>
              <w:pStyle w:val="TableContents"/>
              <w:bidi w:val="0"/>
              <w:spacing w:before="0" w:after="283"/>
              <w:jc w:val="center"/>
              <w:rPr>
                <w:sz w:val="20"/>
              </w:rPr>
            </w:pPr>
            <w:r>
              <w:rPr>
                <w:sz w:val="20"/>
              </w:rPr>
              <w:t>Class B</w:t>
            </w:r>
          </w:p>
        </w:tc>
        <w:tc>
          <w:tcPr>
            <w:tcW w:w="110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4.84%</w:t>
            </w:r>
          </w:p>
        </w:tc>
        <w:tc>
          <w:tcPr>
            <w:tcW w:w="122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$ 99,900,000</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C</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5.05%</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$ 113,110,000</w:t>
            </w:r>
          </w:p>
        </w:tc>
      </w:tr>
      <w:tr>
        <w:trPr/>
        <w:tc>
          <w:tcPr>
            <w:tcW w:w="920" w:type="dxa"/>
            <w:tcBorders>
              <w:left w:val="single" w:sz="8" w:space="0" w:color="BFBFBF"/>
              <w:bottom w:val="single" w:sz="8" w:space="0" w:color="BFBFBF"/>
              <w:right w:val="single" w:sz="8" w:space="0" w:color="BFBFBF"/>
            </w:tcBorders>
            <w:shd w:fill="FFFFFF" w:val="clear"/>
            <w:tcMar>
              <w:top w:w="0" w:type="dxa"/>
            </w:tcMar>
            <w:vAlign w:val="center"/>
          </w:tcPr>
          <w:p>
            <w:pPr>
              <w:pStyle w:val="TableContents"/>
              <w:bidi w:val="0"/>
              <w:spacing w:before="0" w:after="283"/>
              <w:jc w:val="center"/>
              <w:rPr>
                <w:sz w:val="20"/>
              </w:rPr>
            </w:pPr>
            <w:r>
              <w:rPr>
                <w:sz w:val="20"/>
              </w:rPr>
              <w:t>Class D</w:t>
            </w:r>
          </w:p>
        </w:tc>
        <w:tc>
          <w:tcPr>
            <w:tcW w:w="110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5.72%</w:t>
            </w:r>
          </w:p>
        </w:tc>
        <w:tc>
          <w:tcPr>
            <w:tcW w:w="122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$ 81,530,000</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E</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7.65%</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$ 105,040,000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2026-C transaction has initial credit enhancement consisting of a cash deposit equal to 1.00% of the original Receivable pool balance and overcollateralization of 2.40%. The final enhancement level requires accelerated payment of principal on the Notes to reach overcollateralization of the lesser of 7.70% of the original Receivables pool balance, or 19.10% of the then outstanding pool balance, but in no event less than 1.50% of the original receivable pool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were to occur under the agreements, the Trustee would have the right to accelerate the maturity of the Notes, in which event the cash proceeds of the Receivables that otherwise would be released to Subsidiary would instead be directed entirely toward repayment of the Notes. Events of default include such events as failure to make required payments on the Notes, breaches of warranties, representations or covenants under any of the agreements or specified bankruptcy-related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the aggregate outstanding principal balance of the Receivables is less than 10% of the initial aggregate balance of $734.51 million, CPS will have the option to purchase the Trust estate at fair market value, provided that such purchase price is sufficient to cause the Notes to be redeemed and paid in full, and to cause other obligations of the Trust to be met.</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securitization transaction.</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30"/>
        <w:gridCol w:w="4325"/>
      </w:tblGrid>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24,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p>
      <w:pPr>
        <w:pStyle w:val="TextBody"/>
        <w:bidi w:val="0"/>
        <w:spacing w:before="0" w:after="283"/>
        <w:jc w:val="left"/>
        <w:rPr/>
      </w:pPr>
      <w:r>
        <w:rPr/>
        <w:t> </w:t>
      </w:r>
    </w:p>
    <w:tbl>
      <w:tblPr>
        <w:tblW w:w="5735" w:type="dxa"/>
        <w:jc w:val="left"/>
        <w:tblInd w:w="0" w:type="dxa"/>
        <w:tblLayout w:type="fixed"/>
        <w:tblCellMar>
          <w:top w:w="0" w:type="dxa"/>
          <w:left w:w="0" w:type="dxa"/>
          <w:bottom w:w="28" w:type="dxa"/>
          <w:right w:w="0" w:type="dxa"/>
        </w:tblCellMar>
      </w:tblPr>
      <w:tblGrid>
        <w:gridCol w:w="2430"/>
        <w:gridCol w:w="330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3305" w:type="dxa"/>
            <w:tcBorders>
              <w:bottom w:val="single" w:sz="8" w:space="0" w:color="000000"/>
            </w:tcBorders>
            <w:vAlign w:val="center"/>
          </w:tcPr>
          <w:p>
            <w:pPr>
              <w:pStyle w:val="TableContents"/>
              <w:bidi w:val="0"/>
              <w:spacing w:before="0" w:after="283"/>
              <w:jc w:val="right"/>
              <w:rPr>
                <w:b/>
                <w:i/>
                <w:sz w:val="44"/>
              </w:rPr>
            </w:pPr>
            <w:r>
              <w:rPr>
                <w:b/>
                <w:i/>
                <w:sz w:val="44"/>
              </w:rPr>
              <w:t>NEWS RELEASE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CPS Announces $716.88 Million Senior Subordinate Asset-Backed Securitization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Nevada, July 22, 2026, (GlobeNewswire)</w:t>
      </w:r>
      <w:r>
        <w:rPr>
          <w:rFonts w:ascii="Times New Roman;Times;Serif" w:hAnsi="Times New Roman;Times;Serif"/>
          <w:b w:val="false"/>
          <w:i w:val="false"/>
          <w:caps w:val="false"/>
          <w:smallCaps w:val="false"/>
          <w:sz w:val="20"/>
        </w:rPr>
        <w:t xml:space="preserve"> – Consumer Portfolio Services, Inc. (Nasdaq: CPSS) (“CPS” or the “Company”) announced the closing of its third term securitization in 2026 on Wednesday July 22, 2026. This is the largest securitization in the history of the company. The transaction is CPS's 60th senior subordinate securitization since the beginning of 2011 and the 43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consecutive securitization to receive a triple “A” rating from at least two rating agencies on the senior class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transaction, qualified institutional buyers purchased $716.88 million of asset-backed notes secured by $734.51 million in automobile receivables originated by CPS. The sold notes, issued by CPS Auto Receivables Trust 2026-C, consist of five classes. Ratings of the notes were provided by Standard &amp; Poor’s and DBRS Morningstar, and were based on the structure of the transaction, the historical performance of similar receivables and CPS’s experience as a servicer.</w:t>
      </w:r>
    </w:p>
    <w:p>
      <w:pPr>
        <w:pStyle w:val="TextBody"/>
        <w:bidi w:val="0"/>
        <w:spacing w:before="0" w:after="0"/>
        <w:ind w:left="0" w:right="0" w:hanging="0"/>
        <w:jc w:val="both"/>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905"/>
        <w:gridCol w:w="1025"/>
        <w:gridCol w:w="1040"/>
        <w:gridCol w:w="1655"/>
        <w:gridCol w:w="965"/>
        <w:gridCol w:w="1115"/>
        <w:gridCol w:w="1145"/>
      </w:tblGrid>
      <w:tr>
        <w:trPr/>
        <w:tc>
          <w:tcPr>
            <w:tcW w:w="905" w:type="dxa"/>
            <w:tcBorders/>
            <w:vAlign w:val="center"/>
          </w:tcPr>
          <w:p>
            <w:pPr>
              <w:pStyle w:val="TableContents"/>
              <w:bidi w:val="0"/>
              <w:spacing w:before="0" w:after="283"/>
              <w:jc w:val="center"/>
              <w:rPr>
                <w:sz w:val="20"/>
                <w:u w:val="single"/>
              </w:rPr>
            </w:pPr>
            <w:r>
              <w:rPr>
                <w:sz w:val="20"/>
                <w:u w:val="single"/>
              </w:rPr>
              <w:t>Note Class</w:t>
            </w:r>
          </w:p>
        </w:tc>
        <w:tc>
          <w:tcPr>
            <w:tcW w:w="10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Amount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millions)</w:t>
            </w:r>
          </w:p>
        </w:tc>
        <w:tc>
          <w:tcPr>
            <w:tcW w:w="1040" w:type="dxa"/>
            <w:tcBorders/>
            <w:vAlign w:val="center"/>
          </w:tcPr>
          <w:p>
            <w:pPr>
              <w:pStyle w:val="TableContents"/>
              <w:bidi w:val="0"/>
              <w:spacing w:before="0" w:after="283"/>
              <w:jc w:val="center"/>
              <w:rPr>
                <w:sz w:val="20"/>
                <w:u w:val="single"/>
              </w:rPr>
            </w:pPr>
            <w:r>
              <w:rPr>
                <w:sz w:val="20"/>
                <w:u w:val="single"/>
              </w:rPr>
              <w:t>Interest Rate</w:t>
            </w:r>
          </w:p>
        </w:tc>
        <w:tc>
          <w:tcPr>
            <w:tcW w:w="1655" w:type="dxa"/>
            <w:tcBorders/>
            <w:vAlign w:val="center"/>
          </w:tcPr>
          <w:p>
            <w:pPr>
              <w:pStyle w:val="TableContents"/>
              <w:bidi w:val="0"/>
              <w:spacing w:before="0" w:after="283"/>
              <w:jc w:val="center"/>
              <w:rPr>
                <w:sz w:val="20"/>
                <w:u w:val="single"/>
              </w:rPr>
            </w:pPr>
            <w:r>
              <w:rPr>
                <w:sz w:val="20"/>
                <w:u w:val="single"/>
              </w:rPr>
              <w:t>Average Life (years)</w:t>
            </w:r>
          </w:p>
        </w:tc>
        <w:tc>
          <w:tcPr>
            <w:tcW w:w="965" w:type="dxa"/>
            <w:tcBorders/>
            <w:vAlign w:val="center"/>
          </w:tcPr>
          <w:p>
            <w:pPr>
              <w:pStyle w:val="TableContents"/>
              <w:bidi w:val="0"/>
              <w:spacing w:before="0" w:after="283"/>
              <w:jc w:val="center"/>
              <w:rPr>
                <w:sz w:val="20"/>
                <w:u w:val="single"/>
              </w:rPr>
            </w:pPr>
            <w:r>
              <w:rPr>
                <w:sz w:val="20"/>
                <w:u w:val="single"/>
              </w:rPr>
              <w:t>Price</w:t>
            </w:r>
          </w:p>
        </w:tc>
        <w:tc>
          <w:tcPr>
            <w:tcW w:w="11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S&amp;P’s Rating</w:t>
            </w:r>
          </w:p>
        </w:tc>
        <w:tc>
          <w:tcPr>
            <w:tcW w:w="114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DBRS Rating</w:t>
            </w:r>
          </w:p>
        </w:tc>
      </w:tr>
      <w:tr>
        <w:trPr/>
        <w:tc>
          <w:tcPr>
            <w:tcW w:w="905" w:type="dxa"/>
            <w:tcBorders/>
            <w:shd w:fill="EEEEEE" w:val="clear"/>
            <w:vAlign w:val="center"/>
          </w:tcPr>
          <w:p>
            <w:pPr>
              <w:pStyle w:val="TableContents"/>
              <w:bidi w:val="0"/>
              <w:spacing w:before="0" w:after="283"/>
              <w:jc w:val="center"/>
              <w:rPr>
                <w:sz w:val="20"/>
              </w:rPr>
            </w:pPr>
            <w:r>
              <w:rPr>
                <w:sz w:val="20"/>
              </w:rPr>
              <w:t>A</w:t>
            </w:r>
          </w:p>
        </w:tc>
        <w:tc>
          <w:tcPr>
            <w:tcW w:w="1025" w:type="dxa"/>
            <w:tcBorders/>
            <w:shd w:fill="EEEEEE" w:val="clear"/>
            <w:vAlign w:val="center"/>
          </w:tcPr>
          <w:p>
            <w:pPr>
              <w:pStyle w:val="TableContents"/>
              <w:bidi w:val="0"/>
              <w:spacing w:before="0" w:after="283"/>
              <w:jc w:val="center"/>
              <w:rPr>
                <w:sz w:val="20"/>
              </w:rPr>
            </w:pPr>
            <w:r>
              <w:rPr>
                <w:sz w:val="20"/>
              </w:rPr>
              <w:t>$ 317.300</w:t>
            </w:r>
          </w:p>
        </w:tc>
        <w:tc>
          <w:tcPr>
            <w:tcW w:w="1040" w:type="dxa"/>
            <w:tcBorders/>
            <w:shd w:fill="EEEEEE" w:val="clear"/>
            <w:vAlign w:val="center"/>
          </w:tcPr>
          <w:p>
            <w:pPr>
              <w:pStyle w:val="TableContents"/>
              <w:bidi w:val="0"/>
              <w:spacing w:before="0" w:after="283"/>
              <w:jc w:val="center"/>
              <w:rPr>
                <w:sz w:val="20"/>
              </w:rPr>
            </w:pPr>
            <w:r>
              <w:rPr>
                <w:sz w:val="20"/>
              </w:rPr>
              <w:t>4.52%</w:t>
            </w:r>
          </w:p>
        </w:tc>
        <w:tc>
          <w:tcPr>
            <w:tcW w:w="1655" w:type="dxa"/>
            <w:tcBorders/>
            <w:shd w:fill="EEEEEE" w:val="clear"/>
            <w:vAlign w:val="center"/>
          </w:tcPr>
          <w:p>
            <w:pPr>
              <w:pStyle w:val="TableContents"/>
              <w:bidi w:val="0"/>
              <w:spacing w:before="0" w:after="283"/>
              <w:jc w:val="center"/>
              <w:rPr>
                <w:sz w:val="20"/>
              </w:rPr>
            </w:pPr>
            <w:r>
              <w:rPr>
                <w:sz w:val="20"/>
              </w:rPr>
              <w:t>0.65</w:t>
            </w:r>
          </w:p>
        </w:tc>
        <w:tc>
          <w:tcPr>
            <w:tcW w:w="965" w:type="dxa"/>
            <w:tcBorders/>
            <w:shd w:fill="EEEEEE" w:val="clear"/>
            <w:vAlign w:val="center"/>
          </w:tcPr>
          <w:p>
            <w:pPr>
              <w:pStyle w:val="TableContents"/>
              <w:bidi w:val="0"/>
              <w:spacing w:before="0" w:after="283"/>
              <w:jc w:val="center"/>
              <w:rPr>
                <w:sz w:val="20"/>
              </w:rPr>
            </w:pPr>
            <w:r>
              <w:rPr>
                <w:sz w:val="20"/>
              </w:rPr>
              <w:t>99.99748%</w:t>
            </w:r>
          </w:p>
        </w:tc>
        <w:tc>
          <w:tcPr>
            <w:tcW w:w="1115" w:type="dxa"/>
            <w:tcBorders/>
            <w:shd w:fill="EEEEEE" w:val="clear"/>
            <w:vAlign w:val="center"/>
          </w:tcPr>
          <w:p>
            <w:pPr>
              <w:pStyle w:val="TableContents"/>
              <w:bidi w:val="0"/>
              <w:spacing w:before="0" w:after="283"/>
              <w:jc w:val="center"/>
              <w:rPr>
                <w:sz w:val="20"/>
              </w:rPr>
            </w:pPr>
            <w:r>
              <w:rPr>
                <w:sz w:val="20"/>
              </w:rPr>
              <w:t>AAA</w:t>
            </w:r>
          </w:p>
        </w:tc>
        <w:tc>
          <w:tcPr>
            <w:tcW w:w="1145" w:type="dxa"/>
            <w:tcBorders/>
            <w:shd w:fill="EEEEEE" w:val="clear"/>
            <w:vAlign w:val="center"/>
          </w:tcPr>
          <w:p>
            <w:pPr>
              <w:pStyle w:val="TableContents"/>
              <w:bidi w:val="0"/>
              <w:spacing w:before="0" w:after="283"/>
              <w:jc w:val="center"/>
              <w:rPr>
                <w:sz w:val="20"/>
              </w:rPr>
            </w:pPr>
            <w:r>
              <w:rPr>
                <w:sz w:val="20"/>
              </w:rPr>
              <w:t>AAA</w:t>
            </w:r>
          </w:p>
        </w:tc>
      </w:tr>
      <w:tr>
        <w:trPr/>
        <w:tc>
          <w:tcPr>
            <w:tcW w:w="905" w:type="dxa"/>
            <w:tcBorders/>
            <w:shd w:fill="FFFFFF" w:val="clear"/>
            <w:vAlign w:val="center"/>
          </w:tcPr>
          <w:p>
            <w:pPr>
              <w:pStyle w:val="TableContents"/>
              <w:bidi w:val="0"/>
              <w:spacing w:before="0" w:after="283"/>
              <w:jc w:val="center"/>
              <w:rPr>
                <w:sz w:val="20"/>
              </w:rPr>
            </w:pPr>
            <w:r>
              <w:rPr>
                <w:sz w:val="20"/>
              </w:rPr>
              <w:t>B</w:t>
            </w:r>
          </w:p>
        </w:tc>
        <w:tc>
          <w:tcPr>
            <w:tcW w:w="1025" w:type="dxa"/>
            <w:tcBorders/>
            <w:shd w:fill="FFFFFF" w:val="clear"/>
            <w:vAlign w:val="center"/>
          </w:tcPr>
          <w:p>
            <w:pPr>
              <w:pStyle w:val="TableContents"/>
              <w:bidi w:val="0"/>
              <w:spacing w:before="0" w:after="283"/>
              <w:jc w:val="center"/>
              <w:rPr>
                <w:sz w:val="20"/>
              </w:rPr>
            </w:pPr>
            <w:r>
              <w:rPr>
                <w:sz w:val="20"/>
              </w:rPr>
              <w:t>$ 99.900</w:t>
            </w:r>
          </w:p>
        </w:tc>
        <w:tc>
          <w:tcPr>
            <w:tcW w:w="1040" w:type="dxa"/>
            <w:tcBorders/>
            <w:shd w:fill="FFFFFF" w:val="clear"/>
            <w:vAlign w:val="center"/>
          </w:tcPr>
          <w:p>
            <w:pPr>
              <w:pStyle w:val="TableContents"/>
              <w:bidi w:val="0"/>
              <w:spacing w:before="0" w:after="283"/>
              <w:jc w:val="center"/>
              <w:rPr>
                <w:sz w:val="20"/>
              </w:rPr>
            </w:pPr>
            <w:r>
              <w:rPr>
                <w:sz w:val="20"/>
              </w:rPr>
              <w:t>4.84%</w:t>
            </w:r>
          </w:p>
        </w:tc>
        <w:tc>
          <w:tcPr>
            <w:tcW w:w="1655" w:type="dxa"/>
            <w:tcBorders/>
            <w:shd w:fill="FFFFFF" w:val="clear"/>
            <w:vAlign w:val="center"/>
          </w:tcPr>
          <w:p>
            <w:pPr>
              <w:pStyle w:val="TableContents"/>
              <w:bidi w:val="0"/>
              <w:spacing w:before="0" w:after="283"/>
              <w:jc w:val="center"/>
              <w:rPr>
                <w:sz w:val="20"/>
              </w:rPr>
            </w:pPr>
            <w:r>
              <w:rPr>
                <w:sz w:val="20"/>
              </w:rPr>
              <w:t>1.72</w:t>
            </w:r>
          </w:p>
        </w:tc>
        <w:tc>
          <w:tcPr>
            <w:tcW w:w="965" w:type="dxa"/>
            <w:tcBorders/>
            <w:shd w:fill="FFFFFF" w:val="clear"/>
            <w:vAlign w:val="center"/>
          </w:tcPr>
          <w:p>
            <w:pPr>
              <w:pStyle w:val="TableContents"/>
              <w:bidi w:val="0"/>
              <w:spacing w:before="0" w:after="283"/>
              <w:jc w:val="center"/>
              <w:rPr>
                <w:sz w:val="20"/>
              </w:rPr>
            </w:pPr>
            <w:r>
              <w:rPr>
                <w:sz w:val="20"/>
              </w:rPr>
              <w:t>99.99220%</w:t>
            </w:r>
          </w:p>
        </w:tc>
        <w:tc>
          <w:tcPr>
            <w:tcW w:w="1115" w:type="dxa"/>
            <w:tcBorders/>
            <w:shd w:fill="FFFFFF" w:val="clear"/>
            <w:vAlign w:val="center"/>
          </w:tcPr>
          <w:p>
            <w:pPr>
              <w:pStyle w:val="TableContents"/>
              <w:bidi w:val="0"/>
              <w:spacing w:before="0" w:after="283"/>
              <w:jc w:val="center"/>
              <w:rPr>
                <w:sz w:val="20"/>
              </w:rPr>
            </w:pPr>
            <w:r>
              <w:rPr>
                <w:sz w:val="20"/>
              </w:rPr>
              <w:t>AA</w:t>
            </w:r>
          </w:p>
        </w:tc>
        <w:tc>
          <w:tcPr>
            <w:tcW w:w="1145" w:type="dxa"/>
            <w:tcBorders/>
            <w:shd w:fill="FFFFFF" w:val="clear"/>
            <w:vAlign w:val="center"/>
          </w:tcPr>
          <w:p>
            <w:pPr>
              <w:pStyle w:val="TableContents"/>
              <w:bidi w:val="0"/>
              <w:spacing w:before="0" w:after="283"/>
              <w:jc w:val="center"/>
              <w:rPr>
                <w:sz w:val="20"/>
              </w:rPr>
            </w:pPr>
            <w:r>
              <w:rPr>
                <w:sz w:val="20"/>
              </w:rPr>
              <w:t>AA</w:t>
            </w:r>
          </w:p>
        </w:tc>
      </w:tr>
      <w:tr>
        <w:trPr/>
        <w:tc>
          <w:tcPr>
            <w:tcW w:w="905" w:type="dxa"/>
            <w:tcBorders/>
            <w:shd w:fill="EEEEEE" w:val="clear"/>
            <w:vAlign w:val="center"/>
          </w:tcPr>
          <w:p>
            <w:pPr>
              <w:pStyle w:val="TableContents"/>
              <w:bidi w:val="0"/>
              <w:spacing w:before="0" w:after="283"/>
              <w:jc w:val="center"/>
              <w:rPr>
                <w:sz w:val="20"/>
              </w:rPr>
            </w:pPr>
            <w:r>
              <w:rPr>
                <w:sz w:val="20"/>
              </w:rPr>
              <w:t>C</w:t>
            </w:r>
          </w:p>
        </w:tc>
        <w:tc>
          <w:tcPr>
            <w:tcW w:w="1025" w:type="dxa"/>
            <w:tcBorders/>
            <w:shd w:fill="EEEEEE" w:val="clear"/>
            <w:vAlign w:val="center"/>
          </w:tcPr>
          <w:p>
            <w:pPr>
              <w:pStyle w:val="TableContents"/>
              <w:bidi w:val="0"/>
              <w:spacing w:before="0" w:after="283"/>
              <w:jc w:val="center"/>
              <w:rPr>
                <w:sz w:val="20"/>
              </w:rPr>
            </w:pPr>
            <w:r>
              <w:rPr>
                <w:sz w:val="20"/>
              </w:rPr>
              <w:t>$ 113.110</w:t>
            </w:r>
          </w:p>
        </w:tc>
        <w:tc>
          <w:tcPr>
            <w:tcW w:w="1040" w:type="dxa"/>
            <w:tcBorders/>
            <w:shd w:fill="EEEEEE" w:val="clear"/>
            <w:vAlign w:val="center"/>
          </w:tcPr>
          <w:p>
            <w:pPr>
              <w:pStyle w:val="TableContents"/>
              <w:bidi w:val="0"/>
              <w:spacing w:before="0" w:after="283"/>
              <w:jc w:val="center"/>
              <w:rPr>
                <w:sz w:val="20"/>
              </w:rPr>
            </w:pPr>
            <w:r>
              <w:rPr>
                <w:sz w:val="20"/>
              </w:rPr>
              <w:t>5.05%</w:t>
            </w:r>
          </w:p>
        </w:tc>
        <w:tc>
          <w:tcPr>
            <w:tcW w:w="1655" w:type="dxa"/>
            <w:tcBorders/>
            <w:shd w:fill="EEEEEE" w:val="clear"/>
            <w:vAlign w:val="center"/>
          </w:tcPr>
          <w:p>
            <w:pPr>
              <w:pStyle w:val="TableContents"/>
              <w:bidi w:val="0"/>
              <w:spacing w:before="0" w:after="283"/>
              <w:jc w:val="center"/>
              <w:rPr>
                <w:sz w:val="20"/>
              </w:rPr>
            </w:pPr>
            <w:r>
              <w:rPr>
                <w:sz w:val="20"/>
              </w:rPr>
              <w:t>2.39</w:t>
            </w:r>
          </w:p>
        </w:tc>
        <w:tc>
          <w:tcPr>
            <w:tcW w:w="965" w:type="dxa"/>
            <w:tcBorders/>
            <w:shd w:fill="EEEEEE" w:val="clear"/>
            <w:vAlign w:val="center"/>
          </w:tcPr>
          <w:p>
            <w:pPr>
              <w:pStyle w:val="TableContents"/>
              <w:bidi w:val="0"/>
              <w:spacing w:before="0" w:after="283"/>
              <w:jc w:val="center"/>
              <w:rPr>
                <w:sz w:val="20"/>
              </w:rPr>
            </w:pPr>
            <w:r>
              <w:rPr>
                <w:sz w:val="20"/>
              </w:rPr>
              <w:t>99.98790%</w:t>
            </w:r>
          </w:p>
        </w:tc>
        <w:tc>
          <w:tcPr>
            <w:tcW w:w="1115" w:type="dxa"/>
            <w:tcBorders/>
            <w:shd w:fill="EEEEEE" w:val="clear"/>
            <w:vAlign w:val="center"/>
          </w:tcPr>
          <w:p>
            <w:pPr>
              <w:pStyle w:val="TableContents"/>
              <w:bidi w:val="0"/>
              <w:spacing w:before="0" w:after="283"/>
              <w:jc w:val="center"/>
              <w:rPr>
                <w:sz w:val="20"/>
              </w:rPr>
            </w:pPr>
            <w:r>
              <w:rPr>
                <w:sz w:val="20"/>
              </w:rPr>
              <w:t>A</w:t>
            </w:r>
          </w:p>
        </w:tc>
        <w:tc>
          <w:tcPr>
            <w:tcW w:w="1145" w:type="dxa"/>
            <w:tcBorders/>
            <w:shd w:fill="EEEEEE" w:val="clear"/>
            <w:vAlign w:val="center"/>
          </w:tcPr>
          <w:p>
            <w:pPr>
              <w:pStyle w:val="TableContents"/>
              <w:bidi w:val="0"/>
              <w:spacing w:before="0" w:after="283"/>
              <w:jc w:val="center"/>
              <w:rPr>
                <w:sz w:val="20"/>
              </w:rPr>
            </w:pPr>
            <w:r>
              <w:rPr>
                <w:sz w:val="20"/>
              </w:rPr>
              <w:t>A</w:t>
            </w:r>
          </w:p>
        </w:tc>
      </w:tr>
      <w:tr>
        <w:trPr/>
        <w:tc>
          <w:tcPr>
            <w:tcW w:w="905" w:type="dxa"/>
            <w:tcBorders/>
            <w:shd w:fill="FFFFFF" w:val="clear"/>
            <w:vAlign w:val="center"/>
          </w:tcPr>
          <w:p>
            <w:pPr>
              <w:pStyle w:val="TableContents"/>
              <w:bidi w:val="0"/>
              <w:spacing w:before="0" w:after="283"/>
              <w:jc w:val="center"/>
              <w:rPr>
                <w:sz w:val="20"/>
              </w:rPr>
            </w:pPr>
            <w:r>
              <w:rPr>
                <w:sz w:val="20"/>
              </w:rPr>
              <w:t>D</w:t>
            </w:r>
          </w:p>
        </w:tc>
        <w:tc>
          <w:tcPr>
            <w:tcW w:w="1025" w:type="dxa"/>
            <w:tcBorders/>
            <w:shd w:fill="FFFFFF" w:val="clear"/>
            <w:vAlign w:val="center"/>
          </w:tcPr>
          <w:p>
            <w:pPr>
              <w:pStyle w:val="TableContents"/>
              <w:bidi w:val="0"/>
              <w:spacing w:before="0" w:after="283"/>
              <w:jc w:val="center"/>
              <w:rPr>
                <w:sz w:val="20"/>
              </w:rPr>
            </w:pPr>
            <w:r>
              <w:rPr>
                <w:sz w:val="20"/>
              </w:rPr>
              <w:t>$ 81.530</w:t>
            </w:r>
          </w:p>
        </w:tc>
        <w:tc>
          <w:tcPr>
            <w:tcW w:w="1040" w:type="dxa"/>
            <w:tcBorders/>
            <w:shd w:fill="FFFFFF" w:val="clear"/>
            <w:vAlign w:val="center"/>
          </w:tcPr>
          <w:p>
            <w:pPr>
              <w:pStyle w:val="TableContents"/>
              <w:bidi w:val="0"/>
              <w:spacing w:before="0" w:after="283"/>
              <w:jc w:val="center"/>
              <w:rPr>
                <w:sz w:val="20"/>
              </w:rPr>
            </w:pPr>
            <w:r>
              <w:rPr>
                <w:sz w:val="20"/>
              </w:rPr>
              <w:t>5.72%</w:t>
            </w:r>
          </w:p>
        </w:tc>
        <w:tc>
          <w:tcPr>
            <w:tcW w:w="1655" w:type="dxa"/>
            <w:tcBorders/>
            <w:shd w:fill="FFFFFF" w:val="clear"/>
            <w:vAlign w:val="center"/>
          </w:tcPr>
          <w:p>
            <w:pPr>
              <w:pStyle w:val="TableContents"/>
              <w:bidi w:val="0"/>
              <w:spacing w:before="0" w:after="283"/>
              <w:jc w:val="center"/>
              <w:rPr>
                <w:sz w:val="20"/>
              </w:rPr>
            </w:pPr>
            <w:r>
              <w:rPr>
                <w:sz w:val="20"/>
              </w:rPr>
              <w:t>3.21</w:t>
            </w:r>
          </w:p>
        </w:tc>
        <w:tc>
          <w:tcPr>
            <w:tcW w:w="965" w:type="dxa"/>
            <w:tcBorders/>
            <w:shd w:fill="FFFFFF" w:val="clear"/>
            <w:vAlign w:val="center"/>
          </w:tcPr>
          <w:p>
            <w:pPr>
              <w:pStyle w:val="TableContents"/>
              <w:bidi w:val="0"/>
              <w:spacing w:before="0" w:after="283"/>
              <w:jc w:val="center"/>
              <w:rPr>
                <w:sz w:val="20"/>
              </w:rPr>
            </w:pPr>
            <w:r>
              <w:rPr>
                <w:sz w:val="20"/>
              </w:rPr>
              <w:t>99.97623%</w:t>
            </w:r>
          </w:p>
        </w:tc>
        <w:tc>
          <w:tcPr>
            <w:tcW w:w="1115" w:type="dxa"/>
            <w:tcBorders/>
            <w:shd w:fill="FFFFFF" w:val="clear"/>
            <w:vAlign w:val="center"/>
          </w:tcPr>
          <w:p>
            <w:pPr>
              <w:pStyle w:val="TableContents"/>
              <w:bidi w:val="0"/>
              <w:spacing w:before="0" w:after="283"/>
              <w:jc w:val="center"/>
              <w:rPr>
                <w:sz w:val="20"/>
              </w:rPr>
            </w:pPr>
            <w:r>
              <w:rPr>
                <w:sz w:val="20"/>
              </w:rPr>
              <w:t>BBB</w:t>
            </w:r>
          </w:p>
        </w:tc>
        <w:tc>
          <w:tcPr>
            <w:tcW w:w="1145" w:type="dxa"/>
            <w:tcBorders/>
            <w:shd w:fill="FFFFFF" w:val="clear"/>
            <w:vAlign w:val="center"/>
          </w:tcPr>
          <w:p>
            <w:pPr>
              <w:pStyle w:val="TableContents"/>
              <w:bidi w:val="0"/>
              <w:spacing w:before="0" w:after="283"/>
              <w:jc w:val="center"/>
              <w:rPr>
                <w:sz w:val="20"/>
              </w:rPr>
            </w:pPr>
            <w:r>
              <w:rPr>
                <w:sz w:val="20"/>
              </w:rPr>
              <w:t>BBB</w:t>
            </w:r>
          </w:p>
        </w:tc>
      </w:tr>
      <w:tr>
        <w:trPr/>
        <w:tc>
          <w:tcPr>
            <w:tcW w:w="905" w:type="dxa"/>
            <w:tcBorders/>
            <w:shd w:fill="EEEEEE" w:val="clear"/>
            <w:vAlign w:val="center"/>
          </w:tcPr>
          <w:p>
            <w:pPr>
              <w:pStyle w:val="TableContents"/>
              <w:bidi w:val="0"/>
              <w:spacing w:before="0" w:after="283"/>
              <w:jc w:val="center"/>
              <w:rPr>
                <w:sz w:val="20"/>
              </w:rPr>
            </w:pPr>
            <w:r>
              <w:rPr>
                <w:sz w:val="20"/>
              </w:rPr>
              <w:t>E</w:t>
            </w:r>
          </w:p>
        </w:tc>
        <w:tc>
          <w:tcPr>
            <w:tcW w:w="1025" w:type="dxa"/>
            <w:tcBorders/>
            <w:shd w:fill="EEEEEE" w:val="clear"/>
            <w:vAlign w:val="center"/>
          </w:tcPr>
          <w:p>
            <w:pPr>
              <w:pStyle w:val="TableContents"/>
              <w:bidi w:val="0"/>
              <w:spacing w:before="0" w:after="283"/>
              <w:jc w:val="center"/>
              <w:rPr>
                <w:sz w:val="20"/>
              </w:rPr>
            </w:pPr>
            <w:r>
              <w:rPr>
                <w:sz w:val="20"/>
              </w:rPr>
              <w:t>$ 105.040</w:t>
            </w:r>
          </w:p>
        </w:tc>
        <w:tc>
          <w:tcPr>
            <w:tcW w:w="1040" w:type="dxa"/>
            <w:tcBorders/>
            <w:shd w:fill="EEEEEE" w:val="clear"/>
            <w:vAlign w:val="center"/>
          </w:tcPr>
          <w:p>
            <w:pPr>
              <w:pStyle w:val="TableContents"/>
              <w:bidi w:val="0"/>
              <w:spacing w:before="0" w:after="283"/>
              <w:jc w:val="center"/>
              <w:rPr>
                <w:sz w:val="20"/>
              </w:rPr>
            </w:pPr>
            <w:r>
              <w:rPr>
                <w:sz w:val="20"/>
              </w:rPr>
              <w:t>7.65%</w:t>
            </w:r>
          </w:p>
        </w:tc>
        <w:tc>
          <w:tcPr>
            <w:tcW w:w="1655" w:type="dxa"/>
            <w:tcBorders/>
            <w:shd w:fill="EEEEEE" w:val="clear"/>
            <w:vAlign w:val="center"/>
          </w:tcPr>
          <w:p>
            <w:pPr>
              <w:pStyle w:val="TableContents"/>
              <w:bidi w:val="0"/>
              <w:spacing w:before="0" w:after="283"/>
              <w:jc w:val="center"/>
              <w:rPr>
                <w:sz w:val="20"/>
              </w:rPr>
            </w:pPr>
            <w:r>
              <w:rPr>
                <w:sz w:val="20"/>
              </w:rPr>
              <w:t>4.03</w:t>
            </w:r>
          </w:p>
        </w:tc>
        <w:tc>
          <w:tcPr>
            <w:tcW w:w="965" w:type="dxa"/>
            <w:tcBorders/>
            <w:shd w:fill="EEEEEE" w:val="clear"/>
            <w:vAlign w:val="center"/>
          </w:tcPr>
          <w:p>
            <w:pPr>
              <w:pStyle w:val="TableContents"/>
              <w:bidi w:val="0"/>
              <w:spacing w:before="0" w:after="283"/>
              <w:jc w:val="center"/>
              <w:rPr>
                <w:sz w:val="20"/>
              </w:rPr>
            </w:pPr>
            <w:r>
              <w:rPr>
                <w:sz w:val="20"/>
              </w:rPr>
              <w:t>99.98014%</w:t>
            </w:r>
          </w:p>
        </w:tc>
        <w:tc>
          <w:tcPr>
            <w:tcW w:w="1115" w:type="dxa"/>
            <w:tcBorders/>
            <w:shd w:fill="EEEEEE" w:val="clear"/>
            <w:vAlign w:val="center"/>
          </w:tcPr>
          <w:p>
            <w:pPr>
              <w:pStyle w:val="TableContents"/>
              <w:bidi w:val="0"/>
              <w:spacing w:before="0" w:after="283"/>
              <w:jc w:val="center"/>
              <w:rPr>
                <w:sz w:val="20"/>
              </w:rPr>
            </w:pPr>
            <w:r>
              <w:rPr>
                <w:sz w:val="20"/>
              </w:rPr>
              <w:t>NR</w:t>
            </w:r>
          </w:p>
        </w:tc>
        <w:tc>
          <w:tcPr>
            <w:tcW w:w="1145" w:type="dxa"/>
            <w:tcBorders/>
            <w:shd w:fill="EEEEEE" w:val="clear"/>
            <w:vAlign w:val="center"/>
          </w:tcPr>
          <w:p>
            <w:pPr>
              <w:pStyle w:val="TableContents"/>
              <w:bidi w:val="0"/>
              <w:spacing w:before="0" w:after="283"/>
              <w:jc w:val="center"/>
              <w:rPr>
                <w:sz w:val="20"/>
              </w:rPr>
            </w:pPr>
            <w:r>
              <w:rPr>
                <w:sz w:val="20"/>
              </w:rPr>
              <w:t>BB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coupon on the notes is approximately 5.90%.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2026-C transaction has initial credit enhancement consisting of a cash deposit equal to 1.00% of the original receivable pool balance and overcollateralization of 2.40%. The transaction agreements require accelerated payment of principal on the notes to reach overcollateralization of the lesser of 7.70% of the original receivable pool balance, or 19.10% of the then outstanding pool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 private offering of securities, not registered under the Securities Act of 1933, or any state securities law. All such securities having been sold, this announcement of their sale appears as a matter of record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1573</Words>
  <Characters>8596</Characters>
  <CharactersWithSpaces>10165</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