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41" w:lineRule="exact"/>
        <w:rPr>
          <w:sz w:val="24"/>
          <w:szCs w:val="24"/>
          <w:color w:val="auto"/>
        </w:rPr>
      </w:pPr>
    </w:p>
    <w:p>
      <w:pPr>
        <w:ind w:left="3660" w:right="1500" w:hanging="3652"/>
        <w:spacing w:after="0" w:line="286" w:lineRule="auto"/>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quarterly period ended September 30, 2024</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001-11416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CONSUMER PORTFOLIO SERVICES,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8"/>
              </w:rPr>
              <w:t>California</w:t>
            </w:r>
          </w:p>
        </w:tc>
        <w:tc>
          <w:tcPr>
            <w:tcW w:w="36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33-0459135</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3800 Howard Hughes Parkway, Suite 1400,</w:t>
            </w:r>
          </w:p>
        </w:tc>
        <w:tc>
          <w:tcPr>
            <w:tcW w:w="3600" w:type="dxa"/>
            <w:vAlign w:val="bottom"/>
          </w:tcPr>
          <w:p>
            <w:pPr>
              <w:spacing w:after="0"/>
              <w:rPr>
                <w:sz w:val="24"/>
                <w:szCs w:val="24"/>
                <w:color w:val="auto"/>
              </w:rPr>
            </w:pPr>
          </w:p>
        </w:tc>
      </w:tr>
      <w:tr>
        <w:trPr>
          <w:trHeight w:val="216"/>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Las Vegas, Nevada</w:t>
            </w:r>
          </w:p>
        </w:tc>
        <w:tc>
          <w:tcPr>
            <w:tcW w:w="36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89169</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753-6800</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 N/A</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1"/>
        </w:trPr>
        <w:tc>
          <w:tcPr>
            <w:tcW w:w="15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160" w:type="dxa"/>
            <w:vAlign w:val="bottom"/>
          </w:tcPr>
          <w:p>
            <w:pPr>
              <w:spacing w:after="0"/>
              <w:rPr>
                <w:sz w:val="24"/>
                <w:szCs w:val="24"/>
                <w:color w:val="auto"/>
              </w:rPr>
            </w:pPr>
          </w:p>
        </w:tc>
      </w:tr>
      <w:tr>
        <w:trPr>
          <w:trHeight w:val="237"/>
        </w:trPr>
        <w:tc>
          <w:tcPr>
            <w:tcW w:w="46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440" w:type="dxa"/>
            <w:vAlign w:val="bottom"/>
          </w:tcPr>
          <w:p>
            <w:pPr>
              <w:spacing w:after="0"/>
              <w:rPr>
                <w:sz w:val="20"/>
                <w:szCs w:val="20"/>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CPSS</w:t>
            </w:r>
          </w:p>
        </w:tc>
        <w:tc>
          <w:tcPr>
            <w:tcW w:w="41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The NASDAQ Stock Market LLC (Global Market)</w:t>
            </w:r>
          </w:p>
        </w:tc>
      </w:tr>
    </w:tbl>
    <w:p>
      <w:pPr>
        <w:spacing w:after="0" w:line="198"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121" w:lineRule="exact"/>
        <w:rPr>
          <w:sz w:val="24"/>
          <w:szCs w:val="24"/>
          <w:color w:val="auto"/>
        </w:rPr>
      </w:pPr>
    </w:p>
    <w:p>
      <w:pPr>
        <w:jc w:val="center"/>
        <w:spacing w:after="0" w:line="207" w:lineRule="exact"/>
        <w:tabs>
          <w:tab w:leader="none" w:pos="200" w:val="left"/>
          <w:tab w:leader="none" w:pos="160" w:val="left"/>
          <w:tab w:leader="none" w:pos="220" w:val="left"/>
          <w:tab w:leader="none" w:pos="2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2024 the registrant had 21,405,198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INDEX TO FORM 10-Q</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3500" w:type="dxa"/>
            <w:vAlign w:val="bottom"/>
            <w:gridSpan w:val="7"/>
            <w:vMerge w:val="restart"/>
          </w:tcPr>
          <w:p>
            <w:pPr>
              <w:spacing w:after="0"/>
              <w:rPr>
                <w:sz w:val="17"/>
                <w:szCs w:val="17"/>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60" w:type="dxa"/>
            <w:vAlign w:val="bottom"/>
            <w:tcBorders>
              <w:bottom w:val="single" w:sz="8" w:color="0000EE"/>
            </w:tcBorders>
            <w:gridSpan w:val="5"/>
            <w:vMerge w:val="continue"/>
          </w:tcPr>
          <w:p>
            <w:pPr>
              <w:spacing w:after="0"/>
              <w:rPr>
                <w:sz w:val="17"/>
                <w:szCs w:val="17"/>
                <w:color w:val="auto"/>
              </w:rPr>
            </w:pPr>
          </w:p>
        </w:tc>
        <w:tc>
          <w:tcPr>
            <w:tcW w:w="3500" w:type="dxa"/>
            <w:vAlign w:val="bottom"/>
            <w:gridSpan w:val="7"/>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EE"/>
            </w:tcBorders>
            <w:gridSpan w:val="7"/>
          </w:tcPr>
          <w:p>
            <w:pPr>
              <w:ind w:left="20"/>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7900" w:type="dxa"/>
            <w:vAlign w:val="bottom"/>
            <w:gridSpan w:val="15"/>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42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Balance Sheets as of September 30, 2024 and December 31, 2023</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42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for the three-month and nine-month periods ended September</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30, 2024 and 2023</w:t>
            </w:r>
          </w:p>
        </w:tc>
        <w:tc>
          <w:tcPr>
            <w:tcW w:w="7580" w:type="dxa"/>
            <w:vAlign w:val="bottom"/>
            <w:tcBorders>
              <w:top w:val="single" w:sz="8" w:color="0000EE"/>
            </w:tcBorders>
            <w:gridSpan w:val="13"/>
          </w:tcPr>
          <w:p>
            <w:pPr>
              <w:spacing w:after="0"/>
              <w:rPr>
                <w:sz w:val="17"/>
                <w:szCs w:val="17"/>
                <w:color w:val="auto"/>
              </w:rPr>
            </w:pPr>
          </w:p>
        </w:tc>
        <w:tc>
          <w:tcPr>
            <w:tcW w:w="480" w:type="dxa"/>
            <w:vAlign w:val="bottom"/>
            <w:gridSpan w:val="3"/>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060" w:type="dxa"/>
            <w:vAlign w:val="bottom"/>
            <w:tcBorders>
              <w:bottom w:val="single" w:sz="8" w:color="0000EE"/>
            </w:tcBorders>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Comprehensive Income for the three-month and nine-month periods ended</w:t>
            </w:r>
          </w:p>
        </w:tc>
        <w:tc>
          <w:tcPr>
            <w:tcW w:w="3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42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September 30, 2024 and 2023</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160" w:type="dxa"/>
            <w:vAlign w:val="bottom"/>
            <w:tcBorders>
              <w:bottom w:val="single" w:sz="8" w:color="0000EE"/>
            </w:tcBorders>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Cash Flows for the nine-month periods ended September 30, 2024 and 2023</w:t>
            </w:r>
          </w:p>
        </w:tc>
        <w:tc>
          <w:tcPr>
            <w:tcW w:w="260" w:type="dxa"/>
            <w:vAlign w:val="bottom"/>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42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Shareholders’ Equity for the three-month and nine-month periods ended</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860" w:type="dxa"/>
            <w:vAlign w:val="bottom"/>
            <w:tcBorders>
              <w:top w:val="single" w:sz="8" w:color="0000EE"/>
            </w:tcBorders>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EE"/>
              </w:rPr>
              <w:t>September 30, 2024 and 2023</w:t>
            </w:r>
          </w:p>
        </w:tc>
        <w:tc>
          <w:tcPr>
            <w:tcW w:w="560" w:type="dxa"/>
            <w:vAlign w:val="bottom"/>
            <w:gridSpan w:val="4"/>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4800" w:type="dxa"/>
            <w:vAlign w:val="bottom"/>
            <w:tcBorders>
              <w:bottom w:val="single" w:sz="8" w:color="0000EE"/>
            </w:tcBorders>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4620" w:type="dxa"/>
            <w:vAlign w:val="bottom"/>
            <w:gridSpan w:val="9"/>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6460" w:type="dxa"/>
            <w:vAlign w:val="bottom"/>
            <w:tcBorders>
              <w:top w:val="single" w:sz="8" w:color="0000EE"/>
            </w:tcBorders>
            <w:gridSpan w:val="16"/>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2960" w:type="dxa"/>
            <w:vAlign w:val="bottom"/>
            <w:gridSpan w:val="6"/>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20" w:type="dxa"/>
            <w:vAlign w:val="bottom"/>
            <w:gridSpan w:val="11"/>
          </w:tcPr>
          <w:p>
            <w:pPr>
              <w:jc w:val="center"/>
              <w:ind w:right="3660"/>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EE"/>
              </w:rPr>
              <w:t>Legal Proceedings</w:t>
            </w:r>
          </w:p>
        </w:tc>
        <w:tc>
          <w:tcPr>
            <w:tcW w:w="2760" w:type="dxa"/>
            <w:vAlign w:val="bottom"/>
            <w:tcBorders>
              <w:top w:val="single" w:sz="8" w:color="0000EE"/>
            </w:tcBorders>
            <w:gridSpan w:val="3"/>
          </w:tcPr>
          <w:p>
            <w:pPr>
              <w:spacing w:after="0"/>
              <w:rPr>
                <w:sz w:val="24"/>
                <w:szCs w:val="24"/>
                <w:color w:val="auto"/>
              </w:rPr>
            </w:pPr>
          </w:p>
        </w:tc>
        <w:tc>
          <w:tcPr>
            <w:tcW w:w="3660" w:type="dxa"/>
            <w:vAlign w:val="bottom"/>
            <w:gridSpan w:val="8"/>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17"/>
                <w:szCs w:val="17"/>
                <w:color w:val="auto"/>
              </w:rPr>
            </w:pPr>
          </w:p>
        </w:tc>
        <w:tc>
          <w:tcPr>
            <w:tcW w:w="8080" w:type="dxa"/>
            <w:vAlign w:val="bottom"/>
            <w:gridSpan w:val="17"/>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060" w:type="dxa"/>
            <w:vAlign w:val="bottom"/>
            <w:gridSpan w:val="10"/>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42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100" w:type="dxa"/>
            <w:vAlign w:val="bottom"/>
            <w:gridSpan w:val="18"/>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60" w:type="dxa"/>
            <w:vAlign w:val="bottom"/>
            <w:gridSpan w:val="2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42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792" w:right="5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360" w:type="dxa"/>
            <w:vAlign w:val="bottom"/>
            <w:tcBorders>
              <w:bottom w:val="single" w:sz="8" w:color="EEEEEE"/>
            </w:tcBorders>
          </w:tcPr>
          <w:p>
            <w:pPr>
              <w:spacing w:after="0"/>
              <w:rPr>
                <w:sz w:val="20"/>
                <w:szCs w:val="20"/>
                <w:color w:val="auto"/>
              </w:rPr>
            </w:pPr>
          </w:p>
        </w:tc>
        <w:tc>
          <w:tcPr>
            <w:tcW w:w="230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EEEEEE"/>
            </w:tcBorders>
          </w:tcPr>
          <w:p>
            <w:pPr>
              <w:spacing w:after="0"/>
              <w:rPr>
                <w:sz w:val="20"/>
                <w:szCs w:val="20"/>
                <w:color w:val="auto"/>
              </w:rPr>
            </w:pPr>
          </w:p>
        </w:tc>
      </w:tr>
      <w:tr>
        <w:trPr>
          <w:trHeight w:val="209"/>
        </w:trPr>
        <w:tc>
          <w:tcPr>
            <w:tcW w:w="5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8,071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6,174</w:t>
            </w:r>
          </w:p>
        </w:tc>
      </w:tr>
      <w:tr>
        <w:trPr>
          <w:trHeight w:val="216"/>
        </w:trPr>
        <w:tc>
          <w:tcPr>
            <w:tcW w:w="5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2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270,981</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119,257</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3,132,310</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2,722,662</w:t>
            </w:r>
          </w:p>
        </w:tc>
      </w:tr>
      <w:tr>
        <w:trPr>
          <w:trHeight w:val="216"/>
        </w:trPr>
        <w:tc>
          <w:tcPr>
            <w:tcW w:w="5360" w:type="dxa"/>
            <w:vAlign w:val="bottom"/>
            <w:shd w:val="clear" w:color="auto" w:fill="EEEEEE"/>
          </w:tcPr>
          <w:p>
            <w:pPr>
              <w:spacing w:after="0"/>
              <w:rPr>
                <w:sz w:val="18"/>
                <w:szCs w:val="18"/>
                <w:color w:val="auto"/>
              </w:rPr>
            </w:pPr>
          </w:p>
        </w:tc>
        <w:tc>
          <w:tcPr>
            <w:tcW w:w="2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8,274</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27,553</w:t>
            </w:r>
          </w:p>
        </w:tc>
      </w:tr>
      <w:tr>
        <w:trPr>
          <w:trHeight w:val="229"/>
        </w:trPr>
        <w:tc>
          <w:tcPr>
            <w:tcW w:w="5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Allowance for finance credit losses</w:t>
            </w:r>
          </w:p>
        </w:tc>
        <w:tc>
          <w:tcPr>
            <w:tcW w:w="23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(486)</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(2,869)</w:t>
            </w: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2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24,684</w:t>
            </w:r>
          </w:p>
        </w:tc>
        <w:tc>
          <w:tcPr>
            <w:tcW w:w="100" w:type="dxa"/>
            <w:vAlign w:val="bottom"/>
          </w:tcPr>
          <w:p>
            <w:pPr>
              <w:spacing w:after="0"/>
              <w:rPr>
                <w:sz w:val="18"/>
                <w:szCs w:val="18"/>
                <w:color w:val="auto"/>
              </w:rPr>
            </w:pPr>
          </w:p>
        </w:tc>
      </w:tr>
      <w:tr>
        <w:trPr>
          <w:trHeight w:val="216"/>
        </w:trPr>
        <w:tc>
          <w:tcPr>
            <w:tcW w:w="5360" w:type="dxa"/>
            <w:vAlign w:val="bottom"/>
            <w:shd w:val="clear" w:color="auto" w:fill="EEEEEE"/>
          </w:tcPr>
          <w:p>
            <w:pPr>
              <w:spacing w:after="0"/>
              <w:rPr>
                <w:sz w:val="18"/>
                <w:szCs w:val="18"/>
                <w:color w:val="auto"/>
              </w:rPr>
            </w:pPr>
          </w:p>
        </w:tc>
        <w:tc>
          <w:tcPr>
            <w:tcW w:w="2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792"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Furniture and equipment,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20" w:type="dxa"/>
            <w:vAlign w:val="bottom"/>
            <w:gridSpan w:val="2"/>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1,078</w:t>
            </w:r>
          </w:p>
        </w:tc>
        <w:tc>
          <w:tcPr>
            <w:tcW w:w="480" w:type="dxa"/>
            <w:vAlign w:val="bottom"/>
          </w:tcPr>
          <w:p>
            <w:pPr>
              <w:spacing w:after="0"/>
              <w:rPr>
                <w:sz w:val="17"/>
                <w:szCs w:val="17"/>
                <w:color w:val="auto"/>
              </w:rPr>
            </w:pPr>
          </w:p>
        </w:tc>
        <w:tc>
          <w:tcPr>
            <w:tcW w:w="1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1,372</w:t>
            </w:r>
          </w:p>
        </w:tc>
      </w:tr>
      <w:tr>
        <w:trPr>
          <w:trHeight w:val="229"/>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1,565</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w:t>
            </w: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40,899</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25,861</w:t>
            </w:r>
          </w:p>
        </w:tc>
      </w:tr>
      <w:tr>
        <w:trPr>
          <w:trHeight w:val="223"/>
        </w:trPr>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3,462,692</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2,903,746</w:t>
            </w: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-462280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-179705</wp:posOffset>
            </wp:positionV>
            <wp:extent cx="7132320"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580"/>
          </w:cols>
          <w:pgMar w:left="320" w:top="792"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40" w:type="dxa"/>
            <w:vAlign w:val="bottom"/>
            <w:gridSpan w:val="2"/>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72,626</w:t>
            </w:r>
          </w:p>
        </w:tc>
        <w:tc>
          <w:tcPr>
            <w:tcW w:w="480" w:type="dxa"/>
            <w:vAlign w:val="bottom"/>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62,544</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105,783</w:t>
            </w: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234,025</w:t>
            </w: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99,127</w:t>
            </w: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49,875</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2,875,777</w:t>
            </w: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2,265,446</w:t>
            </w:r>
          </w:p>
        </w:tc>
      </w:tr>
      <w:tr>
        <w:trPr>
          <w:trHeight w:val="230"/>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6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24,288</w:t>
            </w:r>
          </w:p>
        </w:tc>
        <w:tc>
          <w:tcPr>
            <w:tcW w:w="48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17,188</w:t>
            </w:r>
          </w:p>
        </w:tc>
      </w:tr>
      <w:tr>
        <w:trPr>
          <w:trHeight w:val="209"/>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3,177,601</w:t>
            </w:r>
          </w:p>
        </w:tc>
        <w:tc>
          <w:tcPr>
            <w:tcW w:w="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2,629,078</w:t>
            </w:r>
          </w:p>
        </w:tc>
        <w:tc>
          <w:tcPr>
            <w:tcW w:w="10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Preferred stock, $1 par value; authorized 4,998,130 shares; none issued</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stock, $1 par value; authorized 5,000,000 shares; none issued</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Series B preferred stock, $1 par value; authorized 1,870 shares; none issued</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authorized 75,000,000 shares; 21,405,198 and 21,174,856 shares issued</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at September 30, 2024 and December 31, 2023, respectively</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25,043</w:t>
            </w:r>
          </w:p>
        </w:tc>
        <w:tc>
          <w:tcPr>
            <w:tcW w:w="4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28,678</w:t>
            </w:r>
          </w:p>
        </w:tc>
      </w:tr>
      <w:tr>
        <w:trPr>
          <w:trHeight w:val="216"/>
        </w:trPr>
        <w:tc>
          <w:tcPr>
            <w:tcW w:w="7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261,915</w:t>
            </w: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247,857</w:t>
            </w:r>
          </w:p>
        </w:tc>
      </w:t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(1,867)</w:t>
            </w:r>
          </w:p>
        </w:tc>
        <w:tc>
          <w:tcPr>
            <w:tcW w:w="4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(1,867)</w:t>
            </w:r>
          </w:p>
        </w:tc>
      </w:tr>
      <w:tr>
        <w:trPr>
          <w:trHeight w:val="210"/>
        </w:trPr>
        <w:tc>
          <w:tcPr>
            <w:tcW w:w="75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bottom w:val="single" w:sz="8" w:color="auto"/>
            </w:tcBorders>
            <w:shd w:val="clear" w:color="auto" w:fill="EEEEEE"/>
          </w:tcPr>
          <w:p>
            <w:pPr>
              <w:spacing w:after="0"/>
              <w:rPr>
                <w:sz w:val="18"/>
                <w:szCs w:val="18"/>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285,091</w:t>
            </w:r>
          </w:p>
        </w:tc>
        <w:tc>
          <w:tcPr>
            <w:tcW w:w="32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bottom w:val="single" w:sz="8" w:color="auto"/>
            </w:tcBorders>
            <w:shd w:val="clear" w:color="auto" w:fill="EEEEEE"/>
          </w:tcPr>
          <w:p>
            <w:pPr>
              <w:spacing w:after="0"/>
              <w:rPr>
                <w:sz w:val="18"/>
                <w:szCs w:val="18"/>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274,668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500" w:type="dxa"/>
            <w:vAlign w:val="bottom"/>
            <w:shd w:val="clear" w:color="auto" w:fill="EEEEEE"/>
          </w:tcPr>
          <w:p>
            <w:pPr>
              <w:spacing w:after="0"/>
              <w:rPr>
                <w:sz w:val="21"/>
                <w:szCs w:val="21"/>
                <w:color w:val="auto"/>
              </w:rPr>
            </w:pPr>
          </w:p>
        </w:tc>
        <w:tc>
          <w:tcPr>
            <w:tcW w:w="640" w:type="dxa"/>
            <w:vAlign w:val="bottom"/>
            <w:gridSpan w:val="2"/>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3,462,692</w:t>
            </w:r>
          </w:p>
        </w:tc>
        <w:tc>
          <w:tcPr>
            <w:tcW w:w="480" w:type="dxa"/>
            <w:vAlign w:val="bottom"/>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2,903,746</w:t>
            </w:r>
          </w:p>
        </w:tc>
      </w:tr>
      <w:tr>
        <w:trPr>
          <w:trHeight w:val="20"/>
        </w:trPr>
        <w:tc>
          <w:tcPr>
            <w:tcW w:w="75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3" w:name="page4"/>
    <w:bookmarkEnd w:id="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OPERATIONS (In thousands, except per share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9"/>
                <w:szCs w:val="19"/>
                <w:color w:val="auto"/>
              </w:rPr>
            </w:pPr>
          </w:p>
        </w:tc>
        <w:tc>
          <w:tcPr>
            <w:tcW w:w="270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8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EEEEEE"/>
            </w:tcBorders>
          </w:tcPr>
          <w:p>
            <w:pPr>
              <w:spacing w:after="0"/>
              <w:rPr>
                <w:sz w:val="19"/>
                <w:szCs w:val="19"/>
                <w:color w:val="auto"/>
              </w:rPr>
            </w:pPr>
          </w:p>
        </w:tc>
      </w:tr>
      <w:tr>
        <w:trPr>
          <w:trHeight w:val="210"/>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93,158</w:t>
            </w:r>
          </w:p>
        </w:tc>
        <w:tc>
          <w:tcPr>
            <w:tcW w:w="54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83,261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265,812</w:t>
            </w:r>
          </w:p>
        </w:tc>
        <w:tc>
          <w:tcPr>
            <w:tcW w:w="54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245,960</w:t>
            </w: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6,000</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16,000</w:t>
            </w: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6,000</w:t>
            </w: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2,818</w:t>
            </w: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6,391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8,077</w:t>
            </w:r>
          </w:p>
        </w:tc>
      </w:tr>
      <w:tr>
        <w:trPr>
          <w:trHeight w:val="210"/>
        </w:trPr>
        <w:tc>
          <w:tcPr>
            <w:tcW w:w="508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100,580</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92,079</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288,203</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460" w:type="dxa"/>
            <w:vAlign w:val="bottom"/>
            <w:tcBorders>
              <w:top w:val="single" w:sz="8" w:color="auto"/>
              <w:bottom w:val="single" w:sz="8" w:color="auto"/>
            </w:tcBorders>
            <w:shd w:val="clear" w:color="auto" w:fill="EEEEEE"/>
          </w:tcPr>
          <w:p>
            <w:pPr>
              <w:spacing w:after="0"/>
              <w:rPr>
                <w:sz w:val="18"/>
                <w:szCs w:val="18"/>
                <w:color w:val="auto"/>
              </w:rPr>
            </w:pP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260,037</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Employee costs</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24,162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21,812</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72,303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64,991</w:t>
            </w: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13,276</w:t>
            </w: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13,045</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40,288</w:t>
            </w: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36,224</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50,056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37,889</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138,735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106,354</w:t>
            </w: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(2,000)</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(4,579)</w:t>
            </w: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(20,700)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5,723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5,330</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16,476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16,517</w:t>
            </w: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1,586</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4,250</w:t>
            </w: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4,756</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w:t>
            </w:r>
          </w:p>
        </w:tc>
      </w:tr>
      <w:tr>
        <w:trPr>
          <w:trHeight w:val="209"/>
        </w:trPr>
        <w:tc>
          <w:tcPr>
            <w:tcW w:w="508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93,729</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77,861</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268,123</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460" w:type="dxa"/>
            <w:vAlign w:val="bottom"/>
            <w:tcBorders>
              <w:top w:val="single" w:sz="8" w:color="auto"/>
              <w:bottom w:val="single" w:sz="8" w:color="auto"/>
            </w:tcBorders>
            <w:shd w:val="clear" w:color="auto" w:fill="EEEEEE"/>
          </w:tcPr>
          <w:p>
            <w:pPr>
              <w:spacing w:after="0"/>
              <w:rPr>
                <w:sz w:val="18"/>
                <w:szCs w:val="18"/>
                <w:color w:val="auto"/>
              </w:rPr>
            </w:pP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208,784</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51,253</w:t>
            </w:r>
          </w:p>
        </w:tc>
        <w:tc>
          <w:tcPr>
            <w:tcW w:w="100" w:type="dxa"/>
            <w:vAlign w:val="bottom"/>
          </w:tcPr>
          <w:p>
            <w:pPr>
              <w:spacing w:after="0"/>
              <w:rPr>
                <w:sz w:val="18"/>
                <w:szCs w:val="18"/>
                <w:color w:val="auto"/>
              </w:rPr>
            </w:pPr>
          </w:p>
        </w:tc>
      </w:tr>
      <w:tr>
        <w:trPr>
          <w:trHeight w:val="229"/>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3,839</w:t>
            </w:r>
          </w:p>
        </w:tc>
        <w:tc>
          <w:tcPr>
            <w:tcW w:w="3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6,022</w:t>
            </w:r>
          </w:p>
        </w:tc>
        <w:tc>
          <w:tcPr>
            <w:tcW w:w="8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13,097</w:t>
            </w:r>
          </w:p>
        </w:tc>
      </w:tr>
      <w:tr>
        <w:trPr>
          <w:trHeight w:val="263"/>
        </w:trPr>
        <w:tc>
          <w:tcPr>
            <w:tcW w:w="50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6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22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14,058</w:t>
            </w:r>
          </w:p>
        </w:tc>
        <w:tc>
          <w:tcPr>
            <w:tcW w:w="14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38,156</w:t>
            </w:r>
          </w:p>
        </w:tc>
        <w:tc>
          <w:tcPr>
            <w:tcW w:w="100" w:type="dxa"/>
            <w:vAlign w:val="bottom"/>
            <w:tcBorders>
              <w:bottom w:val="single" w:sz="8" w:color="EEEEEE"/>
            </w:tcBorders>
          </w:tcPr>
          <w:p>
            <w:pPr>
              <w:spacing w:after="0"/>
              <w:rPr>
                <w:sz w:val="22"/>
                <w:szCs w:val="22"/>
                <w:color w:val="auto"/>
              </w:rPr>
            </w:pPr>
          </w:p>
        </w:tc>
      </w:tr>
      <w:tr>
        <w:trPr>
          <w:trHeight w:val="197"/>
        </w:trPr>
        <w:tc>
          <w:tcPr>
            <w:tcW w:w="50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0.22</w:t>
            </w:r>
          </w:p>
        </w:tc>
        <w:tc>
          <w:tcPr>
            <w:tcW w:w="540" w:type="dxa"/>
            <w:vAlign w:val="bottom"/>
            <w:gridSpan w:val="2"/>
            <w:shd w:val="clear" w:color="auto" w:fill="EEEEE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0.49</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0.66</w:t>
            </w:r>
          </w:p>
        </w:tc>
        <w:tc>
          <w:tcPr>
            <w:tcW w:w="540" w:type="dxa"/>
            <w:vAlign w:val="bottom"/>
            <w:gridSpan w:val="2"/>
            <w:shd w:val="clear" w:color="auto" w:fill="EEEEEE"/>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0.20</w:t>
            </w:r>
          </w:p>
        </w:tc>
        <w:tc>
          <w:tcPr>
            <w:tcW w:w="54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0.58</w:t>
            </w:r>
          </w:p>
        </w:tc>
        <w:tc>
          <w:tcPr>
            <w:tcW w:w="54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5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computing earnings per share: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21,343</w:t>
            </w: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21,154</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21,250</w:t>
            </w: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20,815</w:t>
            </w:r>
          </w:p>
        </w:tc>
      </w:tr>
      <w:tr>
        <w:trPr>
          <w:trHeight w:val="234"/>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24,153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25,218</w:t>
            </w:r>
          </w:p>
        </w:tc>
        <w:tc>
          <w:tcPr>
            <w:tcW w:w="3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24,340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25,331</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COMPREHENSIVE INCOME (In thousands)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3160" w:type="dxa"/>
            <w:vAlign w:val="bottom"/>
            <w:gridSpan w:val="7"/>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9"/>
                <w:szCs w:val="19"/>
                <w:color w:val="auto"/>
              </w:rPr>
            </w:pPr>
          </w:p>
        </w:tc>
        <w:tc>
          <w:tcPr>
            <w:tcW w:w="2700" w:type="dxa"/>
            <w:vAlign w:val="bottom"/>
            <w:gridSpan w:val="7"/>
          </w:tcPr>
          <w:p>
            <w:pPr>
              <w:ind w:left="3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0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EEEEEE"/>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4,796</w:t>
            </w:r>
          </w:p>
        </w:tc>
        <w:tc>
          <w:tcPr>
            <w:tcW w:w="580" w:type="dxa"/>
            <w:vAlign w:val="bottom"/>
            <w:gridSpan w:val="2"/>
            <w:shd w:val="clear" w:color="auto" w:fill="EEEEE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10,379</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14,058</w:t>
            </w:r>
          </w:p>
        </w:tc>
        <w:tc>
          <w:tcPr>
            <w:tcW w:w="460" w:type="dxa"/>
            <w:vAlign w:val="bottom"/>
            <w:gridSpan w:val="2"/>
            <w:shd w:val="clear" w:color="auto" w:fill="EEEEEE"/>
          </w:tcPr>
          <w:p>
            <w:pPr>
              <w:jc w:val="right"/>
              <w:ind w:right="32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38,156</w:t>
            </w: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508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income/(loss); change in funded status of</w:t>
            </w:r>
          </w:p>
        </w:tc>
        <w:tc>
          <w:tcPr>
            <w:tcW w:w="9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48"/>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pension plan</w:t>
            </w:r>
          </w:p>
        </w:tc>
        <w:tc>
          <w:tcPr>
            <w:tcW w:w="900" w:type="dxa"/>
            <w:vAlign w:val="bottom"/>
            <w:shd w:val="clear" w:color="auto" w:fill="EEEEEE"/>
          </w:tcPr>
          <w:p>
            <w:pPr>
              <w:spacing w:after="0"/>
              <w:rPr>
                <w:sz w:val="21"/>
                <w:szCs w:val="21"/>
                <w:color w:val="auto"/>
              </w:rPr>
            </w:pPr>
          </w:p>
        </w:tc>
        <w:tc>
          <w:tcPr>
            <w:tcW w:w="5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21"/>
                <w:szCs w:val="21"/>
                <w:color w:val="auto"/>
              </w:rPr>
            </w:pPr>
          </w:p>
        </w:tc>
        <w:tc>
          <w:tcPr>
            <w:tcW w:w="440" w:type="dxa"/>
            <w:vAlign w:val="bottom"/>
            <w:shd w:val="clear" w:color="auto" w:fill="EEEEEE"/>
          </w:tcPr>
          <w:p>
            <w:pPr>
              <w:spacing w:after="0"/>
              <w:rPr>
                <w:sz w:val="21"/>
                <w:szCs w:val="21"/>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21"/>
                <w:szCs w:val="21"/>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EEEEE"/>
          </w:tcPr>
          <w:p>
            <w:pPr>
              <w:spacing w:after="0"/>
              <w:rPr>
                <w:sz w:val="21"/>
                <w:szCs w:val="21"/>
                <w:color w:val="auto"/>
              </w:rPr>
            </w:pPr>
          </w:p>
        </w:tc>
        <w:tc>
          <w:tcPr>
            <w:tcW w:w="440" w:type="dxa"/>
            <w:vAlign w:val="bottom"/>
            <w:shd w:val="clear" w:color="auto" w:fill="EEEEEE"/>
          </w:tcPr>
          <w:p>
            <w:pPr>
              <w:spacing w:after="0"/>
              <w:rPr>
                <w:sz w:val="21"/>
                <w:szCs w:val="21"/>
                <w:color w:val="auto"/>
              </w:rPr>
            </w:pPr>
          </w:p>
        </w:tc>
        <w:tc>
          <w:tcPr>
            <w:tcW w:w="9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ind w:left="340" w:right="2340"/>
        <w:spacing w:after="0" w:line="26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CASH FLOWS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40" w:type="dxa"/>
            <w:vAlign w:val="bottom"/>
            <w:tcBorders>
              <w:bottom w:val="single" w:sz="8" w:color="EEEEEE"/>
            </w:tcBorders>
          </w:tcPr>
          <w:p>
            <w:pPr>
              <w:spacing w:after="0"/>
              <w:rPr>
                <w:sz w:val="19"/>
                <w:szCs w:val="19"/>
                <w:color w:val="auto"/>
              </w:rPr>
            </w:pPr>
          </w:p>
        </w:tc>
        <w:tc>
          <w:tcPr>
            <w:tcW w:w="82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EEEEEE"/>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Borders>
              <w:bottom w:val="single" w:sz="8" w:color="EEEEEE"/>
            </w:tcBorders>
          </w:tcPr>
          <w:p>
            <w:pPr>
              <w:spacing w:after="0"/>
              <w:rPr>
                <w:sz w:val="19"/>
                <w:szCs w:val="19"/>
                <w:color w:val="auto"/>
              </w:rPr>
            </w:pPr>
          </w:p>
        </w:tc>
      </w:tr>
      <w:tr>
        <w:trPr>
          <w:trHeight w:val="210"/>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14,058</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38,156</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164,394</w:t>
            </w:r>
          </w:p>
        </w:tc>
        <w:tc>
          <w:tcPr>
            <w:tcW w:w="60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143,949</w:t>
            </w: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650</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642</w:t>
            </w: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7,740</w:t>
            </w:r>
          </w:p>
        </w:tc>
        <w:tc>
          <w:tcPr>
            <w:tcW w:w="60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7,264</w:t>
            </w: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(16,000)</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(4,579)</w:t>
            </w:r>
          </w:p>
        </w:tc>
        <w:tc>
          <w:tcPr>
            <w:tcW w:w="6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(20,700)</w:t>
            </w: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2,368</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2,634</w:t>
            </w: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Deferred tax assets, net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2,171</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4,414</w:t>
            </w:r>
          </w:p>
        </w:tc>
      </w:tr>
      <w:tr>
        <w:trPr>
          <w:trHeight w:val="216"/>
        </w:trPr>
        <w:tc>
          <w:tcPr>
            <w:tcW w:w="6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(15,126)</w:t>
            </w:r>
          </w:p>
        </w:tc>
        <w:tc>
          <w:tcPr>
            <w:tcW w:w="60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4,671</w:t>
            </w:r>
          </w:p>
        </w:tc>
      </w:tr>
      <w:tr>
        <w:trPr>
          <w:trHeight w:val="229"/>
        </w:trPr>
        <w:tc>
          <w:tcPr>
            <w:tcW w:w="684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10,082</w:t>
            </w:r>
          </w:p>
        </w:tc>
        <w:tc>
          <w:tcPr>
            <w:tcW w:w="6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6,888</w:t>
            </w:r>
          </w:p>
        </w:tc>
      </w:tr>
      <w:tr>
        <w:trPr>
          <w:trHeight w:val="210"/>
        </w:trPr>
        <w:tc>
          <w:tcPr>
            <w:tcW w:w="6840" w:type="dxa"/>
            <w:vAlign w:val="bottom"/>
            <w:tcBorders>
              <w:bottom w:val="single" w:sz="8" w:color="EEEEEE"/>
            </w:tcBorders>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165,758</w:t>
            </w:r>
          </w:p>
        </w:tc>
        <w:tc>
          <w:tcPr>
            <w:tcW w:w="320" w:type="dxa"/>
            <w:vAlign w:val="bottom"/>
            <w:tcBorders>
              <w:bottom w:val="single" w:sz="8" w:color="EEEEEE"/>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181,918</w:t>
            </w:r>
          </w:p>
        </w:tc>
        <w:tc>
          <w:tcPr>
            <w:tcW w:w="100" w:type="dxa"/>
            <w:vAlign w:val="bottom"/>
            <w:tcBorders>
              <w:bottom w:val="single" w:sz="8" w:color="EEEEEE"/>
            </w:tcBorders>
          </w:tcPr>
          <w:p>
            <w:pPr>
              <w:spacing w:after="0"/>
              <w:rPr>
                <w:sz w:val="18"/>
                <w:szCs w:val="18"/>
                <w:color w:val="auto"/>
              </w:rPr>
            </w:pPr>
          </w:p>
        </w:tc>
      </w:tr>
      <w:tr>
        <w:trPr>
          <w:trHeight w:val="209"/>
        </w:trPr>
        <w:tc>
          <w:tcPr>
            <w:tcW w:w="68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received on finance receivables held for investment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21,475</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56,986</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finance receivables measured at fair value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(1,195,886)</w:t>
            </w:r>
          </w:p>
        </w:tc>
        <w:tc>
          <w:tcPr>
            <w:tcW w:w="6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(958,587)</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637,844</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625,715</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repossessions held in inventory</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88</w:t>
            </w:r>
          </w:p>
        </w:tc>
        <w:tc>
          <w:tcPr>
            <w:tcW w:w="60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411</w:t>
            </w:r>
          </w:p>
        </w:tc>
      </w:tr>
      <w:tr>
        <w:trPr>
          <w:trHeight w:val="229"/>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Purchase of furniture and equipment</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(356)</w:t>
            </w:r>
          </w:p>
        </w:tc>
        <w:tc>
          <w:tcPr>
            <w:tcW w:w="6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0"/>
        </w:trPr>
        <w:tc>
          <w:tcPr>
            <w:tcW w:w="6840" w:type="dxa"/>
            <w:vAlign w:val="bottom"/>
            <w:tcBorders>
              <w:bottom w:val="single" w:sz="8" w:color="EEEEEE"/>
            </w:tcBorders>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(536,835</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(275,752</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8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securitization trust debt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1,453,921</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949,385</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subordinated renewable notes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8,784</w:t>
            </w:r>
          </w:p>
        </w:tc>
        <w:tc>
          <w:tcPr>
            <w:tcW w:w="60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on subordinated renewable notes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(1,684)</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(6,100)</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(repayments of) warehouse lines of credit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(125,566)</w:t>
            </w:r>
          </w:p>
        </w:tc>
        <w:tc>
          <w:tcPr>
            <w:tcW w:w="6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(46,407)</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Proceeds from (repayment of) residual interest financing debt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50,000</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securitization trust debt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(840,480)</w:t>
            </w:r>
          </w:p>
        </w:tc>
        <w:tc>
          <w:tcPr>
            <w:tcW w:w="6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(814,473)</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(14,274)</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(5,984)</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common stock</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(12,828)</w:t>
            </w:r>
          </w:p>
        </w:tc>
        <w:tc>
          <w:tcPr>
            <w:tcW w:w="6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(19,116)</w:t>
            </w:r>
          </w:p>
        </w:tc>
      </w:tr>
      <w:tr>
        <w:trPr>
          <w:trHeight w:val="230"/>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Exercise of options and warrants</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6,825</w:t>
            </w:r>
          </w:p>
        </w:tc>
        <w:tc>
          <w:tcPr>
            <w:tcW w:w="6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15,833</w:t>
            </w:r>
          </w:p>
        </w:tc>
      </w:tr>
      <w:tr>
        <w:trPr>
          <w:trHeight w:val="210"/>
        </w:trPr>
        <w:tc>
          <w:tcPr>
            <w:tcW w:w="6840" w:type="dxa"/>
            <w:vAlign w:val="bottom"/>
            <w:tcBorders>
              <w:bottom w:val="single" w:sz="8" w:color="EEEEEE"/>
            </w:tcBorders>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524,698</w:t>
            </w:r>
          </w:p>
        </w:tc>
        <w:tc>
          <w:tcPr>
            <w:tcW w:w="320" w:type="dxa"/>
            <w:vAlign w:val="bottom"/>
            <w:tcBorders>
              <w:bottom w:val="single" w:sz="8" w:color="EEEEEE"/>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73,138</w:t>
            </w:r>
          </w:p>
        </w:tc>
        <w:tc>
          <w:tcPr>
            <w:tcW w:w="100" w:type="dxa"/>
            <w:vAlign w:val="bottom"/>
            <w:tcBorders>
              <w:bottom w:val="single" w:sz="8" w:color="EEEEEE"/>
            </w:tcBorders>
          </w:tcPr>
          <w:p>
            <w:pPr>
              <w:spacing w:after="0"/>
              <w:rPr>
                <w:sz w:val="18"/>
                <w:szCs w:val="18"/>
                <w:color w:val="auto"/>
              </w:rPr>
            </w:pPr>
          </w:p>
        </w:tc>
      </w:tr>
      <w:tr>
        <w:trPr>
          <w:trHeight w:val="209"/>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153,621</w:t>
            </w: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(20,696)</w:t>
            </w:r>
          </w:p>
        </w:tc>
        <w:tc>
          <w:tcPr>
            <w:tcW w:w="100" w:type="dxa"/>
            <w:vAlign w:val="bottom"/>
            <w:shd w:val="clear" w:color="auto" w:fill="EEEEEE"/>
          </w:tcPr>
          <w:p>
            <w:pPr>
              <w:spacing w:after="0"/>
              <w:rPr>
                <w:sz w:val="18"/>
                <w:szCs w:val="18"/>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125,431</w:t>
            </w:r>
          </w:p>
        </w:tc>
        <w:tc>
          <w:tcPr>
            <w:tcW w:w="60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162,789</w:t>
            </w:r>
          </w:p>
        </w:tc>
      </w:tr>
      <w:tr>
        <w:trPr>
          <w:trHeight w:val="223"/>
        </w:trPr>
        <w:tc>
          <w:tcPr>
            <w:tcW w:w="68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8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279,052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600" w:type="dxa"/>
            <w:vAlign w:val="bottom"/>
            <w:tcBorders>
              <w:top w:val="single" w:sz="8" w:color="auto"/>
              <w:bottom w:val="single" w:sz="8" w:color="auto"/>
            </w:tcBorders>
            <w:shd w:val="clear" w:color="auto" w:fill="EEEEEE"/>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142,093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18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129,335</w:t>
            </w:r>
          </w:p>
        </w:tc>
        <w:tc>
          <w:tcPr>
            <w:tcW w:w="600" w:type="dxa"/>
            <w:vAlign w:val="bottom"/>
            <w:shd w:val="clear" w:color="auto" w:fill="EEEEEE"/>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97,812</w:t>
            </w: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9,552</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4,389</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 net</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(21,008)</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(3,983)</w:t>
            </w: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18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22,944</w:t>
            </w:r>
          </w:p>
        </w:tc>
        <w:tc>
          <w:tcPr>
            <w:tcW w:w="600" w:type="dxa"/>
            <w:vAlign w:val="bottom"/>
            <w:shd w:val="clear" w:color="auto" w:fill="EEEEEE"/>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4,307</w:t>
            </w:r>
          </w:p>
        </w:tc>
      </w:tr>
      <w:tr>
        <w:trPr>
          <w:trHeight w:val="234"/>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office rent</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(1,936)</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6"/>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9"/>
                <w:szCs w:val="19"/>
                <w:color w:val="auto"/>
              </w:rPr>
            </w:pPr>
          </w:p>
        </w:tc>
        <w:tc>
          <w:tcPr>
            <w:tcW w:w="2700" w:type="dxa"/>
            <w:vAlign w:val="bottom"/>
            <w:gridSpan w:val="7"/>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96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10"/>
        </w:trPr>
        <w:tc>
          <w:tcPr>
            <w:tcW w:w="4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Common Stock (Shares Outstanding)</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21,305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21,152</w:t>
            </w:r>
          </w:p>
        </w:tc>
        <w:tc>
          <w:tcPr>
            <w:tcW w:w="3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21,175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20,131</w:t>
            </w:r>
          </w:p>
        </w:tc>
      </w:tr>
      <w:tr>
        <w:trPr>
          <w:trHeight w:val="216"/>
        </w:trPr>
        <w:tc>
          <w:tcPr>
            <w:tcW w:w="4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Common stock issued upon exercise of options and warrants</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1,700</w:t>
            </w: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80" w:type="dxa"/>
            <w:vAlign w:val="bottom"/>
            <w:shd w:val="clear" w:color="auto" w:fill="EEEEEE"/>
          </w:tcPr>
          <w:p>
            <w:pPr>
              <w:spacing w:after="0"/>
              <w:rPr>
                <w:sz w:val="18"/>
                <w:szCs w:val="18"/>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Pr>
          <w:p>
            <w:pPr>
              <w:spacing w:after="0"/>
              <w:rPr>
                <w:sz w:val="19"/>
                <w:szCs w:val="19"/>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(1,470)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(1,850)</w:t>
            </w:r>
          </w:p>
        </w:tc>
      </w:tr>
      <w:tr>
        <w:trPr>
          <w:trHeight w:val="209"/>
        </w:trPr>
        <w:tc>
          <w:tcPr>
            <w:tcW w:w="49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21,405</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21,113</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21,405</w:t>
            </w:r>
          </w:p>
        </w:tc>
        <w:tc>
          <w:tcPr>
            <w:tcW w:w="2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21,113</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09"/>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25,062</w:t>
            </w:r>
          </w:p>
        </w:tc>
        <w:tc>
          <w:tcPr>
            <w:tcW w:w="54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27,937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28,678</w:t>
            </w:r>
          </w:p>
        </w:tc>
        <w:tc>
          <w:tcPr>
            <w:tcW w:w="460" w:type="dxa"/>
            <w:vAlign w:val="bottom"/>
            <w:gridSpan w:val="2"/>
          </w:tcPr>
          <w:p>
            <w:pPr>
              <w:jc w:val="right"/>
              <w:ind w:right="32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28,906</w:t>
            </w:r>
          </w:p>
        </w:tc>
      </w:tr>
      <w:tr>
        <w:trPr>
          <w:trHeight w:val="216"/>
        </w:trPr>
        <w:tc>
          <w:tcPr>
            <w:tcW w:w="4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Common stock issued upon exercise of options and warrants</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155</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6,825</w:t>
            </w: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15,833</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(652)</w:t>
            </w:r>
          </w:p>
        </w:tc>
        <w:tc>
          <w:tcPr>
            <w:tcW w:w="30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(12,828)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(19,116)</w:t>
            </w:r>
          </w:p>
        </w:tc>
      </w:tr>
      <w:tr>
        <w:trPr>
          <w:trHeight w:val="229"/>
        </w:trPr>
        <w:tc>
          <w:tcPr>
            <w:tcW w:w="4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817</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2,368</w:t>
            </w:r>
          </w:p>
        </w:tc>
        <w:tc>
          <w:tcPr>
            <w:tcW w:w="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80" w:type="dxa"/>
            <w:vAlign w:val="bottom"/>
            <w:shd w:val="clear" w:color="auto" w:fill="EEEEEE"/>
          </w:tcPr>
          <w:p>
            <w:pPr>
              <w:spacing w:after="0"/>
              <w:rPr>
                <w:sz w:val="19"/>
                <w:szCs w:val="19"/>
                <w:color w:val="auto"/>
              </w:rPr>
            </w:pPr>
          </w:p>
        </w:tc>
      </w:tr>
      <w:tr>
        <w:trPr>
          <w:trHeight w:val="210"/>
        </w:trPr>
        <w:tc>
          <w:tcPr>
            <w:tcW w:w="49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25,043</w:t>
            </w:r>
          </w:p>
        </w:tc>
        <w:tc>
          <w:tcPr>
            <w:tcW w:w="1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28,257</w:t>
            </w:r>
          </w:p>
        </w:tc>
        <w:tc>
          <w:tcPr>
            <w:tcW w:w="2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25,043</w:t>
            </w:r>
          </w:p>
        </w:tc>
        <w:tc>
          <w:tcPr>
            <w:tcW w:w="22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28,257</w:t>
            </w:r>
          </w:p>
        </w:tc>
        <w:tc>
          <w:tcPr>
            <w:tcW w:w="100" w:type="dxa"/>
            <w:vAlign w:val="bottom"/>
            <w:tcBorders>
              <w:bottom w:val="single" w:sz="8" w:color="EEEEEE"/>
            </w:tcBorders>
            <w:gridSpan w:val="2"/>
          </w:tcPr>
          <w:p>
            <w:pPr>
              <w:spacing w:after="0"/>
              <w:rPr>
                <w:sz w:val="18"/>
                <w:szCs w:val="18"/>
                <w:color w:val="auto"/>
              </w:rPr>
            </w:pPr>
          </w:p>
        </w:tc>
      </w:tr>
      <w:tr>
        <w:trPr>
          <w:trHeight w:val="209"/>
        </w:trPr>
        <w:tc>
          <w:tcPr>
            <w:tcW w:w="49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20" w:type="dxa"/>
            <w:vAlign w:val="bottom"/>
            <w:gridSpan w:val="2"/>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257,119</w:t>
            </w:r>
          </w:p>
        </w:tc>
        <w:tc>
          <w:tcPr>
            <w:tcW w:w="540" w:type="dxa"/>
            <w:vAlign w:val="bottom"/>
            <w:gridSpan w:val="2"/>
            <w:shd w:val="clear" w:color="auto" w:fill="EEEEE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230,291</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247,857</w:t>
            </w:r>
          </w:p>
        </w:tc>
        <w:tc>
          <w:tcPr>
            <w:tcW w:w="460" w:type="dxa"/>
            <w:vAlign w:val="bottom"/>
            <w:gridSpan w:val="2"/>
            <w:shd w:val="clear" w:color="auto" w:fill="EEEEEE"/>
          </w:tcPr>
          <w:p>
            <w:pPr>
              <w:jc w:val="right"/>
              <w:ind w:right="32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202,514</w:t>
            </w:r>
          </w:p>
        </w:tc>
        <w:tc>
          <w:tcPr>
            <w:tcW w:w="80" w:type="dxa"/>
            <w:vAlign w:val="bottom"/>
            <w:shd w:val="clear" w:color="auto" w:fill="EEEEEE"/>
          </w:tcPr>
          <w:p>
            <w:pPr>
              <w:spacing w:after="0"/>
              <w:rPr>
                <w:sz w:val="18"/>
                <w:szCs w:val="18"/>
                <w:color w:val="auto"/>
              </w:rPr>
            </w:pPr>
          </w:p>
        </w:tc>
      </w:tr>
      <w:tr>
        <w:trPr>
          <w:trHeight w:val="22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4,796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10,379</w:t>
            </w:r>
          </w:p>
        </w:tc>
        <w:tc>
          <w:tcPr>
            <w:tcW w:w="30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14,058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38,156</w:t>
            </w:r>
          </w:p>
        </w:tc>
      </w:tr>
      <w:tr>
        <w:trPr>
          <w:trHeight w:val="209"/>
        </w:trPr>
        <w:tc>
          <w:tcPr>
            <w:tcW w:w="49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261,915</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240,670</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261,915</w:t>
            </w:r>
          </w:p>
        </w:tc>
        <w:tc>
          <w:tcPr>
            <w:tcW w:w="2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240,670</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0"/>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(1,867)</w:t>
            </w:r>
          </w:p>
        </w:tc>
        <w:tc>
          <w:tcPr>
            <w:tcW w:w="54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(3,031)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(1,867)</w:t>
            </w:r>
          </w:p>
        </w:tc>
        <w:tc>
          <w:tcPr>
            <w:tcW w:w="460" w:type="dxa"/>
            <w:vAlign w:val="bottom"/>
            <w:gridSpan w:val="2"/>
          </w:tcPr>
          <w:p>
            <w:pPr>
              <w:jc w:val="right"/>
              <w:ind w:right="32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(3,031)</w:t>
            </w:r>
          </w:p>
        </w:tc>
      </w:tr>
      <w:tr>
        <w:trPr>
          <w:trHeight w:val="230"/>
        </w:trPr>
        <w:tc>
          <w:tcPr>
            <w:tcW w:w="4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1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9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9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60" w:type="dxa"/>
            <w:vAlign w:val="bottom"/>
            <w:tcBorders>
              <w:bottom w:val="single" w:sz="8" w:color="EEEEEE"/>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220" w:type="dxa"/>
            <w:vAlign w:val="bottom"/>
            <w:tcBorders>
              <w:bottom w:val="single" w:sz="8" w:color="EEEEEE"/>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220" w:type="dxa"/>
            <w:vAlign w:val="bottom"/>
            <w:tcBorders>
              <w:bottom w:val="single" w:sz="8" w:color="EEEEEE"/>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Borders>
              <w:bottom w:val="single" w:sz="8" w:color="EEEEEE"/>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641"/>
        </w:trPr>
        <w:tc>
          <w:tcPr>
            <w:tcW w:w="4960" w:type="dxa"/>
            <w:vAlign w:val="bottom"/>
            <w:shd w:val="clear" w:color="auto" w:fill="EEEEEE"/>
          </w:tcPr>
          <w:p>
            <w:pPr>
              <w:spacing w:after="0"/>
              <w:rPr>
                <w:sz w:val="24"/>
                <w:szCs w:val="24"/>
                <w:color w:val="auto"/>
              </w:rPr>
            </w:pPr>
          </w:p>
        </w:tc>
        <w:tc>
          <w:tcPr>
            <w:tcW w:w="120" w:type="dxa"/>
            <w:vAlign w:val="bottom"/>
            <w:shd w:val="clear" w:color="auto" w:fill="EEEEEE"/>
          </w:tcPr>
          <w:p>
            <w:pPr>
              <w:spacing w:after="0"/>
              <w:rPr>
                <w:sz w:val="24"/>
                <w:szCs w:val="24"/>
                <w:color w:val="auto"/>
              </w:rPr>
            </w:pPr>
          </w:p>
        </w:tc>
        <w:tc>
          <w:tcPr>
            <w:tcW w:w="300" w:type="dxa"/>
            <w:vAlign w:val="bottom"/>
            <w:shd w:val="clear" w:color="auto" w:fill="EEEEEE"/>
          </w:tcPr>
          <w:p>
            <w:pPr>
              <w:spacing w:after="0"/>
              <w:rPr>
                <w:sz w:val="24"/>
                <w:szCs w:val="24"/>
                <w:color w:val="auto"/>
              </w:rPr>
            </w:pPr>
          </w:p>
        </w:tc>
        <w:tc>
          <w:tcPr>
            <w:tcW w:w="1060" w:type="dxa"/>
            <w:vAlign w:val="bottom"/>
            <w:shd w:val="clear" w:color="auto" w:fill="EEEEEE"/>
          </w:tcPr>
          <w:p>
            <w:pPr>
              <w:spacing w:after="0"/>
              <w:rPr>
                <w:sz w:val="24"/>
                <w:szCs w:val="24"/>
                <w:color w:val="auto"/>
              </w:rPr>
            </w:pPr>
          </w:p>
        </w:tc>
        <w:tc>
          <w:tcPr>
            <w:tcW w:w="160" w:type="dxa"/>
            <w:vAlign w:val="bottom"/>
            <w:shd w:val="clear" w:color="auto" w:fill="EEEEEE"/>
          </w:tcPr>
          <w:p>
            <w:pPr>
              <w:spacing w:after="0"/>
              <w:rPr>
                <w:sz w:val="24"/>
                <w:szCs w:val="24"/>
                <w:color w:val="auto"/>
              </w:rPr>
            </w:pPr>
          </w:p>
        </w:tc>
        <w:tc>
          <w:tcPr>
            <w:tcW w:w="100" w:type="dxa"/>
            <w:vAlign w:val="bottom"/>
            <w:shd w:val="clear" w:color="auto" w:fill="EEEEEE"/>
          </w:tcPr>
          <w:p>
            <w:pPr>
              <w:spacing w:after="0"/>
              <w:rPr>
                <w:sz w:val="24"/>
                <w:szCs w:val="24"/>
                <w:color w:val="auto"/>
              </w:rPr>
            </w:pPr>
          </w:p>
        </w:tc>
        <w:tc>
          <w:tcPr>
            <w:tcW w:w="440" w:type="dxa"/>
            <w:vAlign w:val="bottom"/>
            <w:shd w:val="clear" w:color="auto" w:fill="EEEEEE"/>
          </w:tcPr>
          <w:p>
            <w:pPr>
              <w:spacing w:after="0"/>
              <w:rPr>
                <w:sz w:val="24"/>
                <w:szCs w:val="24"/>
                <w:color w:val="auto"/>
              </w:rPr>
            </w:pPr>
          </w:p>
        </w:tc>
        <w:tc>
          <w:tcPr>
            <w:tcW w:w="880" w:type="dxa"/>
            <w:vAlign w:val="bottom"/>
            <w:shd w:val="clear" w:color="auto" w:fill="EEEEEE"/>
          </w:tcPr>
          <w:p>
            <w:pPr>
              <w:spacing w:after="0"/>
              <w:rPr>
                <w:sz w:val="24"/>
                <w:szCs w:val="24"/>
                <w:color w:val="auto"/>
              </w:rPr>
            </w:pPr>
          </w:p>
        </w:tc>
        <w:tc>
          <w:tcPr>
            <w:tcW w:w="220" w:type="dxa"/>
            <w:vAlign w:val="bottom"/>
            <w:shd w:val="clear" w:color="auto" w:fill="EEEEEE"/>
          </w:tcPr>
          <w:p>
            <w:pPr>
              <w:spacing w:after="0"/>
              <w:rPr>
                <w:sz w:val="24"/>
                <w:szCs w:val="24"/>
                <w:color w:val="auto"/>
              </w:rPr>
            </w:pPr>
          </w:p>
        </w:tc>
        <w:tc>
          <w:tcPr>
            <w:tcW w:w="300" w:type="dxa"/>
            <w:vAlign w:val="bottom"/>
            <w:shd w:val="clear" w:color="auto" w:fill="EEEEEE"/>
          </w:tcPr>
          <w:p>
            <w:pPr>
              <w:spacing w:after="0"/>
              <w:rPr>
                <w:sz w:val="24"/>
                <w:szCs w:val="24"/>
                <w:color w:val="auto"/>
              </w:rPr>
            </w:pPr>
          </w:p>
        </w:tc>
        <w:tc>
          <w:tcPr>
            <w:tcW w:w="1040" w:type="dxa"/>
            <w:vAlign w:val="bottom"/>
            <w:shd w:val="clear" w:color="auto" w:fill="EEEEEE"/>
          </w:tcPr>
          <w:p>
            <w:pPr>
              <w:spacing w:after="0"/>
              <w:rPr>
                <w:sz w:val="24"/>
                <w:szCs w:val="24"/>
                <w:color w:val="auto"/>
              </w:rPr>
            </w:pPr>
          </w:p>
        </w:tc>
        <w:tc>
          <w:tcPr>
            <w:tcW w:w="220" w:type="dxa"/>
            <w:vAlign w:val="bottom"/>
            <w:shd w:val="clear" w:color="auto" w:fill="EEEEEE"/>
          </w:tcPr>
          <w:p>
            <w:pPr>
              <w:spacing w:after="0"/>
              <w:rPr>
                <w:sz w:val="24"/>
                <w:szCs w:val="24"/>
                <w:color w:val="auto"/>
              </w:rPr>
            </w:pPr>
          </w:p>
        </w:tc>
        <w:tc>
          <w:tcPr>
            <w:tcW w:w="20" w:type="dxa"/>
            <w:vAlign w:val="bottom"/>
            <w:shd w:val="clear" w:color="auto" w:fill="EEEEEE"/>
          </w:tcPr>
          <w:p>
            <w:pPr>
              <w:spacing w:after="0"/>
              <w:rPr>
                <w:sz w:val="24"/>
                <w:szCs w:val="24"/>
                <w:color w:val="auto"/>
              </w:rPr>
            </w:pPr>
          </w:p>
        </w:tc>
        <w:tc>
          <w:tcPr>
            <w:tcW w:w="440" w:type="dxa"/>
            <w:vAlign w:val="bottom"/>
            <w:shd w:val="clear" w:color="auto" w:fill="EEEEEE"/>
          </w:tcPr>
          <w:p>
            <w:pPr>
              <w:spacing w:after="0"/>
              <w:rPr>
                <w:sz w:val="24"/>
                <w:szCs w:val="24"/>
                <w:color w:val="auto"/>
              </w:rPr>
            </w:pPr>
          </w:p>
        </w:tc>
        <w:tc>
          <w:tcPr>
            <w:tcW w:w="880" w:type="dxa"/>
            <w:vAlign w:val="bottom"/>
            <w:shd w:val="clear" w:color="auto" w:fill="EEEEEE"/>
          </w:tcPr>
          <w:p>
            <w:pPr>
              <w:spacing w:after="0"/>
              <w:rPr>
                <w:sz w:val="24"/>
                <w:szCs w:val="24"/>
                <w:color w:val="auto"/>
              </w:rPr>
            </w:pPr>
          </w:p>
        </w:tc>
        <w:tc>
          <w:tcPr>
            <w:tcW w:w="20" w:type="dxa"/>
            <w:vAlign w:val="bottom"/>
            <w:shd w:val="clear" w:color="auto" w:fill="EEEEEE"/>
          </w:tcPr>
          <w:p>
            <w:pPr>
              <w:spacing w:after="0"/>
              <w:rPr>
                <w:sz w:val="24"/>
                <w:szCs w:val="24"/>
                <w:color w:val="auto"/>
              </w:rPr>
            </w:pPr>
          </w:p>
        </w:tc>
        <w:tc>
          <w:tcPr>
            <w:tcW w:w="80" w:type="dxa"/>
            <w:vAlign w:val="bottom"/>
            <w:shd w:val="clear" w:color="auto" w:fill="EEEEEE"/>
          </w:tcPr>
          <w:p>
            <w:pPr>
              <w:spacing w:after="0"/>
              <w:rPr>
                <w:sz w:val="24"/>
                <w:szCs w:val="24"/>
                <w:color w:val="auto"/>
              </w:rPr>
            </w:pPr>
          </w:p>
        </w:tc>
      </w:tr>
      <w:tr>
        <w:trPr>
          <w:trHeight w:val="243"/>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285,091</w:t>
            </w:r>
          </w:p>
        </w:tc>
        <w:tc>
          <w:tcPr>
            <w:tcW w:w="54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265,896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285,091</w:t>
            </w:r>
          </w:p>
        </w:tc>
        <w:tc>
          <w:tcPr>
            <w:tcW w:w="460" w:type="dxa"/>
            <w:vAlign w:val="bottom"/>
            <w:gridSpan w:val="2"/>
          </w:tcPr>
          <w:p>
            <w:pPr>
              <w:jc w:val="right"/>
              <w:ind w:right="32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265,896</w:t>
            </w:r>
          </w:p>
        </w:tc>
        <w:tc>
          <w:tcPr>
            <w:tcW w:w="80" w:type="dxa"/>
            <w:vAlign w:val="bottom"/>
          </w:tcPr>
          <w:p>
            <w:pPr>
              <w:spacing w:after="0"/>
              <w:rPr>
                <w:sz w:val="21"/>
                <w:szCs w:val="2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lent money directly to consumers for loans secured by vehicles, (ii) purchased immaterial amounts of vehicle purchase money loans from non-affiliated lenders, and</w:t>
      </w:r>
    </w:p>
    <w:p>
      <w:pPr>
        <w:spacing w:after="0" w:line="5" w:lineRule="exact"/>
        <w:rPr>
          <w:sz w:val="20"/>
          <w:szCs w:val="20"/>
          <w:color w:val="auto"/>
        </w:rPr>
      </w:pPr>
    </w:p>
    <w:p>
      <w:pPr>
        <w:ind w:firstLine="8"/>
        <w:spacing w:after="0" w:line="260" w:lineRule="auto"/>
        <w:tabs>
          <w:tab w:leader="none" w:pos="3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installment purchase contracts in four merger and acquisition transactions. In this report, we refer to all of such contracts and loans as "automobile contracts."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nine-month period ended September 30, 2024 are not necessarily indicative of the operating results to be expected for the full year.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Receivables Measured at Fair Value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re-evaluate the fair value of such receivables at the close of each measurement period. If the reevaluation were to yield a value materially different from the recorded value, an adjustment would be required.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Anticipated credit losses are included in our estimation of cash to be received with respect to receivables. In accordance with the fair value accounting standards, credit losses are included in our computation of the appropriate level yield, therefore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primary components of Other Income for the three-month and nine-month periods ending September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2500" w:type="dxa"/>
            <w:vAlign w:val="bottom"/>
            <w:gridSpan w:val="5"/>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5"/>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50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376"/>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364"/>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0" w:type="dxa"/>
            <w:vAlign w:val="bottom"/>
            <w:gridSpan w:val="4"/>
          </w:tcPr>
          <w:p>
            <w:pPr>
              <w:jc w:val="center"/>
              <w:ind w:right="356"/>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gridSpan w:val="4"/>
          </w:tcPr>
          <w:p>
            <w:pPr>
              <w:jc w:val="center"/>
              <w:ind w:right="364"/>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Origination and servicing fees from third party receivables</w:t>
            </w:r>
          </w:p>
        </w:tc>
        <w:tc>
          <w:tcPr>
            <w:tcW w:w="900" w:type="dxa"/>
            <w:vAlign w:val="bottom"/>
            <w:shd w:val="clear" w:color="auto" w:fill="EEEEEE"/>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1,647</w:t>
            </w:r>
          </w:p>
        </w:tc>
        <w:tc>
          <w:tcPr>
            <w:tcW w:w="1020" w:type="dxa"/>
            <w:vAlign w:val="bottom"/>
            <w:gridSpan w:val="2"/>
            <w:shd w:val="clear" w:color="auto" w:fill="EEEEEE"/>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2,546</w:t>
            </w:r>
          </w:p>
        </w:tc>
        <w:tc>
          <w:tcPr>
            <w:tcW w:w="880" w:type="dxa"/>
            <w:vAlign w:val="bottom"/>
            <w:shd w:val="clear" w:color="auto" w:fill="EEEEEE"/>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5,485</w:t>
            </w:r>
          </w:p>
        </w:tc>
        <w:tc>
          <w:tcPr>
            <w:tcW w:w="880" w:type="dxa"/>
            <w:vAlign w:val="bottom"/>
            <w:gridSpan w:val="2"/>
            <w:shd w:val="clear" w:color="auto" w:fill="EEEEEE"/>
          </w:tcPr>
          <w:p>
            <w:pPr>
              <w:jc w:val="right"/>
              <w:ind w:right="74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7,207</w:t>
            </w: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Sales tax refunds</w:t>
            </w:r>
          </w:p>
        </w:tc>
        <w:tc>
          <w:tcPr>
            <w:tcW w:w="9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w:t>
            </w:r>
          </w:p>
        </w:tc>
        <w:tc>
          <w:tcPr>
            <w:tcW w:w="8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803</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r>
      <w:tr>
        <w:trPr>
          <w:trHeight w:val="229"/>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shd w:val="clear" w:color="auto" w:fill="EEEEEE"/>
          </w:tcPr>
          <w:p>
            <w:pPr>
              <w:spacing w:after="0"/>
              <w:rPr>
                <w:sz w:val="19"/>
                <w:szCs w:val="19"/>
                <w:color w:val="auto"/>
              </w:rPr>
            </w:pPr>
          </w:p>
        </w:tc>
        <w:tc>
          <w:tcPr>
            <w:tcW w:w="5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880" w:type="dxa"/>
            <w:vAlign w:val="bottom"/>
            <w:shd w:val="clear" w:color="auto" w:fill="EEEEEE"/>
          </w:tcPr>
          <w:p>
            <w:pPr>
              <w:spacing w:after="0"/>
              <w:rPr>
                <w:sz w:val="19"/>
                <w:szCs w:val="19"/>
                <w:color w:val="auto"/>
              </w:rPr>
            </w:pPr>
          </w:p>
        </w:tc>
        <w:tc>
          <w:tcPr>
            <w:tcW w:w="6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4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EEEEEE"/>
          </w:tcPr>
          <w:p>
            <w:pPr>
              <w:spacing w:after="0"/>
              <w:rPr>
                <w:sz w:val="19"/>
                <w:szCs w:val="19"/>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for the period</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74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supplemental balance sheet information related to leases:</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7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51,093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29,575</w:t>
            </w:r>
          </w:p>
        </w:tc>
        <w:tc>
          <w:tcPr>
            <w:tcW w:w="0" w:type="dxa"/>
            <w:vAlign w:val="bottom"/>
          </w:tcPr>
          <w:p>
            <w:pPr>
              <w:spacing w:after="0"/>
              <w:rPr>
                <w:sz w:val="1"/>
                <w:szCs w:val="1"/>
                <w:color w:val="auto"/>
              </w:rPr>
            </w:pPr>
          </w:p>
        </w:tc>
      </w:tr>
      <w:tr>
        <w:trPr>
          <w:trHeight w:val="229"/>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Accumulated amortization right-of-use assets</w:t>
            </w:r>
          </w:p>
        </w:tc>
        <w:tc>
          <w:tcPr>
            <w:tcW w:w="5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(30,419)</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(26,651)</w:t>
            </w:r>
          </w:p>
        </w:tc>
        <w:tc>
          <w:tcPr>
            <w:tcW w:w="0" w:type="dxa"/>
            <w:vAlign w:val="bottom"/>
          </w:tcPr>
          <w:p>
            <w:pPr>
              <w:spacing w:after="0"/>
              <w:rPr>
                <w:sz w:val="1"/>
                <w:szCs w:val="1"/>
                <w:color w:val="auto"/>
              </w:rPr>
            </w:pPr>
          </w:p>
        </w:tc>
      </w:tr>
      <w:tr>
        <w:trPr>
          <w:trHeight w:val="263"/>
        </w:trPr>
        <w:tc>
          <w:tcPr>
            <w:tcW w:w="70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58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20,674</w:t>
            </w:r>
          </w:p>
        </w:tc>
        <w:tc>
          <w:tcPr>
            <w:tcW w:w="32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0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(22,601)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(3,220)</w:t>
            </w: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7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3,794</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3,474</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(3,460)</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(3,385)</w:t>
            </w:r>
          </w:p>
        </w:tc>
        <w:tc>
          <w:tcPr>
            <w:tcW w:w="0" w:type="dxa"/>
            <w:vAlign w:val="bottom"/>
          </w:tcPr>
          <w:p>
            <w:pPr>
              <w:spacing w:after="0"/>
              <w:rPr>
                <w:sz w:val="1"/>
                <w:szCs w:val="1"/>
                <w:color w:val="auto"/>
              </w:rPr>
            </w:pPr>
          </w:p>
        </w:tc>
      </w:tr>
      <w:tr>
        <w:trPr>
          <w:trHeight w:val="223"/>
        </w:trPr>
        <w:tc>
          <w:tcPr>
            <w:tcW w:w="70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7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(343)</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498"/>
        </w:trPr>
        <w:tc>
          <w:tcPr>
            <w:tcW w:w="7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Maturities of lease liabilities were as follows: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8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48"/>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180" w:type="dxa"/>
            <w:vAlign w:val="bottom"/>
          </w:tcPr>
          <w:p>
            <w:pPr>
              <w:spacing w:after="0"/>
              <w:rPr>
                <w:sz w:val="21"/>
                <w:szCs w:val="21"/>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0" w:type="dxa"/>
            <w:vAlign w:val="bottom"/>
          </w:tcPr>
          <w:p>
            <w:pPr>
              <w:spacing w:after="0"/>
              <w:rPr>
                <w:sz w:val="1"/>
                <w:szCs w:val="1"/>
                <w:color w:val="auto"/>
              </w:rPr>
            </w:pPr>
          </w:p>
        </w:tc>
      </w:tr>
      <w:tr>
        <w:trPr>
          <w:trHeight w:val="210"/>
        </w:trPr>
        <w:tc>
          <w:tcPr>
            <w:tcW w:w="7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2024 (excluding the nine months ended September 30, 2024)</w:t>
            </w:r>
          </w:p>
        </w:tc>
        <w:tc>
          <w:tcPr>
            <w:tcW w:w="5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5,233</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5,084</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5,242</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5,408</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4,747</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7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5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26,930</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(4,329)</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70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5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22,601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7080" w:type="dxa"/>
            <w:vAlign w:val="bottom"/>
            <w:tcBorders>
              <w:bottom w:val="single" w:sz="8" w:color="auto"/>
            </w:tcBorders>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lease expense included in General and administrative and Occupancy expense on our Unaudited Condensed Consolidated Statement of Operations:</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lease cost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720" w:type="dxa"/>
            <w:vAlign w:val="bottom"/>
            <w:gridSpan w:val="5"/>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gridSpan w:val="5"/>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480" w:type="dxa"/>
            <w:vAlign w:val="bottom"/>
          </w:tcPr>
          <w:p>
            <w:pPr>
              <w:spacing w:after="0"/>
              <w:rPr>
                <w:sz w:val="19"/>
                <w:szCs w:val="19"/>
                <w:color w:val="auto"/>
              </w:rPr>
            </w:pPr>
          </w:p>
        </w:tc>
      </w:tr>
      <w:tr>
        <w:trPr>
          <w:trHeight w:val="238"/>
        </w:trPr>
        <w:tc>
          <w:tcPr>
            <w:tcW w:w="9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ind w:right="436"/>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416"/>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80" w:type="dxa"/>
            <w:vAlign w:val="bottom"/>
            <w:tcBorders>
              <w:bottom w:val="single" w:sz="8" w:color="auto"/>
            </w:tcBorders>
          </w:tcPr>
          <w:p>
            <w:pPr>
              <w:spacing w:after="0"/>
              <w:rPr>
                <w:sz w:val="20"/>
                <w:szCs w:val="20"/>
                <w:color w:val="auto"/>
              </w:rPr>
            </w:pPr>
          </w:p>
        </w:tc>
      </w:tr>
      <w:tr>
        <w:trPr>
          <w:trHeight w:val="223"/>
        </w:trPr>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r>
      <w:tr>
        <w:trPr>
          <w:trHeight w:val="191"/>
        </w:trPr>
        <w:tc>
          <w:tcPr>
            <w:tcW w:w="980" w:type="dxa"/>
            <w:vAlign w:val="bottom"/>
          </w:tcPr>
          <w:p>
            <w:pPr>
              <w:spacing w:after="0"/>
              <w:rPr>
                <w:sz w:val="16"/>
                <w:szCs w:val="16"/>
                <w:color w:val="auto"/>
              </w:rPr>
            </w:pPr>
          </w:p>
        </w:tc>
        <w:tc>
          <w:tcPr>
            <w:tcW w:w="1740" w:type="dxa"/>
            <w:vAlign w:val="bottom"/>
            <w:gridSpan w:val="4"/>
          </w:tcPr>
          <w:p>
            <w:pPr>
              <w:jc w:val="center"/>
              <w:ind w:right="416"/>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80" w:type="dxa"/>
            <w:vAlign w:val="bottom"/>
            <w:gridSpan w:val="4"/>
          </w:tcPr>
          <w:p>
            <w:pPr>
              <w:jc w:val="center"/>
              <w:ind w:right="396"/>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480" w:type="dxa"/>
            <w:vAlign w:val="bottom"/>
          </w:tcPr>
          <w:p>
            <w:pPr>
              <w:spacing w:after="0"/>
              <w:rPr>
                <w:sz w:val="16"/>
                <w:szCs w:val="16"/>
                <w:color w:val="auto"/>
              </w:rPr>
            </w:pPr>
          </w:p>
        </w:tc>
      </w:tr>
      <w:tr>
        <w:trPr>
          <w:trHeight w:val="230"/>
        </w:trPr>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1,311</w:t>
            </w:r>
          </w:p>
        </w:tc>
        <w:tc>
          <w:tcPr>
            <w:tcW w:w="1120" w:type="dxa"/>
            <w:vAlign w:val="bottom"/>
            <w:gridSpan w:val="2"/>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1,410</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3,996</w:t>
            </w:r>
          </w:p>
        </w:tc>
        <w:tc>
          <w:tcPr>
            <w:tcW w:w="980" w:type="dxa"/>
            <w:vAlign w:val="bottom"/>
            <w:gridSpan w:val="2"/>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r>
      <w:tr>
        <w:trPr>
          <w:trHeight w:val="234"/>
        </w:trPr>
        <w:tc>
          <w:tcPr>
            <w:tcW w:w="9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96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-462280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-179070</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900" w:space="720"/>
            <w:col w:w="6620"/>
          </w:cols>
          <w:pgMar w:left="320" w:top="79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information related to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72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62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1740" w:type="dxa"/>
            <w:vAlign w:val="bottom"/>
            <w:gridSpan w:val="2"/>
          </w:tcPr>
          <w:p>
            <w:pPr>
              <w:jc w:val="center"/>
              <w:ind w:right="410"/>
              <w:spacing w:after="0" w:line="174"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gridSpan w:val="2"/>
          </w:tcPr>
          <w:p>
            <w:pPr>
              <w:jc w:val="center"/>
              <w:ind w:left="550"/>
              <w:spacing w:after="0" w:line="174"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980" w:type="dxa"/>
            <w:vAlign w:val="bottom"/>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1,311</w:t>
            </w:r>
          </w:p>
        </w:tc>
        <w:tc>
          <w:tcPr>
            <w:tcW w:w="1120" w:type="dxa"/>
            <w:vAlign w:val="bottom"/>
            <w:shd w:val="clear" w:color="auto" w:fill="EEEEEE"/>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1,410</w:t>
            </w:r>
          </w:p>
        </w:tc>
        <w:tc>
          <w:tcPr>
            <w:tcW w:w="320" w:type="dxa"/>
            <w:vAlign w:val="bottom"/>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3,996</w:t>
            </w:r>
          </w:p>
        </w:tc>
        <w:tc>
          <w:tcPr>
            <w:tcW w:w="600" w:type="dxa"/>
            <w:vAlign w:val="bottom"/>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4,181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1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980" w:type="dxa"/>
            <w:vAlign w:val="bottom"/>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shd w:val="clear" w:color="auto" w:fill="EEEEEE"/>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600" w:type="dxa"/>
            <w:vAlign w:val="bottom"/>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2024, we recorded stock-based compensation costs in the amount of $727,000 and $2.4 million, respectively. These stock-based compensation costs were $816,000 and $2.6 million for the three and nine months ended September 30, 2023. As of September 30, 2024, unrecognized stock-based compensation costs to be recognized over future periods equaled $3.7 million. This amount will be recognized as expense over a weighted-average period of 1.3 years.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stock option activity for the nine months ended September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74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29"/>
        </w:trPr>
        <w:tc>
          <w:tcPr>
            <w:tcW w:w="5740" w:type="dxa"/>
            <w:vAlign w:val="bottom"/>
          </w:tcPr>
          <w:p>
            <w:pPr>
              <w:spacing w:after="0"/>
              <w:rPr>
                <w:sz w:val="19"/>
                <w:szCs w:val="19"/>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9"/>
                <w:szCs w:val="19"/>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38"/>
        </w:trPr>
        <w:tc>
          <w:tcPr>
            <w:tcW w:w="574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60" w:type="dxa"/>
            <w:vAlign w:val="bottom"/>
          </w:tcPr>
          <w:p>
            <w:pPr>
              <w:spacing w:after="0"/>
              <w:rPr>
                <w:sz w:val="20"/>
                <w:szCs w:val="20"/>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 Term</w:t>
            </w:r>
          </w:p>
        </w:tc>
      </w:tr>
      <w:tr>
        <w:trPr>
          <w:trHeight w:val="210"/>
        </w:trPr>
        <w:tc>
          <w:tcPr>
            <w:tcW w:w="57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beginning of period</w:t>
            </w: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94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(1,700)</w:t>
            </w: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4.01</w:t>
            </w:r>
          </w:p>
        </w:tc>
        <w:tc>
          <w:tcPr>
            <w:tcW w:w="1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7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end of period</w:t>
            </w: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680" w:type="dxa"/>
            <w:vAlign w:val="bottom"/>
            <w:tcBorders>
              <w:top w:val="single" w:sz="8" w:color="EEEEEE"/>
              <w:bottom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2.91 years</w:t>
            </w:r>
          </w:p>
        </w:tc>
      </w:tr>
      <w:tr>
        <w:trPr>
          <w:trHeight w:val="20"/>
        </w:trPr>
        <w:tc>
          <w:tcPr>
            <w:tcW w:w="57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7"/>
        </w:trPr>
        <w:tc>
          <w:tcPr>
            <w:tcW w:w="5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43"/>
        </w:trPr>
        <w:tc>
          <w:tcPr>
            <w:tcW w:w="5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exercisable at the end of period</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5,145</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4.75</w:t>
            </w:r>
          </w:p>
        </w:tc>
        <w:tc>
          <w:tcPr>
            <w:tcW w:w="1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2.63 years</w:t>
            </w:r>
          </w:p>
        </w:tc>
      </w:tr>
      <w:tr>
        <w:trPr>
          <w:trHeight w:val="20"/>
        </w:trPr>
        <w:tc>
          <w:tcPr>
            <w:tcW w:w="574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price distribution of stock options outstanding and exercisable for the years ended September 30, 2024 and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40" w:type="dxa"/>
            <w:vAlign w:val="bottom"/>
          </w:tcPr>
          <w:p>
            <w:pPr>
              <w:spacing w:after="0"/>
              <w:rPr>
                <w:sz w:val="19"/>
                <w:szCs w:val="19"/>
                <w:color w:val="auto"/>
              </w:rPr>
            </w:pPr>
          </w:p>
        </w:tc>
        <w:tc>
          <w:tcPr>
            <w:tcW w:w="3840" w:type="dxa"/>
            <w:vAlign w:val="bottom"/>
            <w:gridSpan w:val="4"/>
          </w:tcPr>
          <w:p>
            <w:pPr>
              <w:ind w:left="880"/>
              <w:spacing w:after="0"/>
              <w:rPr>
                <w:sz w:val="20"/>
                <w:szCs w:val="20"/>
                <w:color w:val="auto"/>
              </w:rPr>
            </w:pPr>
            <w:r>
              <w:rPr>
                <w:rFonts w:ascii="Times New Roman" w:cs="Times New Roman" w:eastAsia="Times New Roman" w:hAnsi="Times New Roman"/>
                <w:sz w:val="18"/>
                <w:szCs w:val="18"/>
                <w:b w:val="1"/>
                <w:bCs w:val="1"/>
                <w:color w:val="auto"/>
              </w:rPr>
              <w:t>Number of shares as of</w:t>
            </w:r>
          </w:p>
        </w:tc>
        <w:tc>
          <w:tcPr>
            <w:tcW w:w="356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Number of shares as of</w:t>
            </w:r>
          </w:p>
        </w:tc>
      </w:tr>
      <w:tr>
        <w:trPr>
          <w:trHeight w:val="238"/>
        </w:trPr>
        <w:tc>
          <w:tcPr>
            <w:tcW w:w="3840" w:type="dxa"/>
            <w:vAlign w:val="bottom"/>
          </w:tcPr>
          <w:p>
            <w:pPr>
              <w:spacing w:after="0"/>
              <w:rPr>
                <w:sz w:val="20"/>
                <w:szCs w:val="20"/>
                <w:color w:val="auto"/>
              </w:rPr>
            </w:pPr>
          </w:p>
        </w:tc>
        <w:tc>
          <w:tcPr>
            <w:tcW w:w="3840" w:type="dxa"/>
            <w:vAlign w:val="bottom"/>
            <w:gridSpan w:val="4"/>
          </w:tcPr>
          <w:p>
            <w:pPr>
              <w:ind w:left="10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56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3840" w:type="dxa"/>
            <w:vAlign w:val="bottom"/>
          </w:tcPr>
          <w:p>
            <w:pPr>
              <w:spacing w:after="0"/>
              <w:rPr>
                <w:sz w:val="19"/>
                <w:szCs w:val="19"/>
                <w:color w:val="auto"/>
              </w:rPr>
            </w:pPr>
          </w:p>
        </w:tc>
        <w:tc>
          <w:tcPr>
            <w:tcW w:w="1940" w:type="dxa"/>
            <w:vAlign w:val="bottom"/>
            <w:tcBorders>
              <w:top w:val="single" w:sz="8" w:color="auto"/>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5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320" w:type="dxa"/>
            <w:vAlign w:val="bottom"/>
          </w:tcPr>
          <w:p>
            <w:pPr>
              <w:spacing w:after="0"/>
              <w:rPr>
                <w:sz w:val="19"/>
                <w:szCs w:val="19"/>
                <w:color w:val="auto"/>
              </w:rPr>
            </w:pPr>
          </w:p>
        </w:tc>
        <w:tc>
          <w:tcPr>
            <w:tcW w:w="1880" w:type="dxa"/>
            <w:vAlign w:val="bottom"/>
            <w:tcBorders>
              <w:top w:val="single" w:sz="8" w:color="auto"/>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5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00" w:type="dxa"/>
            <w:vAlign w:val="bottom"/>
            <w:gridSpan w:val="2"/>
          </w:tcPr>
          <w:p>
            <w:pPr>
              <w:spacing w:after="0"/>
              <w:rPr>
                <w:sz w:val="19"/>
                <w:szCs w:val="19"/>
                <w:color w:val="auto"/>
              </w:rPr>
            </w:pPr>
          </w:p>
        </w:tc>
      </w:tr>
      <w:tr>
        <w:trPr>
          <w:trHeight w:val="209"/>
        </w:trPr>
        <w:tc>
          <w:tcPr>
            <w:tcW w:w="3840" w:type="dxa"/>
            <w:vAlign w:val="bottom"/>
          </w:tcPr>
          <w:p>
            <w:pPr>
              <w:spacing w:after="0"/>
              <w:rPr>
                <w:sz w:val="18"/>
                <w:szCs w:val="18"/>
                <w:color w:val="auto"/>
              </w:rPr>
            </w:pPr>
          </w:p>
        </w:tc>
        <w:tc>
          <w:tcPr>
            <w:tcW w:w="3520" w:type="dxa"/>
            <w:vAlign w:val="bottom"/>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8"/>
                <w:szCs w:val="18"/>
                <w:color w:val="auto"/>
              </w:rPr>
            </w:pPr>
          </w:p>
        </w:tc>
        <w:tc>
          <w:tcPr>
            <w:tcW w:w="3460" w:type="dxa"/>
            <w:vAlign w:val="bottom"/>
            <w:gridSpan w:val="3"/>
          </w:tcPr>
          <w:p>
            <w:pPr>
              <w:ind w:left="11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gridSpan w:val="2"/>
          </w:tcPr>
          <w:p>
            <w:pPr>
              <w:spacing w:after="0"/>
              <w:rPr>
                <w:sz w:val="18"/>
                <w:szCs w:val="18"/>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6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$2.00 - $2.99</w:t>
            </w:r>
          </w:p>
        </w:tc>
        <w:tc>
          <w:tcPr>
            <w:tcW w:w="19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1,205</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1,205</w:t>
            </w:r>
          </w:p>
        </w:tc>
        <w:tc>
          <w:tcPr>
            <w:tcW w:w="18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1,410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tcPr>
          <w:p>
            <w:pPr>
              <w:spacing w:after="0"/>
              <w:rPr>
                <w:sz w:val="18"/>
                <w:szCs w:val="18"/>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$3.00 - $3.99</w:t>
            </w:r>
          </w:p>
        </w:tc>
        <w:tc>
          <w:tcPr>
            <w:tcW w:w="1940" w:type="dxa"/>
            <w:vAlign w:val="bottom"/>
            <w:gridSpan w:val="2"/>
            <w:shd w:val="clear" w:color="auto" w:fill="EEEEEE"/>
          </w:tcPr>
          <w:p>
            <w:pPr>
              <w:ind w:left="1200"/>
              <w:spacing w:after="0"/>
              <w:rPr>
                <w:sz w:val="20"/>
                <w:szCs w:val="20"/>
                <w:color w:val="auto"/>
              </w:rPr>
            </w:pPr>
            <w:r>
              <w:rPr>
                <w:rFonts w:ascii="Times New Roman" w:cs="Times New Roman" w:eastAsia="Times New Roman" w:hAnsi="Times New Roman"/>
                <w:sz w:val="18"/>
                <w:szCs w:val="18"/>
                <w:color w:val="auto"/>
              </w:rPr>
              <w:t>2,046</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2,046</w:t>
            </w:r>
          </w:p>
        </w:tc>
        <w:tc>
          <w:tcPr>
            <w:tcW w:w="1880" w:type="dxa"/>
            <w:vAlign w:val="bottom"/>
            <w:gridSpan w:val="2"/>
            <w:shd w:val="clear" w:color="auto" w:fill="EEEEEE"/>
          </w:tcPr>
          <w:p>
            <w:pPr>
              <w:ind w:left="1160"/>
              <w:spacing w:after="0"/>
              <w:rPr>
                <w:sz w:val="20"/>
                <w:szCs w:val="20"/>
                <w:color w:val="auto"/>
              </w:rPr>
            </w:pPr>
            <w:r>
              <w:rPr>
                <w:rFonts w:ascii="Times New Roman" w:cs="Times New Roman" w:eastAsia="Times New Roman" w:hAnsi="Times New Roman"/>
                <w:sz w:val="18"/>
                <w:szCs w:val="18"/>
                <w:color w:val="auto"/>
              </w:rPr>
              <w:t>2,473</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2,473</w:t>
            </w:r>
          </w:p>
        </w:tc>
        <w:tc>
          <w:tcPr>
            <w:tcW w:w="80" w:type="dxa"/>
            <w:vAlign w:val="bottom"/>
            <w:shd w:val="clear" w:color="auto" w:fill="EEEEEE"/>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$4.00 - $4.99</w:t>
            </w:r>
          </w:p>
        </w:tc>
        <w:tc>
          <w:tcPr>
            <w:tcW w:w="19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1,262</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972</w:t>
            </w:r>
          </w:p>
        </w:tc>
        <w:tc>
          <w:tcPr>
            <w:tcW w:w="18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2,539</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1,929</w:t>
            </w:r>
          </w:p>
        </w:tc>
        <w:tc>
          <w:tcPr>
            <w:tcW w:w="80" w:type="dxa"/>
            <w:vAlign w:val="bottom"/>
          </w:tcPr>
          <w:p>
            <w:pPr>
              <w:spacing w:after="0"/>
              <w:rPr>
                <w:sz w:val="18"/>
                <w:szCs w:val="18"/>
                <w:color w:val="auto"/>
              </w:rPr>
            </w:pPr>
          </w:p>
        </w:tc>
      </w:tr>
      <w:tr>
        <w:trPr>
          <w:trHeight w:val="230"/>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$10.00 - $10.99</w:t>
            </w:r>
          </w:p>
        </w:tc>
        <w:tc>
          <w:tcPr>
            <w:tcW w:w="1940" w:type="dxa"/>
            <w:vAlign w:val="bottom"/>
            <w:gridSpan w:val="2"/>
            <w:shd w:val="clear" w:color="auto" w:fill="EEEEEE"/>
          </w:tcPr>
          <w:p>
            <w:pPr>
              <w:ind w:left="1200"/>
              <w:spacing w:after="0"/>
              <w:rPr>
                <w:sz w:val="20"/>
                <w:szCs w:val="20"/>
                <w:color w:val="auto"/>
              </w:rPr>
            </w:pPr>
            <w:r>
              <w:rPr>
                <w:rFonts w:ascii="Times New Roman" w:cs="Times New Roman" w:eastAsia="Times New Roman" w:hAnsi="Times New Roman"/>
                <w:sz w:val="18"/>
                <w:szCs w:val="18"/>
                <w:color w:val="auto"/>
              </w:rPr>
              <w:t>1,642</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922</w:t>
            </w:r>
          </w:p>
        </w:tc>
        <w:tc>
          <w:tcPr>
            <w:tcW w:w="1880" w:type="dxa"/>
            <w:vAlign w:val="bottom"/>
            <w:gridSpan w:val="2"/>
            <w:shd w:val="clear" w:color="auto" w:fill="EEEEEE"/>
          </w:tcPr>
          <w:p>
            <w:pPr>
              <w:ind w:left="1160"/>
              <w:spacing w:after="0"/>
              <w:rPr>
                <w:sz w:val="20"/>
                <w:szCs w:val="20"/>
                <w:color w:val="auto"/>
              </w:rPr>
            </w:pPr>
            <w:r>
              <w:rPr>
                <w:rFonts w:ascii="Times New Roman" w:cs="Times New Roman" w:eastAsia="Times New Roman" w:hAnsi="Times New Roman"/>
                <w:sz w:val="18"/>
                <w:szCs w:val="18"/>
                <w:color w:val="auto"/>
              </w:rPr>
              <w:t>1,703</w:t>
            </w:r>
          </w:p>
        </w:tc>
        <w:tc>
          <w:tcPr>
            <w:tcW w:w="16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60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3"/>
              </w:rPr>
              <w:t>6,155</w:t>
            </w:r>
          </w:p>
        </w:tc>
        <w:tc>
          <w:tcPr>
            <w:tcW w:w="34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320" w:type="dxa"/>
            <w:vAlign w:val="bottom"/>
          </w:tcPr>
          <w:p>
            <w:pPr>
              <w:spacing w:after="0"/>
              <w:rPr>
                <w:sz w:val="19"/>
                <w:szCs w:val="19"/>
                <w:color w:val="auto"/>
              </w:rPr>
            </w:pPr>
          </w:p>
        </w:tc>
        <w:tc>
          <w:tcPr>
            <w:tcW w:w="156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w w:val="93"/>
              </w:rPr>
              <w:t>8,125</w:t>
            </w:r>
          </w:p>
        </w:tc>
        <w:tc>
          <w:tcPr>
            <w:tcW w:w="3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2024 the aggregate intrinsic value of options outstanding and exercisable was $25.9 million and $24.6 million, respectively. There were 1.7 million options exercised for the nine months ended September 30, 2024 compared to 2.8 million for the comparable period in 2023. The total intrinsic value of options exercised was $8.0 million and $13.5 million for the nine-month periods ended September 30, 2024 and 2023. There were 2,954,000 shares available for future stock option grants under existing plans as of September 30, 2024.</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Company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describes the purchase of our common stock for the nine-month ended September 30, 2024 and 2023:</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 market purchases</w:t>
      </w:r>
    </w:p>
    <w:p>
      <w:pPr>
        <w:spacing w:after="0" w:line="27"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Shares redeemed upon net exercise of stock options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 purchases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340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020" w:type="dxa"/>
            <w:vAlign w:val="bottom"/>
            <w:gridSpan w:val="6"/>
          </w:tcPr>
          <w:p>
            <w:pPr>
              <w:ind w:left="740"/>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23"/>
        </w:trPr>
        <w:tc>
          <w:tcPr>
            <w:tcW w:w="170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320" w:type="dxa"/>
            <w:vAlign w:val="bottom"/>
          </w:tcPr>
          <w:p>
            <w:pPr>
              <w:spacing w:after="0"/>
              <w:rPr>
                <w:sz w:val="19"/>
                <w:szCs w:val="19"/>
                <w:color w:val="auto"/>
              </w:rPr>
            </w:pPr>
          </w:p>
        </w:tc>
        <w:tc>
          <w:tcPr>
            <w:tcW w:w="166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20" w:type="dxa"/>
            <w:vAlign w:val="bottom"/>
          </w:tcPr>
          <w:p>
            <w:pPr>
              <w:spacing w:after="0"/>
              <w:rPr>
                <w:sz w:val="19"/>
                <w:szCs w:val="19"/>
                <w:color w:val="auto"/>
              </w:rPr>
            </w:pPr>
          </w:p>
        </w:tc>
      </w:tr>
      <w:tr>
        <w:trPr>
          <w:trHeight w:val="191"/>
        </w:trPr>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473,202</w:t>
            </w:r>
          </w:p>
        </w:tc>
        <w:tc>
          <w:tcPr>
            <w:tcW w:w="34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8.67</w:t>
            </w:r>
          </w:p>
        </w:tc>
        <w:tc>
          <w:tcPr>
            <w:tcW w:w="320" w:type="dxa"/>
            <w:vAlign w:val="bottom"/>
          </w:tcPr>
          <w:p>
            <w:pPr>
              <w:spacing w:after="0"/>
              <w:rPr>
                <w:sz w:val="16"/>
                <w:szCs w:val="16"/>
                <w:color w:val="auto"/>
              </w:rPr>
            </w:pPr>
          </w:p>
        </w:tc>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625,887</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11.20</w:t>
            </w:r>
          </w:p>
        </w:tc>
        <w:tc>
          <w:tcPr>
            <w:tcW w:w="20" w:type="dxa"/>
            <w:vAlign w:val="bottom"/>
          </w:tcPr>
          <w:p>
            <w:pPr>
              <w:spacing w:after="0"/>
              <w:rPr>
                <w:sz w:val="16"/>
                <w:szCs w:val="16"/>
                <w:color w:val="auto"/>
              </w:rPr>
            </w:pPr>
          </w:p>
        </w:tc>
      </w:tr>
      <w:tr>
        <w:trPr>
          <w:trHeight w:val="230"/>
        </w:trPr>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876,456</w:t>
            </w:r>
          </w:p>
        </w:tc>
        <w:tc>
          <w:tcPr>
            <w:tcW w:w="2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8.66</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1,224,673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13.56</w:t>
            </w:r>
          </w:p>
        </w:tc>
      </w:tr>
      <w:tr>
        <w:trPr>
          <w:trHeight w:val="234"/>
        </w:trPr>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120,000</w:t>
            </w:r>
          </w:p>
        </w:tc>
        <w:tc>
          <w:tcPr>
            <w:tcW w:w="20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9.49</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1,469,658</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1,850,560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11.80</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-607695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-325120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4020" w:space="720"/>
            <w:col w:w="6500"/>
          </w:cols>
          <w:pgMar w:left="320" w:top="792" w:right="339" w:bottom="1440" w:gutter="0" w:footer="0" w:header="0"/>
          <w:type w:val="continuous"/>
        </w:sectPr>
      </w:pPr>
    </w:p>
    <w:p>
      <w:pPr>
        <w:spacing w:after="0" w:line="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Some items in the prior year financial statements were reclassified to conform to the current presentation. Reclassifications had no effect on net income or shareholders’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September 30, 2024,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Contingent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which is intended to enhance the disclosures on reportable segments. This new standard will be effective for annual reporting periods beginning after December 15, 2023, with early adoption permitted. The Company is currently evaluating the impact of ASU 2023-07; however, at the current time, the Company does not believe this ASU will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which is intended to provide greater transparency in various income tax components that affect the rate reconciliation based on the applicable taxing jurisdictions, as well as the qualitative and quantitative aspects of those components. This new standard will be effective for annual reporting periods beginning on or after December 15, 2024, with early adoption permitted. The Company is currently evaluating the impact of ASU 2023-09; however, at the current time, the Company does not believe this ASU will have a material impact on its consolidated financial statements.</w:t>
      </w:r>
    </w:p>
    <w:p>
      <w:pPr>
        <w:spacing w:after="0" w:line="179"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Finance Receivables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reported as delinquent. In certain circumstances we will grant obligors one-month payment extensions.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The following table summarizes the delinquency status of finance receivables as of September 30, 2024 and December 31, 2023:</w:t>
      </w:r>
    </w:p>
    <w:p>
      <w:pPr>
        <w:spacing w:after="0" w:line="185"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4"/>
          </w:tcPr>
          <w:p>
            <w:pPr>
              <w:ind w:left="8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gridSpan w:val="2"/>
          </w:tcPr>
          <w:p>
            <w:pPr>
              <w:spacing w:after="0"/>
              <w:rPr>
                <w:sz w:val="18"/>
                <w:szCs w:val="18"/>
                <w:color w:val="auto"/>
              </w:rPr>
            </w:pPr>
          </w:p>
        </w:tc>
      </w:tr>
      <w:tr>
        <w:trPr>
          <w:trHeight w:val="216"/>
        </w:trPr>
        <w:tc>
          <w:tcPr>
            <w:tcW w:w="5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Delinquency Status</w:t>
            </w: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4,687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17,771</w:t>
            </w:r>
          </w:p>
        </w:tc>
        <w:tc>
          <w:tcPr>
            <w:tcW w:w="100" w:type="dxa"/>
            <w:vAlign w:val="bottom"/>
          </w:tcPr>
          <w:p>
            <w:pPr>
              <w:spacing w:after="0"/>
              <w:rPr>
                <w:sz w:val="18"/>
                <w:szCs w:val="18"/>
                <w:color w:val="auto"/>
              </w:rPr>
            </w:pPr>
          </w:p>
        </w:tc>
      </w:tr>
      <w:tr>
        <w:trPr>
          <w:trHeight w:val="216"/>
        </w:trPr>
        <w:tc>
          <w:tcPr>
            <w:tcW w:w="5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31-60 days</w:t>
            </w:r>
          </w:p>
        </w:tc>
        <w:tc>
          <w:tcPr>
            <w:tcW w:w="1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5,626</w:t>
            </w:r>
          </w:p>
        </w:tc>
        <w:tc>
          <w:tcPr>
            <w:tcW w:w="100" w:type="dxa"/>
            <w:vAlign w:val="bottom"/>
            <w:shd w:val="clear" w:color="auto" w:fill="EEEEEE"/>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61-90 days</w:t>
            </w:r>
          </w:p>
        </w:tc>
        <w:tc>
          <w:tcPr>
            <w:tcW w:w="10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Pr>
          <w:p>
            <w:pPr>
              <w:spacing w:after="0"/>
              <w:rPr>
                <w:sz w:val="18"/>
                <w:szCs w:val="18"/>
                <w:color w:val="auto"/>
              </w:rPr>
            </w:pPr>
          </w:p>
        </w:tc>
      </w:tr>
      <w:tr>
        <w:trPr>
          <w:trHeight w:val="230"/>
        </w:trPr>
        <w:tc>
          <w:tcPr>
            <w:tcW w:w="5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91 + days</w:t>
            </w:r>
          </w:p>
        </w:tc>
        <w:tc>
          <w:tcPr>
            <w:tcW w:w="1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EEEEEE"/>
          </w:tcPr>
          <w:p>
            <w:pPr>
              <w:spacing w:after="0"/>
              <w:rPr>
                <w:sz w:val="19"/>
                <w:szCs w:val="19"/>
                <w:color w:val="auto"/>
              </w:rPr>
            </w:pPr>
          </w:p>
        </w:tc>
      </w:tr>
      <w:tr>
        <w:trPr>
          <w:trHeight w:val="223"/>
        </w:trPr>
        <w:tc>
          <w:tcPr>
            <w:tcW w:w="5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3"/>
              </w:rPr>
              <w:t>8,274</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Finance receivables totaling $371,000 and $1.1 million at September 30, 2024 and December 31, 2023, respectively, have been placed on non-accrual status as a result of their delinquency status.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 Finance Receivables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amortized cost basis of finance receivables to present the net amount expected to be collected. Charge offs are deducted from the allowance when management believes that collectability is unlikely.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estimates the allowance using relevant available information, from internal and external sources, relating to past events, current conditions and, reasonable and supportable forecasts. We believe our historical credit loss experience provides the best basis for the estimation of expected credit losses. Consequently, we use historical loss experience for older receivables, aggregated into vintage pools based on their calendar quarter of origination, to forecast expected losses for less seasoned quarterly vintage pools.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measure the weighted average monthly incremental change in cumulative net losses for the vintage pools in the relevant historical period. For the pools in the relevant historical period, we consider each pool’s performance from its inception through the end of the current period. We then apply the results of the historical analysis to less seasoned vintage pools beginning with each vintage pool’s most recent actual cumulative net loss experience and extrapolating from that point based on the historical data. We believe the pattern and magnitude of losses on older vintages allows us to establish a reasonable and supportable forecast of less seasoned vintages.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contract purchase guidelines are designed to produce a homogenous portfolio. For key credit characteristics of individual contracts such as obligor credit history, job stability, residence stability and ability to pay, there is relatively little variation from the average for the portfolio. Similarly, for key structural characteristics such as loan-to-value, length of contract, monthly payment and amount financed, there is relatively little variation from the average for the portfolio. Consequently, we do not believe there are significant differences in risk characteristics between various segments of our portfolio.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methodology incorporates historical pools that are sufficiently seasoned to capture the magnitude and trends of losses within those vintage pools. Furthermore, the historical period encompasses a substantial volume of receivables over periods that include fluctuations in the competitive landscape, the Company’s rates of growth, size of our managed portfolio and fluctuations in economic growth and unemployment.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consideration of the depth and breadth of the historical period, and the homogeneity of our portfolio, we generally do not adjust historical loss information for differences in risk characteristics such as credit or structural composition of segments of the portfolio or for changes in environmental conditions such as changes in unemployment rates, collateral values or other factors. Throughout our history we have observed how events such as extreme weather, political unrest, and other qualitative factors have influenced the performance of our portfolio. Consequently, we have considered how such qualitative factors may affect future credit losses and have incorporated our judgement of the effect of those factors into our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our finance receivables by annual vintage as of September 30, 2024 and December 31, 2023.</w:t>
      </w:r>
    </w:p>
    <w:p>
      <w:pPr>
        <w:spacing w:after="0" w:line="221"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180" w:type="dxa"/>
            <w:vAlign w:val="bottom"/>
            <w:gridSpan w:val="4"/>
            <w:vMerge w:val="restart"/>
          </w:tcPr>
          <w:p>
            <w:pPr>
              <w:jc w:val="right"/>
              <w:ind w:right="1516"/>
              <w:spacing w:after="0"/>
              <w:rPr>
                <w:sz w:val="20"/>
                <w:szCs w:val="20"/>
                <w:color w:val="auto"/>
              </w:rPr>
            </w:pPr>
            <w:r>
              <w:rPr>
                <w:rFonts w:ascii="Times New Roman" w:cs="Times New Roman" w:eastAsia="Times New Roman" w:hAnsi="Times New Roman"/>
                <w:sz w:val="18"/>
                <w:szCs w:val="18"/>
                <w:color w:val="auto"/>
              </w:rPr>
              <w:t>Annual Vintage Pool</w:t>
            </w:r>
          </w:p>
        </w:tc>
        <w:tc>
          <w:tcPr>
            <w:tcW w:w="334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180" w:type="dxa"/>
            <w:vAlign w:val="bottom"/>
            <w:gridSpan w:val="4"/>
            <w:vMerge w:val="continue"/>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2014 and prior</w:t>
            </w:r>
          </w:p>
        </w:tc>
        <w:tc>
          <w:tcPr>
            <w:tcW w:w="318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2,101</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7,673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5,645</w:t>
            </w:r>
          </w:p>
        </w:tc>
        <w:tc>
          <w:tcPr>
            <w:tcW w:w="18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1500" w:type="dxa"/>
            <w:vAlign w:val="bottom"/>
            <w:tcBorders>
              <w:top w:val="single" w:sz="8" w:color="EEEEEE"/>
              <w:bottom w:val="single" w:sz="8" w:color="EEEEEE"/>
            </w:tcBorders>
            <w:shd w:val="clear" w:color="auto" w:fill="EEEEEE"/>
          </w:tcPr>
          <w:p>
            <w:pPr>
              <w:spacing w:after="0"/>
              <w:rPr>
                <w:sz w:val="19"/>
                <w:szCs w:val="19"/>
                <w:color w:val="auto"/>
              </w:rPr>
            </w:pPr>
          </w:p>
        </w:tc>
        <w:tc>
          <w:tcPr>
            <w:tcW w:w="14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27,553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activity for the allowance for finance credit losses for the three-month and nine-month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2580" w:type="dxa"/>
            <w:vAlign w:val="bottom"/>
            <w:gridSpan w:val="5"/>
          </w:tcPr>
          <w:p>
            <w:pPr>
              <w:jc w:val="center"/>
              <w:ind w:left="413"/>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0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7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80" w:type="dxa"/>
            <w:vAlign w:val="bottom"/>
            <w:gridSpan w:val="4"/>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00" w:type="dxa"/>
            <w:vAlign w:val="bottom"/>
            <w:shd w:val="clear" w:color="auto" w:fill="EEEEEE"/>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684</w:t>
            </w:r>
          </w:p>
        </w:tc>
        <w:tc>
          <w:tcPr>
            <w:tcW w:w="1020" w:type="dxa"/>
            <w:vAlign w:val="bottom"/>
            <w:gridSpan w:val="2"/>
            <w:shd w:val="clear" w:color="auto" w:fill="EEEEEE"/>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5,721</w:t>
            </w:r>
          </w:p>
        </w:tc>
        <w:tc>
          <w:tcPr>
            <w:tcW w:w="860" w:type="dxa"/>
            <w:vAlign w:val="bottom"/>
            <w:shd w:val="clear" w:color="auto" w:fill="EEEEEE"/>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2,869</w:t>
            </w:r>
          </w:p>
        </w:tc>
        <w:tc>
          <w:tcPr>
            <w:tcW w:w="580" w:type="dxa"/>
            <w:vAlign w:val="bottom"/>
            <w:gridSpan w:val="2"/>
            <w:shd w:val="clear" w:color="auto" w:fill="EEEEE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21,753</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 on finance receivables</w:t>
            </w:r>
          </w:p>
        </w:tc>
        <w:tc>
          <w:tcPr>
            <w:tcW w:w="9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w:t>
            </w:r>
          </w:p>
        </w:tc>
        <w:tc>
          <w:tcPr>
            <w:tcW w:w="8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(4,579)</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(20,700)</w:t>
            </w: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Charge-offs</w:t>
            </w:r>
          </w:p>
        </w:tc>
        <w:tc>
          <w:tcPr>
            <w:tcW w:w="90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(544)</w:t>
            </w: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(1,477)</w:t>
            </w:r>
          </w:p>
        </w:tc>
        <w:tc>
          <w:tcPr>
            <w:tcW w:w="8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w w:val="98"/>
              </w:rPr>
              <w:t>(1,976)</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(6,391)</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9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1,340</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1,984</w:t>
            </w:r>
          </w:p>
        </w:tc>
        <w:tc>
          <w:tcPr>
            <w:tcW w:w="8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4,172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9,566</w:t>
            </w:r>
          </w:p>
        </w:tc>
      </w:tr>
      <w:tr>
        <w:trPr>
          <w:trHeight w:val="223"/>
        </w:trPr>
        <w:tc>
          <w:tcPr>
            <w:tcW w:w="47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900" w:type="dxa"/>
            <w:vAlign w:val="bottom"/>
            <w:tcBorders>
              <w:top w:val="single" w:sz="8" w:color="auto"/>
              <w:bottom w:val="single" w:sz="8" w:color="auto"/>
            </w:tcBorders>
            <w:shd w:val="clear" w:color="auto" w:fill="EEEEEE"/>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shd w:val="clear" w:color="auto" w:fill="EEEEEE"/>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860" w:type="dxa"/>
            <w:vAlign w:val="bottom"/>
            <w:tcBorders>
              <w:top w:val="single" w:sz="8" w:color="auto"/>
              <w:bottom w:val="single" w:sz="8" w:color="auto"/>
            </w:tcBorders>
            <w:shd w:val="clear" w:color="auto" w:fill="EEEEEE"/>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gross charge-offs by year of origination of our finance receivables for the three-month and nine-month ended September 30,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20" w:type="dxa"/>
            <w:vAlign w:val="bottom"/>
            <w:gridSpan w:val="5"/>
          </w:tcPr>
          <w:p>
            <w:pPr>
              <w:jc w:val="center"/>
              <w:ind w:left="373"/>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left="353"/>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1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right="356"/>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gridSpan w:val="4"/>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60" w:type="dxa"/>
            <w:vAlign w:val="bottom"/>
            <w:gridSpan w:val="4"/>
          </w:tcPr>
          <w:p>
            <w:pPr>
              <w:jc w:val="center"/>
              <w:ind w:right="336"/>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500" w:type="dxa"/>
            <w:vAlign w:val="bottom"/>
            <w:shd w:val="clear" w:color="auto" w:fill="EEEEEE"/>
          </w:tcPr>
          <w:p>
            <w:pPr>
              <w:spacing w:after="0"/>
              <w:rPr>
                <w:sz w:val="17"/>
                <w:szCs w:val="17"/>
                <w:color w:val="auto"/>
              </w:rPr>
            </w:pPr>
          </w:p>
        </w:tc>
        <w:tc>
          <w:tcPr>
            <w:tcW w:w="3240" w:type="dxa"/>
            <w:vAlign w:val="bottom"/>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rPr>
              <w:t>Annual Vintage Pool</w:t>
            </w:r>
          </w:p>
        </w:tc>
        <w:tc>
          <w:tcPr>
            <w:tcW w:w="9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1500" w:type="dxa"/>
            <w:vAlign w:val="bottom"/>
            <w:tcBorders>
              <w:top w:val="single" w:sz="8" w:color="EEEEEE"/>
            </w:tcBorders>
          </w:tcPr>
          <w:p>
            <w:pPr>
              <w:spacing w:after="0"/>
              <w:rPr>
                <w:sz w:val="20"/>
                <w:szCs w:val="20"/>
                <w:color w:val="auto"/>
              </w:rPr>
            </w:pPr>
            <w:r>
              <w:rPr>
                <w:rFonts w:ascii="Times New Roman" w:cs="Times New Roman" w:eastAsia="Times New Roman" w:hAnsi="Times New Roman"/>
                <w:sz w:val="18"/>
                <w:szCs w:val="18"/>
                <w:color w:val="auto"/>
              </w:rPr>
              <w:t>2014 and prior</w:t>
            </w:r>
          </w:p>
        </w:tc>
        <w:tc>
          <w:tcPr>
            <w:tcW w:w="1500" w:type="dxa"/>
            <w:vAlign w:val="bottom"/>
            <w:tcBorders>
              <w:top w:val="single" w:sz="8" w:color="auto"/>
            </w:tcBorders>
          </w:tcPr>
          <w:p>
            <w:pPr>
              <w:spacing w:after="0"/>
              <w:rPr>
                <w:sz w:val="18"/>
                <w:szCs w:val="18"/>
                <w:color w:val="auto"/>
              </w:rPr>
            </w:pPr>
          </w:p>
        </w:tc>
        <w:tc>
          <w:tcPr>
            <w:tcW w:w="1740" w:type="dxa"/>
            <w:vAlign w:val="bottom"/>
            <w:tcBorders>
              <w:top w:val="single" w:sz="8" w:color="EEEEEE"/>
            </w:tcBorders>
          </w:tcPr>
          <w:p>
            <w:pPr>
              <w:spacing w:after="0"/>
              <w:rPr>
                <w:sz w:val="18"/>
                <w:szCs w:val="18"/>
                <w:color w:val="auto"/>
              </w:rPr>
            </w:pPr>
          </w:p>
        </w:tc>
        <w:tc>
          <w:tcPr>
            <w:tcW w:w="920" w:type="dxa"/>
            <w:vAlign w:val="bottom"/>
            <w:tcBorders>
              <w:top w:val="single" w:sz="8" w:color="EEEEEE"/>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EEEEEE"/>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1060" w:type="dxa"/>
            <w:vAlign w:val="bottom"/>
            <w:tcBorders>
              <w:top w:val="single" w:sz="8" w:color="EEEEEE"/>
            </w:tcBorders>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EEEEEE"/>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w:t>
            </w:r>
          </w:p>
        </w:tc>
        <w:tc>
          <w:tcPr>
            <w:tcW w:w="880" w:type="dxa"/>
            <w:vAlign w:val="bottom"/>
            <w:tcBorders>
              <w:top w:val="single" w:sz="8" w:color="EEEEEE"/>
            </w:tcBorders>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EEEEEE"/>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249</w:t>
            </w:r>
          </w:p>
        </w:tc>
        <w:tc>
          <w:tcPr>
            <w:tcW w:w="1020" w:type="dxa"/>
            <w:vAlign w:val="bottom"/>
            <w:tcBorders>
              <w:top w:val="single" w:sz="8" w:color="EEEEEE"/>
            </w:tcBorders>
            <w:gridSpan w:val="2"/>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EEEEEE"/>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1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2015</w:t>
            </w:r>
          </w:p>
        </w:tc>
        <w:tc>
          <w:tcPr>
            <w:tcW w:w="1500" w:type="dxa"/>
            <w:vAlign w:val="bottom"/>
            <w:shd w:val="clear" w:color="auto" w:fill="EEEEEE"/>
          </w:tcPr>
          <w:p>
            <w:pPr>
              <w:spacing w:after="0"/>
              <w:rPr>
                <w:sz w:val="18"/>
                <w:szCs w:val="18"/>
                <w:color w:val="auto"/>
              </w:rPr>
            </w:pPr>
          </w:p>
        </w:tc>
        <w:tc>
          <w:tcPr>
            <w:tcW w:w="17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129</w:t>
            </w:r>
          </w:p>
        </w:tc>
        <w:tc>
          <w:tcPr>
            <w:tcW w:w="88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870</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568</w:t>
            </w: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790</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2,602</w:t>
            </w:r>
          </w:p>
        </w:tc>
      </w:tr>
      <w:tr>
        <w:trPr>
          <w:trHeight w:val="216"/>
        </w:trPr>
        <w:tc>
          <w:tcPr>
            <w:tcW w:w="1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2017</w:t>
            </w:r>
          </w:p>
        </w:tc>
        <w:tc>
          <w:tcPr>
            <w:tcW w:w="1500" w:type="dxa"/>
            <w:vAlign w:val="bottom"/>
            <w:shd w:val="clear" w:color="auto" w:fill="EEEEEE"/>
          </w:tcPr>
          <w:p>
            <w:pPr>
              <w:spacing w:after="0"/>
              <w:rPr>
                <w:sz w:val="18"/>
                <w:szCs w:val="18"/>
                <w:color w:val="auto"/>
              </w:rPr>
            </w:pPr>
          </w:p>
        </w:tc>
        <w:tc>
          <w:tcPr>
            <w:tcW w:w="17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948</w:t>
            </w:r>
          </w:p>
        </w:tc>
        <w:tc>
          <w:tcPr>
            <w:tcW w:w="88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972</w:t>
            </w: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3,548</w:t>
            </w:r>
          </w:p>
        </w:tc>
      </w:tr>
      <w:tr>
        <w:trPr>
          <w:trHeight w:val="230"/>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Applied against repos in inventory (net)</w:t>
            </w:r>
          </w:p>
        </w:tc>
        <w:tc>
          <w:tcPr>
            <w:tcW w:w="9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w:t>
            </w:r>
          </w:p>
        </w:tc>
        <w:tc>
          <w:tcPr>
            <w:tcW w:w="8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(880)</w:t>
            </w:r>
          </w:p>
        </w:tc>
      </w:tr>
      <w:tr>
        <w:trPr>
          <w:trHeight w:val="223"/>
        </w:trPr>
        <w:tc>
          <w:tcPr>
            <w:tcW w:w="1500" w:type="dxa"/>
            <w:vAlign w:val="bottom"/>
            <w:tcBorders>
              <w:top w:val="single" w:sz="8" w:color="EEEEEE"/>
              <w:bottom w:val="single" w:sz="8" w:color="EEEEEE"/>
            </w:tcBorders>
            <w:shd w:val="clear" w:color="auto" w:fill="EEEEEE"/>
          </w:tcPr>
          <w:p>
            <w:pPr>
              <w:spacing w:after="0"/>
              <w:rPr>
                <w:sz w:val="19"/>
                <w:szCs w:val="19"/>
                <w:color w:val="auto"/>
              </w:rPr>
            </w:pPr>
          </w:p>
        </w:tc>
        <w:tc>
          <w:tcPr>
            <w:tcW w:w="1500" w:type="dxa"/>
            <w:vAlign w:val="bottom"/>
            <w:tcBorders>
              <w:top w:val="single" w:sz="8" w:color="EEEEEE"/>
              <w:bottom w:val="single" w:sz="8" w:color="EEEEEE"/>
            </w:tcBorders>
            <w:shd w:val="clear" w:color="auto" w:fill="EEEEEE"/>
          </w:tcPr>
          <w:p>
            <w:pPr>
              <w:spacing w:after="0"/>
              <w:rPr>
                <w:sz w:val="19"/>
                <w:szCs w:val="19"/>
                <w:color w:val="auto"/>
              </w:rPr>
            </w:pPr>
          </w:p>
        </w:tc>
        <w:tc>
          <w:tcPr>
            <w:tcW w:w="1740" w:type="dxa"/>
            <w:vAlign w:val="bottom"/>
            <w:tcBorders>
              <w:top w:val="single" w:sz="8" w:color="EEEEEE"/>
              <w:bottom w:val="single" w:sz="8" w:color="EEEEEE"/>
            </w:tcBorders>
            <w:shd w:val="clear" w:color="auto" w:fill="EEEEEE"/>
          </w:tcPr>
          <w:p>
            <w:pPr>
              <w:spacing w:after="0"/>
              <w:rPr>
                <w:sz w:val="19"/>
                <w:szCs w:val="19"/>
                <w:color w:val="auto"/>
              </w:rPr>
            </w:pPr>
          </w:p>
        </w:tc>
        <w:tc>
          <w:tcPr>
            <w:tcW w:w="920" w:type="dxa"/>
            <w:vAlign w:val="bottom"/>
            <w:tcBorders>
              <w:top w:val="single" w:sz="8" w:color="auto"/>
              <w:bottom w:val="single" w:sz="8" w:color="auto"/>
            </w:tcBorders>
            <w:shd w:val="clear" w:color="auto" w:fill="EEEEEE"/>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920" w:type="dxa"/>
            <w:vAlign w:val="bottom"/>
            <w:tcBorders>
              <w:top w:val="single" w:sz="8" w:color="auto"/>
              <w:bottom w:val="single" w:sz="8" w:color="auto"/>
            </w:tcBorders>
            <w:shd w:val="clear" w:color="auto" w:fill="EEEEEE"/>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shd w:val="clear" w:color="auto" w:fill="EEEEEE"/>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shd w:val="clear" w:color="auto" w:fill="EEEEEE"/>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pacing w:after="0" w:line="185"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r>
      <w:tr>
        <w:trPr>
          <w:trHeight w:val="210"/>
        </w:trPr>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r>
      <w:tr>
        <w:trPr>
          <w:trHeight w:val="216"/>
        </w:trPr>
        <w:tc>
          <w:tcPr>
            <w:tcW w:w="5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balance of repossessions in inventory</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597</w:t>
            </w: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losses on repossessed inventory</w:t>
            </w:r>
          </w:p>
        </w:tc>
        <w:tc>
          <w:tcPr>
            <w:tcW w:w="10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(472)</w:t>
            </w:r>
          </w:p>
        </w:tc>
      </w:tr>
      <w:tr>
        <w:trPr>
          <w:trHeight w:val="223"/>
        </w:trPr>
        <w:tc>
          <w:tcPr>
            <w:tcW w:w="52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repossessed inventory included in other assets</w:t>
            </w: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Securitization Trust Debt</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tbl>
      <w:tblPr>
        <w:tblLayout w:type="fixed"/>
        <w:tblInd w:w="0" w:type="dxa"/>
        <w:tblCellMar>
          <w:top w:w="0" w:type="dxa"/>
          <w:left w:w="0" w:type="dxa"/>
          <w:bottom w:w="0" w:type="dxa"/>
          <w:right w:w="0" w:type="dxa"/>
        </w:tblCellMar>
      </w:tblPr>
      <w:tr>
        <w:trPr>
          <w:trHeight w:val="195"/>
        </w:trPr>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120"/>
              <w:spacing w:after="0" w:line="195"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Final</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Debt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Scheduled</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Pledged at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Principal at</w:t>
            </w: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Principal at</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 Rate at</w:t>
            </w: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20" w:type="dxa"/>
            <w:vAlign w:val="bottom"/>
          </w:tcPr>
          <w:p>
            <w:pPr>
              <w:spacing w:after="0"/>
              <w:rPr>
                <w:sz w:val="19"/>
                <w:szCs w:val="19"/>
                <w:color w:val="auto"/>
              </w:rPr>
            </w:pP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19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Series</w:t>
            </w:r>
          </w:p>
        </w:tc>
        <w:tc>
          <w:tcPr>
            <w:tcW w:w="10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7"/>
              </w:rPr>
              <w:t>Date (1)</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2024 (2)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2019-B</w:t>
            </w:r>
          </w:p>
        </w:tc>
        <w:tc>
          <w:tcPr>
            <w:tcW w:w="1600" w:type="dxa"/>
            <w:vAlign w:val="bottom"/>
            <w:gridSpan w:val="2"/>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June 2026</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EEEEEE"/>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228,275</w:t>
            </w:r>
          </w:p>
        </w:tc>
        <w:tc>
          <w:tcPr>
            <w:tcW w:w="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15,742</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2019-C</w:t>
            </w:r>
          </w:p>
        </w:tc>
        <w:tc>
          <w:tcPr>
            <w:tcW w:w="1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September 2026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243,513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19,725</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2019-D</w:t>
            </w:r>
          </w:p>
        </w:tc>
        <w:tc>
          <w:tcPr>
            <w:tcW w:w="1600" w:type="dxa"/>
            <w:vAlign w:val="bottom"/>
            <w:gridSpan w:val="2"/>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December 2026</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274,313</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27,445</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2020-A</w:t>
            </w:r>
          </w:p>
        </w:tc>
        <w:tc>
          <w:tcPr>
            <w:tcW w:w="1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March 2027</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26,382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2020-B</w:t>
            </w:r>
          </w:p>
        </w:tc>
        <w:tc>
          <w:tcPr>
            <w:tcW w:w="1600" w:type="dxa"/>
            <w:vAlign w:val="bottom"/>
            <w:gridSpan w:val="2"/>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June 2027</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22,376</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202,343</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14,713</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24,197</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2020-C</w:t>
            </w:r>
          </w:p>
        </w:tc>
        <w:tc>
          <w:tcPr>
            <w:tcW w:w="1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November 2027</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252,200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27,676</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43,487</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2021-A</w:t>
            </w:r>
          </w:p>
        </w:tc>
        <w:tc>
          <w:tcPr>
            <w:tcW w:w="1600" w:type="dxa"/>
            <w:vAlign w:val="bottom"/>
            <w:gridSpan w:val="2"/>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March 2028</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36,454</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230,545</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25,947</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39,039</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2021-B</w:t>
            </w:r>
          </w:p>
        </w:tc>
        <w:tc>
          <w:tcPr>
            <w:tcW w:w="1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June 2028</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36,486</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55,684</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2021-C</w:t>
            </w:r>
          </w:p>
        </w:tc>
        <w:tc>
          <w:tcPr>
            <w:tcW w:w="1600" w:type="dxa"/>
            <w:vAlign w:val="bottom"/>
            <w:gridSpan w:val="2"/>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September 2028</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72,712</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291,000</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56,495</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85,563</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2021-D</w:t>
            </w: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w:t>
            </w: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4"/>
              </w:rPr>
              <w:t>2028</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349,202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82,400</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126,059</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2022-A</w:t>
            </w:r>
          </w:p>
        </w:tc>
        <w:tc>
          <w:tcPr>
            <w:tcW w:w="1600" w:type="dxa"/>
            <w:vAlign w:val="bottom"/>
            <w:gridSpan w:val="2"/>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April 2029</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111,547</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316,800</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90,679</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137,479</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2022-B</w:t>
            </w:r>
          </w:p>
        </w:tc>
        <w:tc>
          <w:tcPr>
            <w:tcW w:w="1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October 2029</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175,458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395,600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149,736</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213,779</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2022-C</w:t>
            </w:r>
          </w:p>
        </w:tc>
        <w:tc>
          <w:tcPr>
            <w:tcW w:w="1600" w:type="dxa"/>
            <w:vAlign w:val="bottom"/>
            <w:gridSpan w:val="2"/>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April 2030</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206,276</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391,600</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160,019</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230,273</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2022-D</w:t>
            </w:r>
          </w:p>
        </w:tc>
        <w:tc>
          <w:tcPr>
            <w:tcW w:w="1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June 2030</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307,018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150,809</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205,583</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2023-A</w:t>
            </w:r>
          </w:p>
        </w:tc>
        <w:tc>
          <w:tcPr>
            <w:tcW w:w="1600" w:type="dxa"/>
            <w:vAlign w:val="bottom"/>
            <w:gridSpan w:val="2"/>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August 2030</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207,876</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324,768</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164,803</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231,906</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2023-B</w:t>
            </w:r>
          </w:p>
        </w:tc>
        <w:tc>
          <w:tcPr>
            <w:tcW w:w="1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November 2030</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332,885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193,019</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268,172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2023-C</w:t>
            </w:r>
          </w:p>
        </w:tc>
        <w:tc>
          <w:tcPr>
            <w:tcW w:w="1600" w:type="dxa"/>
            <w:vAlign w:val="bottom"/>
            <w:gridSpan w:val="2"/>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February 2031</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218,498</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291,732</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194,436</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257,568</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2023-D</w:t>
            </w:r>
          </w:p>
        </w:tc>
        <w:tc>
          <w:tcPr>
            <w:tcW w:w="1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May 2031</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286,149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212,009</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271,939</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2024-A</w:t>
            </w:r>
          </w:p>
        </w:tc>
        <w:tc>
          <w:tcPr>
            <w:tcW w:w="1600" w:type="dxa"/>
            <w:vAlign w:val="bottom"/>
            <w:gridSpan w:val="2"/>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August 2031</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249,646</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280,924</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227,163</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2024-B</w:t>
            </w:r>
          </w:p>
        </w:tc>
        <w:tc>
          <w:tcPr>
            <w:tcW w:w="1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November 2031</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319,871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283,906</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2024-C</w:t>
            </w:r>
          </w:p>
        </w:tc>
        <w:tc>
          <w:tcPr>
            <w:tcW w:w="1600" w:type="dxa"/>
            <w:vAlign w:val="bottom"/>
            <w:gridSpan w:val="2"/>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March 2032</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435,745</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436,310</w:t>
            </w: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406,350</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30"/>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2024-D</w:t>
            </w:r>
          </w:p>
        </w:tc>
        <w:tc>
          <w:tcPr>
            <w:tcW w:w="1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June 2032</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295,408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436,310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416,816</w:t>
            </w:r>
          </w:p>
        </w:tc>
        <w:tc>
          <w:tcPr>
            <w:tcW w:w="1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23"/>
        </w:trPr>
        <w:tc>
          <w:tcPr>
            <w:tcW w:w="18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EEEEEE"/>
              <w:bottom w:val="single" w:sz="8" w:color="EEEEEE"/>
            </w:tcBorders>
            <w:shd w:val="clear" w:color="auto" w:fill="EEEEEE"/>
          </w:tcPr>
          <w:p>
            <w:pPr>
              <w:spacing w:after="0"/>
              <w:rPr>
                <w:sz w:val="19"/>
                <w:szCs w:val="19"/>
                <w:color w:val="auto"/>
              </w:rPr>
            </w:pPr>
          </w:p>
        </w:tc>
        <w:tc>
          <w:tcPr>
            <w:tcW w:w="6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3,154,293</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6,691,358</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2,893,462</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2,280,021</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1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$262.7 million in 2024, $1,003.5 million in 2025, $686.9 million in 2026, $460.9 million in 2027, $288.5 million in 2028, $134.8 million in 2029, and $38.5 million in 2030.</w:t>
      </w:r>
    </w:p>
    <w:p>
      <w:pPr>
        <w:spacing w:after="0" w:line="1"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repossessed assets that are included in Other assets on our Unaudited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issuance costs of $17.7 million and $14.6 million as of September 30, 2024 and December 31, 2023, respectively, have been excluded from the table above. These debt issuance costs are presented as a direct deduction to the carrying amount of the Securitization trust debt on our Consolidated Balance Sheets.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September 30, 2024, we were in compliance with all such covenants.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September 30, 2024, restricted cash under the various agreements totaled approximately $271.0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and amounts of our other debt outstanding at September 30, 2024 and December 31, 2023 are summarized below:</w:t>
      </w:r>
    </w:p>
    <w:p>
      <w:pPr>
        <w:spacing w:after="0" w:line="221"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Amount Outstanding at</w:t>
      </w:r>
    </w:p>
    <w:p>
      <w:pPr>
        <w:spacing w:after="0" w:line="31" w:lineRule="exact"/>
        <w:rPr>
          <w:sz w:val="20"/>
          <w:szCs w:val="20"/>
          <w:color w:val="auto"/>
        </w:rPr>
      </w:pPr>
    </w:p>
    <w:tbl>
      <w:tblPr>
        <w:tblLayout w:type="fixed"/>
        <w:tblInd w:w="8140" w:type="dxa"/>
        <w:tblCellMar>
          <w:top w:w="0" w:type="dxa"/>
          <w:left w:w="0" w:type="dxa"/>
          <w:bottom w:w="0" w:type="dxa"/>
          <w:right w:w="0" w:type="dxa"/>
        </w:tblCellMar>
      </w:tblPr>
      <w:tr>
        <w:trPr>
          <w:trHeight w:val="230"/>
        </w:trPr>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5"/>
        </w:trPr>
        <w:tc>
          <w:tcPr>
            <w:tcW w:w="13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-8890</wp:posOffset>
            </wp:positionV>
            <wp:extent cx="19030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ind w:left="9080"/>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1240"/>
          </w:cols>
          <w:pgMar w:left="320" w:top="792" w:right="339" w:bottom="1440" w:gutter="0" w:footer="0" w:header="0"/>
        </w:sectPr>
      </w:pPr>
    </w:p>
    <w:p>
      <w:pPr>
        <w:spacing w:after="0" w:line="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459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Warehouse lines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Residual interest financing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Residual interest financing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Interest Rate</w:t>
            </w:r>
          </w:p>
        </w:tc>
        <w:tc>
          <w:tcPr>
            <w:tcW w:w="120" w:type="dxa"/>
            <w:vAlign w:val="bottom"/>
          </w:tcPr>
          <w:p>
            <w:pPr>
              <w:spacing w:after="0"/>
              <w:rPr>
                <w:sz w:val="19"/>
                <w:szCs w:val="19"/>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Maturity</w:t>
            </w: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07"/>
        </w:trPr>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3.00% over CP yield rate</w:t>
            </w:r>
          </w:p>
        </w:tc>
        <w:tc>
          <w:tcPr>
            <w:tcW w:w="2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(Minimum 3.75%) 8.27% and</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8.58% at September 30, 2024 and</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31 2023, respectively</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2026</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109,059</w:t>
            </w:r>
          </w:p>
        </w:tc>
        <w:tc>
          <w:tcPr>
            <w:tcW w:w="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165,628</w:t>
            </w:r>
          </w:p>
        </w:tc>
      </w:tr>
      <w:tr>
        <w:trPr>
          <w:trHeight w:val="414"/>
        </w:trPr>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4.50% over a commercial paper</w:t>
            </w:r>
          </w:p>
        </w:tc>
        <w:tc>
          <w:tcPr>
            <w:tcW w:w="2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rate (Minimum 7.50%) 9.60% and</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9.63% at September 30 2024, and</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31 2023, respectively</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2026</w:t>
            </w:r>
          </w:p>
        </w:tc>
        <w:tc>
          <w:tcPr>
            <w:tcW w:w="54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68,997</w:t>
            </w:r>
          </w:p>
        </w:tc>
      </w:tr>
      <w:tr>
        <w:trPr>
          <w:trHeight w:val="432"/>
        </w:trPr>
        <w:tc>
          <w:tcPr>
            <w:tcW w:w="26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2026</w:t>
            </w:r>
          </w:p>
        </w:tc>
        <w:tc>
          <w:tcPr>
            <w:tcW w:w="54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50,000</w:t>
            </w: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432"/>
        </w:trPr>
        <w:tc>
          <w:tcPr>
            <w:tcW w:w="26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2029</w:t>
            </w:r>
          </w:p>
        </w:tc>
        <w:tc>
          <w:tcPr>
            <w:tcW w:w="54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50,000</w:t>
            </w: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-1782445</wp:posOffset>
            </wp:positionV>
            <wp:extent cx="7132320" cy="548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-1096645</wp:posOffset>
            </wp:positionV>
            <wp:extent cx="7132320" cy="548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-410845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-136525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720"/>
            <w:col w:w="8520"/>
          </w:cols>
          <w:pgMar w:left="320" w:top="792" w:right="33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shd w:val="clear" w:color="auto" w:fill="EEEEEE"/>
          </w:tcPr>
          <w:p>
            <w:pPr>
              <w:spacing w:after="0"/>
              <w:rPr>
                <w:sz w:val="18"/>
                <w:szCs w:val="18"/>
                <w:color w:val="auto"/>
              </w:rPr>
            </w:pPr>
          </w:p>
        </w:tc>
        <w:tc>
          <w:tcPr>
            <w:tcW w:w="2860" w:type="dxa"/>
            <w:vAlign w:val="bottom"/>
            <w:shd w:val="clear" w:color="auto" w:fill="EEEEEE"/>
          </w:tcPr>
          <w:p>
            <w:pPr>
              <w:jc w:val="center"/>
              <w:ind w:left="130"/>
              <w:spacing w:after="0"/>
              <w:rPr>
                <w:sz w:val="20"/>
                <w:szCs w:val="20"/>
                <w:color w:val="auto"/>
              </w:rPr>
            </w:pPr>
            <w:r>
              <w:rPr>
                <w:rFonts w:ascii="Times New Roman" w:cs="Times New Roman" w:eastAsia="Times New Roman" w:hAnsi="Times New Roman"/>
                <w:sz w:val="18"/>
                <w:szCs w:val="18"/>
                <w:color w:val="auto"/>
                <w:w w:val="99"/>
              </w:rPr>
              <w:t>Weighted average rate of 9.22%</w:t>
            </w:r>
          </w:p>
        </w:tc>
        <w:tc>
          <w:tcPr>
            <w:tcW w:w="3220" w:type="dxa"/>
            <w:vAlign w:val="bottom"/>
            <w:gridSpan w:val="2"/>
            <w:shd w:val="clear" w:color="auto" w:fill="EEEEEE"/>
          </w:tcPr>
          <w:p>
            <w:pPr>
              <w:jc w:val="center"/>
              <w:ind w:right="440"/>
              <w:spacing w:after="0"/>
              <w:rPr>
                <w:sz w:val="20"/>
                <w:szCs w:val="20"/>
                <w:color w:val="auto"/>
              </w:rPr>
            </w:pPr>
            <w:r>
              <w:rPr>
                <w:rFonts w:ascii="Times New Roman" w:cs="Times New Roman" w:eastAsia="Times New Roman" w:hAnsi="Times New Roman"/>
                <w:sz w:val="18"/>
                <w:szCs w:val="18"/>
                <w:color w:val="auto"/>
                <w:w w:val="99"/>
              </w:rPr>
              <w:t>Weighted average maturity of</w:t>
            </w:r>
          </w:p>
        </w:tc>
        <w:tc>
          <w:tcPr>
            <w:tcW w:w="9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vMerge w:val="restart"/>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2860" w:type="dxa"/>
            <w:vAlign w:val="bottom"/>
            <w:shd w:val="clear" w:color="auto" w:fill="EEEEEE"/>
          </w:tcPr>
          <w:p>
            <w:pPr>
              <w:jc w:val="center"/>
              <w:ind w:left="130"/>
              <w:spacing w:after="0"/>
              <w:rPr>
                <w:sz w:val="20"/>
                <w:szCs w:val="20"/>
                <w:color w:val="auto"/>
              </w:rPr>
            </w:pPr>
            <w:r>
              <w:rPr>
                <w:rFonts w:ascii="Times New Roman" w:cs="Times New Roman" w:eastAsia="Times New Roman" w:hAnsi="Times New Roman"/>
                <w:sz w:val="18"/>
                <w:szCs w:val="18"/>
                <w:color w:val="auto"/>
              </w:rPr>
              <w:t>and 8.45% at September 30, 2024</w:t>
            </w:r>
          </w:p>
        </w:tc>
        <w:tc>
          <w:tcPr>
            <w:tcW w:w="3220" w:type="dxa"/>
            <w:vAlign w:val="bottom"/>
            <w:gridSpan w:val="2"/>
            <w:shd w:val="clear" w:color="auto" w:fill="EEEEEE"/>
          </w:tcPr>
          <w:p>
            <w:pPr>
              <w:jc w:val="center"/>
              <w:ind w:right="440"/>
              <w:spacing w:after="0"/>
              <w:rPr>
                <w:sz w:val="20"/>
                <w:szCs w:val="20"/>
                <w:color w:val="auto"/>
              </w:rPr>
            </w:pPr>
            <w:r>
              <w:rPr>
                <w:rFonts w:ascii="Times New Roman" w:cs="Times New Roman" w:eastAsia="Times New Roman" w:hAnsi="Times New Roman"/>
                <w:sz w:val="18"/>
                <w:szCs w:val="18"/>
                <w:color w:val="auto"/>
              </w:rPr>
              <w:t>October 2026 and February 2026 at</w:t>
            </w:r>
          </w:p>
        </w:tc>
        <w:tc>
          <w:tcPr>
            <w:tcW w:w="9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480" w:type="dxa"/>
            <w:vAlign w:val="bottom"/>
            <w:vMerge w:val="continue"/>
            <w:shd w:val="clear" w:color="auto" w:fill="EEEEEE"/>
          </w:tcPr>
          <w:p>
            <w:pPr>
              <w:spacing w:after="0"/>
              <w:rPr>
                <w:sz w:val="10"/>
                <w:szCs w:val="10"/>
                <w:color w:val="auto"/>
              </w:rPr>
            </w:pPr>
          </w:p>
        </w:tc>
        <w:tc>
          <w:tcPr>
            <w:tcW w:w="2860" w:type="dxa"/>
            <w:vAlign w:val="bottom"/>
            <w:vMerge w:val="restart"/>
            <w:shd w:val="clear" w:color="auto" w:fill="EEEEEE"/>
          </w:tcPr>
          <w:p>
            <w:pPr>
              <w:jc w:val="center"/>
              <w:ind w:left="130"/>
              <w:spacing w:after="0"/>
              <w:rPr>
                <w:sz w:val="20"/>
                <w:szCs w:val="20"/>
                <w:color w:val="auto"/>
              </w:rPr>
            </w:pPr>
            <w:r>
              <w:rPr>
                <w:rFonts w:ascii="Times New Roman" w:cs="Times New Roman" w:eastAsia="Times New Roman" w:hAnsi="Times New Roman"/>
                <w:sz w:val="18"/>
                <w:szCs w:val="18"/>
                <w:color w:val="auto"/>
                <w:w w:val="99"/>
              </w:rPr>
              <w:t>and December 31, 2023,</w:t>
            </w:r>
          </w:p>
        </w:tc>
        <w:tc>
          <w:tcPr>
            <w:tcW w:w="3220" w:type="dxa"/>
            <w:vAlign w:val="bottom"/>
            <w:gridSpan w:val="2"/>
            <w:vMerge w:val="restart"/>
            <w:shd w:val="clear" w:color="auto" w:fill="EEEEEE"/>
          </w:tcPr>
          <w:p>
            <w:pPr>
              <w:jc w:val="center"/>
              <w:ind w:right="440"/>
              <w:spacing w:after="0"/>
              <w:rPr>
                <w:sz w:val="20"/>
                <w:szCs w:val="20"/>
                <w:color w:val="auto"/>
              </w:rPr>
            </w:pPr>
            <w:r>
              <w:rPr>
                <w:rFonts w:ascii="Times New Roman" w:cs="Times New Roman" w:eastAsia="Times New Roman" w:hAnsi="Times New Roman"/>
                <w:sz w:val="18"/>
                <w:szCs w:val="18"/>
                <w:color w:val="auto"/>
              </w:rPr>
              <w:t>September 30, 2024 and December</w:t>
            </w:r>
          </w:p>
        </w:tc>
        <w:tc>
          <w:tcPr>
            <w:tcW w:w="9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9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480" w:type="dxa"/>
            <w:vAlign w:val="bottom"/>
            <w:shd w:val="clear" w:color="auto" w:fill="EEEEEE"/>
          </w:tcPr>
          <w:p>
            <w:pPr>
              <w:spacing w:after="0"/>
              <w:rPr>
                <w:sz w:val="7"/>
                <w:szCs w:val="7"/>
                <w:color w:val="auto"/>
              </w:rPr>
            </w:pPr>
          </w:p>
        </w:tc>
        <w:tc>
          <w:tcPr>
            <w:tcW w:w="2860" w:type="dxa"/>
            <w:vAlign w:val="bottom"/>
            <w:vMerge w:val="continue"/>
            <w:shd w:val="clear" w:color="auto" w:fill="EEEEEE"/>
          </w:tcPr>
          <w:p>
            <w:pPr>
              <w:spacing w:after="0"/>
              <w:rPr>
                <w:sz w:val="7"/>
                <w:szCs w:val="7"/>
                <w:color w:val="auto"/>
              </w:rPr>
            </w:pPr>
          </w:p>
        </w:tc>
        <w:tc>
          <w:tcPr>
            <w:tcW w:w="3220" w:type="dxa"/>
            <w:vAlign w:val="bottom"/>
            <w:gridSpan w:val="2"/>
            <w:vMerge w:val="continue"/>
            <w:shd w:val="clear" w:color="auto" w:fill="EEEEEE"/>
          </w:tcPr>
          <w:p>
            <w:pPr>
              <w:spacing w:after="0"/>
              <w:rPr>
                <w:sz w:val="7"/>
                <w:szCs w:val="7"/>
                <w:color w:val="auto"/>
              </w:rPr>
            </w:pPr>
          </w:p>
        </w:tc>
        <w:tc>
          <w:tcPr>
            <w:tcW w:w="920" w:type="dxa"/>
            <w:vAlign w:val="bottom"/>
            <w:shd w:val="clear" w:color="auto" w:fill="EEEEEE"/>
          </w:tcPr>
          <w:p>
            <w:pPr>
              <w:spacing w:after="0"/>
              <w:rPr>
                <w:sz w:val="7"/>
                <w:szCs w:val="7"/>
                <w:color w:val="auto"/>
              </w:rPr>
            </w:pPr>
          </w:p>
        </w:tc>
        <w:tc>
          <w:tcPr>
            <w:tcW w:w="160" w:type="dxa"/>
            <w:vAlign w:val="bottom"/>
            <w:shd w:val="clear" w:color="auto" w:fill="EEEEEE"/>
          </w:tcPr>
          <w:p>
            <w:pPr>
              <w:spacing w:after="0"/>
              <w:rPr>
                <w:sz w:val="7"/>
                <w:szCs w:val="7"/>
                <w:color w:val="auto"/>
              </w:rPr>
            </w:pPr>
          </w:p>
        </w:tc>
        <w:tc>
          <w:tcPr>
            <w:tcW w:w="160" w:type="dxa"/>
            <w:vAlign w:val="bottom"/>
            <w:shd w:val="clear" w:color="auto" w:fill="EEEEEE"/>
          </w:tcPr>
          <w:p>
            <w:pPr>
              <w:spacing w:after="0"/>
              <w:rPr>
                <w:sz w:val="7"/>
                <w:szCs w:val="7"/>
                <w:color w:val="auto"/>
              </w:rPr>
            </w:pPr>
          </w:p>
        </w:tc>
        <w:tc>
          <w:tcPr>
            <w:tcW w:w="420" w:type="dxa"/>
            <w:vAlign w:val="bottom"/>
            <w:shd w:val="clear" w:color="auto" w:fill="EEEEEE"/>
          </w:tcPr>
          <w:p>
            <w:pPr>
              <w:spacing w:after="0"/>
              <w:rPr>
                <w:sz w:val="7"/>
                <w:szCs w:val="7"/>
                <w:color w:val="auto"/>
              </w:rPr>
            </w:pPr>
          </w:p>
        </w:tc>
        <w:tc>
          <w:tcPr>
            <w:tcW w:w="920" w:type="dxa"/>
            <w:vAlign w:val="bottom"/>
            <w:shd w:val="clear" w:color="auto" w:fill="EEEEEE"/>
          </w:tcPr>
          <w:p>
            <w:pPr>
              <w:spacing w:after="0"/>
              <w:rPr>
                <w:sz w:val="7"/>
                <w:szCs w:val="7"/>
                <w:color w:val="auto"/>
              </w:rPr>
            </w:pPr>
          </w:p>
        </w:tc>
        <w:tc>
          <w:tcPr>
            <w:tcW w:w="100" w:type="dxa"/>
            <w:vAlign w:val="bottom"/>
            <w:shd w:val="clear" w:color="auto" w:fill="EEEEEE"/>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2480" w:type="dxa"/>
            <w:vAlign w:val="bottom"/>
            <w:shd w:val="clear" w:color="auto" w:fill="EEEEEE"/>
          </w:tcPr>
          <w:p>
            <w:pPr>
              <w:spacing w:after="0"/>
              <w:rPr>
                <w:sz w:val="21"/>
                <w:szCs w:val="21"/>
                <w:color w:val="auto"/>
              </w:rPr>
            </w:pPr>
          </w:p>
        </w:tc>
        <w:tc>
          <w:tcPr>
            <w:tcW w:w="2860" w:type="dxa"/>
            <w:vAlign w:val="bottom"/>
            <w:shd w:val="clear" w:color="auto" w:fill="EEEEEE"/>
          </w:tcPr>
          <w:p>
            <w:pPr>
              <w:jc w:val="center"/>
              <w:ind w:left="130"/>
              <w:spacing w:after="0"/>
              <w:rPr>
                <w:sz w:val="20"/>
                <w:szCs w:val="20"/>
                <w:color w:val="auto"/>
              </w:rPr>
            </w:pPr>
            <w:r>
              <w:rPr>
                <w:rFonts w:ascii="Times New Roman" w:cs="Times New Roman" w:eastAsia="Times New Roman" w:hAnsi="Times New Roman"/>
                <w:sz w:val="18"/>
                <w:szCs w:val="18"/>
                <w:color w:val="auto"/>
              </w:rPr>
              <w:t>respectively</w:t>
            </w:r>
          </w:p>
        </w:tc>
        <w:tc>
          <w:tcPr>
            <w:tcW w:w="3220" w:type="dxa"/>
            <w:vAlign w:val="bottom"/>
            <w:gridSpan w:val="2"/>
            <w:shd w:val="clear" w:color="auto" w:fill="EEEEEE"/>
          </w:tcPr>
          <w:p>
            <w:pPr>
              <w:jc w:val="center"/>
              <w:ind w:right="440"/>
              <w:spacing w:after="0"/>
              <w:rPr>
                <w:sz w:val="20"/>
                <w:szCs w:val="20"/>
                <w:color w:val="auto"/>
              </w:rPr>
            </w:pPr>
            <w:r>
              <w:rPr>
                <w:rFonts w:ascii="Times New Roman" w:cs="Times New Roman" w:eastAsia="Times New Roman" w:hAnsi="Times New Roman"/>
                <w:sz w:val="18"/>
                <w:szCs w:val="18"/>
                <w:color w:val="auto"/>
                <w:w w:val="99"/>
              </w:rPr>
              <w:t>31, 2023, respectively</w:t>
            </w:r>
          </w:p>
        </w:tc>
        <w:tc>
          <w:tcPr>
            <w:tcW w:w="10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24,288</w:t>
            </w:r>
          </w:p>
        </w:tc>
        <w:tc>
          <w:tcPr>
            <w:tcW w:w="160" w:type="dxa"/>
            <w:vAlign w:val="bottom"/>
            <w:shd w:val="clear" w:color="auto" w:fill="EEEEEE"/>
          </w:tcPr>
          <w:p>
            <w:pPr>
              <w:spacing w:after="0"/>
              <w:rPr>
                <w:sz w:val="21"/>
                <w:szCs w:val="21"/>
                <w:color w:val="auto"/>
              </w:rPr>
            </w:pPr>
          </w:p>
        </w:tc>
        <w:tc>
          <w:tcPr>
            <w:tcW w:w="420" w:type="dxa"/>
            <w:vAlign w:val="bottom"/>
            <w:shd w:val="clear" w:color="auto" w:fill="EEEEEE"/>
          </w:tcPr>
          <w:p>
            <w:pPr>
              <w:spacing w:after="0"/>
              <w:rPr>
                <w:sz w:val="21"/>
                <w:szCs w:val="21"/>
                <w:color w:val="auto"/>
              </w:rPr>
            </w:pPr>
          </w:p>
        </w:tc>
        <w:tc>
          <w:tcPr>
            <w:tcW w:w="10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17,188</w:t>
            </w:r>
          </w:p>
        </w:tc>
        <w:tc>
          <w:tcPr>
            <w:tcW w:w="0" w:type="dxa"/>
            <w:vAlign w:val="bottom"/>
          </w:tcPr>
          <w:p>
            <w:pPr>
              <w:spacing w:after="0"/>
              <w:rPr>
                <w:sz w:val="1"/>
                <w:szCs w:val="1"/>
                <w:color w:val="auto"/>
              </w:rPr>
            </w:pPr>
          </w:p>
        </w:tc>
      </w:tr>
      <w:tr>
        <w:trPr>
          <w:trHeight w:val="210"/>
        </w:trPr>
        <w:tc>
          <w:tcPr>
            <w:tcW w:w="24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80" w:type="dxa"/>
            <w:vAlign w:val="bottom"/>
            <w:shd w:val="clear" w:color="auto" w:fill="EEEEEE"/>
          </w:tcPr>
          <w:p>
            <w:pPr>
              <w:spacing w:after="0"/>
              <w:rPr>
                <w:sz w:val="21"/>
                <w:szCs w:val="21"/>
                <w:color w:val="auto"/>
              </w:rPr>
            </w:pPr>
          </w:p>
        </w:tc>
        <w:tc>
          <w:tcPr>
            <w:tcW w:w="2860" w:type="dxa"/>
            <w:vAlign w:val="bottom"/>
            <w:shd w:val="clear" w:color="auto" w:fill="EEEEEE"/>
          </w:tcPr>
          <w:p>
            <w:pPr>
              <w:spacing w:after="0"/>
              <w:rPr>
                <w:sz w:val="21"/>
                <w:szCs w:val="21"/>
                <w:color w:val="auto"/>
              </w:rPr>
            </w:pPr>
          </w:p>
        </w:tc>
        <w:tc>
          <w:tcPr>
            <w:tcW w:w="32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233,347</w:t>
            </w:r>
          </w:p>
        </w:tc>
        <w:tc>
          <w:tcPr>
            <w:tcW w:w="5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301,813</w:t>
            </w:r>
          </w:p>
        </w:tc>
        <w:tc>
          <w:tcPr>
            <w:tcW w:w="0" w:type="dxa"/>
            <w:vAlign w:val="bottom"/>
          </w:tcPr>
          <w:p>
            <w:pPr>
              <w:spacing w:after="0"/>
              <w:rPr>
                <w:sz w:val="1"/>
                <w:szCs w:val="1"/>
                <w:color w:val="auto"/>
              </w:rPr>
            </w:pPr>
          </w:p>
        </w:tc>
      </w:tr>
      <w:tr>
        <w:trPr>
          <w:trHeight w:val="20"/>
        </w:trPr>
        <w:tc>
          <w:tcPr>
            <w:tcW w:w="2480" w:type="dxa"/>
            <w:vAlign w:val="bottom"/>
            <w:tcBorders>
              <w:top w:val="single" w:sz="8" w:color="EEEEEE"/>
            </w:tcBorders>
          </w:tcPr>
          <w:p>
            <w:pPr>
              <w:spacing w:after="0" w:line="20" w:lineRule="exact"/>
              <w:rPr>
                <w:sz w:val="1"/>
                <w:szCs w:val="1"/>
                <w:color w:val="auto"/>
              </w:rPr>
            </w:pPr>
          </w:p>
        </w:tc>
        <w:tc>
          <w:tcPr>
            <w:tcW w:w="2860" w:type="dxa"/>
            <w:vAlign w:val="bottom"/>
            <w:tcBorders>
              <w:top w:val="single" w:sz="8" w:color="EEEEEE"/>
            </w:tcBorders>
          </w:tcPr>
          <w:p>
            <w:pPr>
              <w:spacing w:after="0" w:line="20" w:lineRule="exact"/>
              <w:rPr>
                <w:sz w:val="1"/>
                <w:szCs w:val="1"/>
                <w:color w:val="auto"/>
              </w:rPr>
            </w:pPr>
          </w:p>
        </w:tc>
        <w:tc>
          <w:tcPr>
            <w:tcW w:w="280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11, 2024, we renewed our two-year $200 million revolving credit agreement with Citibank, N.A. The revolving period for this facility was extended to July 2026 followed by an amortization period through July 2027 for any receivables pledged at the end of the revolving period. There was $109.1 million outstanding under this facility at September 30,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29, 2024, we renewed our two-year $200 million revolving credit agreement with Ares Agent Services, L.P. The revolving period for this facility was extended to March 2026 followed by an amortization period through March 2028 for any receivables pledged at the end of the revolving period. There was no amount outstanding under this facility at September 30, 2024.</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22, 2024, we completed a $50 million securitization of residual interests from previously issued securitizations. In the transaction, a qualified institutional buyer purchased $50.0 million of asset-backed notes secured by an 80% interest in a CPS affiliate that owns the residual interests in five CPS securitizations issued from January 2022 through January 2023. The sold notes (“2024-1 Notes”), issued by CPS Auto Securitization Trust 2024-1, consist of a single class with a coupon of 11.50%. At September 30, 2024 there was $50.0 million outstanding under this facility.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Unamortized debt issuance costs of $873,000 and $125,000 as of September 30, 2024 and December 31, 2023, respectively, have been excluded from the amount reported above for residual interest financing. Similarly, unamortized debt issuance costs of $3.3 million and $599,000 as of September 30, 2024 and December 31, 2023, respectively, have been excluded from the Warehouse lines of credit amounts in the table above. These debt issuance costs are presented as a direct deduction to the carrying amount of the debt on our Unaudited Condensed Consolidated Balance Sheets.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b w:val="1"/>
                <w:bCs w:val="1"/>
                <w:i w:val="1"/>
                <w:iCs w:val="1"/>
                <w:color w:val="auto"/>
              </w:rPr>
              <w:t>Interest Income and Interest Expense</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080" w:type="dxa"/>
            <w:vAlign w:val="bottom"/>
          </w:tcPr>
          <w:p>
            <w:pPr>
              <w:spacing w:after="0"/>
              <w:rPr>
                <w:sz w:val="24"/>
                <w:szCs w:val="24"/>
                <w:color w:val="auto"/>
              </w:rPr>
            </w:pPr>
          </w:p>
        </w:tc>
        <w:tc>
          <w:tcPr>
            <w:tcW w:w="316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24"/>
                <w:szCs w:val="24"/>
                <w:color w:val="auto"/>
              </w:rPr>
            </w:pPr>
          </w:p>
        </w:tc>
        <w:tc>
          <w:tcPr>
            <w:tcW w:w="270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on finance receivables</w:t>
            </w:r>
          </w:p>
        </w:tc>
        <w:tc>
          <w:tcPr>
            <w:tcW w:w="860" w:type="dxa"/>
            <w:vAlign w:val="bottom"/>
            <w:shd w:val="clear" w:color="auto" w:fill="EEEEEE"/>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1,516</w:t>
            </w:r>
          </w:p>
        </w:tc>
        <w:tc>
          <w:tcPr>
            <w:tcW w:w="620" w:type="dxa"/>
            <w:vAlign w:val="bottom"/>
            <w:gridSpan w:val="2"/>
            <w:shd w:val="clear" w:color="auto" w:fill="EEEEEE"/>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3,769</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5,634</w:t>
            </w:r>
          </w:p>
        </w:tc>
        <w:tc>
          <w:tcPr>
            <w:tcW w:w="580" w:type="dxa"/>
            <w:vAlign w:val="bottom"/>
            <w:gridSpan w:val="2"/>
            <w:shd w:val="clear" w:color="auto" w:fill="EEEEEE"/>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12,809</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on finance receivables at fair value</w:t>
            </w:r>
          </w:p>
        </w:tc>
        <w:tc>
          <w:tcPr>
            <w:tcW w:w="8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89,942</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77,848</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255,546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228,641</w:t>
            </w:r>
          </w:p>
        </w:tc>
        <w:tc>
          <w:tcPr>
            <w:tcW w:w="0" w:type="dxa"/>
            <w:vAlign w:val="bottom"/>
          </w:tcPr>
          <w:p>
            <w:pPr>
              <w:spacing w:after="0"/>
              <w:rPr>
                <w:sz w:val="1"/>
                <w:szCs w:val="1"/>
                <w:color w:val="auto"/>
              </w:rPr>
            </w:pPr>
          </w:p>
        </w:tc>
      </w:tr>
      <w:tr>
        <w:trPr>
          <w:trHeight w:val="229"/>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86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1,700</w:t>
            </w:r>
          </w:p>
        </w:tc>
        <w:tc>
          <w:tcPr>
            <w:tcW w:w="14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1,644</w:t>
            </w:r>
          </w:p>
        </w:tc>
        <w:tc>
          <w:tcPr>
            <w:tcW w:w="30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4,632</w:t>
            </w:r>
          </w:p>
        </w:tc>
        <w:tc>
          <w:tcPr>
            <w:tcW w:w="1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4,510</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93,158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83,261</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expense:</w:t>
            </w: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080" w:type="dxa"/>
            <w:vAlign w:val="bottom"/>
          </w:tcPr>
          <w:p>
            <w:pPr>
              <w:spacing w:after="0"/>
              <w:rPr>
                <w:sz w:val="24"/>
                <w:szCs w:val="24"/>
                <w:color w:val="auto"/>
              </w:rPr>
            </w:pPr>
          </w:p>
        </w:tc>
        <w:tc>
          <w:tcPr>
            <w:tcW w:w="316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24"/>
                <w:szCs w:val="24"/>
                <w:color w:val="auto"/>
              </w:rPr>
            </w:pPr>
          </w:p>
        </w:tc>
        <w:tc>
          <w:tcPr>
            <w:tcW w:w="270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860" w:type="dxa"/>
            <w:vAlign w:val="bottom"/>
            <w:shd w:val="clear" w:color="auto" w:fill="EEEEEE"/>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w w:val="96"/>
              </w:rPr>
              <w:t>42,998</w:t>
            </w:r>
          </w:p>
        </w:tc>
        <w:tc>
          <w:tcPr>
            <w:tcW w:w="620" w:type="dxa"/>
            <w:vAlign w:val="bottom"/>
            <w:gridSpan w:val="2"/>
            <w:shd w:val="clear" w:color="auto" w:fill="EEEEEE"/>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31,734</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116,859</w:t>
            </w:r>
          </w:p>
        </w:tc>
        <w:tc>
          <w:tcPr>
            <w:tcW w:w="580" w:type="dxa"/>
            <w:vAlign w:val="bottom"/>
            <w:gridSpan w:val="2"/>
            <w:shd w:val="clear" w:color="auto" w:fill="EEEEEE"/>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87,258</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8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4,665</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14,022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14,521</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8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2,477</w:t>
            </w:r>
          </w:p>
        </w:tc>
        <w:tc>
          <w:tcPr>
            <w:tcW w:w="1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1,050</w:t>
            </w: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6,225</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3,149</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86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w:t>
            </w:r>
          </w:p>
        </w:tc>
        <w:tc>
          <w:tcPr>
            <w:tcW w:w="3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23"/>
        </w:trPr>
        <w:tc>
          <w:tcPr>
            <w:tcW w:w="50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Borders>
              <w:top w:val="single" w:sz="8" w:color="auto"/>
              <w:bottom w:val="single" w:sz="8" w:color="auto"/>
            </w:tcBorders>
            <w:shd w:val="clear" w:color="auto" w:fill="EEEEEE"/>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50,056</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480" w:type="dxa"/>
            <w:vAlign w:val="bottom"/>
            <w:tcBorders>
              <w:top w:val="single" w:sz="8" w:color="auto"/>
              <w:bottom w:val="single" w:sz="8" w:color="auto"/>
            </w:tcBorders>
            <w:shd w:val="clear" w:color="auto" w:fill="EEEEEE"/>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37,889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138,735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106,354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per share for the three-month and nine-month periods ended September 30, 2024 and 2023 were calculated using the weighted average number of shares outstanding for the related period. The following table reconciles the number of shares used in the computations of basic and diluted earnings per share for the three-month and nine-month periods ended September 30, 2024 and 2023:</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0" w:right="60" w:hanging="179"/>
        <w:spacing w:after="0" w:line="282" w:lineRule="auto"/>
        <w:rPr>
          <w:sz w:val="20"/>
          <w:szCs w:val="20"/>
          <w:color w:val="auto"/>
        </w:rPr>
      </w:pPr>
      <w:r>
        <w:rPr>
          <w:rFonts w:ascii="Times New Roman" w:cs="Times New Roman" w:eastAsia="Times New Roman" w:hAnsi="Times New Roman"/>
          <w:sz w:val="18"/>
          <w:szCs w:val="18"/>
          <w:color w:val="auto"/>
        </w:rPr>
        <w:t>Weighted average number of common shares outstanding during the period used to compute basic earnings per share</w:t>
      </w:r>
    </w:p>
    <w:p>
      <w:pPr>
        <w:spacing w:after="0" w:line="162" w:lineRule="exact"/>
        <w:rPr>
          <w:sz w:val="20"/>
          <w:szCs w:val="20"/>
          <w:color w:val="auto"/>
        </w:rPr>
      </w:pPr>
    </w:p>
    <w:p>
      <w:pPr>
        <w:ind w:left="180" w:right="560" w:hanging="179"/>
        <w:spacing w:after="0" w:line="282" w:lineRule="auto"/>
        <w:rPr>
          <w:sz w:val="20"/>
          <w:szCs w:val="20"/>
          <w:color w:val="auto"/>
        </w:rPr>
      </w:pPr>
      <w:r>
        <w:rPr>
          <w:rFonts w:ascii="Times New Roman" w:cs="Times New Roman" w:eastAsia="Times New Roman" w:hAnsi="Times New Roman"/>
          <w:sz w:val="18"/>
          <w:szCs w:val="18"/>
          <w:color w:val="auto"/>
        </w:rPr>
        <w:t>Incremental common shares attributable to exercise of outstanding options and warrants</w:t>
      </w:r>
    </w:p>
    <w:p>
      <w:pPr>
        <w:spacing w:after="0" w:line="189" w:lineRule="exact"/>
        <w:rPr>
          <w:sz w:val="20"/>
          <w:szCs w:val="20"/>
          <w:color w:val="auto"/>
        </w:rPr>
      </w:pPr>
    </w:p>
    <w:p>
      <w:pPr>
        <w:ind w:left="180" w:hanging="179"/>
        <w:spacing w:after="0" w:line="282" w:lineRule="auto"/>
        <w:rPr>
          <w:sz w:val="20"/>
          <w:szCs w:val="20"/>
          <w:color w:val="auto"/>
        </w:rPr>
      </w:pPr>
      <w:r>
        <w:rPr>
          <w:rFonts w:ascii="Times New Roman" w:cs="Times New Roman" w:eastAsia="Times New Roman" w:hAnsi="Times New Roman"/>
          <w:sz w:val="18"/>
          <w:szCs w:val="18"/>
          <w:color w:val="auto"/>
        </w:rPr>
        <w:t>Weighted average number of common shares used to compute diluted earnings per share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58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8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r>
      <w:tr>
        <w:trPr>
          <w:trHeight w:val="223"/>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2"/>
        </w:trPr>
        <w:tc>
          <w:tcPr>
            <w:tcW w:w="860" w:type="dxa"/>
            <w:vAlign w:val="bottom"/>
          </w:tcPr>
          <w:p>
            <w:pPr>
              <w:spacing w:after="0"/>
              <w:rPr>
                <w:sz w:val="20"/>
                <w:szCs w:val="20"/>
                <w:color w:val="auto"/>
              </w:rPr>
            </w:pPr>
          </w:p>
        </w:tc>
        <w:tc>
          <w:tcPr>
            <w:tcW w:w="17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00" w:type="dxa"/>
            <w:vAlign w:val="bottom"/>
          </w:tcPr>
          <w:p>
            <w:pPr>
              <w:spacing w:after="0"/>
              <w:rPr>
                <w:sz w:val="20"/>
                <w:szCs w:val="20"/>
                <w:color w:val="auto"/>
              </w:rPr>
            </w:pPr>
          </w:p>
        </w:tc>
      </w:tr>
      <w:tr>
        <w:trPr>
          <w:trHeight w:val="410"/>
        </w:trPr>
        <w:tc>
          <w:tcPr>
            <w:tcW w:w="86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21,343</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21,154</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21,250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20,815</w:t>
            </w:r>
          </w:p>
        </w:tc>
      </w:tr>
      <w:tr>
        <w:trPr>
          <w:trHeight w:val="661"/>
        </w:trPr>
        <w:tc>
          <w:tcPr>
            <w:tcW w:w="8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4,516</w:t>
            </w:r>
          </w:p>
        </w:tc>
      </w:tr>
      <w:tr>
        <w:trPr>
          <w:trHeight w:val="668"/>
        </w:trPr>
        <w:tc>
          <w:tcPr>
            <w:tcW w:w="86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24,153</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25,218</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24,340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25,331</w:t>
            </w: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-1156970</wp:posOffset>
            </wp:positionV>
            <wp:extent cx="713232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-745490</wp:posOffset>
            </wp:positionV>
            <wp:extent cx="7132320" cy="283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-316865</wp:posOffset>
            </wp:positionV>
            <wp:extent cx="7132320"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480" w:space="260"/>
            <w:col w:w="6500"/>
          </w:cols>
          <w:pgMar w:left="320" w:top="792"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anti-dilutive effects of common stock equivalents were considered, shares included in the diluted earnings per share calculation for the three-month and nine-month periods ended September 30, 2024 would have included an additional 1.6 million and 1.7 million shares, respectively, attributable to the exercise of outstanding options and warrants. For the three-month and nine-month periods ended September 30, 2023, 1.5 million shares, would be included in the diluted earnings per share calculation.</w:t>
      </w:r>
    </w:p>
    <w:p>
      <w:pPr>
        <w:spacing w:after="0" w:line="176"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2015.</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$1.6 million as of September 30, 2024 is more likely than not based on forecasted future net earnings. Our net deferred tax asset of $1.6 million consists of approximately $667,000 of net U.S. federal deferred tax assets and $898,000 of net state deferred tax assets.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was $2.1 million and $6.0 million for the three months and nine months ended September 30, 2024, representing effective income tax rates of 30%, compared to income tax expense of $3.8 million and $13.1 million for the three months and nine months ended September 30, 2023, and representing effective income tax rates of 27% and 26% respectively.</w:t>
      </w:r>
    </w:p>
    <w:p>
      <w:pPr>
        <w:spacing w:after="0" w:line="172"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Consumer Litigation. </w:t>
      </w: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discontinued. Consumers can and do initiate lawsuits against us alleging violations of law applicable to collection of receivables, and such lawsuits sometimes allege that resolution as a class action is appropriate. For the most part, we have legal and factual defenses to consumer claims, which we routinely contest or settle (for immaterial amounts) depending on the particular circumstances of each case.</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our filing of a complaint for a deficiency judgment in the Superior Court at Waterbury, Connecticut, the defendant filed a cross-claim on October 16, 2019 alleging that our deficiency notices were not compliant with Connecticut law, and seeking relief on behalf of a class of Connecticut obligors whose vehicles we had repossessed. The complaint seeks primarily damages, injunctive relief, waiver of contract deficiencies, and attorney fees and interest. The defendant’s contract provided for resolution of disputes exclusively by arbitration, and exclusively on an individual basis, not a class basis. Nevertheless, in August 2021, the court denied our motion to compel arbitration, without opinion. In April 2024, a motion for certification of a class was filed but has not been ruled upon. It is reasonable to expect that resolution of these claims will be on a class basis.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Wage and Hour Claim</w:t>
      </w:r>
      <w:r>
        <w:rPr>
          <w:rFonts w:ascii="Times New Roman" w:cs="Times New Roman" w:eastAsia="Times New Roman" w:hAnsi="Times New Roman"/>
          <w:sz w:val="18"/>
          <w:szCs w:val="18"/>
          <w:color w:val="auto"/>
        </w:rPr>
        <w:t>. On September 24, 2018, a former employee filed a lawsuit against us in the Superior Court of Orange County, California, alleging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We believe that our compensation practices with respect to our sales representatives are compliant with applicable law. In August 2023, the parties settled by agreement the claims of the plaintiff and a California settlement class for $1.1 million. The settlement was approved by the court on October 9, 2024. Under the settlement, the Company paid, after September 30, 2024, $1.1 million to the settlement administrator.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 General. </w:t>
      </w:r>
      <w:r>
        <w:rPr>
          <w:rFonts w:ascii="Times New Roman" w:cs="Times New Roman" w:eastAsia="Times New Roman" w:hAnsi="Times New Roman"/>
          <w:sz w:val="18"/>
          <w:szCs w:val="18"/>
          <w:color w:val="auto"/>
        </w:rPr>
        <w:t>There can be no assurance as to the outcomes of the matters described or referenced above. We record at each measurement date, most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September 30, 2024, our best estimate of probable incurred losses for legal contingencies, including the matters identified above. The amount of losses that may ultimately be incurred cannot be estimated with certainty. However, based on such information as is available to us, we believe that the total of probable incurred losses for legal contingencies as of September 30, 2024 is $2.3 million, and that the range of reasonably possible losses for the legal proceedings and contingencies we face, including those described or identified above, as of September 30, 2024 does not exceed $4.3 million.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January 2018 we have elected to use the fair value method to value our portfolio of finance receivables acquired in January 2018 and thereafter.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w:t>
      </w:r>
      <w:r>
        <w:rPr>
          <w:rFonts w:ascii="Times New Roman" w:cs="Times New Roman" w:eastAsia="Times New Roman" w:hAnsi="Times New Roman"/>
          <w:sz w:val="18"/>
          <w:szCs w:val="18"/>
          <w:color w:val="323232"/>
        </w:rPr>
        <w:t>Significant changes in any of those inputs in isolation would have a significant effect on our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23232"/>
        </w:rPr>
        <w:t>measurement.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quarter ended September 30, 2024, the Company evaluated the appropriate fair value and future earnings rate of existing receivables compared to recently acquired receivables and our assessment of potential additional future net losses on the portfolio of finance receivables carried at fair value and did not record a mark down to that portfolio.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 reconciliation of the finance receivables measured at fair value on a recurring basis using significant unobservable inputs: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9"/>
                <w:szCs w:val="19"/>
                <w:color w:val="auto"/>
              </w:rPr>
            </w:pPr>
          </w:p>
        </w:tc>
        <w:tc>
          <w:tcPr>
            <w:tcW w:w="296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4"/>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4"/>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2,960,375</w:t>
            </w:r>
          </w:p>
        </w:tc>
        <w:tc>
          <w:tcPr>
            <w:tcW w:w="580" w:type="dxa"/>
            <w:vAlign w:val="bottom"/>
            <w:gridSpan w:val="2"/>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2,618,420</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2,722,662</w:t>
            </w:r>
          </w:p>
        </w:tc>
        <w:tc>
          <w:tcPr>
            <w:tcW w:w="560" w:type="dxa"/>
            <w:vAlign w:val="bottom"/>
            <w:gridSpan w:val="2"/>
            <w:shd w:val="clear" w:color="auto" w:fill="EEEEEE"/>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2,476,617</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at fair value acquired during period</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442,126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300,539</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1,195,886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958,587</w:t>
            </w: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1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(217,945)</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(203,775)</w:t>
            </w:r>
          </w:p>
        </w:tc>
        <w:tc>
          <w:tcPr>
            <w:tcW w:w="1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(637,844)</w:t>
            </w: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(625,715)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1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(57,746)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(49,644)</w:t>
            </w: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(164,394)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(143,949)</w:t>
            </w:r>
          </w:p>
        </w:tc>
      </w:tr>
      <w:tr>
        <w:trPr>
          <w:trHeight w:val="229"/>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Mark to fair value</w:t>
            </w:r>
          </w:p>
        </w:tc>
        <w:tc>
          <w:tcPr>
            <w:tcW w:w="14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5,500</w:t>
            </w:r>
          </w:p>
        </w:tc>
        <w:tc>
          <w:tcPr>
            <w:tcW w:w="1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6,000</w:t>
            </w:r>
          </w:p>
        </w:tc>
        <w:tc>
          <w:tcPr>
            <w:tcW w:w="14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16,000</w:t>
            </w:r>
          </w:p>
        </w:tc>
        <w:tc>
          <w:tcPr>
            <w:tcW w:w="1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6,000</w:t>
            </w: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3,132,310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2,671,540</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3,132,310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2,671,540</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6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table below compares the fair values of these finance receivables to their contractual balances for the periods shown:</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40" w:type="dxa"/>
            <w:vAlign w:val="bottom"/>
          </w:tcPr>
          <w:p>
            <w:pPr>
              <w:spacing w:after="0"/>
              <w:rPr>
                <w:sz w:val="24"/>
                <w:szCs w:val="24"/>
                <w:color w:val="auto"/>
              </w:rPr>
            </w:pPr>
          </w:p>
        </w:tc>
        <w:tc>
          <w:tcPr>
            <w:tcW w:w="296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1"/>
        </w:trPr>
        <w:tc>
          <w:tcPr>
            <w:tcW w:w="4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35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5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7"/>
                <w:szCs w:val="17"/>
                <w:color w:val="auto"/>
              </w:rPr>
            </w:pPr>
          </w:p>
        </w:tc>
      </w:tr>
      <w:tr>
        <w:trPr>
          <w:trHeight w:val="238"/>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4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gridSpan w:val="5"/>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3,321,329</w:t>
            </w:r>
          </w:p>
        </w:tc>
        <w:tc>
          <w:tcPr>
            <w:tcW w:w="580" w:type="dxa"/>
            <w:vAlign w:val="bottom"/>
            <w:gridSpan w:val="2"/>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3,132,310</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2,941,915</w:t>
            </w:r>
          </w:p>
        </w:tc>
        <w:tc>
          <w:tcPr>
            <w:tcW w:w="560" w:type="dxa"/>
            <w:vAlign w:val="bottom"/>
            <w:gridSpan w:val="2"/>
            <w:shd w:val="clear" w:color="auto" w:fill="EEEEEE"/>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2,722,662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qualitative information about our level 3 fair value measurements: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260" w:type="dxa"/>
            <w:vAlign w:val="bottom"/>
          </w:tcPr>
          <w:p>
            <w:pPr>
              <w:spacing w:after="0"/>
              <w:rPr>
                <w:sz w:val="19"/>
                <w:szCs w:val="19"/>
                <w:color w:val="auto"/>
              </w:rPr>
            </w:pPr>
          </w:p>
        </w:tc>
        <w:tc>
          <w:tcPr>
            <w:tcW w:w="268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Fair Values as of</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Weighted Avg. Inputs as of</w:t>
            </w:r>
          </w:p>
        </w:tc>
        <w:tc>
          <w:tcPr>
            <w:tcW w:w="0" w:type="dxa"/>
            <w:vAlign w:val="bottom"/>
          </w:tcPr>
          <w:p>
            <w:pPr>
              <w:spacing w:after="0"/>
              <w:rPr>
                <w:sz w:val="1"/>
                <w:szCs w:val="1"/>
                <w:color w:val="auto"/>
              </w:rPr>
            </w:pPr>
          </w:p>
        </w:tc>
      </w:tr>
      <w:tr>
        <w:trPr>
          <w:trHeight w:val="34"/>
        </w:trPr>
        <w:tc>
          <w:tcPr>
            <w:tcW w:w="1640" w:type="dxa"/>
            <w:vAlign w:val="bottom"/>
            <w:tcBorders>
              <w:top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80" w:type="dxa"/>
            <w:vAlign w:val="bottom"/>
            <w:gridSpan w:val="2"/>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40" w:type="dxa"/>
            <w:vAlign w:val="bottom"/>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260" w:type="dxa"/>
            <w:vAlign w:val="bottom"/>
            <w:shd w:val="clear" w:color="auto" w:fill="EEEEEE"/>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3,132,310</w:t>
            </w:r>
          </w:p>
        </w:tc>
        <w:tc>
          <w:tcPr>
            <w:tcW w:w="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2,722,662</w:t>
            </w:r>
          </w:p>
        </w:tc>
        <w:tc>
          <w:tcPr>
            <w:tcW w:w="178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Discount rate</w:t>
            </w:r>
          </w:p>
        </w:tc>
        <w:tc>
          <w:tcPr>
            <w:tcW w:w="122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11.36%</w:t>
            </w:r>
          </w:p>
        </w:tc>
        <w:tc>
          <w:tcPr>
            <w:tcW w:w="22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210"/>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Cumulative net losses</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15.44%</w:t>
            </w:r>
          </w:p>
        </w:tc>
        <w:tc>
          <w:tcPr>
            <w:tcW w:w="220" w:type="dxa"/>
            <w:vAlign w:val="bottom"/>
          </w:tcPr>
          <w:p>
            <w:pPr>
              <w:spacing w:after="0"/>
              <w:rPr>
                <w:sz w:val="20"/>
                <w:szCs w:val="20"/>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delinquency status of these finance receivables measured at fair value as of September 30, 2024 and December 31, 2023:</w:t>
      </w:r>
    </w:p>
    <w:p>
      <w:pPr>
        <w:spacing w:after="0" w:line="158" w:lineRule="exact"/>
        <w:rPr>
          <w:sz w:val="20"/>
          <w:szCs w:val="20"/>
          <w:color w:val="auto"/>
        </w:rPr>
      </w:pPr>
    </w:p>
    <w:tbl>
      <w:tblPr>
        <w:tblLayout w:type="fixed"/>
        <w:tblInd w:w="118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Delinquency Status</w:t>
            </w:r>
          </w:p>
        </w:tc>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4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340" w:type="dxa"/>
            <w:vAlign w:val="bottom"/>
            <w:gridSpan w:val="3"/>
            <w:vMerge w:val="continue"/>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w:t>
            </w:r>
          </w:p>
        </w:tc>
        <w:tc>
          <w:tcPr>
            <w:tcW w:w="21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2,857,495</w:t>
            </w:r>
          </w:p>
        </w:tc>
        <w:tc>
          <w:tcPr>
            <w:tcW w:w="320" w:type="dxa"/>
            <w:vAlign w:val="bottom"/>
            <w:shd w:val="clear" w:color="auto" w:fill="EEEEEE"/>
          </w:tcPr>
          <w:p>
            <w:pPr>
              <w:spacing w:after="0"/>
              <w:rPr>
                <w:sz w:val="18"/>
                <w:szCs w:val="18"/>
                <w:color w:val="auto"/>
              </w:rPr>
            </w:pPr>
          </w:p>
        </w:tc>
        <w:tc>
          <w:tcPr>
            <w:tcW w:w="180" w:type="dxa"/>
            <w:vAlign w:val="bottom"/>
            <w:gridSpan w:val="2"/>
            <w:shd w:val="clear" w:color="auto" w:fill="EEEEEE"/>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2,520,158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31</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 days</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217,365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w w:val="99"/>
              </w:rPr>
              <w:t>61</w:t>
            </w:r>
          </w:p>
        </w:tc>
        <w:tc>
          <w:tcPr>
            <w:tcW w:w="31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- 90 days</w:t>
            </w:r>
          </w:p>
        </w:tc>
        <w:tc>
          <w:tcPr>
            <w:tcW w:w="19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102,088</w:t>
            </w: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101,057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91</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days</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Repo</w:t>
            </w:r>
          </w:p>
        </w:tc>
        <w:tc>
          <w:tcPr>
            <w:tcW w:w="194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92,706</w:t>
            </w:r>
          </w:p>
        </w:tc>
        <w:tc>
          <w:tcPr>
            <w:tcW w:w="3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66,585</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3,321,329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2,941,915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in or out of level 1, level 2 or level 3 assets and liabilities for the three months ended September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values of financial assets and liabilities at September 30, 2024 and December 31, 2023,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ind w:left="110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640" w:type="dxa"/>
            <w:vAlign w:val="bottom"/>
            <w:tcBorders>
              <w:top w:val="single" w:sz="8" w:color="auto"/>
            </w:tcBorders>
          </w:tcPr>
          <w:p>
            <w:pPr>
              <w:spacing w:after="0"/>
              <w:rPr>
                <w:sz w:val="22"/>
                <w:szCs w:val="22"/>
                <w:color w:val="auto"/>
              </w:rPr>
            </w:pPr>
          </w:p>
        </w:tc>
        <w:tc>
          <w:tcPr>
            <w:tcW w:w="1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0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9"/>
                <w:szCs w:val="19"/>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060" w:type="dxa"/>
            <w:vAlign w:val="bottom"/>
            <w:gridSpan w:val="2"/>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8,071</w:t>
            </w:r>
          </w:p>
        </w:tc>
        <w:tc>
          <w:tcPr>
            <w:tcW w:w="4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8,071</w:t>
            </w:r>
          </w:p>
        </w:tc>
        <w:tc>
          <w:tcPr>
            <w:tcW w:w="1380" w:type="dxa"/>
            <w:vAlign w:val="bottom"/>
            <w:gridSpan w:val="2"/>
            <w:shd w:val="clear" w:color="auto" w:fill="EEEEEE"/>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EEEEE"/>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8,071</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270,981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270,981</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270,981</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7,788</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6,201</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6,201</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105,783</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105,783</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105,783</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99,127</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99,127</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99,127</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9,589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9,589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9,589</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2,875,777</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2,897,538</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2,897,538</w:t>
            </w:r>
          </w:p>
        </w:tc>
        <w:tc>
          <w:tcPr>
            <w:tcW w:w="0" w:type="dxa"/>
            <w:vAlign w:val="bottom"/>
          </w:tcPr>
          <w:p>
            <w:pPr>
              <w:spacing w:after="0"/>
              <w:rPr>
                <w:sz w:val="1"/>
                <w:szCs w:val="1"/>
                <w:color w:val="auto"/>
              </w:rPr>
            </w:pPr>
          </w:p>
        </w:tc>
      </w:tr>
      <w:tr>
        <w:trPr>
          <w:trHeight w:val="23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2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24,288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24,288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640" w:type="dxa"/>
            <w:vAlign w:val="bottom"/>
            <w:tcBorders>
              <w:top w:val="single" w:sz="8" w:color="auto"/>
            </w:tcBorders>
          </w:tcPr>
          <w:p>
            <w:pPr>
              <w:spacing w:after="0"/>
              <w:rPr>
                <w:sz w:val="22"/>
                <w:szCs w:val="22"/>
                <w:color w:val="auto"/>
              </w:rPr>
            </w:pPr>
          </w:p>
        </w:tc>
        <w:tc>
          <w:tcPr>
            <w:tcW w:w="1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0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9"/>
                <w:szCs w:val="19"/>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19"/>
                <w:szCs w:val="19"/>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060" w:type="dxa"/>
            <w:vAlign w:val="bottom"/>
            <w:gridSpan w:val="2"/>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6,174</w:t>
            </w:r>
          </w:p>
        </w:tc>
        <w:tc>
          <w:tcPr>
            <w:tcW w:w="4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1540" w:type="dxa"/>
            <w:vAlign w:val="bottom"/>
            <w:gridSpan w:val="2"/>
            <w:shd w:val="clear" w:color="auto" w:fill="EEEEEE"/>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EEEEE"/>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6,174</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119,257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119,257</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119,257</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24,684</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20,848</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20,848</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234,025</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234,025</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234,025</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7,928</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7,928</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7,928</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2,265,446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2,183,331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2,183,331</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17,188</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17,188</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17,188</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 2024, we amended our revolving credit agreement with Citibank, N.A., to add a subordinate third party lender that increases the rate at which we receive advances secured by automobile contracts pledged to this credit facility. The amendment allows us to advance up to 96% of the purchase price of the automobile contracts. This amendment also increases the capacity for this facility from $200 million to $225 million.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You can generally identify forward-looking statements as statements containing the words “will,” “would,” “believe,” “may,” “could,” “expect,” “anticipate,” “intend,” “estimate,” “judgment,” “assume,” “plans,” “goals, “strategy,” “future,” “likely,” “should” or other similar expressions.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forward-looking statements include, among others, statements we make regarding:</w:t>
      </w:r>
    </w:p>
    <w:p>
      <w:pPr>
        <w:spacing w:after="0" w:line="225" w:lineRule="exact"/>
        <w:rPr>
          <w:sz w:val="20"/>
          <w:szCs w:val="20"/>
          <w:color w:val="auto"/>
        </w:rPr>
      </w:pPr>
    </w:p>
    <w:p>
      <w:pPr>
        <w:ind w:left="680" w:hanging="335"/>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charge-offs and recovery rates;</w:t>
      </w:r>
    </w:p>
    <w:p>
      <w:pPr>
        <w:spacing w:after="0" w:line="27"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ability of obligors to pay pursuant to contractual terms;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rights under contracts;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and rates at which we plan to acquire automobile contracts;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levels of recoveries upon sale of repossessed vehicles;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or expenses;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credit losses;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ind w:left="680" w:hanging="33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industry and general economic trends;</w:t>
      </w:r>
    </w:p>
    <w:p>
      <w:pPr>
        <w:spacing w:after="0" w:line="27"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losses for legal contingencies;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deferred tax assets;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taxable income;</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and repay our debt;</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structuring of securitization transactions as secured financings and the effects of such structures on financial items and future profitability; or</w:t>
      </w:r>
    </w:p>
    <w:p>
      <w:pPr>
        <w:spacing w:after="0" w:line="9" w:lineRule="exact"/>
        <w:rPr>
          <w:rFonts w:ascii="Times New Roman" w:cs="Times New Roman" w:eastAsia="Times New Roman" w:hAnsi="Times New Roman"/>
          <w:sz w:val="18"/>
          <w:szCs w:val="18"/>
          <w:color w:val="auto"/>
        </w:rPr>
      </w:pPr>
    </w:p>
    <w:p>
      <w:pPr>
        <w:ind w:left="680" w:hanging="335"/>
        <w:spacing w:after="0" w:line="260"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change in structure on our profitability and the duration of the period in which our profitability would be affected by the change in securitization structure.</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actual results, performance and achievements may differ materially from the results, performance and achievements expressed or implied in such forward-looking statements. Some of the factors that might cause such a difference include, but are not limited to, the following:</w:t>
      </w:r>
    </w:p>
    <w:p>
      <w:pPr>
        <w:spacing w:after="0" w:line="162" w:lineRule="exact"/>
        <w:rPr>
          <w:sz w:val="20"/>
          <w:szCs w:val="20"/>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exogenous events, such as a widespread public health emergency;</w:t>
      </w:r>
    </w:p>
    <w:p>
      <w:pPr>
        <w:spacing w:after="0" w:line="27"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mandates imposed in reaction to such events, such as prohibitions of otherwise permissible activity;</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performance of our automobile contracts;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operating and financing cash flows;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losses incurred on contracts in our managed portfolio;</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by courts or regulators;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with respect to consumer finance;</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used vehicles;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cash releases from existing pools of contracts;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we are able to finance contract purchases;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ability of dealers to assign contracts to us on acceptable terms;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we are able to complete term securitizations once contracts are acquired;</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in the security of our systems; and</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factors as discussed through the “Risk Factors” section of this report.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guarantees of performance. Instead, they are based only on our current beliefs, expectations and assumptions regarding the future of our business, plans and strategies, projections, anticipated events and trends, the economy and other uncertain conditions. Because forward-looking statements relate to the future, they involve risks, uncertainties and assumptions. Actual results may differ from expectations due to many factors beyond our ability to control or predict, including those described herein, and in any documents incorporated by reference in this report. Therefore, you should not rely on any of these forward-looking statements.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any forward-looking information. You are advised to consult any additional disclosure we make in our periodic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w:t>
      </w:r>
      <w:r>
        <w:rPr>
          <w:rFonts w:ascii="Times New Roman" w:cs="Times New Roman" w:eastAsia="Times New Roman" w:hAnsi="Times New Roman"/>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originated vehicle purchase money loans by lending directly to consumers, (ii) acquired installment purchase contracts in four merger and acquisition transactions, and (iii) purchased immaterial amounts of vehicle purchase money loans from non-affiliated lenders. In this report, we refer to all of such contracts and loans as "automobile contracts."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and began our operations in March 1991. From inception through September 30, 2024, we have originated a total of approximately $22.6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2011. Recent contract purchase volumes and managed portfolio levels are shown in the table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Purchases and Outstanding Managed Portfolio</w:t>
      </w:r>
    </w:p>
    <w:p>
      <w:pPr>
        <w:spacing w:after="0" w:line="241" w:lineRule="exact"/>
        <w:rPr>
          <w:sz w:val="20"/>
          <w:szCs w:val="20"/>
          <w:color w:val="auto"/>
        </w:rPr>
      </w:pPr>
    </w:p>
    <w:tbl>
      <w:tblPr>
        <w:tblLayout w:type="fixed"/>
        <w:tblInd w:w="1200" w:type="dxa"/>
        <w:tblCellMar>
          <w:top w:w="0" w:type="dxa"/>
          <w:left w:w="0" w:type="dxa"/>
          <w:bottom w:w="0" w:type="dxa"/>
          <w:right w:w="0" w:type="dxa"/>
        </w:tblCellMar>
      </w:tblPr>
      <w:tr>
        <w:trPr>
          <w:trHeight w:val="236"/>
        </w:trPr>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gridSpan w:val="4"/>
          </w:tcPr>
          <w:p>
            <w:pPr>
              <w:ind w:left="120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Contracts</w:t>
            </w:r>
          </w:p>
        </w:tc>
        <w:tc>
          <w:tcPr>
            <w:tcW w:w="1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Managed Portfolio</w:t>
            </w:r>
          </w:p>
        </w:tc>
        <w:tc>
          <w:tcPr>
            <w:tcW w:w="100" w:type="dxa"/>
            <w:vAlign w:val="bottom"/>
          </w:tcPr>
          <w:p>
            <w:pPr>
              <w:spacing w:after="0"/>
              <w:rPr>
                <w:sz w:val="16"/>
                <w:szCs w:val="16"/>
                <w:color w:val="auto"/>
              </w:rPr>
            </w:pPr>
          </w:p>
        </w:tc>
      </w:tr>
      <w:tr>
        <w:trPr>
          <w:trHeight w:val="238"/>
        </w:trPr>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Purchased in Period</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at Period End</w:t>
            </w:r>
          </w:p>
        </w:tc>
      </w:tr>
      <w:tr>
        <w:trPr>
          <w:trHeight w:val="209"/>
        </w:trPr>
        <w:tc>
          <w:tcPr>
            <w:tcW w:w="506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2018</w:t>
            </w:r>
          </w:p>
        </w:tc>
        <w:tc>
          <w:tcPr>
            <w:tcW w:w="22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902,416</w:t>
            </w:r>
          </w:p>
        </w:tc>
        <w:tc>
          <w:tcPr>
            <w:tcW w:w="32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2,380,847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2019</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1,002,782</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2,416,042</w:t>
            </w:r>
          </w:p>
        </w:tc>
        <w:tc>
          <w:tcPr>
            <w:tcW w:w="100" w:type="dxa"/>
            <w:vAlign w:val="bottom"/>
          </w:tcPr>
          <w:p>
            <w:pPr>
              <w:spacing w:after="0"/>
              <w:rPr>
                <w:sz w:val="18"/>
                <w:szCs w:val="18"/>
                <w:color w:val="auto"/>
              </w:rPr>
            </w:pPr>
          </w:p>
        </w:tc>
      </w:tr>
      <w:tr>
        <w:trPr>
          <w:trHeight w:val="216"/>
        </w:trPr>
        <w:tc>
          <w:tcPr>
            <w:tcW w:w="50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2020</w:t>
            </w:r>
          </w:p>
        </w:tc>
        <w:tc>
          <w:tcPr>
            <w:tcW w:w="17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742,584</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2,174,972</w:t>
            </w:r>
          </w:p>
        </w:tc>
        <w:tc>
          <w:tcPr>
            <w:tcW w:w="100" w:type="dxa"/>
            <w:vAlign w:val="bottom"/>
            <w:shd w:val="clear" w:color="auto" w:fill="EEEEEE"/>
          </w:tcPr>
          <w:p>
            <w:pPr>
              <w:spacing w:after="0"/>
              <w:rPr>
                <w:sz w:val="18"/>
                <w:szCs w:val="18"/>
                <w:color w:val="auto"/>
              </w:rPr>
            </w:pPr>
          </w:p>
        </w:tc>
      </w:tr>
      <w:tr>
        <w:trPr>
          <w:trHeight w:val="216"/>
        </w:trPr>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2021</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1,146,321</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2,249,069</w:t>
            </w:r>
          </w:p>
        </w:tc>
        <w:tc>
          <w:tcPr>
            <w:tcW w:w="100" w:type="dxa"/>
            <w:vAlign w:val="bottom"/>
          </w:tcPr>
          <w:p>
            <w:pPr>
              <w:spacing w:after="0"/>
              <w:rPr>
                <w:sz w:val="18"/>
                <w:szCs w:val="18"/>
                <w:color w:val="auto"/>
              </w:rPr>
            </w:pPr>
          </w:p>
        </w:tc>
      </w:tr>
      <w:tr>
        <w:trPr>
          <w:trHeight w:val="216"/>
        </w:trPr>
        <w:tc>
          <w:tcPr>
            <w:tcW w:w="50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2022</w:t>
            </w:r>
          </w:p>
        </w:tc>
        <w:tc>
          <w:tcPr>
            <w:tcW w:w="17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1,854,385</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3,001,308</w:t>
            </w:r>
          </w:p>
        </w:tc>
        <w:tc>
          <w:tcPr>
            <w:tcW w:w="100" w:type="dxa"/>
            <w:vAlign w:val="bottom"/>
            <w:shd w:val="clear" w:color="auto" w:fill="EEEEEE"/>
          </w:tcPr>
          <w:p>
            <w:pPr>
              <w:spacing w:after="0"/>
              <w:rPr>
                <w:sz w:val="18"/>
                <w:szCs w:val="18"/>
                <w:color w:val="auto"/>
              </w:rPr>
            </w:pPr>
          </w:p>
        </w:tc>
      </w:tr>
      <w:tr>
        <w:trPr>
          <w:trHeight w:val="216"/>
        </w:trPr>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2023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1,357,752</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3,194,623</w:t>
            </w:r>
          </w:p>
        </w:tc>
        <w:tc>
          <w:tcPr>
            <w:tcW w:w="100" w:type="dxa"/>
            <w:vAlign w:val="bottom"/>
          </w:tcPr>
          <w:p>
            <w:pPr>
              <w:spacing w:after="0"/>
              <w:rPr>
                <w:sz w:val="18"/>
                <w:szCs w:val="18"/>
                <w:color w:val="auto"/>
              </w:rPr>
            </w:pPr>
          </w:p>
        </w:tc>
      </w:tr>
      <w:tr>
        <w:trPr>
          <w:trHeight w:val="216"/>
        </w:trPr>
        <w:tc>
          <w:tcPr>
            <w:tcW w:w="50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Nine months ended September 30, 2024</w:t>
            </w:r>
          </w:p>
        </w:tc>
        <w:tc>
          <w:tcPr>
            <w:tcW w:w="17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1,224,130</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3,521,336</w:t>
            </w:r>
          </w:p>
        </w:tc>
        <w:tc>
          <w:tcPr>
            <w:tcW w:w="100" w:type="dxa"/>
            <w:vAlign w:val="bottom"/>
            <w:shd w:val="clear" w:color="auto" w:fill="EEEEEE"/>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2021 we began purchasing some contracts for immediate sale to a third-party to whom we refer applications that don’t meet our lending criteria. We service all such contracts on behalf of the third-party. We earn fees for originating the receivable and also servicing fees on active accounts in the third-party portfolio. For the nine months ended September 30, 2024, we originated $29.5 million under this third-party program. As of September 30, 2024, our managed portfolio includes $191.5 million of such third-party receivables.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Nevada, and Virginia branches. We service our automobile contracts from our California, Nevada, Virginia, Florida and Illinois branches.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Securitization and Warehouse Credit Facilities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after 2017 we take account of estimated credit losses in our computation of a level yield used to determine recognition of interest on the contracts. For contracts acquired before 2018, we adopted CECL on January 1, 2020 and we may, as circumstances warrant, record or reverse expense provisions for credit losses.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1994 we have conducted 103 term securitizations of automobile contracts that we originated. As of September 30, 2024, 18 of those securitizations are active and all are structured as secured financings. We generally conduct our securitizations on a quarterly basis, near the beginning of each calendar quarter, resulting in four securitizations per calendar year. However, we completed only three securitizations in 2020. In April 2020 we postponed our planned securitization due to the onset of the pandemic and the effective closure of the capital markets in which our securitizations are executed. Subsequently we successfully completed securitizations in June and September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recent history of term securitizations is summarized in the table below:</w:t>
            </w: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00" w:type="dxa"/>
            <w:vAlign w:val="bottom"/>
          </w:tcPr>
          <w:p>
            <w:pPr>
              <w:spacing w:after="0"/>
              <w:rPr>
                <w:sz w:val="24"/>
                <w:szCs w:val="24"/>
                <w:color w:val="auto"/>
              </w:rPr>
            </w:pPr>
          </w:p>
        </w:tc>
        <w:tc>
          <w:tcPr>
            <w:tcW w:w="7160" w:type="dxa"/>
            <w:vAlign w:val="bottom"/>
            <w:gridSpan w:val="4"/>
          </w:tcPr>
          <w:p>
            <w:pPr>
              <w:ind w:left="2800"/>
              <w:spacing w:after="0"/>
              <w:rPr>
                <w:sz w:val="20"/>
                <w:szCs w:val="20"/>
                <w:color w:val="auto"/>
              </w:rPr>
            </w:pPr>
            <w:r>
              <w:rPr>
                <w:rFonts w:ascii="Times New Roman" w:cs="Times New Roman" w:eastAsia="Times New Roman" w:hAnsi="Times New Roman"/>
                <w:sz w:val="18"/>
                <w:szCs w:val="18"/>
                <w:b w:val="1"/>
                <w:bCs w:val="1"/>
                <w:color w:val="auto"/>
              </w:rPr>
              <w:t>Recent Asset-Backed Term Securitizations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12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gridSpan w:val="4"/>
          </w:tcPr>
          <w:p>
            <w:pPr>
              <w:ind w:left="120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120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Receivables Pledged</w:t>
            </w:r>
          </w:p>
        </w:tc>
        <w:tc>
          <w:tcPr>
            <w:tcW w:w="100" w:type="dxa"/>
            <w:vAlign w:val="bottom"/>
          </w:tcPr>
          <w:p>
            <w:pPr>
              <w:spacing w:after="0"/>
              <w:rPr>
                <w:sz w:val="16"/>
                <w:szCs w:val="16"/>
                <w:color w:val="auto"/>
              </w:rPr>
            </w:pPr>
          </w:p>
        </w:tc>
      </w:tr>
      <w:tr>
        <w:trPr>
          <w:trHeight w:val="216"/>
        </w:trPr>
        <w:tc>
          <w:tcPr>
            <w:tcW w:w="12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Term</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Term</w:t>
            </w:r>
          </w:p>
        </w:tc>
      </w:tr>
      <w:tr>
        <w:trPr>
          <w:trHeight w:val="238"/>
        </w:trPr>
        <w:tc>
          <w:tcPr>
            <w:tcW w:w="1200" w:type="dxa"/>
            <w:vAlign w:val="bottom"/>
          </w:tcPr>
          <w:p>
            <w:pPr>
              <w:spacing w:after="0"/>
              <w:rPr>
                <w:sz w:val="20"/>
                <w:szCs w:val="20"/>
                <w:color w:val="auto"/>
              </w:rPr>
            </w:pPr>
          </w:p>
        </w:tc>
        <w:tc>
          <w:tcPr>
            <w:tcW w:w="5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Securitizations</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Securitizations</w:t>
            </w:r>
          </w:p>
        </w:tc>
      </w:tr>
      <w:tr>
        <w:trPr>
          <w:trHeight w:val="209"/>
        </w:trPr>
        <w:tc>
          <w:tcPr>
            <w:tcW w:w="1200" w:type="dxa"/>
            <w:vAlign w:val="bottom"/>
          </w:tcPr>
          <w:p>
            <w:pPr>
              <w:spacing w:after="0"/>
              <w:rPr>
                <w:sz w:val="18"/>
                <w:szCs w:val="18"/>
                <w:color w:val="auto"/>
              </w:rPr>
            </w:pPr>
          </w:p>
        </w:tc>
        <w:tc>
          <w:tcPr>
            <w:tcW w:w="506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2018</w:t>
            </w:r>
          </w:p>
        </w:tc>
        <w:tc>
          <w:tcPr>
            <w:tcW w:w="22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ind w:right="61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883,452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2019</w:t>
            </w:r>
          </w:p>
        </w:tc>
        <w:tc>
          <w:tcPr>
            <w:tcW w:w="220" w:type="dxa"/>
            <w:vAlign w:val="bottom"/>
          </w:tcPr>
          <w:p>
            <w:pPr>
              <w:spacing w:after="0"/>
              <w:rPr>
                <w:sz w:val="18"/>
                <w:szCs w:val="18"/>
                <w:color w:val="auto"/>
              </w:rPr>
            </w:pPr>
          </w:p>
        </w:tc>
        <w:tc>
          <w:tcPr>
            <w:tcW w:w="15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1,014,124</w:t>
            </w:r>
          </w:p>
        </w:tc>
        <w:tc>
          <w:tcPr>
            <w:tcW w:w="1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50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2020</w:t>
            </w:r>
          </w:p>
        </w:tc>
        <w:tc>
          <w:tcPr>
            <w:tcW w:w="220" w:type="dxa"/>
            <w:vAlign w:val="bottom"/>
            <w:shd w:val="clear" w:color="auto" w:fill="EEEEEE"/>
          </w:tcPr>
          <w:p>
            <w:pPr>
              <w:spacing w:after="0"/>
              <w:rPr>
                <w:sz w:val="18"/>
                <w:szCs w:val="18"/>
                <w:color w:val="auto"/>
              </w:rPr>
            </w:pPr>
          </w:p>
        </w:tc>
        <w:tc>
          <w:tcPr>
            <w:tcW w:w="1560" w:type="dxa"/>
            <w:vAlign w:val="bottom"/>
            <w:shd w:val="clear" w:color="auto" w:fill="EEEEEE"/>
          </w:tcPr>
          <w:p>
            <w:pPr>
              <w:jc w:val="right"/>
              <w:ind w:right="61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741,867</w:t>
            </w:r>
          </w:p>
        </w:tc>
        <w:tc>
          <w:tcPr>
            <w:tcW w:w="100" w:type="dxa"/>
            <w:vAlign w:val="bottom"/>
            <w:shd w:val="clear" w:color="auto" w:fill="EEEEEE"/>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2021</w:t>
            </w:r>
          </w:p>
        </w:tc>
        <w:tc>
          <w:tcPr>
            <w:tcW w:w="220" w:type="dxa"/>
            <w:vAlign w:val="bottom"/>
          </w:tcPr>
          <w:p>
            <w:pPr>
              <w:spacing w:after="0"/>
              <w:rPr>
                <w:sz w:val="18"/>
                <w:szCs w:val="18"/>
                <w:color w:val="auto"/>
              </w:rPr>
            </w:pPr>
          </w:p>
        </w:tc>
        <w:tc>
          <w:tcPr>
            <w:tcW w:w="15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1,145,002</w:t>
            </w:r>
          </w:p>
        </w:tc>
        <w:tc>
          <w:tcPr>
            <w:tcW w:w="1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50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2022</w:t>
            </w:r>
          </w:p>
        </w:tc>
        <w:tc>
          <w:tcPr>
            <w:tcW w:w="220" w:type="dxa"/>
            <w:vAlign w:val="bottom"/>
            <w:shd w:val="clear" w:color="auto" w:fill="EEEEEE"/>
          </w:tcPr>
          <w:p>
            <w:pPr>
              <w:spacing w:after="0"/>
              <w:rPr>
                <w:sz w:val="18"/>
                <w:szCs w:val="18"/>
                <w:color w:val="auto"/>
              </w:rPr>
            </w:pPr>
          </w:p>
        </w:tc>
        <w:tc>
          <w:tcPr>
            <w:tcW w:w="1560" w:type="dxa"/>
            <w:vAlign w:val="bottom"/>
            <w:shd w:val="clear" w:color="auto" w:fill="EEEEEE"/>
          </w:tcPr>
          <w:p>
            <w:pPr>
              <w:jc w:val="right"/>
              <w:ind w:right="61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1,537,383</w:t>
            </w:r>
          </w:p>
        </w:tc>
        <w:tc>
          <w:tcPr>
            <w:tcW w:w="100" w:type="dxa"/>
            <w:vAlign w:val="bottom"/>
            <w:shd w:val="clear" w:color="auto" w:fill="EEEEEE"/>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2023</w:t>
            </w:r>
          </w:p>
        </w:tc>
        <w:tc>
          <w:tcPr>
            <w:tcW w:w="220" w:type="dxa"/>
            <w:vAlign w:val="bottom"/>
          </w:tcPr>
          <w:p>
            <w:pPr>
              <w:spacing w:after="0"/>
              <w:rPr>
                <w:sz w:val="18"/>
                <w:szCs w:val="18"/>
                <w:color w:val="auto"/>
              </w:rPr>
            </w:pPr>
          </w:p>
        </w:tc>
        <w:tc>
          <w:tcPr>
            <w:tcW w:w="15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1,352,114</w:t>
            </w:r>
          </w:p>
        </w:tc>
        <w:tc>
          <w:tcPr>
            <w:tcW w:w="1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528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333333"/>
                <w:w w:val="99"/>
              </w:rPr>
              <w:t>Nine months ended September 30, 2024</w:t>
            </w:r>
          </w:p>
        </w:tc>
        <w:tc>
          <w:tcPr>
            <w:tcW w:w="1560" w:type="dxa"/>
            <w:vAlign w:val="bottom"/>
            <w:shd w:val="clear" w:color="auto" w:fill="EEEEEE"/>
          </w:tcPr>
          <w:p>
            <w:pPr>
              <w:jc w:val="right"/>
              <w:ind w:right="61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1,533,854</w:t>
            </w:r>
          </w:p>
        </w:tc>
        <w:tc>
          <w:tcPr>
            <w:tcW w:w="100" w:type="dxa"/>
            <w:vAlign w:val="bottom"/>
            <w:shd w:val="clear" w:color="auto" w:fill="EEEEEE"/>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prior to a securitization transaction we fund our automobile contract purchases primarily with proceeds from warehouse credit facilities. We currently have short-term funding capacity of $400 million over two credit facilities. The first credit facility was established in May 2012. This facility was most recently renewed in July 2024, extending the revolving period to July 2026, with an optional amortization period through July 2027. In addition, the capacity was doubled from $100 million to $200 million in July 2022.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2015, we entered into another $100 million facility. This facility was most recently renewed in March 2024, extending the revolving period to March 2026, followed by an amortization period to March 2028. In June 2022, we doubled the capacity for this facility from $100 million to $200 million.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jc w:val="both"/>
        <w:spacing w:after="0" w:line="256" w:lineRule="auto"/>
        <w:rPr>
          <w:sz w:val="20"/>
          <w:szCs w:val="20"/>
          <w:color w:val="auto"/>
        </w:rPr>
      </w:pPr>
      <w:r>
        <w:rPr>
          <w:rFonts w:ascii="Times New Roman" w:cs="Times New Roman" w:eastAsia="Times New Roman" w:hAnsi="Times New Roman"/>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we originate and service for third-parties are not pledged to our warehouse facilities or included in our securitizations.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September 30, 2024, we were in compliance with all such covenants.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Operating Results for the three months ended September 30, 2024 with the three months ended September 30, 2023</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During the three months ended September 30, 2024, our revenues were $100.6 million, an increase of $8.5 million, or 9.2%, from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of $92.1 million. The primary reason for the increase in revenues is the increase in interest income resulting from the increase in the average outstanding balance of finance receivables measured at fair value. Revenues for the three months ended September 30, 2024 include a $5.5 million mark up to the recorded value of the finance receivables measured at fair value. The marks are estimates based on our evaluation of the appropriate fair value and future earnings rate of existing receivables compared to recently acquired receivables and increases or decreases in our estimates of future net losses. In the current period, our re-evaluation of the fair values of these receivables resulted in a mark up for certain older receivables and a mark down to the fair values of newer receivables. The fair value mark up on the older receivables exceeded the mark down to the newer receivables resulting in a net mark up of $5.5 million. There was a $6.0 million mark up to the fair value portfolio in the prior year period.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income for the three months ended September 30, 2024 increased $9.9 million, or 11.9%, to $93.2 million from $83.3 million in the prior year. The primary reason for the increase in interest income is the 11.7% increase in the average balance of our loan portfolio over the prior year period. The interest yield on our total loan portfolio increased from 11.3% in the prior year period to 11.4% in the current year period. The interest yield on receivables measured at fair value is reduced to take account of expected losses and is therefore less than the yield on other finance receivables. The table below shows the average balance and interest yield of our loan portfolio for the three months ended September 30, 2024 and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jc w:val="center"/>
              <w:ind w:right="5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0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38"/>
        </w:trPr>
        <w:tc>
          <w:tcPr>
            <w:tcW w:w="25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20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3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0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156"/>
        </w:trPr>
        <w:tc>
          <w:tcPr>
            <w:tcW w:w="2500" w:type="dxa"/>
            <w:vAlign w:val="bottom"/>
            <w:gridSpan w:val="3"/>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4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3,278,336</w:t>
            </w:r>
          </w:p>
        </w:tc>
        <w:tc>
          <w:tcPr>
            <w:tcW w:w="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93,158</w:t>
            </w:r>
          </w:p>
        </w:tc>
        <w:tc>
          <w:tcPr>
            <w:tcW w:w="164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2,934,749</w:t>
            </w:r>
          </w:p>
        </w:tc>
        <w:tc>
          <w:tcPr>
            <w:tcW w:w="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83,261</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Other income was $1.9 million for </w:t>
      </w:r>
      <w:r>
        <w:rPr>
          <w:rFonts w:ascii="Times New Roman" w:cs="Times New Roman" w:eastAsia="Times New Roman" w:hAnsi="Times New Roman"/>
          <w:sz w:val="17"/>
          <w:szCs w:val="17"/>
          <w:color w:val="auto"/>
        </w:rPr>
        <w:t>the three months ended September 30, 2024 compared to $2.8 million for the comparable period in 2023. 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31.8% decrease was primarily driven by the decrease in origination and servicing fees we earned from third party receivables. These fees were $1.6 million for the quarter ended September 30, 2024 compared to $2.5 million in the prior year period.</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Our operating expenses consist largely of interest expense, provision for credit losses, employee costs, sales and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profit margins and net income include changes in the automobile and automobile finance market environments, and macroeconomic factors such as interest rates and changes in the unemployment level.</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Other operating expenses consist largely of facilities expenses, telephone and other communication services, credit services, computer services, sales and advertising expenses, and depreciation and amortization.</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Total operating expenses were $93.7 million for the three months ended September 30, 2024, compared to $77.9 million for the prior period, an increase of $15.8 million, or 20.4%. The increase is primarily due to increases in interest expense and to a lesser extent, increases to employee costs.</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Employee costs were $24.2 million during the three months ended September 30, 2024 compared to $21.8 million for the same quarter in the prior year, an increase of $2.4 million, or 10.8%. The table below summarizes our employees by category as well as contract purchases and units in our managed portfolio as of, and for the three-month periods ended, September 30, 2024 and 2023:</w:t>
      </w:r>
    </w:p>
    <w:p>
      <w:pPr>
        <w:spacing w:after="0" w:line="199" w:lineRule="exact"/>
        <w:rPr>
          <w:sz w:val="20"/>
          <w:szCs w:val="20"/>
          <w:color w:val="auto"/>
        </w:rPr>
      </w:pPr>
    </w:p>
    <w:tbl>
      <w:tblPr>
        <w:tblLayout w:type="fixed"/>
        <w:tblInd w:w="11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(Dollars in millions)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 (dollars)</w:t>
            </w:r>
          </w:p>
        </w:tc>
        <w:tc>
          <w:tcPr>
            <w:tcW w:w="21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320" w:type="dxa"/>
            <w:vAlign w:val="bottom"/>
            <w:gridSpan w:val="2"/>
            <w:shd w:val="clear" w:color="auto" w:fill="EEEEEE"/>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Contracts purchased (units)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Managed portfolio outstanding (dollars)</w:t>
            </w:r>
          </w:p>
        </w:tc>
        <w:tc>
          <w:tcPr>
            <w:tcW w:w="21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3,329.8</w:t>
            </w:r>
          </w:p>
        </w:tc>
        <w:tc>
          <w:tcPr>
            <w:tcW w:w="1320" w:type="dxa"/>
            <w:vAlign w:val="bottom"/>
            <w:gridSpan w:val="2"/>
            <w:shd w:val="clear" w:color="auto" w:fill="EEEEEE"/>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2,943.3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Managed portfolio outstanding (units)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194,434</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Number of Originations staff</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Sales staff</w:t>
            </w:r>
          </w:p>
        </w:tc>
        <w:tc>
          <w:tcPr>
            <w:tcW w:w="1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Number of Servicing staff</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other staff</w:t>
            </w:r>
          </w:p>
        </w:tc>
        <w:tc>
          <w:tcPr>
            <w:tcW w:w="1200" w:type="dxa"/>
            <w:vAlign w:val="bottom"/>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spacing w:after="0"/>
              <w:rPr>
                <w:sz w:val="19"/>
                <w:szCs w:val="19"/>
                <w:color w:val="auto"/>
              </w:rPr>
            </w:pPr>
          </w:p>
        </w:tc>
        <w:tc>
          <w:tcPr>
            <w:tcW w:w="6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shd w:val="clear" w:color="auto" w:fill="EEEEEE"/>
          </w:tcPr>
          <w:p>
            <w:pPr>
              <w:spacing w:after="0"/>
              <w:rPr>
                <w:sz w:val="19"/>
                <w:szCs w:val="19"/>
                <w:color w:val="auto"/>
              </w:rPr>
            </w:pPr>
          </w:p>
        </w:tc>
        <w:tc>
          <w:tcPr>
            <w:tcW w:w="1000" w:type="dxa"/>
            <w:vAlign w:val="bottom"/>
            <w:tcBorders>
              <w:bottom w:val="single" w:sz="8" w:color="auto"/>
            </w:tcBorders>
            <w:shd w:val="clear" w:color="auto" w:fill="EEEEEE"/>
          </w:tcPr>
          <w:p>
            <w:pPr>
              <w:spacing w:after="0"/>
              <w:rPr>
                <w:sz w:val="19"/>
                <w:szCs w:val="19"/>
                <w:color w:val="auto"/>
              </w:rPr>
            </w:pPr>
          </w:p>
        </w:tc>
        <w:tc>
          <w:tcPr>
            <w:tcW w:w="6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employees</w:t>
            </w:r>
          </w:p>
        </w:tc>
        <w:tc>
          <w:tcPr>
            <w:tcW w:w="12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3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was $13.3 million, an increase of $231,000 from $13.0 million in the prior year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2024 was $50.1 million and represented 53.4% of total operating expenses, compared to $37.9 million in the previous year, when it was 48.7% of total operating expenses.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on securitization trust debt increased by $11.3 million for the three months ended September 30, 2024 compared to the prior period. The average balance of securitization trust debt increased to $2,706.3 million for the three months ended September 30, 2024 compared to $2,349.7 million for the three months ended September 30, 2023. The annualized average rate on our securitization trust debt was 6.4% for the three months ended September 30, 2024 compared to 5.4% in the prior year period. The blended interest rates on new term securitizations have been increasing since 2022.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Blended Cost of Funds on Recent Asset-Backed Term Securitizations</w:t>
      </w:r>
    </w:p>
    <w:p>
      <w:pPr>
        <w:spacing w:after="0" w:line="225" w:lineRule="exact"/>
        <w:rPr>
          <w:sz w:val="20"/>
          <w:szCs w:val="20"/>
          <w:color w:val="auto"/>
        </w:rPr>
      </w:pPr>
    </w:p>
    <w:tbl>
      <w:tblPr>
        <w:tblLayout w:type="fixed"/>
        <w:tblInd w:w="2540" w:type="dxa"/>
        <w:tblCellMar>
          <w:top w:w="0" w:type="dxa"/>
          <w:left w:w="0" w:type="dxa"/>
          <w:bottom w:w="0" w:type="dxa"/>
          <w:right w:w="0" w:type="dxa"/>
        </w:tblCellMar>
      </w:tblPr>
      <w:tr>
        <w:trPr>
          <w:trHeight w:val="238"/>
        </w:trPr>
        <w:tc>
          <w:tcPr>
            <w:tcW w:w="3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Blended Cost of Funds</w:t>
            </w:r>
          </w:p>
        </w:tc>
      </w:tr>
      <w:tr>
        <w:trPr>
          <w:trHeight w:val="210"/>
        </w:trPr>
        <w:tc>
          <w:tcPr>
            <w:tcW w:w="298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January 2021</w:t>
            </w:r>
          </w:p>
        </w:tc>
        <w:tc>
          <w:tcPr>
            <w:tcW w:w="200" w:type="dxa"/>
            <w:vAlign w:val="bottom"/>
            <w:tcBorders>
              <w:top w:val="single" w:sz="8" w:color="EEEEEE"/>
            </w:tcBorders>
            <w:shd w:val="clear" w:color="auto" w:fill="EEEEEE"/>
          </w:tcPr>
          <w:p>
            <w:pPr>
              <w:spacing w:after="0"/>
              <w:rPr>
                <w:sz w:val="18"/>
                <w:szCs w:val="18"/>
                <w:color w:val="auto"/>
              </w:rPr>
            </w:pPr>
          </w:p>
        </w:tc>
        <w:tc>
          <w:tcPr>
            <w:tcW w:w="300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1.11%</w:t>
            </w:r>
          </w:p>
        </w:tc>
      </w:tr>
      <w:tr>
        <w:trPr>
          <w:trHeight w:val="216"/>
        </w:trPr>
        <w:tc>
          <w:tcPr>
            <w:tcW w:w="3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April 2021</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1.65%</w:t>
            </w:r>
          </w:p>
        </w:tc>
      </w:tr>
      <w:tr>
        <w:trPr>
          <w:trHeight w:val="216"/>
        </w:trPr>
        <w:tc>
          <w:tcPr>
            <w:tcW w:w="3180" w:type="dxa"/>
            <w:vAlign w:val="bottom"/>
            <w:gridSpan w:val="2"/>
            <w:shd w:val="clear" w:color="auto" w:fill="EEEEEE"/>
          </w:tcPr>
          <w:p>
            <w:pPr>
              <w:jc w:val="center"/>
              <w:ind w:right="200"/>
              <w:spacing w:after="0"/>
              <w:rPr>
                <w:sz w:val="20"/>
                <w:szCs w:val="20"/>
                <w:color w:val="auto"/>
              </w:rPr>
            </w:pPr>
            <w:r>
              <w:rPr>
                <w:rFonts w:ascii="Times New Roman" w:cs="Times New Roman" w:eastAsia="Times New Roman" w:hAnsi="Times New Roman"/>
                <w:sz w:val="18"/>
                <w:szCs w:val="18"/>
                <w:color w:val="auto"/>
                <w:w w:val="99"/>
              </w:rPr>
              <w:t>July 2021</w:t>
            </w:r>
          </w:p>
        </w:tc>
        <w:tc>
          <w:tcPr>
            <w:tcW w:w="30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1.55%</w:t>
            </w:r>
          </w:p>
        </w:tc>
      </w:tr>
      <w:tr>
        <w:trPr>
          <w:trHeight w:val="216"/>
        </w:trPr>
        <w:tc>
          <w:tcPr>
            <w:tcW w:w="3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October 2021</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2.09%</w:t>
            </w:r>
          </w:p>
        </w:tc>
      </w:tr>
      <w:tr>
        <w:trPr>
          <w:trHeight w:val="216"/>
        </w:trPr>
        <w:tc>
          <w:tcPr>
            <w:tcW w:w="318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January 2022</w:t>
            </w:r>
          </w:p>
        </w:tc>
        <w:tc>
          <w:tcPr>
            <w:tcW w:w="30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2.54%</w:t>
            </w:r>
          </w:p>
        </w:tc>
      </w:tr>
      <w:tr>
        <w:trPr>
          <w:trHeight w:val="216"/>
        </w:trPr>
        <w:tc>
          <w:tcPr>
            <w:tcW w:w="3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April 2022</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4.83%</w:t>
            </w:r>
          </w:p>
        </w:tc>
      </w:tr>
      <w:tr>
        <w:trPr>
          <w:trHeight w:val="216"/>
        </w:trPr>
        <w:tc>
          <w:tcPr>
            <w:tcW w:w="3180" w:type="dxa"/>
            <w:vAlign w:val="bottom"/>
            <w:gridSpan w:val="2"/>
            <w:shd w:val="clear" w:color="auto" w:fill="EEEEEE"/>
          </w:tcPr>
          <w:p>
            <w:pPr>
              <w:jc w:val="center"/>
              <w:ind w:right="200"/>
              <w:spacing w:after="0"/>
              <w:rPr>
                <w:sz w:val="20"/>
                <w:szCs w:val="20"/>
                <w:color w:val="auto"/>
              </w:rPr>
            </w:pPr>
            <w:r>
              <w:rPr>
                <w:rFonts w:ascii="Times New Roman" w:cs="Times New Roman" w:eastAsia="Times New Roman" w:hAnsi="Times New Roman"/>
                <w:sz w:val="18"/>
                <w:szCs w:val="18"/>
                <w:color w:val="auto"/>
                <w:w w:val="99"/>
              </w:rPr>
              <w:t>July 2022</w:t>
            </w:r>
          </w:p>
        </w:tc>
        <w:tc>
          <w:tcPr>
            <w:tcW w:w="30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6.02%</w:t>
            </w:r>
          </w:p>
        </w:tc>
      </w:tr>
      <w:tr>
        <w:trPr>
          <w:trHeight w:val="216"/>
        </w:trPr>
        <w:tc>
          <w:tcPr>
            <w:tcW w:w="3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October 2022</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8.48%</w:t>
            </w:r>
          </w:p>
        </w:tc>
      </w:tr>
      <w:tr>
        <w:trPr>
          <w:trHeight w:val="216"/>
        </w:trPr>
        <w:tc>
          <w:tcPr>
            <w:tcW w:w="318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January 2023</w:t>
            </w:r>
          </w:p>
        </w:tc>
        <w:tc>
          <w:tcPr>
            <w:tcW w:w="30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6.48%</w:t>
            </w:r>
          </w:p>
        </w:tc>
      </w:tr>
      <w:tr>
        <w:trPr>
          <w:trHeight w:val="216"/>
        </w:trPr>
        <w:tc>
          <w:tcPr>
            <w:tcW w:w="3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April 2023</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7.17%</w:t>
            </w:r>
          </w:p>
        </w:tc>
      </w:tr>
      <w:tr>
        <w:trPr>
          <w:trHeight w:val="216"/>
        </w:trPr>
        <w:tc>
          <w:tcPr>
            <w:tcW w:w="3180" w:type="dxa"/>
            <w:vAlign w:val="bottom"/>
            <w:gridSpan w:val="2"/>
            <w:shd w:val="clear" w:color="auto" w:fill="EEEEEE"/>
          </w:tcPr>
          <w:p>
            <w:pPr>
              <w:jc w:val="center"/>
              <w:ind w:right="200"/>
              <w:spacing w:after="0"/>
              <w:rPr>
                <w:sz w:val="20"/>
                <w:szCs w:val="20"/>
                <w:color w:val="auto"/>
              </w:rPr>
            </w:pPr>
            <w:r>
              <w:rPr>
                <w:rFonts w:ascii="Times New Roman" w:cs="Times New Roman" w:eastAsia="Times New Roman" w:hAnsi="Times New Roman"/>
                <w:sz w:val="18"/>
                <w:szCs w:val="18"/>
                <w:color w:val="auto"/>
                <w:w w:val="99"/>
              </w:rPr>
              <w:t>July 2023</w:t>
            </w:r>
          </w:p>
        </w:tc>
        <w:tc>
          <w:tcPr>
            <w:tcW w:w="30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7.13%</w:t>
            </w:r>
          </w:p>
        </w:tc>
      </w:tr>
      <w:tr>
        <w:trPr>
          <w:trHeight w:val="216"/>
        </w:trPr>
        <w:tc>
          <w:tcPr>
            <w:tcW w:w="3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October 2023</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7.89%</w:t>
            </w:r>
          </w:p>
        </w:tc>
      </w:tr>
      <w:tr>
        <w:trPr>
          <w:trHeight w:val="216"/>
        </w:trPr>
        <w:tc>
          <w:tcPr>
            <w:tcW w:w="318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January 2024</w:t>
            </w:r>
          </w:p>
        </w:tc>
        <w:tc>
          <w:tcPr>
            <w:tcW w:w="30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6.51%</w:t>
            </w:r>
          </w:p>
        </w:tc>
      </w:tr>
      <w:tr>
        <w:trPr>
          <w:trHeight w:val="216"/>
        </w:trPr>
        <w:tc>
          <w:tcPr>
            <w:tcW w:w="3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April 2024</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6.69%</w:t>
            </w:r>
          </w:p>
        </w:tc>
      </w:tr>
      <w:tr>
        <w:trPr>
          <w:trHeight w:val="216"/>
        </w:trPr>
        <w:tc>
          <w:tcPr>
            <w:tcW w:w="3180" w:type="dxa"/>
            <w:vAlign w:val="bottom"/>
            <w:gridSpan w:val="2"/>
            <w:shd w:val="clear" w:color="auto" w:fill="EEEEEE"/>
          </w:tcPr>
          <w:p>
            <w:pPr>
              <w:jc w:val="center"/>
              <w:ind w:right="200"/>
              <w:spacing w:after="0"/>
              <w:rPr>
                <w:sz w:val="20"/>
                <w:szCs w:val="20"/>
                <w:color w:val="auto"/>
              </w:rPr>
            </w:pPr>
            <w:r>
              <w:rPr>
                <w:rFonts w:ascii="Times New Roman" w:cs="Times New Roman" w:eastAsia="Times New Roman" w:hAnsi="Times New Roman"/>
                <w:sz w:val="18"/>
                <w:szCs w:val="18"/>
                <w:color w:val="auto"/>
              </w:rPr>
              <w:t>June 2024</w:t>
            </w:r>
          </w:p>
        </w:tc>
        <w:tc>
          <w:tcPr>
            <w:tcW w:w="30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6.56%</w:t>
            </w:r>
          </w:p>
        </w:tc>
      </w:tr>
      <w:tr>
        <w:trPr>
          <w:trHeight w:val="234"/>
        </w:trPr>
        <w:tc>
          <w:tcPr>
            <w:tcW w:w="3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September 2024</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5.52%</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on warehouse credit line debt decreased by $665,000 to $4.0 million for the three months ended September 30, 2024 compared to $4.7 million in the prior year period. The decrease was primarily due to the lower utilization of our credit lines during the quarter compared to last year. The average balance of our warehouse debt was $132.3 million during the three months ended September 30, 2024 compared to $170.9 million for the same period in 2023. The annualized average rate on our credit line debt was 12.1% for the three months ended September 30, 2024 compared to 10.9% in the prior year period.</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expense on subordinated renewable notes was $581,000 for the three months ended September 30, 2024. The average balance of the outstanding subordinated debt was $23.2 million for the three months ended September 30, 2024 compared to $19.9 million for the prior year period. The average yield of subordinated notes increased to 10.0% compared to 8.8% in the prior period.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In June 2021, we completed a residual interest financing of our residual interests from previously issued securitizations in the amount of $50.0 million. In March 2024, we completed a new residual interest financing of our residual interests from previously issued securitizations in the amount of $50.0 million. Interest expense for these residual interest financings was $2.5 million for the three months ended September 30, 2024 compared to $1.1 for the same period in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 and interest expense and a net interest yield analysis for the three-month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5"/>
          </w:tcPr>
          <w:p>
            <w:pPr>
              <w:jc w:val="right"/>
              <w:ind w:right="740"/>
              <w:spacing w:after="0" w:line="182" w:lineRule="exact"/>
              <w:rPr>
                <w:sz w:val="20"/>
                <w:szCs w:val="20"/>
                <w:color w:val="auto"/>
              </w:rPr>
            </w:pPr>
            <w:r>
              <w:rPr>
                <w:rFonts w:ascii="Times New Roman" w:cs="Times New Roman" w:eastAsia="Times New Roman" w:hAnsi="Times New Roman"/>
                <w:sz w:val="16"/>
                <w:szCs w:val="16"/>
                <w:b w:val="1"/>
                <w:bCs w:val="1"/>
                <w:color w:val="auto"/>
              </w:rPr>
              <w:t>(Dollars in thousands)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20" w:type="dxa"/>
            <w:vAlign w:val="bottom"/>
            <w:gridSpan w:val="4"/>
            <w:vMerge w:val="restart"/>
          </w:tcPr>
          <w:p>
            <w:pPr>
              <w:jc w:val="center"/>
              <w:ind w:right="780"/>
              <w:spacing w:after="0"/>
              <w:rPr>
                <w:sz w:val="20"/>
                <w:szCs w:val="20"/>
                <w:color w:val="auto"/>
              </w:rPr>
            </w:pPr>
            <w:r>
              <w:rPr>
                <w:rFonts w:ascii="Times New Roman" w:cs="Times New Roman" w:eastAsia="Times New Roman" w:hAnsi="Times New Roman"/>
                <w:sz w:val="16"/>
                <w:szCs w:val="16"/>
                <w:b w:val="1"/>
                <w:bCs w:val="1"/>
                <w:color w:val="auto"/>
                <w:w w:val="99"/>
              </w:rPr>
              <w:t>Interest Earning Assets</w:t>
            </w:r>
          </w:p>
        </w:tc>
        <w:tc>
          <w:tcPr>
            <w:tcW w:w="1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Balance (1)</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Yield/Rate</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Balance (1)</w:t>
            </w: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Yield/Rate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620" w:type="dxa"/>
            <w:vAlign w:val="bottom"/>
            <w:gridSpan w:val="4"/>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6"/>
                <w:szCs w:val="16"/>
                <w:color w:val="auto"/>
              </w:rPr>
              <w:t>Loan Portfolio</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3,278,336</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6"/>
                <w:szCs w:val="16"/>
                <w:color w:val="auto"/>
              </w:rPr>
              <w:t>93,158</w:t>
            </w:r>
          </w:p>
        </w:tc>
        <w:tc>
          <w:tcPr>
            <w:tcW w:w="15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2,937,749</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83,261</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FFFFFF"/>
              </w:rPr>
              <w:t>$</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60" w:type="dxa"/>
            <w:vAlign w:val="bottom"/>
            <w:tcBorders>
              <w:bottom w:val="single" w:sz="8" w:color="EEEEEE"/>
            </w:tcBorders>
            <w:shd w:val="clear" w:color="auto" w:fill="EEEEEE"/>
          </w:tcPr>
          <w:p>
            <w:pPr>
              <w:spacing w:after="0"/>
              <w:rPr>
                <w:sz w:val="15"/>
                <w:szCs w:val="15"/>
                <w:color w:val="auto"/>
              </w:rPr>
            </w:pPr>
          </w:p>
        </w:tc>
        <w:tc>
          <w:tcPr>
            <w:tcW w:w="1860" w:type="dxa"/>
            <w:vAlign w:val="bottom"/>
            <w:tcBorders>
              <w:bottom w:val="single" w:sz="8" w:color="auto"/>
            </w:tcBorders>
            <w:gridSpan w:val="3"/>
            <w:shd w:val="clear" w:color="auto" w:fill="EEEEEE"/>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Interest Bearing Liabilities</w:t>
            </w:r>
          </w:p>
        </w:tc>
        <w:tc>
          <w:tcPr>
            <w:tcW w:w="760" w:type="dxa"/>
            <w:vAlign w:val="bottom"/>
            <w:tcBorders>
              <w:bottom w:val="single" w:sz="8" w:color="EEEEEE"/>
            </w:tcBorders>
            <w:shd w:val="clear" w:color="auto" w:fill="EEEEEE"/>
          </w:tcPr>
          <w:p>
            <w:pPr>
              <w:spacing w:after="0"/>
              <w:rPr>
                <w:sz w:val="15"/>
                <w:szCs w:val="15"/>
                <w:color w:val="auto"/>
              </w:rPr>
            </w:pPr>
          </w:p>
        </w:tc>
        <w:tc>
          <w:tcPr>
            <w:tcW w:w="120" w:type="dxa"/>
            <w:vAlign w:val="bottom"/>
            <w:tcBorders>
              <w:bottom w:val="single" w:sz="8" w:color="EEEEEE"/>
            </w:tcBorders>
            <w:shd w:val="clear" w:color="auto" w:fill="EEEEEE"/>
          </w:tcPr>
          <w:p>
            <w:pPr>
              <w:spacing w:after="0"/>
              <w:rPr>
                <w:sz w:val="15"/>
                <w:szCs w:val="15"/>
                <w:color w:val="auto"/>
              </w:rPr>
            </w:pPr>
          </w:p>
        </w:tc>
        <w:tc>
          <w:tcPr>
            <w:tcW w:w="1000" w:type="dxa"/>
            <w:vAlign w:val="bottom"/>
            <w:tcBorders>
              <w:bottom w:val="single" w:sz="8" w:color="EEEEEE"/>
            </w:tcBorders>
            <w:shd w:val="clear" w:color="auto" w:fill="EEEEEE"/>
          </w:tcPr>
          <w:p>
            <w:pPr>
              <w:spacing w:after="0"/>
              <w:rPr>
                <w:sz w:val="15"/>
                <w:szCs w:val="15"/>
                <w:color w:val="auto"/>
              </w:rPr>
            </w:pPr>
          </w:p>
        </w:tc>
        <w:tc>
          <w:tcPr>
            <w:tcW w:w="260" w:type="dxa"/>
            <w:vAlign w:val="bottom"/>
            <w:tcBorders>
              <w:bottom w:val="single" w:sz="8" w:color="EEEEEE"/>
            </w:tcBorders>
            <w:shd w:val="clear" w:color="auto" w:fill="EEEEEE"/>
          </w:tcPr>
          <w:p>
            <w:pPr>
              <w:spacing w:after="0"/>
              <w:rPr>
                <w:sz w:val="15"/>
                <w:szCs w:val="15"/>
                <w:color w:val="auto"/>
              </w:rPr>
            </w:pPr>
          </w:p>
        </w:tc>
        <w:tc>
          <w:tcPr>
            <w:tcW w:w="180" w:type="dxa"/>
            <w:vAlign w:val="bottom"/>
            <w:tcBorders>
              <w:bottom w:val="single" w:sz="8" w:color="EEEEEE"/>
            </w:tcBorders>
            <w:shd w:val="clear" w:color="auto" w:fill="EEEEEE"/>
          </w:tcPr>
          <w:p>
            <w:pPr>
              <w:spacing w:after="0"/>
              <w:rPr>
                <w:sz w:val="15"/>
                <w:szCs w:val="15"/>
                <w:color w:val="auto"/>
              </w:rPr>
            </w:pPr>
          </w:p>
        </w:tc>
        <w:tc>
          <w:tcPr>
            <w:tcW w:w="940" w:type="dxa"/>
            <w:vAlign w:val="bottom"/>
            <w:tcBorders>
              <w:bottom w:val="single" w:sz="8" w:color="EEEEEE"/>
            </w:tcBorders>
            <w:shd w:val="clear" w:color="auto" w:fill="EEEEEE"/>
          </w:tcPr>
          <w:p>
            <w:pPr>
              <w:spacing w:after="0"/>
              <w:rPr>
                <w:sz w:val="15"/>
                <w:szCs w:val="15"/>
                <w:color w:val="auto"/>
              </w:rPr>
            </w:pPr>
          </w:p>
        </w:tc>
        <w:tc>
          <w:tcPr>
            <w:tcW w:w="80" w:type="dxa"/>
            <w:vAlign w:val="bottom"/>
            <w:tcBorders>
              <w:bottom w:val="single" w:sz="8" w:color="EEEEEE"/>
            </w:tcBorders>
            <w:shd w:val="clear" w:color="auto" w:fill="EEEEEE"/>
          </w:tcPr>
          <w:p>
            <w:pPr>
              <w:spacing w:after="0"/>
              <w:rPr>
                <w:sz w:val="15"/>
                <w:szCs w:val="15"/>
                <w:color w:val="auto"/>
              </w:rPr>
            </w:pPr>
          </w:p>
        </w:tc>
        <w:tc>
          <w:tcPr>
            <w:tcW w:w="160" w:type="dxa"/>
            <w:vAlign w:val="bottom"/>
            <w:tcBorders>
              <w:bottom w:val="single" w:sz="8" w:color="EEEEEE"/>
            </w:tcBorders>
            <w:shd w:val="clear" w:color="auto" w:fill="EEEEEE"/>
          </w:tcPr>
          <w:p>
            <w:pPr>
              <w:spacing w:after="0"/>
              <w:rPr>
                <w:sz w:val="15"/>
                <w:szCs w:val="15"/>
                <w:color w:val="auto"/>
              </w:rPr>
            </w:pPr>
          </w:p>
        </w:tc>
        <w:tc>
          <w:tcPr>
            <w:tcW w:w="1140" w:type="dxa"/>
            <w:vAlign w:val="bottom"/>
            <w:tcBorders>
              <w:bottom w:val="single" w:sz="8" w:color="EEEEEE"/>
            </w:tcBorders>
            <w:shd w:val="clear" w:color="auto" w:fill="EEEEEE"/>
          </w:tcPr>
          <w:p>
            <w:pPr>
              <w:spacing w:after="0"/>
              <w:rPr>
                <w:sz w:val="15"/>
                <w:szCs w:val="15"/>
                <w:color w:val="auto"/>
              </w:rPr>
            </w:pPr>
          </w:p>
        </w:tc>
        <w:tc>
          <w:tcPr>
            <w:tcW w:w="220" w:type="dxa"/>
            <w:vAlign w:val="bottom"/>
            <w:tcBorders>
              <w:bottom w:val="single" w:sz="8" w:color="EEEEEE"/>
            </w:tcBorders>
            <w:shd w:val="clear" w:color="auto" w:fill="EEEEEE"/>
          </w:tcPr>
          <w:p>
            <w:pPr>
              <w:spacing w:after="0"/>
              <w:rPr>
                <w:sz w:val="15"/>
                <w:szCs w:val="15"/>
                <w:color w:val="auto"/>
              </w:rPr>
            </w:pPr>
          </w:p>
        </w:tc>
        <w:tc>
          <w:tcPr>
            <w:tcW w:w="120" w:type="dxa"/>
            <w:vAlign w:val="bottom"/>
            <w:tcBorders>
              <w:bottom w:val="single" w:sz="8" w:color="EEEEEE"/>
            </w:tcBorders>
            <w:shd w:val="clear" w:color="auto" w:fill="EEEEEE"/>
          </w:tcPr>
          <w:p>
            <w:pPr>
              <w:spacing w:after="0"/>
              <w:rPr>
                <w:sz w:val="15"/>
                <w:szCs w:val="15"/>
                <w:color w:val="auto"/>
              </w:rPr>
            </w:pPr>
          </w:p>
        </w:tc>
        <w:tc>
          <w:tcPr>
            <w:tcW w:w="980" w:type="dxa"/>
            <w:vAlign w:val="bottom"/>
            <w:tcBorders>
              <w:bottom w:val="single" w:sz="8" w:color="EEEEEE"/>
            </w:tcBorders>
            <w:shd w:val="clear" w:color="auto" w:fill="EEEEEE"/>
          </w:tcPr>
          <w:p>
            <w:pPr>
              <w:spacing w:after="0"/>
              <w:rPr>
                <w:sz w:val="15"/>
                <w:szCs w:val="15"/>
                <w:color w:val="auto"/>
              </w:rPr>
            </w:pPr>
          </w:p>
        </w:tc>
        <w:tc>
          <w:tcPr>
            <w:tcW w:w="220" w:type="dxa"/>
            <w:vAlign w:val="bottom"/>
            <w:tcBorders>
              <w:bottom w:val="single" w:sz="8" w:color="EEEEEE"/>
            </w:tcBorders>
            <w:shd w:val="clear" w:color="auto" w:fill="EEEEEE"/>
          </w:tcPr>
          <w:p>
            <w:pPr>
              <w:spacing w:after="0"/>
              <w:rPr>
                <w:sz w:val="15"/>
                <w:szCs w:val="15"/>
                <w:color w:val="auto"/>
              </w:rPr>
            </w:pPr>
          </w:p>
        </w:tc>
        <w:tc>
          <w:tcPr>
            <w:tcW w:w="180" w:type="dxa"/>
            <w:vAlign w:val="bottom"/>
            <w:tcBorders>
              <w:bottom w:val="single" w:sz="8" w:color="EEEEEE"/>
            </w:tcBorders>
            <w:shd w:val="clear" w:color="auto" w:fill="EEEEEE"/>
          </w:tcPr>
          <w:p>
            <w:pPr>
              <w:spacing w:after="0"/>
              <w:rPr>
                <w:sz w:val="15"/>
                <w:szCs w:val="15"/>
                <w:color w:val="auto"/>
              </w:rPr>
            </w:pPr>
          </w:p>
        </w:tc>
        <w:tc>
          <w:tcPr>
            <w:tcW w:w="920" w:type="dxa"/>
            <w:vAlign w:val="bottom"/>
            <w:tcBorders>
              <w:bottom w:val="single" w:sz="8" w:color="EEEEEE"/>
            </w:tcBorders>
            <w:shd w:val="clear" w:color="auto" w:fill="EEEEEE"/>
          </w:tcPr>
          <w:p>
            <w:pPr>
              <w:spacing w:after="0"/>
              <w:rPr>
                <w:sz w:val="15"/>
                <w:szCs w:val="15"/>
                <w:color w:val="auto"/>
              </w:rPr>
            </w:pPr>
          </w:p>
        </w:tc>
        <w:tc>
          <w:tcPr>
            <w:tcW w:w="220" w:type="dxa"/>
            <w:vAlign w:val="bottom"/>
            <w:tcBorders>
              <w:bottom w:val="single" w:sz="8" w:color="EEEEEE"/>
            </w:tcBorders>
            <w:shd w:val="clear" w:color="auto" w:fill="EEEEEE"/>
          </w:tcPr>
          <w:p>
            <w:pPr>
              <w:spacing w:after="0"/>
              <w:rPr>
                <w:sz w:val="15"/>
                <w:szCs w:val="15"/>
                <w:color w:val="auto"/>
              </w:rPr>
            </w:pPr>
          </w:p>
        </w:tc>
        <w:tc>
          <w:tcPr>
            <w:tcW w:w="1120" w:type="dxa"/>
            <w:vAlign w:val="bottom"/>
            <w:tcBorders>
              <w:bottom w:val="single" w:sz="8" w:color="EEEEEE"/>
            </w:tcBorders>
            <w:shd w:val="clear" w:color="auto" w:fill="EEEEEE"/>
          </w:tcPr>
          <w:p>
            <w:pPr>
              <w:spacing w:after="0"/>
              <w:rPr>
                <w:sz w:val="15"/>
                <w:szCs w:val="15"/>
                <w:color w:val="auto"/>
              </w:rPr>
            </w:pPr>
          </w:p>
        </w:tc>
        <w:tc>
          <w:tcPr>
            <w:tcW w:w="100" w:type="dxa"/>
            <w:vAlign w:val="bottom"/>
            <w:tcBorders>
              <w:bottom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Warehouse lines of credit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132,254</w:t>
            </w: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4,000</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170,870</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4,665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03"/>
        </w:trPr>
        <w:tc>
          <w:tcPr>
            <w:tcW w:w="32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6"/>
                <w:szCs w:val="16"/>
                <w:color w:val="auto"/>
              </w:rPr>
              <w:t>Residual interest financing</w:t>
            </w:r>
          </w:p>
        </w:tc>
        <w:tc>
          <w:tcPr>
            <w:tcW w:w="120" w:type="dxa"/>
            <w:vAlign w:val="bottom"/>
            <w:shd w:val="clear" w:color="auto" w:fill="EEEEEE"/>
          </w:tcPr>
          <w:p>
            <w:pPr>
              <w:spacing w:after="0"/>
              <w:rPr>
                <w:sz w:val="17"/>
                <w:szCs w:val="17"/>
                <w:color w:val="auto"/>
              </w:rPr>
            </w:pPr>
          </w:p>
        </w:tc>
        <w:tc>
          <w:tcPr>
            <w:tcW w:w="12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100,000</w:t>
            </w:r>
          </w:p>
        </w:tc>
        <w:tc>
          <w:tcPr>
            <w:tcW w:w="180" w:type="dxa"/>
            <w:vAlign w:val="bottom"/>
            <w:shd w:val="clear" w:color="auto" w:fill="EEEEEE"/>
          </w:tcPr>
          <w:p>
            <w:pPr>
              <w:spacing w:after="0"/>
              <w:rPr>
                <w:sz w:val="17"/>
                <w:szCs w:val="17"/>
                <w:color w:val="auto"/>
              </w:rPr>
            </w:pPr>
          </w:p>
        </w:tc>
        <w:tc>
          <w:tcPr>
            <w:tcW w:w="10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6"/>
                <w:szCs w:val="16"/>
                <w:color w:val="auto"/>
              </w:rPr>
              <w:t>2,477</w:t>
            </w:r>
          </w:p>
        </w:tc>
        <w:tc>
          <w:tcPr>
            <w:tcW w:w="15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EEEEEE"/>
          </w:tcPr>
          <w:p>
            <w:pPr>
              <w:spacing w:after="0"/>
              <w:rPr>
                <w:sz w:val="17"/>
                <w:szCs w:val="17"/>
                <w:color w:val="auto"/>
              </w:rPr>
            </w:pPr>
          </w:p>
        </w:tc>
        <w:tc>
          <w:tcPr>
            <w:tcW w:w="12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50,000</w:t>
            </w:r>
          </w:p>
        </w:tc>
        <w:tc>
          <w:tcPr>
            <w:tcW w:w="180" w:type="dxa"/>
            <w:vAlign w:val="bottom"/>
            <w:shd w:val="clear" w:color="auto" w:fill="EEEEEE"/>
          </w:tcPr>
          <w:p>
            <w:pPr>
              <w:spacing w:after="0"/>
              <w:rPr>
                <w:sz w:val="17"/>
                <w:szCs w:val="17"/>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1,050</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3"/>
        </w:trPr>
        <w:tc>
          <w:tcPr>
            <w:tcW w:w="3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Securitization trust debt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2,706,266</w:t>
            </w: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42,998</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2,349,655</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31,734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6"/>
        </w:trPr>
        <w:tc>
          <w:tcPr>
            <w:tcW w:w="32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6"/>
                <w:szCs w:val="16"/>
                <w:color w:val="auto"/>
              </w:rPr>
              <w:t>Subordinated renewable notes</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23,237</w:t>
            </w:r>
          </w:p>
        </w:tc>
        <w:tc>
          <w:tcPr>
            <w:tcW w:w="1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6"/>
                <w:szCs w:val="16"/>
                <w:color w:val="auto"/>
              </w:rPr>
              <w:t>581</w:t>
            </w:r>
          </w:p>
        </w:tc>
        <w:tc>
          <w:tcPr>
            <w:tcW w:w="15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19,904</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440</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5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line="20" w:lineRule="exact"/>
              <w:rPr>
                <w:sz w:val="1"/>
                <w:szCs w:val="1"/>
                <w:color w:val="auto"/>
              </w:rPr>
            </w:pPr>
          </w:p>
        </w:tc>
      </w:tr>
      <w:tr>
        <w:trPr>
          <w:trHeight w:val="260"/>
        </w:trPr>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2,961,757</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50,056</w:t>
            </w:r>
          </w:p>
        </w:tc>
        <w:tc>
          <w:tcPr>
            <w:tcW w:w="80" w:type="dxa"/>
            <w:vAlign w:val="bottom"/>
            <w:vMerge w:val="continue"/>
          </w:tcPr>
          <w:p>
            <w:pPr>
              <w:spacing w:after="0"/>
              <w:rPr>
                <w:sz w:val="22"/>
                <w:szCs w:val="22"/>
                <w:color w:val="auto"/>
              </w:rPr>
            </w:pPr>
          </w:p>
        </w:tc>
        <w:tc>
          <w:tcPr>
            <w:tcW w:w="1520" w:type="dxa"/>
            <w:vAlign w:val="bottom"/>
            <w:gridSpan w:val="3"/>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2,590,429</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37,889</w:t>
            </w:r>
          </w:p>
        </w:tc>
        <w:tc>
          <w:tcPr>
            <w:tcW w:w="220" w:type="dxa"/>
            <w:vAlign w:val="bottom"/>
            <w:vMerge w:val="continue"/>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66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60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76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17"/>
                <w:szCs w:val="17"/>
                <w:color w:val="auto"/>
              </w:rPr>
            </w:pPr>
          </w:p>
        </w:tc>
        <w:tc>
          <w:tcPr>
            <w:tcW w:w="1000" w:type="dxa"/>
            <w:vAlign w:val="bottom"/>
            <w:tcBorders>
              <w:top w:val="single" w:sz="8" w:color="auto"/>
            </w:tcBorders>
            <w:shd w:val="clear" w:color="auto" w:fill="EEEEEE"/>
          </w:tcPr>
          <w:p>
            <w:pPr>
              <w:spacing w:after="0"/>
              <w:rPr>
                <w:sz w:val="17"/>
                <w:szCs w:val="17"/>
                <w:color w:val="auto"/>
              </w:rPr>
            </w:pPr>
          </w:p>
        </w:tc>
        <w:tc>
          <w:tcPr>
            <w:tcW w:w="26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EEEEEE"/>
              <w:bottom w:val="single" w:sz="8" w:color="auto"/>
            </w:tcBorders>
            <w:shd w:val="clear" w:color="auto" w:fill="EEEEEE"/>
          </w:tcPr>
          <w:p>
            <w:pPr>
              <w:spacing w:after="0"/>
              <w:rPr>
                <w:sz w:val="17"/>
                <w:szCs w:val="17"/>
                <w:color w:val="auto"/>
              </w:rPr>
            </w:pPr>
          </w:p>
        </w:tc>
        <w:tc>
          <w:tcPr>
            <w:tcW w:w="940" w:type="dxa"/>
            <w:vAlign w:val="bottom"/>
            <w:tcBorders>
              <w:top w:val="single" w:sz="8" w:color="EEEEEE"/>
              <w:bottom w:val="single" w:sz="8" w:color="auto"/>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14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17"/>
                <w:szCs w:val="17"/>
                <w:color w:val="auto"/>
              </w:rPr>
            </w:pPr>
          </w:p>
        </w:tc>
        <w:tc>
          <w:tcPr>
            <w:tcW w:w="98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EEEEEE"/>
              <w:bottom w:val="single" w:sz="8" w:color="auto"/>
            </w:tcBorders>
            <w:shd w:val="clear" w:color="auto" w:fill="EEEEEE"/>
          </w:tcPr>
          <w:p>
            <w:pPr>
              <w:spacing w:after="0"/>
              <w:rPr>
                <w:sz w:val="17"/>
                <w:szCs w:val="17"/>
                <w:color w:val="auto"/>
              </w:rPr>
            </w:pPr>
          </w:p>
        </w:tc>
        <w:tc>
          <w:tcPr>
            <w:tcW w:w="920" w:type="dxa"/>
            <w:vAlign w:val="bottom"/>
            <w:tcBorders>
              <w:top w:val="single" w:sz="8" w:color="EEEEEE"/>
              <w:bottom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12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3280" w:type="dxa"/>
            <w:vAlign w:val="bottom"/>
            <w:tcBorders>
              <w:bottom w:val="single" w:sz="8" w:color="EEEEEE"/>
            </w:tcBorders>
            <w:gridSpan w:val="5"/>
          </w:tcPr>
          <w:p>
            <w:pPr>
              <w:spacing w:after="0"/>
              <w:rPr>
                <w:sz w:val="20"/>
                <w:szCs w:val="20"/>
                <w:color w:val="auto"/>
              </w:rPr>
            </w:pPr>
            <w:r>
              <w:rPr>
                <w:rFonts w:ascii="Times New Roman" w:cs="Times New Roman" w:eastAsia="Times New Roman" w:hAnsi="Times New Roman"/>
                <w:sz w:val="16"/>
                <w:szCs w:val="16"/>
                <w:color w:val="auto"/>
              </w:rPr>
              <w:t>Net interest income/spread</w:t>
            </w:r>
          </w:p>
        </w:tc>
        <w:tc>
          <w:tcPr>
            <w:tcW w:w="120" w:type="dxa"/>
            <w:vAlign w:val="bottom"/>
            <w:tcBorders>
              <w:bottom w:val="single" w:sz="8" w:color="EEEEEE"/>
            </w:tcBorders>
          </w:tcPr>
          <w:p>
            <w:pPr>
              <w:spacing w:after="0"/>
              <w:rPr>
                <w:sz w:val="21"/>
                <w:szCs w:val="21"/>
                <w:color w:val="auto"/>
              </w:rPr>
            </w:pPr>
          </w:p>
        </w:tc>
        <w:tc>
          <w:tcPr>
            <w:tcW w:w="1260" w:type="dxa"/>
            <w:vAlign w:val="bottom"/>
            <w:tcBorders>
              <w:bottom w:val="single" w:sz="8" w:color="EEEEEE"/>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FFFFFF"/>
              </w:rPr>
              <w:t>$</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43,102</w:t>
            </w:r>
          </w:p>
        </w:tc>
        <w:tc>
          <w:tcPr>
            <w:tcW w:w="80" w:type="dxa"/>
            <w:vAlign w:val="bottom"/>
            <w:tcBorders>
              <w:bottom w:val="single" w:sz="8" w:color="EEEEEE"/>
            </w:tcBorders>
          </w:tcPr>
          <w:p>
            <w:pPr>
              <w:spacing w:after="0"/>
              <w:rPr>
                <w:sz w:val="21"/>
                <w:szCs w:val="21"/>
                <w:color w:val="auto"/>
              </w:rPr>
            </w:pPr>
          </w:p>
        </w:tc>
        <w:tc>
          <w:tcPr>
            <w:tcW w:w="160" w:type="dxa"/>
            <w:vAlign w:val="bottom"/>
            <w:tcBorders>
              <w:bottom w:val="single" w:sz="8" w:color="EEEEEE"/>
            </w:tcBorders>
          </w:tcPr>
          <w:p>
            <w:pPr>
              <w:spacing w:after="0"/>
              <w:rPr>
                <w:sz w:val="21"/>
                <w:szCs w:val="21"/>
                <w:color w:val="auto"/>
              </w:rPr>
            </w:pPr>
          </w:p>
        </w:tc>
        <w:tc>
          <w:tcPr>
            <w:tcW w:w="1140" w:type="dxa"/>
            <w:vAlign w:val="bottom"/>
            <w:tcBorders>
              <w:bottom w:val="single" w:sz="8" w:color="EEEEEE"/>
            </w:tcBorders>
          </w:tcPr>
          <w:p>
            <w:pPr>
              <w:spacing w:after="0"/>
              <w:rPr>
                <w:sz w:val="21"/>
                <w:szCs w:val="21"/>
                <w:color w:val="auto"/>
              </w:rPr>
            </w:pPr>
          </w:p>
        </w:tc>
        <w:tc>
          <w:tcPr>
            <w:tcW w:w="220" w:type="dxa"/>
            <w:vAlign w:val="bottom"/>
            <w:tcBorders>
              <w:bottom w:val="single" w:sz="8" w:color="EEEEEE"/>
            </w:tcBorders>
          </w:tcPr>
          <w:p>
            <w:pPr>
              <w:spacing w:after="0"/>
              <w:rPr>
                <w:sz w:val="21"/>
                <w:szCs w:val="21"/>
                <w:color w:val="auto"/>
              </w:rPr>
            </w:pPr>
          </w:p>
        </w:tc>
        <w:tc>
          <w:tcPr>
            <w:tcW w:w="120" w:type="dxa"/>
            <w:vAlign w:val="bottom"/>
            <w:tcBorders>
              <w:bottom w:val="single" w:sz="8" w:color="EEEEEE"/>
            </w:tcBorders>
          </w:tcPr>
          <w:p>
            <w:pPr>
              <w:spacing w:after="0"/>
              <w:rPr>
                <w:sz w:val="21"/>
                <w:szCs w:val="21"/>
                <w:color w:val="auto"/>
              </w:rPr>
            </w:pPr>
          </w:p>
        </w:tc>
        <w:tc>
          <w:tcPr>
            <w:tcW w:w="980" w:type="dxa"/>
            <w:vAlign w:val="bottom"/>
            <w:tcBorders>
              <w:bottom w:val="single" w:sz="8" w:color="EEEEEE"/>
            </w:tcBorders>
          </w:tcPr>
          <w:p>
            <w:pPr>
              <w:spacing w:after="0"/>
              <w:rPr>
                <w:sz w:val="21"/>
                <w:szCs w:val="21"/>
                <w:color w:val="auto"/>
              </w:rPr>
            </w:pPr>
          </w:p>
        </w:tc>
        <w:tc>
          <w:tcPr>
            <w:tcW w:w="220" w:type="dxa"/>
            <w:vAlign w:val="bottom"/>
            <w:tcBorders>
              <w:bottom w:val="single" w:sz="8" w:color="EEEEEE"/>
            </w:tcBorders>
          </w:tcPr>
          <w:p>
            <w:pPr>
              <w:spacing w:after="0"/>
              <w:rPr>
                <w:sz w:val="21"/>
                <w:szCs w:val="21"/>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45,372</w:t>
            </w:r>
          </w:p>
        </w:tc>
        <w:tc>
          <w:tcPr>
            <w:tcW w:w="220" w:type="dxa"/>
            <w:vAlign w:val="bottom"/>
            <w:tcBorders>
              <w:bottom w:val="single" w:sz="8" w:color="EEEEEE"/>
            </w:tcBorders>
          </w:tcPr>
          <w:p>
            <w:pPr>
              <w:spacing w:after="0"/>
              <w:rPr>
                <w:sz w:val="21"/>
                <w:szCs w:val="21"/>
                <w:color w:val="auto"/>
              </w:rPr>
            </w:pPr>
          </w:p>
        </w:tc>
        <w:tc>
          <w:tcPr>
            <w:tcW w:w="1120" w:type="dxa"/>
            <w:vAlign w:val="bottom"/>
            <w:tcBorders>
              <w:bottom w:val="single" w:sz="8" w:color="EEEEEE"/>
            </w:tcBorders>
          </w:tcPr>
          <w:p>
            <w:pPr>
              <w:spacing w:after="0"/>
              <w:rPr>
                <w:sz w:val="21"/>
                <w:szCs w:val="21"/>
                <w:color w:val="auto"/>
              </w:rPr>
            </w:pPr>
          </w:p>
        </w:tc>
        <w:tc>
          <w:tcPr>
            <w:tcW w:w="100" w:type="dxa"/>
            <w:vAlign w:val="bottom"/>
            <w:tcBorders>
              <w:bottom w:val="single" w:sz="8" w:color="EEEEEE"/>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3280" w:type="dxa"/>
            <w:vAlign w:val="bottom"/>
            <w:gridSpan w:val="5"/>
            <w:shd w:val="clear" w:color="auto" w:fill="EEEEEE"/>
          </w:tcPr>
          <w:p>
            <w:pPr>
              <w:spacing w:after="0" w:line="180" w:lineRule="exact"/>
              <w:rPr>
                <w:sz w:val="20"/>
                <w:szCs w:val="20"/>
                <w:color w:val="auto"/>
              </w:rPr>
            </w:pPr>
            <w:r>
              <w:rPr>
                <w:rFonts w:ascii="Times New Roman" w:cs="Times New Roman" w:eastAsia="Times New Roman" w:hAnsi="Times New Roman"/>
                <w:sz w:val="16"/>
                <w:szCs w:val="16"/>
                <w:color w:val="auto"/>
              </w:rPr>
              <w:t>Net interest yield (2)</w:t>
            </w:r>
          </w:p>
        </w:tc>
        <w:tc>
          <w:tcPr>
            <w:tcW w:w="12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1520" w:type="dxa"/>
            <w:vAlign w:val="bottom"/>
            <w:gridSpan w:val="3"/>
            <w:shd w:val="clear" w:color="auto" w:fill="EEEEEE"/>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EEEEEE"/>
          </w:tcPr>
          <w:p>
            <w:pPr>
              <w:spacing w:after="0"/>
              <w:rPr>
                <w:sz w:val="16"/>
                <w:szCs w:val="16"/>
                <w:color w:val="auto"/>
              </w:rPr>
            </w:pPr>
          </w:p>
        </w:tc>
        <w:tc>
          <w:tcPr>
            <w:tcW w:w="98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220" w:type="dxa"/>
            <w:vAlign w:val="bottom"/>
            <w:gridSpan w:val="2"/>
            <w:shd w:val="clear" w:color="auto" w:fill="EEEEEE"/>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189"/>
        </w:trPr>
        <w:tc>
          <w:tcPr>
            <w:tcW w:w="3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Ratio of average interest earning assets to</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average interest bearing liabilities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FFFFFF"/>
              </w:rPr>
              <w: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balances are based on month end balances except for warehouse lines of credit, which are based on daily balances.</w:t>
      </w:r>
    </w:p>
    <w:p>
      <w:pPr>
        <w:spacing w:after="0" w:line="2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net interest income divided by average interest 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80" w:type="dxa"/>
            <w:vAlign w:val="bottom"/>
            <w:gridSpan w:val="9"/>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2024</w:t>
            </w: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80" w:type="dxa"/>
            <w:vAlign w:val="bottom"/>
            <w:gridSpan w:val="9"/>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Compared to September 30, 2023</w:t>
            </w:r>
          </w:p>
        </w:tc>
        <w:tc>
          <w:tcPr>
            <w:tcW w:w="0" w:type="dxa"/>
            <w:vAlign w:val="bottom"/>
          </w:tcPr>
          <w:p>
            <w:pPr>
              <w:spacing w:after="0"/>
              <w:rPr>
                <w:sz w:val="1"/>
                <w:szCs w:val="1"/>
                <w:color w:val="auto"/>
              </w:rPr>
            </w:pPr>
          </w:p>
        </w:tc>
      </w:tr>
      <w:tr>
        <w:trPr>
          <w:trHeight w:val="201"/>
        </w:trPr>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jc w:val="right"/>
              <w:ind w:right="84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right"/>
              <w:ind w:right="52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1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to Volume</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 Rate</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2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FFFFFF"/>
              </w:rPr>
              <w:t>$</w:t>
            </w: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2"/>
            <w:vMerge w:val="continue"/>
          </w:tcPr>
          <w:p>
            <w:pPr>
              <w:spacing w:after="0"/>
              <w:rPr>
                <w:sz w:val="13"/>
                <w:szCs w:val="13"/>
                <w:color w:val="auto"/>
              </w:rPr>
            </w:pPr>
          </w:p>
        </w:tc>
        <w:tc>
          <w:tcPr>
            <w:tcW w:w="252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4"/>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25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9,897</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9,077</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60" w:type="dxa"/>
            <w:vAlign w:val="bottom"/>
            <w:tcBorders>
              <w:bottom w:val="single" w:sz="8" w:color="EEEEEE"/>
            </w:tcBorders>
            <w:shd w:val="clear" w:color="auto" w:fill="EEEEEE"/>
          </w:tcPr>
          <w:p>
            <w:pPr>
              <w:spacing w:after="0"/>
              <w:rPr>
                <w:sz w:val="17"/>
                <w:szCs w:val="17"/>
                <w:color w:val="auto"/>
              </w:rPr>
            </w:pPr>
          </w:p>
        </w:tc>
        <w:tc>
          <w:tcPr>
            <w:tcW w:w="2080" w:type="dxa"/>
            <w:vAlign w:val="bottom"/>
            <w:tcBorders>
              <w:bottom w:val="single" w:sz="8" w:color="auto"/>
            </w:tcBorders>
            <w:gridSpan w:val="3"/>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Interest Bearing Liabilities</w:t>
            </w:r>
          </w:p>
        </w:tc>
        <w:tc>
          <w:tcPr>
            <w:tcW w:w="228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12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20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20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Borders>
              <w:top w:val="single" w:sz="8" w:color="EEEEEE"/>
            </w:tcBorders>
            <w:gridSpan w:val="4"/>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28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1480" w:type="dxa"/>
            <w:vAlign w:val="bottom"/>
            <w:tcBorders>
              <w:top w:val="single" w:sz="8" w:color="EEEEEE"/>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(665)</w:t>
            </w:r>
          </w:p>
        </w:tc>
        <w:tc>
          <w:tcPr>
            <w:tcW w:w="140" w:type="dxa"/>
            <w:vAlign w:val="bottom"/>
            <w:tcBorders>
              <w:top w:val="single" w:sz="8" w:color="EEEEEE"/>
            </w:tcBorders>
          </w:tcPr>
          <w:p>
            <w:pPr>
              <w:spacing w:after="0"/>
              <w:rPr>
                <w:sz w:val="18"/>
                <w:szCs w:val="18"/>
                <w:color w:val="auto"/>
              </w:rPr>
            </w:pPr>
          </w:p>
        </w:tc>
        <w:tc>
          <w:tcPr>
            <w:tcW w:w="1520" w:type="dxa"/>
            <w:vAlign w:val="bottom"/>
            <w:tcBorders>
              <w:top w:val="single" w:sz="8" w:color="EEEEEE"/>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(1,062)</w:t>
            </w:r>
          </w:p>
        </w:tc>
        <w:tc>
          <w:tcPr>
            <w:tcW w:w="140" w:type="dxa"/>
            <w:vAlign w:val="bottom"/>
            <w:tcBorders>
              <w:top w:val="single" w:sz="8" w:color="EEEEEE"/>
            </w:tcBorders>
          </w:tcPr>
          <w:p>
            <w:pPr>
              <w:spacing w:after="0"/>
              <w:rPr>
                <w:sz w:val="18"/>
                <w:szCs w:val="18"/>
                <w:color w:val="auto"/>
              </w:rPr>
            </w:pPr>
          </w:p>
        </w:tc>
        <w:tc>
          <w:tcPr>
            <w:tcW w:w="1300" w:type="dxa"/>
            <w:vAlign w:val="bottom"/>
            <w:tcBorders>
              <w:top w:val="single" w:sz="8" w:color="EEEEEE"/>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4140" w:type="dxa"/>
            <w:vAlign w:val="bottom"/>
            <w:gridSpan w:val="4"/>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2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1,427</w:t>
            </w:r>
          </w:p>
        </w:tc>
        <w:tc>
          <w:tcPr>
            <w:tcW w:w="1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1,052</w:t>
            </w:r>
          </w:p>
        </w:tc>
        <w:tc>
          <w:tcPr>
            <w:tcW w:w="14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4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11,264</w:t>
            </w:r>
          </w:p>
        </w:tc>
        <w:tc>
          <w:tcPr>
            <w:tcW w:w="1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4,498</w:t>
            </w: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gridSpan w:val="4"/>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22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6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28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360" w:type="dxa"/>
            <w:vAlign w:val="bottom"/>
            <w:tcBorders>
              <w:bottom w:val="single" w:sz="8" w:color="EEEEEE"/>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320" w:type="dxa"/>
            <w:vAlign w:val="bottom"/>
            <w:tcBorders>
              <w:bottom w:val="single" w:sz="8" w:color="EEEEEE"/>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2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(2,270)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4,518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(6,788)</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 xml:space="preserve">Our evaluation of the allowance for credit losses indicated that the reserves against future losses are adequate as of September 30, 2024. The allowance applies only to our finance receivables originated through December 2017, which we refer to as our legacy portfolio. </w:t>
      </w:r>
      <w:r>
        <w:rPr>
          <w:rFonts w:ascii="Times New Roman" w:cs="Times New Roman" w:eastAsia="Times New Roman" w:hAnsi="Times New Roman"/>
          <w:sz w:val="17"/>
          <w:szCs w:val="17"/>
          <w:color w:val="auto"/>
        </w:rPr>
        <w:t>Finance receivables that we have originated since January 2018 are accounted for at fair value. Under the fair value method of accounting, we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recognize interest income net of expected credit losses. Thus, no provision for credit loss expense is recorded for finance receivables measured at fair value.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we recorded a reduction to provision for credit losses on finance receivables in the amount of $994,000. The reserve decrease was primarily due to better than expected recovery rates and a decrease in lifetime expected credit losses resulting from improved credit performance as our previous estimates for future losses exceeded actual incurred losses. This compares to $2.0 million in reductions to provision for credit losses for the three months ended September 30,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expenses consist primarily of commission-based compensation paid to our employee sales representatives. Our sales representatives earn a salary plus commissions based on volume of contract purchases. Sales expense increased to $5.7 million during the three months ended September 30, 2024 from $5.3 million for the same quarter in 2023. We purchased $445.9 million of new contracts during the three months ended September 30, 2024 compared to $322.4 million in the prior year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was $1.3 million for the three months ending September 30, 2024, which is down from the $1.6 million in the third quarter of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expenses increased to $214,000 compared to $199,000 in the previous year.</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we recorded income tax expense of $2.1 million, representing a 30% effective tax rate. In the prior period, our income tax expense was $3.8 million, representing a 27% effective tax rate.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Comparison of Operating Results for the nine months ended September 30, 2024 with the nine months ended September 30, 2023</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During the nine months ended September 30, 2024, our revenues were $288.2 million, an increase of $28.2 million, or 10.8%, from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revenue of $260.0 million. The primary reason for the increase in revenues is the increase in interest income resulting from the increase in the average outstanding balance of finance receivables measured at fair value. Revenues for the nine months ended September 30, 2024 include a $16.0 million mark up to the recorded value of the finance receivables measured at fair value. The marks are estimates based on our evaluation of the appropriate fair value and future earnings rate of existing receivables compared to recently acquired receivables and increases or decreases in our estimates of future net losses. In the current period, our re-evaluation of the fair values of these receivables resulted in a mark up for certain older receivables and a mark down to the fair values of newer receivables. The fair value mark up on the older receivables exceeded the mark down to the newer receivables resulting in a net mark up of $16.0 million. There was $6.0 mark up to the fair value portfolio in the prior year period.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income for the nine months ended September 30, 2024 increased $19.8 million, or 8.1%, to $265.8 million from $246.0 million in the prior year. The primary reason for the increase in interest income is the 8.0% increase in the average balance of our loan portfolio over the prior year period. The interest yield on our total loan portfolio is 11.3% in the current year period and prior year period. The interest yield on receivables measured at fair value is reduced to take account of expected losses and is therefore less than the yield on other finance receivables. The table below shows the average balance and interest yield of our loan portfolio for the nine months ended September 30, 2024 and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5"/>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38"/>
        </w:trPr>
        <w:tc>
          <w:tcPr>
            <w:tcW w:w="23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0" w:type="dxa"/>
            <w:vAlign w:val="bottom"/>
          </w:tcPr>
          <w:p>
            <w:pPr>
              <w:spacing w:after="0"/>
              <w:rPr>
                <w:sz w:val="20"/>
                <w:szCs w:val="20"/>
                <w:color w:val="auto"/>
              </w:rPr>
            </w:pPr>
          </w:p>
        </w:tc>
        <w:tc>
          <w:tcPr>
            <w:tcW w:w="16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169"/>
        </w:trPr>
        <w:tc>
          <w:tcPr>
            <w:tcW w:w="23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4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3,131,477</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265,812</w:t>
            </w:r>
          </w:p>
        </w:tc>
        <w:tc>
          <w:tcPr>
            <w:tcW w:w="1780" w:type="dxa"/>
            <w:vAlign w:val="bottom"/>
            <w:gridSpan w:val="4"/>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11.3%   $</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2,898,445</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245,960</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was $6.4 million for the nine months ended September 30, 2024 compared to $8.1 million for the comparable period in 2023. This 20.9% decrease was primarily driven by the decrease in origination and servicing fees we earned from third party receivables. These fees were $5.5 million for the nine months ended September 30, 2024 compared to $7.2 million in the prior year period.</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Our operating expenses consist largely of interest expense, provision for credit losses, employee costs, sales and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profit margins and net income include changes in the automobile and automobile finance market environments, and macroeconomic factors such as interest rates and changes in the unemployment level.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operating expenses were $268.1 million for the nine months ended September 30, 2024, compared to $208.8 million for the prior period, an increase of $59.3 million, or 28.4%. The increase is primarily due to increases in interest expense and a decrease in the reduction to provision for credit losses. To a lesser extent, increases to employee costs and general and administrative expenses also contributed to the increase in operating expenses during the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were $72.3 million during the nine months ended September 30, 2024 compared to $65.0 million for the same period in the prior year. The table below summarizes our employees by category as well as contract purchases and units in our managed portfolio as of, and for the nine-month periods ended, September 30, 2024 and 2023:</w:t>
      </w:r>
    </w:p>
    <w:p>
      <w:pPr>
        <w:spacing w:after="0" w:line="185" w:lineRule="exact"/>
        <w:rPr>
          <w:sz w:val="20"/>
          <w:szCs w:val="20"/>
          <w:color w:val="auto"/>
        </w:rPr>
      </w:pPr>
    </w:p>
    <w:tbl>
      <w:tblPr>
        <w:tblLayout w:type="fixed"/>
        <w:tblInd w:w="11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(Dollars in millions)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 (dollars)</w:t>
            </w:r>
          </w:p>
        </w:tc>
        <w:tc>
          <w:tcPr>
            <w:tcW w:w="21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1,224.1</w:t>
            </w:r>
          </w:p>
        </w:tc>
        <w:tc>
          <w:tcPr>
            <w:tcW w:w="1320" w:type="dxa"/>
            <w:vAlign w:val="bottom"/>
            <w:gridSpan w:val="2"/>
            <w:shd w:val="clear" w:color="auto" w:fill="EEEEEE"/>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1,056.0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Contracts purchased (units)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56,303</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Managed portfolio outstanding (dollars)</w:t>
            </w:r>
          </w:p>
        </w:tc>
        <w:tc>
          <w:tcPr>
            <w:tcW w:w="21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3,329.8</w:t>
            </w:r>
          </w:p>
        </w:tc>
        <w:tc>
          <w:tcPr>
            <w:tcW w:w="1320" w:type="dxa"/>
            <w:vAlign w:val="bottom"/>
            <w:gridSpan w:val="2"/>
            <w:shd w:val="clear" w:color="auto" w:fill="EEEEEE"/>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3,181.8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Managed portfolio outstanding (units)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194,434</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Number of Originations staff</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Sales staff</w:t>
            </w:r>
          </w:p>
        </w:tc>
        <w:tc>
          <w:tcPr>
            <w:tcW w:w="1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Number of Servicing staff</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other staff</w:t>
            </w:r>
          </w:p>
        </w:tc>
        <w:tc>
          <w:tcPr>
            <w:tcW w:w="1200" w:type="dxa"/>
            <w:vAlign w:val="bottom"/>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spacing w:after="0"/>
              <w:rPr>
                <w:sz w:val="19"/>
                <w:szCs w:val="19"/>
                <w:color w:val="auto"/>
              </w:rPr>
            </w:pPr>
          </w:p>
        </w:tc>
        <w:tc>
          <w:tcPr>
            <w:tcW w:w="6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shd w:val="clear" w:color="auto" w:fill="EEEEEE"/>
          </w:tcPr>
          <w:p>
            <w:pPr>
              <w:spacing w:after="0"/>
              <w:rPr>
                <w:sz w:val="19"/>
                <w:szCs w:val="19"/>
                <w:color w:val="auto"/>
              </w:rPr>
            </w:pPr>
          </w:p>
        </w:tc>
        <w:tc>
          <w:tcPr>
            <w:tcW w:w="1000" w:type="dxa"/>
            <w:vAlign w:val="bottom"/>
            <w:tcBorders>
              <w:bottom w:val="single" w:sz="8" w:color="auto"/>
            </w:tcBorders>
            <w:shd w:val="clear" w:color="auto" w:fill="EEEEEE"/>
          </w:tcPr>
          <w:p>
            <w:pPr>
              <w:spacing w:after="0"/>
              <w:rPr>
                <w:sz w:val="19"/>
                <w:szCs w:val="19"/>
                <w:color w:val="auto"/>
              </w:rPr>
            </w:pPr>
          </w:p>
        </w:tc>
        <w:tc>
          <w:tcPr>
            <w:tcW w:w="6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employees</w:t>
            </w:r>
          </w:p>
        </w:tc>
        <w:tc>
          <w:tcPr>
            <w:tcW w:w="12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3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was $40.3 million for the nine months ended September 30, 2024, an increase of $4.1 million from $36.2 million in the prior year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the nine months ended September 30, 2024 was $138.7 million, compared to $106.4 million in the previous year, an increase of $32.3 million.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jc w:val="both"/>
        <w:spacing w:after="0" w:line="254" w:lineRule="auto"/>
        <w:rPr>
          <w:sz w:val="20"/>
          <w:szCs w:val="20"/>
          <w:color w:val="auto"/>
        </w:rPr>
      </w:pPr>
      <w:r>
        <w:rPr>
          <w:rFonts w:ascii="Times New Roman" w:cs="Times New Roman" w:eastAsia="Times New Roman" w:hAnsi="Times New Roman"/>
          <w:sz w:val="18"/>
          <w:szCs w:val="18"/>
          <w:color w:val="auto"/>
        </w:rPr>
        <w:t>Interest on securitization trust debt increased by $29.6 million for the nine months ended September 30, 2024 compared to the prior period. The average balance of securitization trust debt increased to $2,549.9 million for the nine months ended September 30, 2024 compared to $2,322.0 million for the nine months ended September 30, 2023. The annualized average rate on our securitization trust debt was 6.1% for the nine months ended September 30, 2024 compared to 5.0% in the prior year period. The blended interest rates on new term securitizations have been increasing since 2022.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Blended Cost of Funds on Recent Asset-Backed Term Securitizations</w:t>
      </w:r>
    </w:p>
    <w:p>
      <w:pPr>
        <w:spacing w:after="0" w:line="225" w:lineRule="exact"/>
        <w:rPr>
          <w:sz w:val="20"/>
          <w:szCs w:val="20"/>
          <w:color w:val="auto"/>
        </w:rPr>
      </w:pPr>
    </w:p>
    <w:tbl>
      <w:tblPr>
        <w:tblLayout w:type="fixed"/>
        <w:tblInd w:w="2540" w:type="dxa"/>
        <w:tblCellMar>
          <w:top w:w="0" w:type="dxa"/>
          <w:left w:w="0" w:type="dxa"/>
          <w:bottom w:w="0" w:type="dxa"/>
          <w:right w:w="0" w:type="dxa"/>
        </w:tblCellMar>
      </w:tblPr>
      <w:tr>
        <w:trPr>
          <w:trHeight w:val="238"/>
        </w:trPr>
        <w:tc>
          <w:tcPr>
            <w:tcW w:w="3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Blended Cost of Funds</w:t>
            </w:r>
          </w:p>
        </w:tc>
      </w:tr>
      <w:tr>
        <w:trPr>
          <w:trHeight w:val="210"/>
        </w:trPr>
        <w:tc>
          <w:tcPr>
            <w:tcW w:w="298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January 2021</w:t>
            </w:r>
          </w:p>
        </w:tc>
        <w:tc>
          <w:tcPr>
            <w:tcW w:w="200" w:type="dxa"/>
            <w:vAlign w:val="bottom"/>
            <w:tcBorders>
              <w:top w:val="single" w:sz="8" w:color="EEEEEE"/>
            </w:tcBorders>
            <w:shd w:val="clear" w:color="auto" w:fill="EEEEEE"/>
          </w:tcPr>
          <w:p>
            <w:pPr>
              <w:spacing w:after="0"/>
              <w:rPr>
                <w:sz w:val="18"/>
                <w:szCs w:val="18"/>
                <w:color w:val="auto"/>
              </w:rPr>
            </w:pPr>
          </w:p>
        </w:tc>
        <w:tc>
          <w:tcPr>
            <w:tcW w:w="300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1.11%</w:t>
            </w:r>
          </w:p>
        </w:tc>
      </w:tr>
      <w:tr>
        <w:trPr>
          <w:trHeight w:val="216"/>
        </w:trPr>
        <w:tc>
          <w:tcPr>
            <w:tcW w:w="3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April 2021</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1.65%</w:t>
            </w:r>
          </w:p>
        </w:tc>
      </w:tr>
      <w:tr>
        <w:trPr>
          <w:trHeight w:val="216"/>
        </w:trPr>
        <w:tc>
          <w:tcPr>
            <w:tcW w:w="3180" w:type="dxa"/>
            <w:vAlign w:val="bottom"/>
            <w:gridSpan w:val="2"/>
            <w:shd w:val="clear" w:color="auto" w:fill="EEEEEE"/>
          </w:tcPr>
          <w:p>
            <w:pPr>
              <w:jc w:val="center"/>
              <w:ind w:right="200"/>
              <w:spacing w:after="0"/>
              <w:rPr>
                <w:sz w:val="20"/>
                <w:szCs w:val="20"/>
                <w:color w:val="auto"/>
              </w:rPr>
            </w:pPr>
            <w:r>
              <w:rPr>
                <w:rFonts w:ascii="Times New Roman" w:cs="Times New Roman" w:eastAsia="Times New Roman" w:hAnsi="Times New Roman"/>
                <w:sz w:val="18"/>
                <w:szCs w:val="18"/>
                <w:color w:val="auto"/>
                <w:w w:val="99"/>
              </w:rPr>
              <w:t>July 2021</w:t>
            </w:r>
          </w:p>
        </w:tc>
        <w:tc>
          <w:tcPr>
            <w:tcW w:w="30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1.55%</w:t>
            </w:r>
          </w:p>
        </w:tc>
      </w:tr>
      <w:tr>
        <w:trPr>
          <w:trHeight w:val="216"/>
        </w:trPr>
        <w:tc>
          <w:tcPr>
            <w:tcW w:w="3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October 2021</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2.09%</w:t>
            </w:r>
          </w:p>
        </w:tc>
      </w:tr>
      <w:tr>
        <w:trPr>
          <w:trHeight w:val="216"/>
        </w:trPr>
        <w:tc>
          <w:tcPr>
            <w:tcW w:w="318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January 2022</w:t>
            </w:r>
          </w:p>
        </w:tc>
        <w:tc>
          <w:tcPr>
            <w:tcW w:w="30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2.54%</w:t>
            </w:r>
          </w:p>
        </w:tc>
      </w:tr>
      <w:tr>
        <w:trPr>
          <w:trHeight w:val="216"/>
        </w:trPr>
        <w:tc>
          <w:tcPr>
            <w:tcW w:w="3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April 2022</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4.83%</w:t>
            </w:r>
          </w:p>
        </w:tc>
      </w:tr>
      <w:tr>
        <w:trPr>
          <w:trHeight w:val="216"/>
        </w:trPr>
        <w:tc>
          <w:tcPr>
            <w:tcW w:w="3180" w:type="dxa"/>
            <w:vAlign w:val="bottom"/>
            <w:gridSpan w:val="2"/>
            <w:shd w:val="clear" w:color="auto" w:fill="EEEEEE"/>
          </w:tcPr>
          <w:p>
            <w:pPr>
              <w:jc w:val="center"/>
              <w:ind w:right="200"/>
              <w:spacing w:after="0"/>
              <w:rPr>
                <w:sz w:val="20"/>
                <w:szCs w:val="20"/>
                <w:color w:val="auto"/>
              </w:rPr>
            </w:pPr>
            <w:r>
              <w:rPr>
                <w:rFonts w:ascii="Times New Roman" w:cs="Times New Roman" w:eastAsia="Times New Roman" w:hAnsi="Times New Roman"/>
                <w:sz w:val="18"/>
                <w:szCs w:val="18"/>
                <w:color w:val="auto"/>
                <w:w w:val="99"/>
              </w:rPr>
              <w:t>July 2022</w:t>
            </w:r>
          </w:p>
        </w:tc>
        <w:tc>
          <w:tcPr>
            <w:tcW w:w="30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6.02%</w:t>
            </w:r>
          </w:p>
        </w:tc>
      </w:tr>
      <w:tr>
        <w:trPr>
          <w:trHeight w:val="216"/>
        </w:trPr>
        <w:tc>
          <w:tcPr>
            <w:tcW w:w="3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October 2022</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8.48%</w:t>
            </w:r>
          </w:p>
        </w:tc>
      </w:tr>
      <w:tr>
        <w:trPr>
          <w:trHeight w:val="216"/>
        </w:trPr>
        <w:tc>
          <w:tcPr>
            <w:tcW w:w="318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January 2023</w:t>
            </w:r>
          </w:p>
        </w:tc>
        <w:tc>
          <w:tcPr>
            <w:tcW w:w="30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6.48%</w:t>
            </w:r>
          </w:p>
        </w:tc>
      </w:tr>
      <w:tr>
        <w:trPr>
          <w:trHeight w:val="216"/>
        </w:trPr>
        <w:tc>
          <w:tcPr>
            <w:tcW w:w="3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April 2023</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7.17%</w:t>
            </w:r>
          </w:p>
        </w:tc>
      </w:tr>
      <w:tr>
        <w:trPr>
          <w:trHeight w:val="216"/>
        </w:trPr>
        <w:tc>
          <w:tcPr>
            <w:tcW w:w="3180" w:type="dxa"/>
            <w:vAlign w:val="bottom"/>
            <w:gridSpan w:val="2"/>
            <w:shd w:val="clear" w:color="auto" w:fill="EEEEEE"/>
          </w:tcPr>
          <w:p>
            <w:pPr>
              <w:jc w:val="center"/>
              <w:ind w:right="200"/>
              <w:spacing w:after="0"/>
              <w:rPr>
                <w:sz w:val="20"/>
                <w:szCs w:val="20"/>
                <w:color w:val="auto"/>
              </w:rPr>
            </w:pPr>
            <w:r>
              <w:rPr>
                <w:rFonts w:ascii="Times New Roman" w:cs="Times New Roman" w:eastAsia="Times New Roman" w:hAnsi="Times New Roman"/>
                <w:sz w:val="18"/>
                <w:szCs w:val="18"/>
                <w:color w:val="auto"/>
                <w:w w:val="99"/>
              </w:rPr>
              <w:t>July 2023</w:t>
            </w:r>
          </w:p>
        </w:tc>
        <w:tc>
          <w:tcPr>
            <w:tcW w:w="30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7.13%</w:t>
            </w:r>
          </w:p>
        </w:tc>
      </w:tr>
      <w:tr>
        <w:trPr>
          <w:trHeight w:val="216"/>
        </w:trPr>
        <w:tc>
          <w:tcPr>
            <w:tcW w:w="3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October 2023</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7.89%</w:t>
            </w:r>
          </w:p>
        </w:tc>
      </w:tr>
      <w:tr>
        <w:trPr>
          <w:trHeight w:val="216"/>
        </w:trPr>
        <w:tc>
          <w:tcPr>
            <w:tcW w:w="318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January 2024</w:t>
            </w:r>
          </w:p>
        </w:tc>
        <w:tc>
          <w:tcPr>
            <w:tcW w:w="30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6.51%</w:t>
            </w:r>
          </w:p>
        </w:tc>
      </w:tr>
      <w:tr>
        <w:trPr>
          <w:trHeight w:val="216"/>
        </w:trPr>
        <w:tc>
          <w:tcPr>
            <w:tcW w:w="3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April 2024</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6.69%</w:t>
            </w:r>
          </w:p>
        </w:tc>
      </w:tr>
      <w:tr>
        <w:trPr>
          <w:trHeight w:val="216"/>
        </w:trPr>
        <w:tc>
          <w:tcPr>
            <w:tcW w:w="3180" w:type="dxa"/>
            <w:vAlign w:val="bottom"/>
            <w:gridSpan w:val="2"/>
            <w:shd w:val="clear" w:color="auto" w:fill="EEEEEE"/>
          </w:tcPr>
          <w:p>
            <w:pPr>
              <w:jc w:val="center"/>
              <w:ind w:right="200"/>
              <w:spacing w:after="0"/>
              <w:rPr>
                <w:sz w:val="20"/>
                <w:szCs w:val="20"/>
                <w:color w:val="auto"/>
              </w:rPr>
            </w:pPr>
            <w:r>
              <w:rPr>
                <w:rFonts w:ascii="Times New Roman" w:cs="Times New Roman" w:eastAsia="Times New Roman" w:hAnsi="Times New Roman"/>
                <w:sz w:val="18"/>
                <w:szCs w:val="18"/>
                <w:color w:val="auto"/>
              </w:rPr>
              <w:t>June 2024</w:t>
            </w:r>
          </w:p>
        </w:tc>
        <w:tc>
          <w:tcPr>
            <w:tcW w:w="30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6.56%</w:t>
            </w:r>
          </w:p>
        </w:tc>
      </w:tr>
      <w:tr>
        <w:trPr>
          <w:trHeight w:val="234"/>
        </w:trPr>
        <w:tc>
          <w:tcPr>
            <w:tcW w:w="3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September 2024</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5.52%</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on warehouse credit line debt decreased by $499,000 to $14.0 million for the nine months ended September 30, 2024 compared to $14.5 million in the prior year period. The decrease was primarily due to the lower utilization of our credit lines during the quarter compared to last year. The average balance of our warehouse debt was $170.7 million during the nine months ended September 30, 2024 compared to $186.3 million for the same period in 2023. The annualized average rate on our credit line debt was 11.0% for the nine months ended September 30, 2024 compared to 10.4% in the prior year period.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on subordinated renewable notes was $1.6 million for the nine months ended September 30, 2024. The average balance of outstanding subordinated debt was $22.1 million for the nine months ending September 30, 2024, consistent with the prior year. The average yield of subordinated notes increased to 9.8% compared to 8.6% in the prior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2021, we completed a residual interest financing of our residual interests from previously issued securitizations in the amount of $50.0 million. In March 2024, we completed a new residual interest financing of our residual interests from previously issued securitizations in the amount of $50.0 million. Interest expense on the residual interest financing was $6.2 million for the nine months ended September 30, 2024 compared to $3.2 million for the same period in 2023.</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 and interest expense and a net interest yield analysis for the nine-month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gridSpan w:val="5"/>
          </w:tcPr>
          <w:p>
            <w:pPr>
              <w:jc w:val="right"/>
              <w:ind w:right="740"/>
              <w:spacing w:after="0" w:line="182" w:lineRule="exact"/>
              <w:rPr>
                <w:sz w:val="20"/>
                <w:szCs w:val="20"/>
                <w:color w:val="auto"/>
              </w:rPr>
            </w:pPr>
            <w:r>
              <w:rPr>
                <w:rFonts w:ascii="Times New Roman" w:cs="Times New Roman" w:eastAsia="Times New Roman" w:hAnsi="Times New Roman"/>
                <w:sz w:val="16"/>
                <w:szCs w:val="16"/>
                <w:b w:val="1"/>
                <w:bCs w:val="1"/>
                <w:color w:val="auto"/>
              </w:rPr>
              <w:t>(Dollars in thousands)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20" w:type="dxa"/>
            <w:vAlign w:val="bottom"/>
            <w:gridSpan w:val="4"/>
            <w:vMerge w:val="restart"/>
          </w:tcPr>
          <w:p>
            <w:pPr>
              <w:jc w:val="center"/>
              <w:ind w:right="780"/>
              <w:spacing w:after="0"/>
              <w:rPr>
                <w:sz w:val="20"/>
                <w:szCs w:val="20"/>
                <w:color w:val="auto"/>
              </w:rPr>
            </w:pPr>
            <w:r>
              <w:rPr>
                <w:rFonts w:ascii="Times New Roman" w:cs="Times New Roman" w:eastAsia="Times New Roman" w:hAnsi="Times New Roman"/>
                <w:sz w:val="16"/>
                <w:szCs w:val="16"/>
                <w:b w:val="1"/>
                <w:bCs w:val="1"/>
                <w:color w:val="auto"/>
                <w:w w:val="99"/>
              </w:rPr>
              <w:t>Interest Earning Assets</w:t>
            </w:r>
          </w:p>
        </w:tc>
        <w:tc>
          <w:tcPr>
            <w:tcW w:w="1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Balance (1)</w:t>
            </w:r>
          </w:p>
        </w:tc>
        <w:tc>
          <w:tcPr>
            <w:tcW w:w="1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Yield/Rate</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Balance (1)</w:t>
            </w: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Yield/Rate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620" w:type="dxa"/>
            <w:vAlign w:val="bottom"/>
            <w:gridSpan w:val="4"/>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6"/>
                <w:szCs w:val="16"/>
                <w:color w:val="auto"/>
              </w:rPr>
              <w:t>Loan portfolio</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3,131,477</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265,812</w:t>
            </w:r>
          </w:p>
        </w:tc>
        <w:tc>
          <w:tcPr>
            <w:tcW w:w="148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2,898,445</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245,960</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620" w:type="dxa"/>
            <w:vAlign w:val="bottom"/>
            <w:gridSpan w:val="4"/>
            <w:vMerge w:val="restart"/>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Interest Bearing Liabilities</w:t>
            </w:r>
          </w:p>
        </w:tc>
        <w:tc>
          <w:tcPr>
            <w:tcW w:w="12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FFFFFF"/>
              </w:rPr>
              <w:t>$</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26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60"/>
              <w:spacing w:after="0" w:line="176" w:lineRule="exact"/>
              <w:rPr>
                <w:sz w:val="20"/>
                <w:szCs w:val="20"/>
                <w:color w:val="auto"/>
              </w:rPr>
            </w:pPr>
            <w:r>
              <w:rPr>
                <w:rFonts w:ascii="Times New Roman" w:cs="Times New Roman" w:eastAsia="Times New Roman" w:hAnsi="Times New Roman"/>
                <w:sz w:val="16"/>
                <w:szCs w:val="16"/>
                <w:color w:val="FFFFFF"/>
              </w:rPr>
              <w:t>$</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6"/>
                <w:szCs w:val="16"/>
                <w:color w:val="auto"/>
              </w:rPr>
              <w:t>Warehouse lines of credit</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170,706</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14,022</w:t>
            </w:r>
          </w:p>
        </w:tc>
        <w:tc>
          <w:tcPr>
            <w:tcW w:w="148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186,311</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14,521</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3"/>
        </w:trPr>
        <w:tc>
          <w:tcPr>
            <w:tcW w:w="3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Residual interest financing</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89,051</w:t>
            </w:r>
          </w:p>
        </w:tc>
        <w:tc>
          <w:tcPr>
            <w:tcW w:w="1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6,225</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50,000</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3,149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3"/>
        </w:trPr>
        <w:tc>
          <w:tcPr>
            <w:tcW w:w="32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6"/>
                <w:szCs w:val="16"/>
                <w:color w:val="auto"/>
              </w:rPr>
              <w:t>Securitization trust debt</w:t>
            </w:r>
          </w:p>
        </w:tc>
        <w:tc>
          <w:tcPr>
            <w:tcW w:w="120" w:type="dxa"/>
            <w:vAlign w:val="bottom"/>
            <w:shd w:val="clear" w:color="auto" w:fill="EEEEEE"/>
          </w:tcPr>
          <w:p>
            <w:pPr>
              <w:spacing w:after="0"/>
              <w:rPr>
                <w:sz w:val="17"/>
                <w:szCs w:val="17"/>
                <w:color w:val="auto"/>
              </w:rPr>
            </w:pPr>
          </w:p>
        </w:tc>
        <w:tc>
          <w:tcPr>
            <w:tcW w:w="12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2,549,877</w:t>
            </w:r>
          </w:p>
        </w:tc>
        <w:tc>
          <w:tcPr>
            <w:tcW w:w="180" w:type="dxa"/>
            <w:vAlign w:val="bottom"/>
            <w:shd w:val="clear" w:color="auto" w:fill="EEEEEE"/>
          </w:tcPr>
          <w:p>
            <w:pPr>
              <w:spacing w:after="0"/>
              <w:rPr>
                <w:sz w:val="17"/>
                <w:szCs w:val="17"/>
                <w:color w:val="auto"/>
              </w:rPr>
            </w:pPr>
          </w:p>
        </w:tc>
        <w:tc>
          <w:tcPr>
            <w:tcW w:w="10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6"/>
                <w:szCs w:val="16"/>
                <w:color w:val="auto"/>
              </w:rPr>
              <w:t>116,859</w:t>
            </w:r>
          </w:p>
        </w:tc>
        <w:tc>
          <w:tcPr>
            <w:tcW w:w="148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EEEEEE"/>
          </w:tcPr>
          <w:p>
            <w:pPr>
              <w:spacing w:after="0"/>
              <w:rPr>
                <w:sz w:val="17"/>
                <w:szCs w:val="17"/>
                <w:color w:val="auto"/>
              </w:rPr>
            </w:pPr>
          </w:p>
        </w:tc>
        <w:tc>
          <w:tcPr>
            <w:tcW w:w="12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2,321,970</w:t>
            </w:r>
          </w:p>
        </w:tc>
        <w:tc>
          <w:tcPr>
            <w:tcW w:w="180" w:type="dxa"/>
            <w:vAlign w:val="bottom"/>
            <w:shd w:val="clear" w:color="auto" w:fill="EEEEEE"/>
          </w:tcPr>
          <w:p>
            <w:pPr>
              <w:spacing w:after="0"/>
              <w:rPr>
                <w:sz w:val="17"/>
                <w:szCs w:val="17"/>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87,258</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3"/>
        </w:trPr>
        <w:tc>
          <w:tcPr>
            <w:tcW w:w="3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Subordinated renewable notes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22,117</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1,629</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22,070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1,426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0"/>
        </w:trPr>
        <w:tc>
          <w:tcPr>
            <w:tcW w:w="66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6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760" w:type="dxa"/>
            <w:vAlign w:val="bottom"/>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EEEEEE"/>
          </w:tcPr>
          <w:p>
            <w:pPr>
              <w:spacing w:after="0" w:line="20" w:lineRule="exact"/>
              <w:rPr>
                <w:sz w:val="1"/>
                <w:szCs w:val="1"/>
                <w:color w:val="auto"/>
              </w:rPr>
            </w:pPr>
          </w:p>
        </w:tc>
        <w:tc>
          <w:tcPr>
            <w:tcW w:w="1480" w:type="dxa"/>
            <w:vAlign w:val="bottom"/>
            <w:gridSpan w:val="3"/>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22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line="20" w:lineRule="exact"/>
              <w:rPr>
                <w:sz w:val="1"/>
                <w:szCs w:val="1"/>
                <w:color w:val="auto"/>
              </w:rPr>
            </w:pPr>
          </w:p>
        </w:tc>
      </w:tr>
      <w:tr>
        <w:trPr>
          <w:trHeight w:val="223"/>
        </w:trPr>
        <w:tc>
          <w:tcPr>
            <w:tcW w:w="6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6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2,831,751</w:t>
            </w:r>
          </w:p>
        </w:tc>
        <w:tc>
          <w:tcPr>
            <w:tcW w:w="180" w:type="dxa"/>
            <w:vAlign w:val="bottom"/>
            <w:shd w:val="clear" w:color="auto" w:fill="EEEEEE"/>
          </w:tcPr>
          <w:p>
            <w:pPr>
              <w:spacing w:after="0"/>
              <w:rPr>
                <w:sz w:val="19"/>
                <w:szCs w:val="19"/>
                <w:color w:val="auto"/>
              </w:rPr>
            </w:pPr>
          </w:p>
        </w:tc>
        <w:tc>
          <w:tcPr>
            <w:tcW w:w="9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138,735</w:t>
            </w:r>
          </w:p>
        </w:tc>
        <w:tc>
          <w:tcPr>
            <w:tcW w:w="120" w:type="dxa"/>
            <w:vAlign w:val="bottom"/>
            <w:vMerge w:val="continue"/>
            <w:shd w:val="clear" w:color="auto" w:fill="EEEEEE"/>
          </w:tcPr>
          <w:p>
            <w:pPr>
              <w:spacing w:after="0"/>
              <w:rPr>
                <w:sz w:val="19"/>
                <w:szCs w:val="19"/>
                <w:color w:val="auto"/>
              </w:rPr>
            </w:pPr>
          </w:p>
        </w:tc>
        <w:tc>
          <w:tcPr>
            <w:tcW w:w="1480" w:type="dxa"/>
            <w:vAlign w:val="bottom"/>
            <w:gridSpan w:val="3"/>
            <w:vMerge w:val="continue"/>
            <w:shd w:val="clear" w:color="auto" w:fill="EEEEEE"/>
          </w:tcPr>
          <w:p>
            <w:pPr>
              <w:spacing w:after="0"/>
              <w:rPr>
                <w:sz w:val="19"/>
                <w:szCs w:val="19"/>
                <w:color w:val="auto"/>
              </w:rPr>
            </w:pP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2,580,351</w:t>
            </w:r>
          </w:p>
        </w:tc>
        <w:tc>
          <w:tcPr>
            <w:tcW w:w="180" w:type="dxa"/>
            <w:vAlign w:val="bottom"/>
            <w:shd w:val="clear" w:color="auto" w:fill="EEEEEE"/>
          </w:tcPr>
          <w:p>
            <w:pPr>
              <w:spacing w:after="0"/>
              <w:rPr>
                <w:sz w:val="19"/>
                <w:szCs w:val="19"/>
                <w:color w:val="auto"/>
              </w:rPr>
            </w:pPr>
          </w:p>
        </w:tc>
        <w:tc>
          <w:tcPr>
            <w:tcW w:w="9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106,354</w:t>
            </w:r>
          </w:p>
        </w:tc>
        <w:tc>
          <w:tcPr>
            <w:tcW w:w="220" w:type="dxa"/>
            <w:vAlign w:val="bottom"/>
            <w:vMerge w:val="continue"/>
            <w:shd w:val="clear" w:color="auto" w:fill="EEEEEE"/>
          </w:tcPr>
          <w:p>
            <w:pPr>
              <w:spacing w:after="0"/>
              <w:rPr>
                <w:sz w:val="19"/>
                <w:szCs w:val="19"/>
                <w:color w:val="auto"/>
              </w:rPr>
            </w:pPr>
          </w:p>
        </w:tc>
        <w:tc>
          <w:tcPr>
            <w:tcW w:w="1220" w:type="dxa"/>
            <w:vAlign w:val="bottom"/>
            <w:gridSpan w:val="2"/>
            <w:vMerge w:val="continue"/>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6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6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76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0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80" w:type="dxa"/>
            <w:vAlign w:val="bottom"/>
            <w:tcBorders>
              <w:bottom w:val="single" w:sz="8" w:color="EEEEEE"/>
            </w:tcBorders>
            <w:gridSpan w:val="5"/>
            <w:shd w:val="clear" w:color="auto" w:fill="EEEEEE"/>
          </w:tcPr>
          <w:p>
            <w:pPr>
              <w:spacing w:after="0"/>
              <w:rPr>
                <w:sz w:val="20"/>
                <w:szCs w:val="20"/>
                <w:color w:val="auto"/>
              </w:rPr>
            </w:pPr>
            <w:r>
              <w:rPr>
                <w:rFonts w:ascii="Times New Roman" w:cs="Times New Roman" w:eastAsia="Times New Roman" w:hAnsi="Times New Roman"/>
                <w:sz w:val="16"/>
                <w:szCs w:val="16"/>
                <w:color w:val="auto"/>
              </w:rPr>
              <w:t>Net interest income/spread</w:t>
            </w:r>
          </w:p>
        </w:tc>
        <w:tc>
          <w:tcPr>
            <w:tcW w:w="12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auto"/>
            </w:tcBorders>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127,077</w:t>
            </w:r>
          </w:p>
        </w:tc>
        <w:tc>
          <w:tcPr>
            <w:tcW w:w="12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114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98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auto"/>
            </w:tcBorders>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139,606</w:t>
            </w:r>
          </w:p>
        </w:tc>
        <w:tc>
          <w:tcPr>
            <w:tcW w:w="220" w:type="dxa"/>
            <w:vAlign w:val="bottom"/>
            <w:tcBorders>
              <w:bottom w:val="single" w:sz="8" w:color="EEEEEE"/>
            </w:tcBorders>
            <w:shd w:val="clear" w:color="auto" w:fill="EEEEEE"/>
          </w:tcPr>
          <w:p>
            <w:pPr>
              <w:spacing w:after="0"/>
              <w:rPr>
                <w:sz w:val="17"/>
                <w:szCs w:val="17"/>
                <w:color w:val="auto"/>
              </w:rPr>
            </w:pPr>
          </w:p>
        </w:tc>
        <w:tc>
          <w:tcPr>
            <w:tcW w:w="11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Net interest yield (2)</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line="20" w:lineRule="exact"/>
              <w:rPr>
                <w:sz w:val="1"/>
                <w:szCs w:val="1"/>
                <w:color w:val="auto"/>
              </w:rPr>
            </w:pPr>
          </w:p>
        </w:tc>
      </w:tr>
      <w:tr>
        <w:trPr>
          <w:trHeight w:val="183"/>
        </w:trPr>
        <w:tc>
          <w:tcPr>
            <w:tcW w:w="328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Ratio of average interest earning assets to</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average interest bearing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balances are based on month end balances except for warehouse lines of credit, which are based on daily balances.</w:t>
      </w:r>
    </w:p>
    <w:p>
      <w:pPr>
        <w:spacing w:after="0" w:line="2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net interest income divided by average interest earning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0" w:type="dxa"/>
            <w:vAlign w:val="bottom"/>
            <w:gridSpan w:val="8"/>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2024</w:t>
            </w:r>
          </w:p>
        </w:tc>
        <w:tc>
          <w:tcPr>
            <w:tcW w:w="0" w:type="dxa"/>
            <w:vAlign w:val="bottom"/>
          </w:tcPr>
          <w:p>
            <w:pPr>
              <w:spacing w:after="0"/>
              <w:rPr>
                <w:sz w:val="1"/>
                <w:szCs w:val="1"/>
                <w:color w:val="auto"/>
              </w:rPr>
            </w:pPr>
          </w:p>
        </w:tc>
      </w:tr>
      <w:tr>
        <w:trPr>
          <w:trHeight w:val="238"/>
        </w:trPr>
        <w:tc>
          <w:tcPr>
            <w:tcW w:w="17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6"/>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Compared to September 30, 2023</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jc w:val="right"/>
              <w:ind w:right="94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7"/>
                <w:szCs w:val="17"/>
                <w:color w:val="auto"/>
              </w:rPr>
            </w:pPr>
          </w:p>
        </w:tc>
        <w:tc>
          <w:tcPr>
            <w:tcW w:w="1740" w:type="dxa"/>
            <w:vAlign w:val="bottom"/>
            <w:gridSpan w:val="2"/>
          </w:tcPr>
          <w:p>
            <w:pPr>
              <w:jc w:val="center"/>
              <w:ind w:right="46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240" w:type="dxa"/>
            <w:vAlign w:val="bottom"/>
          </w:tcPr>
          <w:p>
            <w:pPr>
              <w:spacing w:after="0"/>
              <w:rPr>
                <w:sz w:val="17"/>
                <w:szCs w:val="17"/>
                <w:color w:val="auto"/>
              </w:rPr>
            </w:pPr>
          </w:p>
        </w:tc>
        <w:tc>
          <w:tcPr>
            <w:tcW w:w="1340" w:type="dxa"/>
            <w:vAlign w:val="bottom"/>
          </w:tcPr>
          <w:p>
            <w:pPr>
              <w:jc w:val="right"/>
              <w:ind w:right="23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7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Pr>
          <w:p>
            <w:pPr>
              <w:spacing w:after="0"/>
              <w:rPr>
                <w:sz w:val="20"/>
                <w:szCs w:val="20"/>
                <w:color w:val="auto"/>
              </w:rPr>
            </w:pPr>
          </w:p>
        </w:tc>
        <w:tc>
          <w:tcPr>
            <w:tcW w:w="17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5"/>
              </w:rPr>
              <w:t>to Volume</w:t>
            </w:r>
          </w:p>
        </w:tc>
        <w:tc>
          <w:tcPr>
            <w:tcW w:w="24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 Rate</w:t>
            </w:r>
          </w:p>
        </w:tc>
        <w:tc>
          <w:tcPr>
            <w:tcW w:w="0" w:type="dxa"/>
            <w:vAlign w:val="bottom"/>
          </w:tcPr>
          <w:p>
            <w:pPr>
              <w:spacing w:after="0"/>
              <w:rPr>
                <w:sz w:val="1"/>
                <w:szCs w:val="1"/>
                <w:color w:val="auto"/>
              </w:rPr>
            </w:pPr>
          </w:p>
        </w:tc>
      </w:tr>
      <w:tr>
        <w:trPr>
          <w:trHeight w:val="232"/>
        </w:trPr>
        <w:tc>
          <w:tcPr>
            <w:tcW w:w="1720" w:type="dxa"/>
            <w:vAlign w:val="bottom"/>
          </w:tcPr>
          <w:p>
            <w:pPr>
              <w:spacing w:after="0"/>
              <w:rPr>
                <w:sz w:val="20"/>
                <w:szCs w:val="20"/>
                <w:color w:val="auto"/>
              </w:rPr>
            </w:pPr>
          </w:p>
        </w:tc>
        <w:tc>
          <w:tcPr>
            <w:tcW w:w="306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9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06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12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19,852</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19,293</w:t>
            </w: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175"/>
        </w:trPr>
        <w:tc>
          <w:tcPr>
            <w:tcW w:w="4780" w:type="dxa"/>
            <w:vAlign w:val="bottom"/>
            <w:gridSpan w:val="3"/>
          </w:tcPr>
          <w:p>
            <w:pPr>
              <w:jc w:val="center"/>
              <w:ind w:left="650"/>
              <w:spacing w:after="0" w:line="176" w:lineRule="exact"/>
              <w:rPr>
                <w:sz w:val="20"/>
                <w:szCs w:val="20"/>
                <w:color w:val="auto"/>
              </w:rPr>
            </w:pPr>
            <w:r>
              <w:rPr>
                <w:rFonts w:ascii="Times New Roman" w:cs="Times New Roman" w:eastAsia="Times New Roman" w:hAnsi="Times New Roman"/>
                <w:sz w:val="18"/>
                <w:szCs w:val="18"/>
                <w:b w:val="1"/>
                <w:bCs w:val="1"/>
                <w:color w:val="auto"/>
              </w:rPr>
              <w:t>Interest Bearing Liabilities</w:t>
            </w: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9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(1,442)</w:t>
            </w: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16"/>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3,076</w:t>
            </w:r>
          </w:p>
        </w:tc>
        <w:tc>
          <w:tcPr>
            <w:tcW w:w="14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2,256</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9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29,601</w:t>
            </w:r>
          </w:p>
        </w:tc>
        <w:tc>
          <w:tcPr>
            <w:tcW w:w="14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1,283</w:t>
            </w: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28,318</w:t>
            </w:r>
          </w:p>
        </w:tc>
        <w:tc>
          <w:tcPr>
            <w:tcW w:w="0" w:type="dxa"/>
            <w:vAlign w:val="bottom"/>
          </w:tcPr>
          <w:p>
            <w:pPr>
              <w:spacing w:after="0"/>
              <w:rPr>
                <w:sz w:val="1"/>
                <w:szCs w:val="1"/>
                <w:color w:val="auto"/>
              </w:rPr>
            </w:pPr>
          </w:p>
        </w:tc>
      </w:tr>
      <w:tr>
        <w:trPr>
          <w:trHeight w:val="230"/>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19"/>
                <w:szCs w:val="19"/>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0"/>
        </w:trPr>
        <w:tc>
          <w:tcPr>
            <w:tcW w:w="1720" w:type="dxa"/>
            <w:vAlign w:val="bottom"/>
            <w:tcBorders>
              <w:top w:val="single" w:sz="8" w:color="EEEEEE"/>
            </w:tcBorders>
            <w:shd w:val="clear" w:color="auto" w:fill="EEEEEE"/>
          </w:tcPr>
          <w:p>
            <w:pPr>
              <w:spacing w:after="0"/>
              <w:rPr>
                <w:sz w:val="18"/>
                <w:szCs w:val="18"/>
                <w:color w:val="auto"/>
              </w:rPr>
            </w:pPr>
          </w:p>
        </w:tc>
        <w:tc>
          <w:tcPr>
            <w:tcW w:w="208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EEEEEE"/>
            </w:tcBorders>
            <w:shd w:val="clear" w:color="auto" w:fill="EEEEEE"/>
          </w:tcPr>
          <w:p>
            <w:pPr>
              <w:spacing w:after="0"/>
              <w:rPr>
                <w:sz w:val="18"/>
                <w:szCs w:val="18"/>
                <w:color w:val="auto"/>
              </w:rPr>
            </w:pPr>
          </w:p>
        </w:tc>
        <w:tc>
          <w:tcPr>
            <w:tcW w:w="96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32,381</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30,351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2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(12,529)</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17,262</w:t>
            </w: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(29,791)</w:t>
            </w:r>
          </w:p>
        </w:tc>
        <w:tc>
          <w:tcPr>
            <w:tcW w:w="0" w:type="dxa"/>
            <w:vAlign w:val="bottom"/>
          </w:tcPr>
          <w:p>
            <w:pPr>
              <w:spacing w:after="0"/>
              <w:rPr>
                <w:sz w:val="1"/>
                <w:szCs w:val="1"/>
                <w:color w:val="auto"/>
              </w:rPr>
            </w:pPr>
          </w:p>
        </w:tc>
      </w:tr>
      <w:tr>
        <w:trPr>
          <w:trHeight w:val="20"/>
        </w:trPr>
        <w:tc>
          <w:tcPr>
            <w:tcW w:w="1720" w:type="dxa"/>
            <w:vAlign w:val="bottom"/>
            <w:tcBorders>
              <w:top w:val="single" w:sz="8" w:color="EEEEEE"/>
            </w:tcBorders>
          </w:tcPr>
          <w:p>
            <w:pPr>
              <w:spacing w:after="0" w:line="20" w:lineRule="exact"/>
              <w:rPr>
                <w:sz w:val="1"/>
                <w:szCs w:val="1"/>
                <w:color w:val="auto"/>
              </w:rPr>
            </w:pPr>
          </w:p>
        </w:tc>
        <w:tc>
          <w:tcPr>
            <w:tcW w:w="208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jc w:val="both"/>
        <w:spacing w:after="0" w:line="230" w:lineRule="auto"/>
        <w:rPr>
          <w:sz w:val="20"/>
          <w:szCs w:val="20"/>
          <w:color w:val="auto"/>
        </w:rPr>
      </w:pPr>
      <w:r>
        <w:rPr>
          <w:rFonts w:ascii="Times New Roman" w:cs="Times New Roman" w:eastAsia="Times New Roman" w:hAnsi="Times New Roman"/>
          <w:sz w:val="22"/>
          <w:szCs w:val="22"/>
          <w:color w:val="auto"/>
        </w:rPr>
        <w:t xml:space="preserve">Our evaluation of the allowance for credit losses indicated that the reserves against future losses are adequate as of September 30, 2024. The allowance applies only to our finance receivables originated through December 2017, which we refer to as our legacy portfolio. </w:t>
      </w:r>
      <w:r>
        <w:rPr>
          <w:rFonts w:ascii="Times New Roman" w:cs="Times New Roman" w:eastAsia="Times New Roman" w:hAnsi="Times New Roman"/>
          <w:sz w:val="17"/>
          <w:szCs w:val="17"/>
          <w:color w:val="auto"/>
        </w:rPr>
        <w:t>Finance receivables that we have originated since January 2018 are accounted for at fair value. Under the fair value method of accounting, we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recognize interest income net of expected credit losses. Thus, no provision for credit loss expense is recorded for finance receivables measured at fair value.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we recorded a reduction to provision for credit losses on finance receivables in the amount of $4.6 million. The reserve decrease was primarily due to better than expected recovery rates and a decrease in lifetime expected credit losses resulting from improved credit performance as our previous estimates for future losses exceeded actual incurred losses. This compares to $20.7 million in reductions to provision for credit losses for the nine months ended September 30,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expenses consist primarily of commission-based compensation paid to our employee sales representatives. Our sales representatives earn a salary plus commissions based on volume of contract purchases. Sales expenses remained consistent at $16.5 million for both the nine months ending September 30, 2024, and the same period last year. We purchased $1,224.1 million of new contracts during the nine months ended September 30, 2024 compared to $1,056.0 million in the prior year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was $4.3 million for the nine months ending September 30, 2024, which is down from $4.8 million for the same period in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expenses decreased to $650,000 compared to $642,000 in the previous year.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we recorded income tax expense of $6.0 million, representing a 30% effective tax rate. In the prior period, our income tax expense was $13.1 million, representing a 26% effective tax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Experience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39" w:name="page40"/>
    <w:bookmarkEnd w:id="39"/>
    <w:p>
      <w:pPr>
        <w:ind w:left="3460"/>
        <w:spacing w:after="0"/>
        <w:rPr>
          <w:sz w:val="20"/>
          <w:szCs w:val="20"/>
          <w:color w:val="auto"/>
        </w:rPr>
      </w:pPr>
      <w:r>
        <w:rPr>
          <w:rFonts w:ascii="Times New Roman" w:cs="Times New Roman" w:eastAsia="Times New Roman" w:hAnsi="Times New Roman"/>
          <w:sz w:val="18"/>
          <w:szCs w:val="18"/>
          <w:b w:val="1"/>
          <w:bCs w:val="1"/>
          <w:color w:val="auto"/>
        </w:rPr>
        <w:t>Delinquency, Repossession and Extension Experience (1)</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Total Managed Portfolio (Excludes Third Party Portfolio)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294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90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78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01"/>
        </w:trPr>
        <w:tc>
          <w:tcPr>
            <w:tcW w:w="2620" w:type="dxa"/>
            <w:vAlign w:val="bottom"/>
          </w:tcPr>
          <w:p>
            <w:pPr>
              <w:spacing w:after="0"/>
              <w:rPr>
                <w:sz w:val="17"/>
                <w:szCs w:val="17"/>
                <w:color w:val="auto"/>
              </w:rPr>
            </w:pPr>
          </w:p>
        </w:tc>
        <w:tc>
          <w:tcPr>
            <w:tcW w:w="1500" w:type="dxa"/>
            <w:vAlign w:val="bottom"/>
            <w:tcBorders>
              <w:top w:val="single" w:sz="8" w:color="auto"/>
            </w:tcBorders>
            <w:gridSpan w:val="2"/>
          </w:tcPr>
          <w:p>
            <w:pPr>
              <w:jc w:val="right"/>
              <w:ind w:right="46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30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620" w:type="dxa"/>
            <w:vAlign w:val="bottom"/>
          </w:tcPr>
          <w:p>
            <w:pPr>
              <w:spacing w:after="0"/>
              <w:rPr>
                <w:sz w:val="20"/>
                <w:szCs w:val="20"/>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26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Delinquency Experience</w:t>
            </w: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Gross servicing portfolio (1)</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194,434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3,329,836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177,709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2,943,332</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179,198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2,970,066</w:t>
            </w:r>
          </w:p>
        </w:tc>
        <w:tc>
          <w:tcPr>
            <w:tcW w:w="0" w:type="dxa"/>
            <w:vAlign w:val="bottom"/>
          </w:tcPr>
          <w:p>
            <w:pPr>
              <w:spacing w:after="0"/>
              <w:rPr>
                <w:sz w:val="1"/>
                <w:szCs w:val="1"/>
                <w:color w:val="auto"/>
              </w:rPr>
            </w:pPr>
          </w:p>
        </w:tc>
      </w:tr>
      <w:tr>
        <w:trPr>
          <w:trHeight w:val="216"/>
        </w:trPr>
        <w:tc>
          <w:tcPr>
            <w:tcW w:w="2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Period of delinquency (2)</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FFFFFF"/>
              </w:rPr>
              <w:t>.</w:t>
            </w: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31-60 days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13,460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219,265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12,813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199,902</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13,337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210,200</w:t>
            </w:r>
          </w:p>
        </w:tc>
        <w:tc>
          <w:tcPr>
            <w:tcW w:w="0" w:type="dxa"/>
            <w:vAlign w:val="bottom"/>
          </w:tcPr>
          <w:p>
            <w:pPr>
              <w:spacing w:after="0"/>
              <w:rPr>
                <w:sz w:val="1"/>
                <w:szCs w:val="1"/>
                <w:color w:val="auto"/>
              </w:rPr>
            </w:pPr>
          </w:p>
        </w:tc>
      </w:tr>
      <w:tr>
        <w:trPr>
          <w:trHeight w:val="216"/>
        </w:trPr>
        <w:tc>
          <w:tcPr>
            <w:tcW w:w="2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61-90 days</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6,621</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103,404</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6,177</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94,934</w:t>
            </w: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6,717</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104,144</w:t>
            </w:r>
          </w:p>
        </w:tc>
        <w:tc>
          <w:tcPr>
            <w:tcW w:w="0" w:type="dxa"/>
            <w:vAlign w:val="bottom"/>
          </w:tcPr>
          <w:p>
            <w:pPr>
              <w:spacing w:after="0"/>
              <w:rPr>
                <w:sz w:val="1"/>
                <w:szCs w:val="1"/>
                <w:color w:val="auto"/>
              </w:rPr>
            </w:pPr>
          </w:p>
        </w:tc>
      </w:tr>
      <w:tr>
        <w:trPr>
          <w:trHeight w:val="230"/>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91+ days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3,402</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52,046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50,772</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50,610</w:t>
            </w:r>
          </w:p>
        </w:tc>
        <w:tc>
          <w:tcPr>
            <w:tcW w:w="0" w:type="dxa"/>
            <w:vAlign w:val="bottom"/>
          </w:tcPr>
          <w:p>
            <w:pPr>
              <w:spacing w:after="0"/>
              <w:rPr>
                <w:sz w:val="1"/>
                <w:szCs w:val="1"/>
                <w:color w:val="auto"/>
              </w:rPr>
            </w:pPr>
          </w:p>
        </w:tc>
      </w:tr>
      <w:tr>
        <w:trPr>
          <w:trHeight w:val="209"/>
        </w:trPr>
        <w:tc>
          <w:tcPr>
            <w:tcW w:w="26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delinquencies (2)</w:t>
            </w: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23,483</w:t>
            </w:r>
          </w:p>
        </w:tc>
        <w:tc>
          <w:tcPr>
            <w:tcW w:w="2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374,715</w:t>
            </w:r>
          </w:p>
        </w:tc>
        <w:tc>
          <w:tcPr>
            <w:tcW w:w="20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22,228</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345,608</w:t>
            </w:r>
          </w:p>
        </w:tc>
        <w:tc>
          <w:tcPr>
            <w:tcW w:w="22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23,306</w:t>
            </w: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364,954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Amount in repossession (3)</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6,222</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92,939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46,091</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67,182</w:t>
            </w:r>
          </w:p>
        </w:tc>
        <w:tc>
          <w:tcPr>
            <w:tcW w:w="0" w:type="dxa"/>
            <w:vAlign w:val="bottom"/>
          </w:tcPr>
          <w:p>
            <w:pPr>
              <w:spacing w:after="0"/>
              <w:rPr>
                <w:sz w:val="1"/>
                <w:szCs w:val="1"/>
                <w:color w:val="auto"/>
              </w:rPr>
            </w:pPr>
          </w:p>
        </w:tc>
      </w:tr>
      <w:tr>
        <w:trPr>
          <w:trHeight w:val="178"/>
        </w:trPr>
        <w:tc>
          <w:tcPr>
            <w:tcW w:w="2620" w:type="dxa"/>
            <w:vAlign w:val="bottom"/>
            <w:tcBorders>
              <w:top w:val="single" w:sz="8" w:color="EEEEEE"/>
            </w:tcBorders>
            <w:shd w:val="clear" w:color="auto" w:fill="EEEEEE"/>
          </w:tcPr>
          <w:p>
            <w:pPr>
              <w:spacing w:after="0" w:line="177" w:lineRule="exact"/>
              <w:rPr>
                <w:sz w:val="20"/>
                <w:szCs w:val="20"/>
                <w:color w:val="auto"/>
              </w:rPr>
            </w:pPr>
            <w:r>
              <w:rPr>
                <w:rFonts w:ascii="Times New Roman" w:cs="Times New Roman" w:eastAsia="Times New Roman" w:hAnsi="Times New Roman"/>
                <w:sz w:val="18"/>
                <w:szCs w:val="18"/>
                <w:color w:val="auto"/>
              </w:rPr>
              <w:t>Total delinquencies and amount in</w:t>
            </w:r>
          </w:p>
        </w:tc>
        <w:tc>
          <w:tcPr>
            <w:tcW w:w="1240" w:type="dxa"/>
            <w:vAlign w:val="bottom"/>
            <w:tcBorders>
              <w:top w:val="single" w:sz="8" w:color="auto"/>
            </w:tcBorders>
            <w:shd w:val="clear" w:color="auto" w:fill="EEEEEE"/>
          </w:tcPr>
          <w:p>
            <w:pPr>
              <w:spacing w:after="0"/>
              <w:rPr>
                <w:sz w:val="15"/>
                <w:szCs w:val="15"/>
                <w:color w:val="auto"/>
              </w:rPr>
            </w:pPr>
          </w:p>
        </w:tc>
        <w:tc>
          <w:tcPr>
            <w:tcW w:w="260" w:type="dxa"/>
            <w:vAlign w:val="bottom"/>
            <w:tcBorders>
              <w:top w:val="single" w:sz="8" w:color="EEEEEE"/>
            </w:tcBorders>
            <w:shd w:val="clear" w:color="auto" w:fill="EEEEEE"/>
          </w:tcPr>
          <w:p>
            <w:pPr>
              <w:spacing w:after="0"/>
              <w:rPr>
                <w:sz w:val="15"/>
                <w:szCs w:val="15"/>
                <w:color w:val="auto"/>
              </w:rPr>
            </w:pPr>
          </w:p>
        </w:tc>
        <w:tc>
          <w:tcPr>
            <w:tcW w:w="200" w:type="dxa"/>
            <w:vAlign w:val="bottom"/>
            <w:tcBorders>
              <w:top w:val="single" w:sz="8" w:color="auto"/>
            </w:tcBorders>
            <w:shd w:val="clear" w:color="auto" w:fill="EEEEEE"/>
          </w:tcPr>
          <w:p>
            <w:pPr>
              <w:spacing w:after="0"/>
              <w:rPr>
                <w:sz w:val="15"/>
                <w:szCs w:val="15"/>
                <w:color w:val="auto"/>
              </w:rPr>
            </w:pPr>
          </w:p>
        </w:tc>
        <w:tc>
          <w:tcPr>
            <w:tcW w:w="1040" w:type="dxa"/>
            <w:vAlign w:val="bottom"/>
            <w:tcBorders>
              <w:top w:val="single" w:sz="8" w:color="auto"/>
            </w:tcBorders>
            <w:shd w:val="clear" w:color="auto" w:fill="EEEEEE"/>
          </w:tcPr>
          <w:p>
            <w:pPr>
              <w:spacing w:after="0"/>
              <w:rPr>
                <w:sz w:val="15"/>
                <w:szCs w:val="15"/>
                <w:color w:val="auto"/>
              </w:rPr>
            </w:pPr>
          </w:p>
        </w:tc>
        <w:tc>
          <w:tcPr>
            <w:tcW w:w="200" w:type="dxa"/>
            <w:vAlign w:val="bottom"/>
            <w:tcBorders>
              <w:top w:val="single" w:sz="8" w:color="EEEEEE"/>
            </w:tcBorders>
            <w:shd w:val="clear" w:color="auto" w:fill="EEEEEE"/>
          </w:tcPr>
          <w:p>
            <w:pPr>
              <w:spacing w:after="0"/>
              <w:rPr>
                <w:sz w:val="15"/>
                <w:szCs w:val="15"/>
                <w:color w:val="auto"/>
              </w:rPr>
            </w:pPr>
          </w:p>
        </w:tc>
        <w:tc>
          <w:tcPr>
            <w:tcW w:w="124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12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1040" w:type="dxa"/>
            <w:vAlign w:val="bottom"/>
            <w:tcBorders>
              <w:top w:val="single" w:sz="8" w:color="auto"/>
            </w:tcBorders>
            <w:shd w:val="clear" w:color="auto" w:fill="EEEEEE"/>
          </w:tcPr>
          <w:p>
            <w:pPr>
              <w:spacing w:after="0"/>
              <w:rPr>
                <w:sz w:val="15"/>
                <w:szCs w:val="15"/>
                <w:color w:val="auto"/>
              </w:rPr>
            </w:pPr>
          </w:p>
        </w:tc>
        <w:tc>
          <w:tcPr>
            <w:tcW w:w="220" w:type="dxa"/>
            <w:vAlign w:val="bottom"/>
            <w:tcBorders>
              <w:top w:val="single" w:sz="8" w:color="EEEEEE"/>
            </w:tcBorders>
            <w:shd w:val="clear" w:color="auto" w:fill="EEEEEE"/>
          </w:tcPr>
          <w:p>
            <w:pPr>
              <w:spacing w:after="0"/>
              <w:rPr>
                <w:sz w:val="15"/>
                <w:szCs w:val="15"/>
                <w:color w:val="auto"/>
              </w:rPr>
            </w:pPr>
          </w:p>
        </w:tc>
        <w:tc>
          <w:tcPr>
            <w:tcW w:w="1220" w:type="dxa"/>
            <w:vAlign w:val="bottom"/>
            <w:tcBorders>
              <w:top w:val="single" w:sz="8" w:color="auto"/>
            </w:tcBorders>
            <w:shd w:val="clear" w:color="auto" w:fill="EEEEEE"/>
          </w:tcPr>
          <w:p>
            <w:pPr>
              <w:spacing w:after="0"/>
              <w:rPr>
                <w:sz w:val="15"/>
                <w:szCs w:val="15"/>
                <w:color w:val="auto"/>
              </w:rPr>
            </w:pPr>
          </w:p>
        </w:tc>
        <w:tc>
          <w:tcPr>
            <w:tcW w:w="120" w:type="dxa"/>
            <w:vAlign w:val="bottom"/>
            <w:tcBorders>
              <w:top w:val="single" w:sz="8" w:color="EEEEEE"/>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200" w:type="dxa"/>
            <w:vAlign w:val="bottom"/>
            <w:tcBorders>
              <w:top w:val="single" w:sz="8" w:color="auto"/>
            </w:tcBorders>
            <w:shd w:val="clear" w:color="auto" w:fill="EEEEEE"/>
          </w:tcPr>
          <w:p>
            <w:pPr>
              <w:spacing w:after="0"/>
              <w:rPr>
                <w:sz w:val="15"/>
                <w:szCs w:val="15"/>
                <w:color w:val="auto"/>
              </w:rPr>
            </w:pPr>
          </w:p>
        </w:tc>
        <w:tc>
          <w:tcPr>
            <w:tcW w:w="104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repossession (2)</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29,705</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467,654</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25,512</w:t>
            </w:r>
          </w:p>
        </w:tc>
        <w:tc>
          <w:tcPr>
            <w:tcW w:w="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391,699</w:t>
            </w: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27,959</w:t>
            </w:r>
          </w:p>
        </w:tc>
        <w:tc>
          <w:tcPr>
            <w:tcW w:w="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432,136</w:t>
            </w:r>
          </w:p>
        </w:tc>
        <w:tc>
          <w:tcPr>
            <w:tcW w:w="0" w:type="dxa"/>
            <w:vAlign w:val="bottom"/>
          </w:tcPr>
          <w:p>
            <w:pPr>
              <w:spacing w:after="0"/>
              <w:rPr>
                <w:sz w:val="1"/>
                <w:szCs w:val="1"/>
                <w:color w:val="auto"/>
              </w:rPr>
            </w:pPr>
          </w:p>
        </w:tc>
      </w:tr>
      <w:tr>
        <w:trPr>
          <w:trHeight w:val="20"/>
        </w:trPr>
        <w:tc>
          <w:tcPr>
            <w:tcW w:w="262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Delinquencies as a percentage of</w:t>
            </w:r>
          </w:p>
        </w:tc>
        <w:tc>
          <w:tcPr>
            <w:tcW w:w="1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gross servicing portfolio</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FFFFFF"/>
              </w:rPr>
              <w:t>.</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Total delinquencies and amount in</w:t>
            </w:r>
          </w:p>
        </w:tc>
        <w:tc>
          <w:tcPr>
            <w:tcW w:w="1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repossession as a percentage of</w:t>
            </w: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gross servicing portfolio</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14.0%</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Experience</w:t>
            </w: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Contracts with one extension,</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accruing</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32,191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567,435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32,763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591,593</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33,920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610,617</w:t>
            </w:r>
          </w:p>
        </w:tc>
        <w:tc>
          <w:tcPr>
            <w:tcW w:w="0" w:type="dxa"/>
            <w:vAlign w:val="bottom"/>
          </w:tcPr>
          <w:p>
            <w:pPr>
              <w:spacing w:after="0"/>
              <w:rPr>
                <w:sz w:val="1"/>
                <w:szCs w:val="1"/>
                <w:color w:val="auto"/>
              </w:rPr>
            </w:pPr>
          </w:p>
        </w:tc>
      </w:tr>
      <w:tr>
        <w:trPr>
          <w:trHeight w:val="198"/>
        </w:trPr>
        <w:tc>
          <w:tcPr>
            <w:tcW w:w="2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Contracts with two or more</w:t>
            </w:r>
          </w:p>
        </w:tc>
        <w:tc>
          <w:tcPr>
            <w:tcW w:w="1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extensions, accruing</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46,701</w:t>
            </w:r>
          </w:p>
        </w:tc>
        <w:tc>
          <w:tcPr>
            <w:tcW w:w="200" w:type="dxa"/>
            <w:vAlign w:val="bottom"/>
            <w:shd w:val="clear" w:color="auto" w:fill="EEEEEE"/>
          </w:tcPr>
          <w:p>
            <w:pPr>
              <w:spacing w:after="0"/>
              <w:rPr>
                <w:sz w:val="21"/>
                <w:szCs w:val="21"/>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681,625</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40,689</w:t>
            </w:r>
          </w:p>
        </w:tc>
        <w:tc>
          <w:tcPr>
            <w:tcW w:w="12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511,241</w:t>
            </w: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42,462</w:t>
            </w:r>
          </w:p>
        </w:tc>
        <w:tc>
          <w:tcPr>
            <w:tcW w:w="10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563,308</w:t>
            </w:r>
          </w:p>
        </w:tc>
        <w:tc>
          <w:tcPr>
            <w:tcW w:w="0" w:type="dxa"/>
            <w:vAlign w:val="bottom"/>
          </w:tcPr>
          <w:p>
            <w:pPr>
              <w:spacing w:after="0"/>
              <w:rPr>
                <w:sz w:val="1"/>
                <w:szCs w:val="1"/>
                <w:color w:val="auto"/>
              </w:rPr>
            </w:pPr>
          </w:p>
        </w:tc>
      </w:tr>
      <w:tr>
        <w:trPr>
          <w:trHeight w:val="209"/>
        </w:trPr>
        <w:tc>
          <w:tcPr>
            <w:tcW w:w="26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78,892</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1,249,060</w:t>
            </w:r>
          </w:p>
        </w:tc>
        <w:tc>
          <w:tcPr>
            <w:tcW w:w="2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1,102,834</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Contracts with one extension,</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non-accrual (4)</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3,293</w:t>
            </w: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51,821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31,114</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38,933</w:t>
            </w:r>
          </w:p>
        </w:tc>
        <w:tc>
          <w:tcPr>
            <w:tcW w:w="0" w:type="dxa"/>
            <w:vAlign w:val="bottom"/>
          </w:tcPr>
          <w:p>
            <w:pPr>
              <w:spacing w:after="0"/>
              <w:rPr>
                <w:sz w:val="1"/>
                <w:szCs w:val="1"/>
                <w:color w:val="auto"/>
              </w:rPr>
            </w:pPr>
          </w:p>
        </w:tc>
      </w:tr>
      <w:tr>
        <w:trPr>
          <w:trHeight w:val="198"/>
        </w:trPr>
        <w:tc>
          <w:tcPr>
            <w:tcW w:w="2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Contracts with two or more</w:t>
            </w:r>
          </w:p>
        </w:tc>
        <w:tc>
          <w:tcPr>
            <w:tcW w:w="1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extensions, non-accrual (4)</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3,278</w:t>
            </w:r>
          </w:p>
        </w:tc>
        <w:tc>
          <w:tcPr>
            <w:tcW w:w="200" w:type="dxa"/>
            <w:vAlign w:val="bottom"/>
            <w:shd w:val="clear" w:color="auto" w:fill="EEEEEE"/>
          </w:tcPr>
          <w:p>
            <w:pPr>
              <w:spacing w:after="0"/>
              <w:rPr>
                <w:sz w:val="21"/>
                <w:szCs w:val="21"/>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48,020</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1,720</w:t>
            </w:r>
          </w:p>
        </w:tc>
        <w:tc>
          <w:tcPr>
            <w:tcW w:w="12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20,856</w:t>
            </w:r>
          </w:p>
        </w:tc>
        <w:tc>
          <w:tcPr>
            <w:tcW w:w="1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27,497</w:t>
            </w:r>
          </w:p>
        </w:tc>
        <w:tc>
          <w:tcPr>
            <w:tcW w:w="0" w:type="dxa"/>
            <w:vAlign w:val="bottom"/>
          </w:tcPr>
          <w:p>
            <w:pPr>
              <w:spacing w:after="0"/>
              <w:rPr>
                <w:sz w:val="1"/>
                <w:szCs w:val="1"/>
                <w:color w:val="auto"/>
              </w:rPr>
            </w:pPr>
          </w:p>
        </w:tc>
      </w:tr>
      <w:tr>
        <w:trPr>
          <w:trHeight w:val="210"/>
        </w:trPr>
        <w:tc>
          <w:tcPr>
            <w:tcW w:w="2620" w:type="dxa"/>
            <w:vAlign w:val="bottom"/>
            <w:tcBorders>
              <w:bottom w:val="single" w:sz="8" w:color="EEEEEE"/>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26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99,841</w:t>
            </w:r>
          </w:p>
        </w:tc>
        <w:tc>
          <w:tcPr>
            <w:tcW w:w="200" w:type="dxa"/>
            <w:vAlign w:val="bottom"/>
            <w:tcBorders>
              <w:bottom w:val="single" w:sz="8" w:color="EEEEEE"/>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51,970</w:t>
            </w:r>
          </w:p>
        </w:tc>
        <w:tc>
          <w:tcPr>
            <w:tcW w:w="220" w:type="dxa"/>
            <w:vAlign w:val="bottom"/>
            <w:tcBorders>
              <w:bottom w:val="single" w:sz="8" w:color="EEEEEE"/>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2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66,430</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contracts with extensions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85,463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1,348,902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77,015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1,154,804</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80,830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1,240,355</w:t>
            </w: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2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firstLine="8"/>
        <w:spacing w:after="0" w:line="250" w:lineRule="auto"/>
        <w:tabs>
          <w:tab w:leader="none" w:pos="2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amount remaining to be repaid on each automobile contract.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1" w:lineRule="exact"/>
        <w:rPr>
          <w:rFonts w:ascii="Times New Roman" w:cs="Times New Roman" w:eastAsia="Times New Roman" w:hAnsi="Times New Roman"/>
          <w:sz w:val="18"/>
          <w:szCs w:val="18"/>
          <w:i w:val="1"/>
          <w:iCs w:val="1"/>
          <w:color w:val="auto"/>
        </w:rPr>
      </w:pPr>
    </w:p>
    <w:p>
      <w:pPr>
        <w:jc w:val="both"/>
        <w:ind w:firstLine="8"/>
        <w:spacing w:after="0" w:line="250" w:lineRule="auto"/>
        <w:tabs>
          <w:tab w:leader="none" w:pos="26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 in repossession represents financed vehicles that have been repossessed but not yet liquidated.</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 in repossession and accounts past due more than 90 days are on non-accrual.</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Net Charge-Off Experience (1)</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Total Managed Portfolio (Excludes Third Party Portfolio)</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20" w:type="dxa"/>
            <w:vAlign w:val="bottom"/>
            <w:gridSpan w:val="4"/>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Finance Receivables Portfolio</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80" w:type="dxa"/>
            <w:vAlign w:val="bottom"/>
          </w:tcPr>
          <w:p>
            <w:pPr>
              <w:spacing w:after="0"/>
              <w:rPr>
                <w:sz w:val="19"/>
                <w:szCs w:val="19"/>
                <w:color w:val="auto"/>
              </w:rPr>
            </w:pPr>
          </w:p>
        </w:tc>
        <w:tc>
          <w:tcPr>
            <w:tcW w:w="15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2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servicing portfolio outstanding</w:t>
            </w:r>
          </w:p>
        </w:tc>
        <w:tc>
          <w:tcPr>
            <w:tcW w:w="40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3,278,336</w:t>
            </w: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2,934,749</w:t>
            </w: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2,913,571</w:t>
            </w: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Annualized net charge-offs as a percentage of average servicing portfolio</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5520" w:type="dxa"/>
            <w:vAlign w:val="bottom"/>
          </w:tcPr>
          <w:p>
            <w:pPr>
              <w:jc w:val="right"/>
              <w:ind w:right="503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380" w:type="dxa"/>
            <w:vAlign w:val="bottom"/>
          </w:tcPr>
          <w:p>
            <w:pPr>
              <w:spacing w:after="0"/>
              <w:rPr>
                <w:sz w:val="18"/>
                <w:szCs w:val="18"/>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r>
        <w:trPr>
          <w:trHeight w:val="236"/>
        </w:trPr>
        <w:tc>
          <w:tcPr>
            <w:tcW w:w="5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_________________________</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left="260" w:hanging="252"/>
        <w:spacing w:after="0"/>
        <w:tabs>
          <w:tab w:leader="none" w:pos="2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principal amount scheduled to be paid on each automobile contract.</w:t>
      </w:r>
    </w:p>
    <w:p>
      <w:pPr>
        <w:spacing w:after="0" w:line="9" w:lineRule="exact"/>
        <w:rPr>
          <w:rFonts w:ascii="Times New Roman" w:cs="Times New Roman" w:eastAsia="Times New Roman" w:hAnsi="Times New Roman"/>
          <w:sz w:val="18"/>
          <w:szCs w:val="18"/>
          <w:i w:val="1"/>
          <w:iCs w:val="1"/>
          <w:color w:val="auto"/>
        </w:rPr>
      </w:pPr>
    </w:p>
    <w:p>
      <w:pPr>
        <w:jc w:val="both"/>
        <w:ind w:firstLine="8"/>
        <w:spacing w:after="0" w:line="253" w:lineRule="auto"/>
        <w:tabs>
          <w:tab w:leader="none" w:pos="257"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September 30, 2024 and September 30, 2023 percentages represent three months ended September 30, 2024 and September 30, 2023 annualized. December 31, 2023 represents 12 months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Extensions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certain circumstances we will grant obligors one-month payment extensions to assist them with temporary cash flow problems. In general, we are bound by our securitization agreements to refrain from agreeing to more than two such extensions in any 12-month period and to more than eight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so that the obligor might prioritize us over other creditors on future payments. Our servicing staff are trained to identify when a past due obligor is facing a temporary problem that may be resolved with an extension. In some cases, the extension will be granted in conjunction with our receiving all or a portion of a past due payment from the obligor, thereby indicating an additional monetary and psychological commitment to the contract on the obligor’s part.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w:t>
      </w:r>
    </w:p>
    <w:p>
      <w:pPr>
        <w:jc w:val="both"/>
        <w:ind w:firstLine="8"/>
        <w:spacing w:after="0" w:line="252" w:lineRule="auto"/>
        <w:tabs>
          <w:tab w:leader="none" w:pos="2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(4) the obligor’s willingness to communicate and cooperate on resolving the delinquency; and (5) a numeric score from our internal risk assessment system that indicating the likelihood that the extension will prove beneficial. If the collector believes the obligor is a good candidate for an extension, an approval is obtained from a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a prudent extension program is an integral component to mitigating losses in our portfolio of sub-prime automobile receivables. The table below summarizes the status, as of September 30, 2024, for accounts that received extensions from 2010 through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Active or Paid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 Active or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 Charged Off</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Charged Off</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 Charged Off</w:t>
            </w:r>
          </w:p>
        </w:tc>
        <w:tc>
          <w:tcPr>
            <w:tcW w:w="12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Off at</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Paid Off at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Charged Off &gt;</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&gt; 6 Months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&lt;= 6 Months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&lt;= 6 Months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Avg Months to</w:t>
            </w:r>
          </w:p>
        </w:tc>
      </w:tr>
      <w:tr>
        <w:trPr>
          <w:trHeight w:val="216"/>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Period of</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Extensions</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30,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September 30,</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6 Months After</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After</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After</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After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Charge Off Post</w:t>
            </w:r>
          </w:p>
        </w:tc>
      </w:tr>
      <w:tr>
        <w:trPr>
          <w:trHeight w:val="234"/>
        </w:trPr>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Extension</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Extension</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Extension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Extension</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Extension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Extension</w:t>
            </w:r>
          </w:p>
        </w:tc>
      </w:tr>
      <w:tr>
        <w:trPr>
          <w:trHeight w:val="209"/>
        </w:trPr>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26,167</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12,153</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46.4%</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12,009</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45.9%</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2,005</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c>
          <w:tcPr>
            <w:tcW w:w="1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18,786</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10,963</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58.4%</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6,882</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36.6%</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941</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1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18,783</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11,315</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60.2%</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6,667</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35.5%</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801</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23,398</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11,134</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47.6%</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11,281</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48.2%</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983</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25,773</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10,432</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40.5%</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14,485</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56.2%</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856</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53,319</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22,001</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41.3%</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30,046</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56.4%</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1,272</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80,897</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35,283</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43.6%</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42,901</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53.0%</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2,713</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133,847</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56,216</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42.0%</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67,959</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50.8%</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9,672</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121,531</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58,454</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48.1%</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52,995</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43.6%</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10,082</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71,548</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43,808</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61.2%</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22,204</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31.0%</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5,536</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83,170</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57,130</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68.7%</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22,696</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27.3%</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3,344</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47,010</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34,121</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72.6%</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11,653</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24.8%</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1,236</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56,142</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40,998</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73.0%</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13,190</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1,954</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83,113</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69,028</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83.1%</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10,826</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3,259</w:t>
            </w: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8</w:t>
            </w:r>
          </w:p>
        </w:tc>
      </w:tr>
    </w:tbl>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Table excludes extensions on portfolios serviced for third parties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view these results as a confirmation of the effectiveness of our extension program. For example, of the accounts granted extensions in 2019, 61.2% were either paid in full or active and performing as of September 30, 2024. Each of these successful accounts represent continued payments of interest and principal (including payment in full in many cases), where without the extension we likely would have incurred a substantial loss and no interest revenue after the extension.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extension accounts that ultimately charge off, we consider any that charged off more than six months after the extension to be at least partially successful. For example, of the accounts granted extensions in 2018 that subsequently charged off, such charge offs occurred, on average, 20 months after the extension, indicating that even in the cases of an ultimate loss, the obligor serviced the account with additional payments of principal and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about our extensions is provided in the tables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7"/>
          </w:tcPr>
          <w:p>
            <w:pPr>
              <w:jc w:val="center"/>
              <w:ind w:right="58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14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5"/>
              </w:rPr>
              <w:t>Year Ended</w:t>
            </w:r>
          </w:p>
        </w:tc>
      </w:tr>
      <w:tr>
        <w:trPr>
          <w:trHeight w:val="229"/>
        </w:trPr>
        <w:tc>
          <w:tcPr>
            <w:tcW w:w="3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7"/>
          </w:tcPr>
          <w:p>
            <w:pPr>
              <w:jc w:val="center"/>
              <w:ind w:right="580"/>
              <w:spacing w:after="0"/>
              <w:rPr>
                <w:sz w:val="20"/>
                <w:szCs w:val="20"/>
                <w:color w:val="auto"/>
              </w:rPr>
            </w:pPr>
            <w:r>
              <w:rPr>
                <w:rFonts w:ascii="Times New Roman" w:cs="Times New Roman" w:eastAsia="Times New Roman" w:hAnsi="Times New Roman"/>
                <w:sz w:val="18"/>
                <w:szCs w:val="18"/>
                <w:color w:val="auto"/>
                <w:w w:val="99"/>
              </w:rPr>
              <w:t>September 30,</w:t>
            </w:r>
          </w:p>
        </w:tc>
        <w:tc>
          <w:tcPr>
            <w:tcW w:w="14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3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jc w:val="center"/>
              <w:ind w:left="35"/>
              <w:spacing w:after="0"/>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center"/>
              <w:ind w:left="638"/>
              <w:spacing w:after="0"/>
              <w:rPr>
                <w:sz w:val="20"/>
                <w:szCs w:val="20"/>
                <w:color w:val="auto"/>
              </w:rPr>
            </w:pPr>
            <w:r>
              <w:rPr>
                <w:rFonts w:ascii="Times New Roman" w:cs="Times New Roman" w:eastAsia="Times New Roman" w:hAnsi="Times New Roman"/>
                <w:sz w:val="18"/>
                <w:szCs w:val="18"/>
                <w:color w:val="auto"/>
                <w:w w:val="99"/>
              </w:rPr>
              <w:t>2023</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516"/>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0"/>
                <w:szCs w:val="20"/>
                <w:color w:val="auto"/>
              </w:rPr>
            </w:pPr>
          </w:p>
        </w:tc>
      </w:tr>
      <w:tr>
        <w:trPr>
          <w:trHeight w:val="210"/>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extensions granted per month</w:t>
            </w:r>
          </w:p>
        </w:tc>
        <w:tc>
          <w:tcPr>
            <w:tcW w:w="1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580" w:type="dxa"/>
            <w:vAlign w:val="bottom"/>
            <w:gridSpan w:val="4"/>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7,342</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ind w:right="239"/>
              <w:spacing w:after="0"/>
              <w:rPr>
                <w:sz w:val="20"/>
                <w:szCs w:val="20"/>
                <w:color w:val="auto"/>
              </w:rPr>
            </w:pPr>
            <w:r>
              <w:rPr>
                <w:rFonts w:ascii="Times New Roman" w:cs="Times New Roman" w:eastAsia="Times New Roman" w:hAnsi="Times New Roman"/>
                <w:sz w:val="18"/>
                <w:szCs w:val="18"/>
                <w:color w:val="auto"/>
              </w:rPr>
              <w:t>6,649</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6,926</w:t>
            </w: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outstanding accounts</w:t>
            </w: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580" w:type="dxa"/>
            <w:vAlign w:val="bottom"/>
            <w:gridSpan w:val="4"/>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186,136</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ind w:right="239"/>
              <w:spacing w:after="0"/>
              <w:rPr>
                <w:sz w:val="20"/>
                <w:szCs w:val="20"/>
                <w:color w:val="auto"/>
              </w:rPr>
            </w:pPr>
            <w:r>
              <w:rPr>
                <w:rFonts w:ascii="Times New Roman" w:cs="Times New Roman" w:eastAsia="Times New Roman" w:hAnsi="Times New Roman"/>
                <w:sz w:val="18"/>
                <w:szCs w:val="18"/>
                <w:color w:val="auto"/>
                <w:w w:val="99"/>
              </w:rPr>
              <w:t>175,734</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176,438</w:t>
            </w:r>
          </w:p>
        </w:tc>
      </w:tr>
      <w:tr>
        <w:trPr>
          <w:trHeight w:val="216"/>
        </w:trPr>
        <w:tc>
          <w:tcPr>
            <w:tcW w:w="44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monthly extensions as % of average outstandings</w:t>
            </w:r>
          </w:p>
        </w:tc>
        <w:tc>
          <w:tcPr>
            <w:tcW w:w="1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580" w:type="dxa"/>
            <w:vAlign w:val="bottom"/>
            <w:gridSpan w:val="4"/>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ind w:right="239"/>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328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____________________</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580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9"/>
        </w:trPr>
        <w:tc>
          <w:tcPr>
            <w:tcW w:w="3280" w:type="dxa"/>
            <w:vAlign w:val="bottom"/>
          </w:tcPr>
          <w:p>
            <w:pPr>
              <w:spacing w:after="0"/>
              <w:rPr>
                <w:sz w:val="24"/>
                <w:szCs w:val="24"/>
                <w:color w:val="auto"/>
              </w:rPr>
            </w:pPr>
          </w:p>
        </w:tc>
        <w:tc>
          <w:tcPr>
            <w:tcW w:w="2520" w:type="dxa"/>
            <w:vAlign w:val="bottom"/>
            <w:gridSpan w:val="6"/>
          </w:tcPr>
          <w:p>
            <w:pPr>
              <w:jc w:val="right"/>
              <w:ind w:right="620"/>
              <w:spacing w:after="0"/>
              <w:rPr>
                <w:sz w:val="20"/>
                <w:szCs w:val="20"/>
                <w:color w:val="auto"/>
              </w:rPr>
            </w:pPr>
            <w:r>
              <w:rPr>
                <w:rFonts w:ascii="Times New Roman" w:cs="Times New Roman" w:eastAsia="Times New Roman" w:hAnsi="Times New Roman"/>
                <w:sz w:val="16"/>
                <w:szCs w:val="16"/>
                <w:color w:val="auto"/>
              </w:rPr>
              <w:t>September 30, 2024</w:t>
            </w:r>
          </w:p>
        </w:tc>
        <w:tc>
          <w:tcPr>
            <w:tcW w:w="220" w:type="dxa"/>
            <w:vAlign w:val="bottom"/>
          </w:tcPr>
          <w:p>
            <w:pPr>
              <w:spacing w:after="0"/>
              <w:rPr>
                <w:sz w:val="24"/>
                <w:szCs w:val="24"/>
                <w:color w:val="auto"/>
              </w:rPr>
            </w:pPr>
          </w:p>
        </w:tc>
        <w:tc>
          <w:tcPr>
            <w:tcW w:w="2620" w:type="dxa"/>
            <w:vAlign w:val="bottom"/>
            <w:gridSpan w:val="7"/>
          </w:tcPr>
          <w:p>
            <w:pPr>
              <w:jc w:val="right"/>
              <w:ind w:right="740"/>
              <w:spacing w:after="0"/>
              <w:rPr>
                <w:sz w:val="20"/>
                <w:szCs w:val="20"/>
                <w:color w:val="auto"/>
              </w:rPr>
            </w:pPr>
            <w:r>
              <w:rPr>
                <w:rFonts w:ascii="Times New Roman" w:cs="Times New Roman" w:eastAsia="Times New Roman" w:hAnsi="Times New Roman"/>
                <w:sz w:val="16"/>
                <w:szCs w:val="16"/>
                <w:color w:val="auto"/>
              </w:rPr>
              <w:t>September 30, 2023</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185"/>
        </w:trPr>
        <w:tc>
          <w:tcPr>
            <w:tcW w:w="32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Number of</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Number of</w:t>
            </w: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Borders>
              <w:top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Number of</w:t>
            </w: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32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Contracts</w:t>
            </w:r>
          </w:p>
        </w:tc>
        <w:tc>
          <w:tcPr>
            <w:tcW w:w="1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Amount</w:t>
            </w:r>
          </w:p>
        </w:tc>
        <w:tc>
          <w:tcPr>
            <w:tcW w:w="22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Contracts</w:t>
            </w:r>
          </w:p>
        </w:tc>
        <w:tc>
          <w:tcPr>
            <w:tcW w:w="180" w:type="dxa"/>
            <w:vAlign w:val="bottom"/>
          </w:tcPr>
          <w:p>
            <w:pPr>
              <w:spacing w:after="0"/>
              <w:rPr>
                <w:sz w:val="18"/>
                <w:szCs w:val="18"/>
                <w:color w:val="auto"/>
              </w:rPr>
            </w:pP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Amount</w:t>
            </w:r>
          </w:p>
        </w:tc>
        <w:tc>
          <w:tcPr>
            <w:tcW w:w="60" w:type="dxa"/>
            <w:vAlign w:val="bottom"/>
          </w:tcPr>
          <w:p>
            <w:pPr>
              <w:spacing w:after="0"/>
              <w:rPr>
                <w:sz w:val="18"/>
                <w:szCs w:val="18"/>
                <w:color w:val="auto"/>
              </w:rPr>
            </w:pPr>
          </w:p>
        </w:tc>
        <w:tc>
          <w:tcPr>
            <w:tcW w:w="112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Contracts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Amount</w:t>
            </w:r>
          </w:p>
        </w:tc>
      </w:tr>
      <w:tr>
        <w:trPr>
          <w:trHeight w:val="210"/>
        </w:trPr>
        <w:tc>
          <w:tcPr>
            <w:tcW w:w="3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Borders>
              <w:top w:val="single" w:sz="8" w:color="auto"/>
            </w:tcBorders>
            <w:gridSpan w:val="6"/>
          </w:tcPr>
          <w:p>
            <w:pPr>
              <w:jc w:val="right"/>
              <w:ind w:right="41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r>
      <w:tr>
        <w:trPr>
          <w:trHeight w:val="203"/>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Contracts with one extension</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35,484</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619,256</w:t>
            </w:r>
          </w:p>
        </w:tc>
        <w:tc>
          <w:tcPr>
            <w:tcW w:w="154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6"/>
                <w:szCs w:val="16"/>
                <w:color w:val="auto"/>
              </w:rPr>
              <w:t>34,606</w:t>
            </w:r>
          </w:p>
        </w:tc>
        <w:tc>
          <w:tcPr>
            <w:tcW w:w="40" w:type="dxa"/>
            <w:vAlign w:val="bottom"/>
            <w:shd w:val="clear" w:color="auto" w:fill="EEEEEE"/>
          </w:tcPr>
          <w:p>
            <w:pPr>
              <w:spacing w:after="0"/>
              <w:rPr>
                <w:sz w:val="17"/>
                <w:szCs w:val="17"/>
                <w:color w:val="auto"/>
              </w:rPr>
            </w:pP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6"/>
                <w:szCs w:val="16"/>
                <w:color w:val="auto"/>
              </w:rPr>
              <w:t>622,707</w:t>
            </w:r>
          </w:p>
        </w:tc>
        <w:tc>
          <w:tcPr>
            <w:tcW w:w="1180" w:type="dxa"/>
            <w:vAlign w:val="bottom"/>
            <w:gridSpan w:val="5"/>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36,287</w:t>
            </w:r>
          </w:p>
        </w:tc>
        <w:tc>
          <w:tcPr>
            <w:tcW w:w="3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649,551</w:t>
            </w: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Contracts with two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22,277</w:t>
            </w:r>
          </w:p>
        </w:tc>
        <w:tc>
          <w:tcPr>
            <w:tcW w:w="180" w:type="dxa"/>
            <w:vAlign w:val="bottom"/>
          </w:tcPr>
          <w:p>
            <w:pPr>
              <w:spacing w:after="0"/>
              <w:rPr>
                <w:sz w:val="17"/>
                <w:szCs w:val="17"/>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381,208</w:t>
            </w: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17,572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285,371</w:t>
            </w:r>
          </w:p>
        </w:tc>
        <w:tc>
          <w:tcPr>
            <w:tcW w:w="11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19,335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326,552</w:t>
            </w:r>
          </w:p>
        </w:tc>
      </w:tr>
      <w:tr>
        <w:trPr>
          <w:trHeight w:val="203"/>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Contracts with three extensions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12,614</w:t>
            </w:r>
          </w:p>
        </w:tc>
        <w:tc>
          <w:tcPr>
            <w:tcW w:w="180" w:type="dxa"/>
            <w:vAlign w:val="bottom"/>
            <w:shd w:val="clear" w:color="auto" w:fill="EEEEEE"/>
          </w:tcPr>
          <w:p>
            <w:pPr>
              <w:spacing w:after="0"/>
              <w:rPr>
                <w:sz w:val="17"/>
                <w:szCs w:val="17"/>
                <w:color w:val="auto"/>
              </w:rPr>
            </w:pPr>
          </w:p>
        </w:tc>
        <w:tc>
          <w:tcPr>
            <w:tcW w:w="96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198,602</w:t>
            </w:r>
          </w:p>
        </w:tc>
        <w:tc>
          <w:tcPr>
            <w:tcW w:w="154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6"/>
                <w:szCs w:val="16"/>
                <w:color w:val="auto"/>
              </w:rPr>
              <w:t>9,511</w:t>
            </w:r>
          </w:p>
        </w:tc>
        <w:tc>
          <w:tcPr>
            <w:tcW w:w="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8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6"/>
                <w:szCs w:val="16"/>
                <w:color w:val="auto"/>
              </w:rPr>
              <w:t>116,087</w:t>
            </w:r>
          </w:p>
        </w:tc>
        <w:tc>
          <w:tcPr>
            <w:tcW w:w="1180" w:type="dxa"/>
            <w:vAlign w:val="bottom"/>
            <w:gridSpan w:val="5"/>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10,109</w:t>
            </w:r>
          </w:p>
        </w:tc>
        <w:tc>
          <w:tcPr>
            <w:tcW w:w="2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133,207</w:t>
            </w: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Contracts with four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7,053</w:t>
            </w:r>
          </w:p>
        </w:tc>
        <w:tc>
          <w:tcPr>
            <w:tcW w:w="180" w:type="dxa"/>
            <w:vAlign w:val="bottom"/>
          </w:tcPr>
          <w:p>
            <w:pPr>
              <w:spacing w:after="0"/>
              <w:rPr>
                <w:sz w:val="17"/>
                <w:szCs w:val="17"/>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86,837</w:t>
            </w: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6,957</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66,903</w:t>
            </w:r>
          </w:p>
        </w:tc>
        <w:tc>
          <w:tcPr>
            <w:tcW w:w="11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6,784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67,735</w:t>
            </w:r>
          </w:p>
        </w:tc>
      </w:tr>
      <w:tr>
        <w:trPr>
          <w:trHeight w:val="203"/>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Contracts with five extensions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4,674</w:t>
            </w:r>
          </w:p>
        </w:tc>
        <w:tc>
          <w:tcPr>
            <w:tcW w:w="180" w:type="dxa"/>
            <w:vAlign w:val="bottom"/>
            <w:shd w:val="clear" w:color="auto" w:fill="EEEEEE"/>
          </w:tcPr>
          <w:p>
            <w:pPr>
              <w:spacing w:after="0"/>
              <w:rPr>
                <w:sz w:val="17"/>
                <w:szCs w:val="17"/>
                <w:color w:val="auto"/>
              </w:rPr>
            </w:pPr>
          </w:p>
        </w:tc>
        <w:tc>
          <w:tcPr>
            <w:tcW w:w="96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40,801</w:t>
            </w:r>
          </w:p>
        </w:tc>
        <w:tc>
          <w:tcPr>
            <w:tcW w:w="154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6"/>
                <w:szCs w:val="16"/>
                <w:color w:val="auto"/>
              </w:rPr>
              <w:t>5,300</w:t>
            </w:r>
          </w:p>
        </w:tc>
        <w:tc>
          <w:tcPr>
            <w:tcW w:w="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8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6"/>
                <w:szCs w:val="16"/>
                <w:color w:val="auto"/>
              </w:rPr>
              <w:t>43,541</w:t>
            </w:r>
          </w:p>
        </w:tc>
        <w:tc>
          <w:tcPr>
            <w:tcW w:w="1180" w:type="dxa"/>
            <w:vAlign w:val="bottom"/>
            <w:gridSpan w:val="5"/>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5,197</w:t>
            </w:r>
          </w:p>
        </w:tc>
        <w:tc>
          <w:tcPr>
            <w:tcW w:w="2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42,734</w:t>
            </w: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Contracts with six extensions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3,361</w:t>
            </w:r>
          </w:p>
        </w:tc>
        <w:tc>
          <w:tcPr>
            <w:tcW w:w="1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22,196</w:t>
            </w: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3,069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20,195</w:t>
            </w:r>
          </w:p>
        </w:tc>
        <w:tc>
          <w:tcPr>
            <w:tcW w:w="11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3,118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20,576</w:t>
            </w:r>
          </w:p>
        </w:tc>
      </w:tr>
      <w:tr>
        <w:trPr>
          <w:trHeight w:val="210"/>
        </w:trPr>
        <w:tc>
          <w:tcPr>
            <w:tcW w:w="3280" w:type="dxa"/>
            <w:vAlign w:val="bottom"/>
            <w:tcBorders>
              <w:top w:val="single" w:sz="8" w:color="EEEEEE"/>
              <w:bottom w:val="single" w:sz="8" w:color="EEEEEE"/>
            </w:tcBorders>
            <w:shd w:val="clear" w:color="auto" w:fill="EEEEEE"/>
          </w:tcPr>
          <w:p>
            <w:pPr>
              <w:spacing w:after="0"/>
              <w:rPr>
                <w:sz w:val="18"/>
                <w:szCs w:val="18"/>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85,463</w:t>
            </w:r>
          </w:p>
        </w:tc>
        <w:tc>
          <w:tcPr>
            <w:tcW w:w="26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1,348,900</w:t>
            </w:r>
          </w:p>
        </w:tc>
        <w:tc>
          <w:tcPr>
            <w:tcW w:w="20" w:type="dxa"/>
            <w:vAlign w:val="bottom"/>
            <w:tcBorders>
              <w:top w:val="single" w:sz="8" w:color="EEEEEE"/>
              <w:bottom w:val="single" w:sz="8" w:color="EEEEEE"/>
            </w:tcBorders>
            <w:shd w:val="clear" w:color="auto" w:fill="EEEEEE"/>
          </w:tcPr>
          <w:p>
            <w:pPr>
              <w:spacing w:after="0"/>
              <w:rPr>
                <w:sz w:val="18"/>
                <w:szCs w:val="18"/>
                <w:color w:val="auto"/>
              </w:rPr>
            </w:pP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77,015</w:t>
            </w:r>
          </w:p>
        </w:tc>
        <w:tc>
          <w:tcPr>
            <w:tcW w:w="180" w:type="dxa"/>
            <w:vAlign w:val="bottom"/>
            <w:tcBorders>
              <w:top w:val="single" w:sz="8" w:color="EEEEEE"/>
              <w:bottom w:val="single" w:sz="8" w:color="EEEEEE"/>
            </w:tcBorders>
            <w:shd w:val="clear" w:color="auto" w:fill="EEEEEE"/>
          </w:tcPr>
          <w:p>
            <w:pPr>
              <w:spacing w:after="0"/>
              <w:rPr>
                <w:sz w:val="18"/>
                <w:szCs w:val="18"/>
                <w:color w:val="auto"/>
              </w:rPr>
            </w:pPr>
          </w:p>
        </w:tc>
        <w:tc>
          <w:tcPr>
            <w:tcW w:w="4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1,154,804</w:t>
            </w:r>
          </w:p>
        </w:tc>
        <w:tc>
          <w:tcPr>
            <w:tcW w:w="160" w:type="dxa"/>
            <w:vAlign w:val="bottom"/>
            <w:tcBorders>
              <w:top w:val="single" w:sz="8" w:color="EEEEEE"/>
              <w:bottom w:val="single" w:sz="8" w:color="EEEEEE"/>
            </w:tcBorders>
            <w:shd w:val="clear" w:color="auto" w:fill="EEEEEE"/>
          </w:tcPr>
          <w:p>
            <w:pPr>
              <w:spacing w:after="0"/>
              <w:rPr>
                <w:sz w:val="18"/>
                <w:szCs w:val="18"/>
                <w:color w:val="auto"/>
              </w:rPr>
            </w:pPr>
          </w:p>
        </w:tc>
        <w:tc>
          <w:tcPr>
            <w:tcW w:w="60" w:type="dxa"/>
            <w:vAlign w:val="bottom"/>
            <w:tcBorders>
              <w:top w:val="single" w:sz="8" w:color="EEEEEE"/>
              <w:bottom w:val="single" w:sz="8" w:color="EEEEEE"/>
            </w:tcBorders>
            <w:shd w:val="clear" w:color="auto" w:fill="EEEEEE"/>
          </w:tcPr>
          <w:p>
            <w:pPr>
              <w:spacing w:after="0"/>
              <w:rPr>
                <w:sz w:val="18"/>
                <w:szCs w:val="18"/>
                <w:color w:val="auto"/>
              </w:rPr>
            </w:pPr>
          </w:p>
        </w:tc>
        <w:tc>
          <w:tcPr>
            <w:tcW w:w="110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80,830</w:t>
            </w:r>
          </w:p>
        </w:tc>
        <w:tc>
          <w:tcPr>
            <w:tcW w:w="20" w:type="dxa"/>
            <w:vAlign w:val="bottom"/>
            <w:tcBorders>
              <w:top w:val="single" w:sz="8" w:color="EEEEEE"/>
              <w:bottom w:val="single" w:sz="8" w:color="EEEEEE"/>
            </w:tcBorders>
            <w:shd w:val="clear" w:color="auto" w:fill="EEEEEE"/>
          </w:tcPr>
          <w:p>
            <w:pPr>
              <w:spacing w:after="0"/>
              <w:rPr>
                <w:sz w:val="18"/>
                <w:szCs w:val="18"/>
                <w:color w:val="auto"/>
              </w:rPr>
            </w:pPr>
          </w:p>
        </w:tc>
        <w:tc>
          <w:tcPr>
            <w:tcW w:w="20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1,240,355</w:t>
            </w: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6"/>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Managed portfolio (excluding originated and</w:t>
            </w:r>
          </w:p>
        </w:tc>
        <w:tc>
          <w:tcPr>
            <w:tcW w:w="11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1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80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r>
      <w:tr>
        <w:trPr>
          <w:trHeight w:val="216"/>
        </w:trPr>
        <w:tc>
          <w:tcPr>
            <w:tcW w:w="32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owned by 3rd parties)</w:t>
            </w:r>
          </w:p>
        </w:tc>
        <w:tc>
          <w:tcPr>
            <w:tcW w:w="13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194,434</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3,329,836</w:t>
            </w:r>
          </w:p>
        </w:tc>
        <w:tc>
          <w:tcPr>
            <w:tcW w:w="154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6"/>
                <w:szCs w:val="16"/>
                <w:color w:val="auto"/>
              </w:rPr>
              <w:t>177,709</w:t>
            </w: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6"/>
                <w:szCs w:val="16"/>
                <w:color w:val="auto"/>
              </w:rPr>
              <w:t>2,943,322</w:t>
            </w:r>
          </w:p>
        </w:tc>
        <w:tc>
          <w:tcPr>
            <w:tcW w:w="1180" w:type="dxa"/>
            <w:vAlign w:val="bottom"/>
            <w:gridSpan w:val="5"/>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179,198</w:t>
            </w:r>
          </w:p>
        </w:tc>
        <w:tc>
          <w:tcPr>
            <w:tcW w:w="3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2,970,066</w:t>
            </w:r>
          </w:p>
        </w:tc>
      </w:tr>
      <w:tr>
        <w:trPr>
          <w:trHeight w:val="21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2019, we have been able to reduce extensions by working with our servicing staff to be more selective in granting extensions including, where appropriate, to exhaust all possibilities of payment by the customer before granting an extension. However, as delinquency rates have risen, so has the average number of extensions granted.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Non-Accrual Receivables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nine-month period ended September 30, 2024 was $165.8 million, a decrease of $16.2 million, compared to net cash provided by operating activities for the nine-month period ended September 30, 2023 of $181.9 million. Net cash from operating activities is generally provided by net income from operations adjusted for significant non-cash items such as our provision for credit losses and marks to finance receivables measured at fair value.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$536.8 million for the nine months ended September 30, 2024 compared to $275.8 million in the prior year period. Net cash used in investing activities generally relates to new purchases of automobile contracts net of principal payments and other proceeds received during the period. Purchases of finance receivables excluding acquisition fees were $1,195.9 million and $958.6 million during the first nine months of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was $524.7 million compared to $73.1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nine months of 2024, we issued $1,453.9 million in new securitization trust debt compared to $949.4 million for the same period in 2023. We repaid $840.5 million in securitization trust debt in the nine months ended September 30, 2024 compared to repayments of securitization trust debt of $814.5 million in the prior year period. In the nine months ended September 30, 2024, we had net repayments on warehouse lines of credit of $125.6 million, compared to net advances from warehouse lines of credit of $46.4 million in the prior year’s period.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and may in the future be limited in our ability to purchase automobile contracts due to limits on our capital. As of September 30, 2024, we had unrestricted cash of $8.1 million and $294.2 million aggregate available borrowings under our two warehouse credit facilities (assuming the availability of sufficient eligible collateral). As of September 30, 2024, we had approximately $20.9 million of such eligible collateral. Our plans to manage our liquidity include maintaining our rate of automobile contract purchases at a level that matches our available capital, and, as appropriate, minimizing our operating costs. During the nine-month period ended September 30, 2024, we completed four securitizations aggregating $1,453.9 million of notes sold.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September 30, 2024, we were in compliance with all such financial covenants.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jc w:val="both"/>
        <w:spacing w:after="0" w:line="254" w:lineRule="auto"/>
        <w:rPr>
          <w:sz w:val="20"/>
          <w:szCs w:val="20"/>
          <w:color w:val="auto"/>
        </w:rPr>
      </w:pPr>
      <w:r>
        <w:rPr>
          <w:rFonts w:ascii="Times New Roman" w:cs="Times New Roman" w:eastAsia="Times New Roman" w:hAnsi="Times New Roman"/>
          <w:sz w:val="18"/>
          <w:szCs w:val="18"/>
          <w:color w:val="auto"/>
        </w:rPr>
        <w:t>We have and will continue to have a substantial amount of indebtedness. At September 30, 2024, we had approximately $3,105.0 million of debt outstanding. Such debt consisted primarily of $2,875.8 million of securitization trust debt and $105.8 million of debt from warehouse lines of credit. Our securitization trust debt has increased by $610.3 million while our warehouse lines of credit debt has decreased by $128.2 million since December 31, 2023 (each net of deferred financing costs). Since 2005, we have offered renewable subordinated notes to the public on a continuous basis, and such notes have maturities that range from six months to 10 years. We had $24.3 million and $17.2 million in subordinated renewable notes outstanding at September 30, 2024 and December 31, 2023, respectively. On June 30, 2021, we completed a $50.0 million securitization of residual interests from other previously issued securitizations. On March 2024, we completed a new residual interest financing of our residual interests from previously issued securitizations in the amount of $50.0 million. As of September 30, 2024, all $100.0 million of this debt remains outstanding.</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(Denesh Bharwani)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remind the reader that risk factors are set forth in Item 1A of our report on Form 10-K, filed with the U.S. Securities and Exchange Commission on March 15, 2024. Where we are aware of material changes to such risk factors as previously disclosed, we set forth below an updated discussion of such risks. The reader should note that the other risks identified in our report on Form 10-K remain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substantial indebtedness.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and will continue to have a substantial amount of indebtedness. At September 30, 2024, we had approximately $3,105.0 million of debt outstanding. Such debt consisted primarily of $2,875.8 million of securitization trust debt and $105.8 million of debt from warehouse lines of credit. Our securitization trust debt has increased by $610.3 million while our warehouse lines of credit debt has decreased by $128.2 million since December 31, 2023 (each net of deferred financing costs). Since 2005, we have offered renewable subordinated notes to the public on a continuous basis, and such notes have maturities that range from six months to 10 years. We had $24.3 million and $17.2 million in subordinated renewable notes outstanding at September 30, 2024 and December 31, 2023, respectively. On June 30, 2021, we completed a $50.0 million securitization of residual interests from other previously issued securitizations. On March 2024, we completed a new residual interest financing of our residual interests from previously issued securitizations in the amount of $50.0 million. As of September 30, 2024, all $100.0 million of this debt remains outstanding.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 adversely affect our financial condition by, among other things:</w:t>
      </w:r>
    </w:p>
    <w:p>
      <w:pPr>
        <w:spacing w:after="0" w:line="225" w:lineRule="exact"/>
        <w:rPr>
          <w:sz w:val="20"/>
          <w:szCs w:val="20"/>
          <w:color w:val="auto"/>
        </w:rPr>
      </w:pPr>
    </w:p>
    <w:p>
      <w:pPr>
        <w:ind w:left="780" w:hanging="259"/>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225" w:lineRule="exact"/>
        <w:rPr>
          <w:rFonts w:ascii="Times New Roman" w:cs="Times New Roman" w:eastAsia="Times New Roman" w:hAnsi="Times New Roman"/>
          <w:sz w:val="18"/>
          <w:szCs w:val="18"/>
          <w:color w:val="auto"/>
        </w:rPr>
      </w:pPr>
    </w:p>
    <w:p>
      <w:pPr>
        <w:ind w:left="780" w:hanging="259"/>
        <w:spacing w:after="0" w:line="282" w:lineRule="auto"/>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161"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w:t>
      </w:r>
    </w:p>
    <w:p>
      <w:pPr>
        <w:spacing w:after="0" w:line="225"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and</w:t>
      </w:r>
    </w:p>
    <w:p>
      <w:pPr>
        <w:spacing w:after="0" w:line="225"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2024, we repurchased 70,000 shares from existing shareholders, as reflected in the table below.</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Value of Shares that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40" w:type="dxa"/>
            <w:vAlign w:val="bottom"/>
          </w:tcPr>
          <w:p>
            <w:pPr>
              <w:spacing w:after="0"/>
              <w:rPr>
                <w:sz w:val="18"/>
                <w:szCs w:val="18"/>
                <w:color w:val="auto"/>
              </w:rPr>
            </w:pPr>
          </w:p>
        </w:tc>
        <w:tc>
          <w:tcPr>
            <w:tcW w:w="16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19"/>
                <w:szCs w:val="19"/>
                <w:color w:val="auto"/>
              </w:rPr>
            </w:pPr>
          </w:p>
        </w:tc>
        <w:tc>
          <w:tcPr>
            <w:tcW w:w="16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Price Paid</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 the Plans or</w:t>
            </w:r>
          </w:p>
        </w:tc>
        <w:tc>
          <w:tcPr>
            <w:tcW w:w="0" w:type="dxa"/>
            <w:vAlign w:val="bottom"/>
          </w:tcPr>
          <w:p>
            <w:pPr>
              <w:spacing w:after="0"/>
              <w:rPr>
                <w:sz w:val="1"/>
                <w:szCs w:val="1"/>
                <w:color w:val="auto"/>
              </w:rPr>
            </w:pPr>
          </w:p>
        </w:tc>
      </w:tr>
      <w:tr>
        <w:trPr>
          <w:trHeight w:val="238"/>
        </w:trPr>
        <w:tc>
          <w:tcPr>
            <w:tcW w:w="384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Period(1)</w:t>
            </w: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40" w:type="dxa"/>
            <w:vAlign w:val="bottom"/>
          </w:tcPr>
          <w:p>
            <w:pPr>
              <w:spacing w:after="0"/>
              <w:rPr>
                <w:sz w:val="20"/>
                <w:szCs w:val="20"/>
                <w:color w:val="auto"/>
              </w:rPr>
            </w:pPr>
          </w:p>
        </w:tc>
        <w:tc>
          <w:tcPr>
            <w:tcW w:w="16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8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Programs (2)</w:t>
            </w:r>
          </w:p>
        </w:tc>
        <w:tc>
          <w:tcPr>
            <w:tcW w:w="0" w:type="dxa"/>
            <w:vAlign w:val="bottom"/>
          </w:tcPr>
          <w:p>
            <w:pPr>
              <w:spacing w:after="0"/>
              <w:rPr>
                <w:sz w:val="1"/>
                <w:szCs w:val="1"/>
                <w:color w:val="auto"/>
              </w:rPr>
            </w:pPr>
          </w:p>
        </w:tc>
      </w:tr>
      <w:tr>
        <w:trPr>
          <w:trHeight w:val="210"/>
        </w:trPr>
        <w:tc>
          <w:tcPr>
            <w:tcW w:w="3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July 2024</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6,949,160</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2024</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6.949,160</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September 2024</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70,000</w:t>
            </w: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9.85</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70,000</w:t>
            </w:r>
          </w:p>
        </w:tc>
        <w:tc>
          <w:tcPr>
            <w:tcW w:w="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6,259,660</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3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220" w:type="dxa"/>
            <w:vAlign w:val="bottom"/>
            <w:vMerge w:val="restart"/>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Each monthly period is the calendar month.</w:t>
      </w:r>
    </w:p>
    <w:p>
      <w:pPr>
        <w:spacing w:after="0" w:line="9" w:lineRule="exact"/>
        <w:rPr>
          <w:rFonts w:ascii="Times New Roman" w:cs="Times New Roman" w:eastAsia="Times New Roman" w:hAnsi="Times New Roman"/>
          <w:sz w:val="18"/>
          <w:szCs w:val="18"/>
          <w:i w:val="1"/>
          <w:iCs w:val="1"/>
          <w:color w:val="auto"/>
        </w:rPr>
      </w:pPr>
    </w:p>
    <w:p>
      <w:pPr>
        <w:jc w:val="both"/>
        <w:ind w:left="660" w:hanging="328"/>
        <w:spacing w:after="0" w:line="253" w:lineRule="auto"/>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April 2024, our board of directors authorized the purchase of an additional $10 million of our common stock. Through September 30, 2024, our board of directors had authorized the purchase of up to $113.2 million of our outstanding securities, under a program first announced in our annual report for the year 2002, filed on June 26, 2003. All purchases described in the table above were under the program announced in June 2003, which has no fixed expiration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2024, no director or officer adopted or terminated any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5"/>
              </w:rPr>
              <w:t>4.14</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Instruments defining the rights of holders of long-term debt of certain consolidated subsidiaries of the registrant are omitted pursuant to</w:t>
            </w:r>
          </w:p>
        </w:tc>
      </w:tr>
      <w:tr>
        <w:trPr>
          <w:trHeight w:val="216"/>
        </w:trPr>
        <w:tc>
          <w:tcPr>
            <w:tcW w:w="136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exclusion set forth in subdivisions (b)(iv)(iii)(A) and (b)(v) of Item 601 of Regulation S-K (17 CFR 229.601). The registrant agrees</w:t>
            </w:r>
          </w:p>
        </w:tc>
      </w:tr>
      <w:tr>
        <w:trPr>
          <w:trHeight w:val="216"/>
        </w:trPr>
        <w:tc>
          <w:tcPr>
            <w:tcW w:w="136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 provide copies of such instruments to the United States Securities and Exchange Commission upon request.</w:t>
            </w:r>
          </w:p>
        </w:tc>
      </w:tr>
      <w:tr>
        <w:trPr>
          <w:trHeight w:val="194"/>
        </w:trPr>
        <w:tc>
          <w:tcPr>
            <w:tcW w:w="1360" w:type="dxa"/>
            <w:vAlign w:val="bottom"/>
          </w:tcPr>
          <w:p>
            <w:pPr>
              <w:jc w:val="right"/>
              <w:ind w:right="950"/>
              <w:spacing w:after="0" w:line="194" w:lineRule="exact"/>
              <w:rPr>
                <w:sz w:val="20"/>
                <w:szCs w:val="20"/>
                <w:color w:val="auto"/>
              </w:rPr>
            </w:pPr>
            <w:r>
              <w:rPr>
                <w:rFonts w:ascii="Times New Roman" w:cs="Times New Roman" w:eastAsia="Times New Roman" w:hAnsi="Times New Roman"/>
                <w:sz w:val="18"/>
                <w:szCs w:val="18"/>
                <w:color w:val="auto"/>
                <w:w w:val="95"/>
              </w:rPr>
              <w:t>31.1</w:t>
            </w:r>
          </w:p>
        </w:tc>
        <w:tc>
          <w:tcPr>
            <w:tcW w:w="550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9"/>
              </w:rPr>
              <w:t>Rule 13a-14(a) Certification of the Chief Executive Officer of the registrant.</w:t>
            </w:r>
          </w:p>
        </w:tc>
        <w:tc>
          <w:tcPr>
            <w:tcW w:w="4380" w:type="dxa"/>
            <w:vAlign w:val="bottom"/>
          </w:tcPr>
          <w:p>
            <w:pPr>
              <w:spacing w:after="0"/>
              <w:rPr>
                <w:sz w:val="16"/>
                <w:szCs w:val="16"/>
                <w:color w:val="auto"/>
              </w:rPr>
            </w:pPr>
          </w:p>
        </w:tc>
      </w:tr>
      <w:tr>
        <w:trPr>
          <w:trHeight w:val="196"/>
        </w:trPr>
        <w:tc>
          <w:tcPr>
            <w:tcW w:w="1360" w:type="dxa"/>
            <w:vAlign w:val="bottom"/>
          </w:tcPr>
          <w:p>
            <w:pPr>
              <w:jc w:val="right"/>
              <w:ind w:right="950"/>
              <w:spacing w:after="0" w:line="196" w:lineRule="exact"/>
              <w:rPr>
                <w:sz w:val="20"/>
                <w:szCs w:val="20"/>
                <w:color w:val="auto"/>
              </w:rPr>
            </w:pPr>
            <w:r>
              <w:rPr>
                <w:rFonts w:ascii="Times New Roman" w:cs="Times New Roman" w:eastAsia="Times New Roman" w:hAnsi="Times New Roman"/>
                <w:sz w:val="18"/>
                <w:szCs w:val="18"/>
                <w:color w:val="auto"/>
                <w:w w:val="95"/>
              </w:rPr>
              <w:t>31.2</w:t>
            </w:r>
          </w:p>
        </w:tc>
        <w:tc>
          <w:tcPr>
            <w:tcW w:w="9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Rule 13a-14(a) Certification of the Chief Financial Officer of the registrant.</w:t>
            </w:r>
          </w:p>
        </w:tc>
      </w:tr>
      <w:tr>
        <w:trPr>
          <w:trHeight w:val="20"/>
        </w:trPr>
        <w:tc>
          <w:tcPr>
            <w:tcW w:w="1360" w:type="dxa"/>
            <w:vAlign w:val="bottom"/>
          </w:tcPr>
          <w:p>
            <w:pPr>
              <w:spacing w:after="0" w:line="20" w:lineRule="exact"/>
              <w:rPr>
                <w:sz w:val="1"/>
                <w:szCs w:val="1"/>
                <w:color w:val="auto"/>
              </w:rPr>
            </w:pPr>
          </w:p>
        </w:tc>
        <w:tc>
          <w:tcPr>
            <w:tcW w:w="5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bl>
    <w:p>
      <w:pPr>
        <w:spacing w:after="0" w:line="9" w:lineRule="exact"/>
        <w:rPr>
          <w:sz w:val="20"/>
          <w:szCs w:val="20"/>
          <w:color w:val="auto"/>
        </w:rPr>
      </w:pPr>
    </w:p>
    <w:p>
      <w:pPr>
        <w:ind w:left="1360" w:hanging="1352"/>
        <w:spacing w:after="0"/>
        <w:tabs>
          <w:tab w:leader="none" w:pos="1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1350 Certifications.</w:t>
      </w:r>
      <w:r>
        <w:rPr>
          <w:rFonts w:ascii="Times New Roman" w:cs="Times New Roman" w:eastAsia="Times New Roman" w:hAnsi="Times New Roman"/>
          <w:sz w:val="18"/>
          <w:szCs w:val="18"/>
          <w:color w:val="000000"/>
        </w:rPr>
        <w: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16"/>
        </w:trPr>
        <w:tc>
          <w:tcPr>
            <w:tcW w:w="1020" w:type="dxa"/>
            <w:vAlign w:val="bottom"/>
          </w:tcPr>
          <w:p>
            <w:pPr>
              <w:spacing w:after="0"/>
              <w:rPr>
                <w:sz w:val="18"/>
                <w:szCs w:val="18"/>
                <w:color w:val="auto"/>
              </w:rPr>
            </w:pP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360" w:hanging="1352"/>
        <w:spacing w:after="0"/>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included in exhibit 101).</w:t>
      </w:r>
    </w:p>
    <w:p>
      <w:pPr>
        <w:spacing w:after="0" w:line="206" w:lineRule="exact"/>
        <w:rPr>
          <w:rFonts w:ascii="Times New Roman" w:cs="Times New Roman" w:eastAsia="Times New Roman" w:hAnsi="Times New Roman"/>
          <w:sz w:val="18"/>
          <w:szCs w:val="18"/>
          <w:color w:val="auto"/>
        </w:rPr>
      </w:pPr>
    </w:p>
    <w:p>
      <w:pPr>
        <w:jc w:val="both"/>
        <w:ind w:firstLine="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duly caused this report to be signed on its behalf by the undersigned thereunto duly authorized.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CONSUMER PORTFOLIO SERVICES,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(Registrant)</w:t>
      </w:r>
    </w:p>
    <w:p>
      <w:pPr>
        <w:sectPr>
          <w:pgSz w:w="11900" w:h="16838" w:orient="portrait"/>
          <w:cols w:equalWidth="0" w:num="1">
            <w:col w:w="11240"/>
          </w:cols>
          <w:pgMar w:left="320" w:top="792"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2854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ectPr>
          <w:pgSz w:w="11900" w:h="16838" w:orient="portrait"/>
          <w:cols w:equalWidth="0" w:num="2">
            <w:col w:w="1960" w:space="300"/>
            <w:col w:w="8980"/>
          </w:cols>
          <w:pgMar w:left="320" w:top="792" w:right="33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November 7, 2024</w:t>
      </w:r>
    </w:p>
    <w:p>
      <w:pPr>
        <w:spacing w:after="0" w:line="242" w:lineRule="exact"/>
        <w:rPr>
          <w:sz w:val="20"/>
          <w:szCs w:val="20"/>
          <w:color w:val="auto"/>
        </w:rPr>
      </w:pPr>
    </w:p>
    <w:p>
      <w:pPr>
        <w:ind w:left="1700"/>
        <w:spacing w:after="0"/>
        <w:tabs>
          <w:tab w:leader="none" w:pos="2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2854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Denesh Bharwani</w:t>
      </w:r>
    </w:p>
    <w:p>
      <w:pPr>
        <w:spacing w:after="0" w:line="9" w:lineRule="exact"/>
        <w:rPr>
          <w:sz w:val="20"/>
          <w:szCs w:val="20"/>
          <w:color w:val="auto"/>
        </w:rPr>
      </w:pPr>
    </w:p>
    <w:p>
      <w:pPr>
        <w:jc w:val="right"/>
        <w:ind w:right="516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49" w:name="page50"/>
    <w:bookmarkEnd w:id="49"/>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2024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3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44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Jr. Chief Executive Officer</w:t>
      </w:r>
    </w:p>
    <w:p>
      <w:pPr>
        <w:sectPr>
          <w:pgSz w:w="11900" w:h="16838" w:orient="portrait"/>
          <w:cols w:equalWidth="0" w:num="1">
            <w:col w:w="11240"/>
          </w:cols>
          <w:pgMar w:left="320" w:top="117" w:right="339" w:bottom="1440" w:gutter="0" w:footer="0" w:header="0"/>
        </w:sectPr>
      </w:pPr>
    </w:p>
    <w:bookmarkStart w:id="50" w:name="page51"/>
    <w:bookmarkEnd w:id="50"/>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Denesh Bharwani,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2024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3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44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Denesh Bharwani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Consumer Portfolio Services, Inc. (the “Company”) for the quarterly period ended September 30, 2024, as filed with the Securities and Exchange Commission on the date hereof (the “Report”), Charles E. Bradley, Jr., as Chief Executive Officer of the Company, and Denesh Bharwani, as Chief Financial Officer of the Company, each hereby certifies, pursuant to 18 U.S.C. §1350, as adopted pursuant to §906 of the Sarbanes-Oxley Act of 2002, that:</w:t>
      </w:r>
    </w:p>
    <w:p>
      <w:pPr>
        <w:spacing w:after="0" w:line="180" w:lineRule="exact"/>
        <w:rPr>
          <w:sz w:val="20"/>
          <w:szCs w:val="20"/>
          <w:color w:val="auto"/>
        </w:rPr>
      </w:pPr>
    </w:p>
    <w:p>
      <w:pPr>
        <w:ind w:left="680" w:hanging="348"/>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20" w:firstLine="332"/>
        <w:spacing w:after="0" w:line="500" w:lineRule="auto"/>
        <w:tabs>
          <w:tab w:leader="none" w:pos="6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7, 2024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44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44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Denesh Bharwani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lowerRoman"/>
      <w:start w:val="3"/>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4"/>
    </w:lvl>
  </w:abstractNum>
  <w:abstractNum w:abstractNumId="8">
    <w:nsid w:val="519B500D"/>
    <w:multiLevelType w:val="hybridMultilevel"/>
    <w:lvl w:ilvl="0">
      <w:lvlJc w:val="left"/>
      <w:lvlText w:val="(%1)"/>
      <w:numFmt w:val="decimal"/>
      <w:start w:val="6"/>
    </w:lvl>
  </w:abstractNum>
  <w:abstractNum w:abstractNumId="9">
    <w:nsid w:val="431BD7B7"/>
    <w:multiLevelType w:val="hybridMultilevel"/>
    <w:lvl w:ilvl="0">
      <w:lvlJc w:val="left"/>
      <w:lvlText w:val="(%1)"/>
      <w:numFmt w:val="decimal"/>
      <w:start w:val="7"/>
    </w:lvl>
  </w:abstractNum>
  <w:abstractNum w:abstractNumId="10">
    <w:nsid w:val="3F2DBA31"/>
    <w:multiLevelType w:val="hybridMultilevel"/>
    <w:lvl w:ilvl="0">
      <w:lvlJc w:val="left"/>
      <w:lvlText w:val="(%1)"/>
      <w:numFmt w:val="decimal"/>
      <w:start w:val="8"/>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2"/>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32"/>
    </w:lvl>
  </w:abstractNum>
  <w:abstractNum w:abstractNumId="22">
    <w:nsid w:val="8EDBDAB"/>
    <w:multiLevelType w:val="hybridMultilevel"/>
    <w:lvl w:ilvl="0">
      <w:lvlJc w:val="left"/>
      <w:lvlText w:val="%1"/>
      <w:numFmt w:val="decimal"/>
      <w:start w:val="104"/>
    </w:lvl>
    <w:lvl w:ilvl="1">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2024-11-07T13:53:13Z</dcterms:created>
  <dcterms:modified xsi:type="dcterms:W3CDTF">2024-11-07T13:53:13Z</dcterms:modified>
</cp:coreProperties>
</file>