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3"/>
          <w:szCs w:val="13"/>
          <w:u w:val="single" w:color="auto"/>
          <w:color w:val="0000EE"/>
        </w:rPr>
      </w:pPr>
      <w:r>
        <w:rPr>
          <w:rFonts w:ascii="Arial" w:cs="Arial" w:eastAsia="Arial" w:hAnsi="Arial"/>
          <w:sz w:val="13"/>
          <w:szCs w:val="13"/>
          <w:u w:val="single" w:color="auto"/>
          <w:color w:val="0000EE"/>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hyperlink w:anchor="page2">
        <w:r>
          <w:rPr>
            <w:rFonts w:ascii="Arial" w:cs="Arial" w:eastAsia="Arial" w:hAnsi="Arial"/>
            <w:sz w:val="13"/>
            <w:szCs w:val="13"/>
            <w:u w:val="single" w:color="auto"/>
            <w:color w:val="0000EE"/>
          </w:rPr>
          <w:t>Table of Contents</w:t>
        </w:r>
      </w:hyperlink>
    </w:p>
    <w:p>
      <w:pPr>
        <w:jc w:val="center"/>
        <w:ind w:right="-19"/>
        <w:spacing w:after="0" w:line="235" w:lineRule="auto"/>
        <w:rPr>
          <w:sz w:val="20"/>
          <w:szCs w:val="20"/>
          <w:color w:val="auto"/>
        </w:rPr>
      </w:pPr>
      <w:r>
        <w:rPr>
          <w:rFonts w:ascii="Arial" w:cs="Arial" w:eastAsia="Arial" w:hAnsi="Arial"/>
          <w:sz w:val="22"/>
          <w:szCs w:val="22"/>
          <w:b w:val="1"/>
          <w:bCs w:val="1"/>
          <w:color w:val="auto"/>
        </w:rPr>
        <w:t>UNITED STATES 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4"/>
          <w:szCs w:val="24"/>
          <w:color w:val="auto"/>
        </w:rPr>
      </w:pPr>
    </w:p>
    <w:p>
      <w:pPr>
        <w:ind w:left="3900" w:right="1700" w:hanging="3892"/>
        <w:spacing w:after="0" w:line="501" w:lineRule="auto"/>
        <w:tabs>
          <w:tab w:leader="none" w:pos="574"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2019</w:t>
      </w:r>
    </w:p>
    <w:p>
      <w:pPr>
        <w:jc w:val="center"/>
        <w:ind w:right="-19"/>
        <w:spacing w:after="0"/>
        <w:rPr>
          <w:sz w:val="20"/>
          <w:szCs w:val="20"/>
          <w:color w:val="auto"/>
        </w:rPr>
      </w:pPr>
      <w:r>
        <w:rPr>
          <w:rFonts w:ascii="Arial" w:cs="Arial" w:eastAsia="Arial" w:hAnsi="Arial"/>
          <w:sz w:val="18"/>
          <w:szCs w:val="18"/>
          <w:b w:val="1"/>
          <w:bCs w:val="1"/>
          <w:color w:val="auto"/>
        </w:rPr>
        <w:t>Commission file number: 1-11416</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CONSUMER PORTFOLIO SERVICES, INC.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7" w:lineRule="exact"/>
        <w:rPr>
          <w:sz w:val="24"/>
          <w:szCs w:val="24"/>
          <w:color w:val="auto"/>
        </w:rPr>
      </w:pPr>
    </w:p>
    <w:tbl>
      <w:tblPr>
        <w:tblLayout w:type="fixed"/>
        <w:tblInd w:w="720" w:type="dxa"/>
        <w:tblCellMar>
          <w:top w:w="0" w:type="dxa"/>
          <w:left w:w="0" w:type="dxa"/>
          <w:bottom w:w="0" w:type="dxa"/>
          <w:right w:w="0" w:type="dxa"/>
        </w:tblCellMar>
      </w:tblPr>
      <w:tr>
        <w:trPr>
          <w:trHeight w:val="220"/>
        </w:trPr>
        <w:tc>
          <w:tcPr>
            <w:tcW w:w="5460" w:type="dxa"/>
            <w:vAlign w:val="bottom"/>
          </w:tcPr>
          <w:p>
            <w:pPr>
              <w:jc w:val="center"/>
              <w:ind w:right="1090"/>
              <w:spacing w:after="0"/>
              <w:rPr>
                <w:sz w:val="20"/>
                <w:szCs w:val="20"/>
                <w:color w:val="auto"/>
              </w:rPr>
            </w:pPr>
            <w:r>
              <w:rPr>
                <w:rFonts w:ascii="Arial" w:cs="Arial" w:eastAsia="Arial" w:hAnsi="Arial"/>
                <w:sz w:val="18"/>
                <w:szCs w:val="18"/>
                <w:b w:val="1"/>
                <w:bCs w:val="1"/>
                <w:color w:val="auto"/>
                <w:w w:val="96"/>
              </w:rPr>
              <w:t>California</w:t>
            </w:r>
          </w:p>
        </w:tc>
        <w:tc>
          <w:tcPr>
            <w:tcW w:w="3640" w:type="dxa"/>
            <w:vAlign w:val="bottom"/>
          </w:tcPr>
          <w:p>
            <w:pPr>
              <w:jc w:val="right"/>
              <w:ind w:right="730"/>
              <w:spacing w:after="0"/>
              <w:rPr>
                <w:sz w:val="20"/>
                <w:szCs w:val="20"/>
                <w:color w:val="auto"/>
              </w:rPr>
            </w:pPr>
            <w:r>
              <w:rPr>
                <w:rFonts w:ascii="Arial" w:cs="Arial" w:eastAsia="Arial" w:hAnsi="Arial"/>
                <w:sz w:val="18"/>
                <w:szCs w:val="18"/>
                <w:b w:val="1"/>
                <w:bCs w:val="1"/>
                <w:color w:val="auto"/>
              </w:rPr>
              <w:t>33-0459135</w:t>
            </w:r>
          </w:p>
        </w:tc>
      </w:tr>
      <w:tr>
        <w:trPr>
          <w:trHeight w:val="230"/>
        </w:trPr>
        <w:tc>
          <w:tcPr>
            <w:tcW w:w="5460" w:type="dxa"/>
            <w:vAlign w:val="bottom"/>
          </w:tcPr>
          <w:p>
            <w:pPr>
              <w:jc w:val="center"/>
              <w:ind w:right="107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640" w:type="dxa"/>
            <w:vAlign w:val="bottom"/>
          </w:tcPr>
          <w:p>
            <w:pPr>
              <w:jc w:val="center"/>
              <w:ind w:left="1070"/>
              <w:spacing w:after="0"/>
              <w:rPr>
                <w:sz w:val="20"/>
                <w:szCs w:val="20"/>
                <w:color w:val="auto"/>
              </w:rPr>
            </w:pPr>
            <w:r>
              <w:rPr>
                <w:rFonts w:ascii="Arial" w:cs="Arial" w:eastAsia="Arial" w:hAnsi="Arial"/>
                <w:sz w:val="18"/>
                <w:szCs w:val="18"/>
                <w:color w:val="auto"/>
                <w:w w:val="94"/>
              </w:rPr>
              <w:t>(IRS Employer Identification No.)</w:t>
            </w:r>
          </w:p>
        </w:tc>
      </w:tr>
      <w:tr>
        <w:trPr>
          <w:trHeight w:val="414"/>
        </w:trPr>
        <w:tc>
          <w:tcPr>
            <w:tcW w:w="5460" w:type="dxa"/>
            <w:vAlign w:val="bottom"/>
          </w:tcPr>
          <w:p>
            <w:pPr>
              <w:jc w:val="center"/>
              <w:ind w:right="1090"/>
              <w:spacing w:after="0"/>
              <w:rPr>
                <w:sz w:val="20"/>
                <w:szCs w:val="20"/>
                <w:color w:val="auto"/>
              </w:rPr>
            </w:pPr>
            <w:r>
              <w:rPr>
                <w:rFonts w:ascii="Arial" w:cs="Arial" w:eastAsia="Arial" w:hAnsi="Arial"/>
                <w:sz w:val="18"/>
                <w:szCs w:val="18"/>
                <w:b w:val="1"/>
                <w:bCs w:val="1"/>
                <w:color w:val="auto"/>
                <w:w w:val="91"/>
              </w:rPr>
              <w:t>3800 Howard Hughes Parkway, Suite 1400,</w:t>
            </w:r>
          </w:p>
        </w:tc>
        <w:tc>
          <w:tcPr>
            <w:tcW w:w="3640" w:type="dxa"/>
            <w:vAlign w:val="bottom"/>
          </w:tcPr>
          <w:p>
            <w:pPr>
              <w:jc w:val="right"/>
              <w:ind w:right="930"/>
              <w:spacing w:after="0"/>
              <w:rPr>
                <w:sz w:val="20"/>
                <w:szCs w:val="20"/>
                <w:color w:val="auto"/>
              </w:rPr>
            </w:pPr>
            <w:r>
              <w:rPr>
                <w:rFonts w:ascii="Arial" w:cs="Arial" w:eastAsia="Arial" w:hAnsi="Arial"/>
                <w:sz w:val="18"/>
                <w:szCs w:val="18"/>
                <w:b w:val="1"/>
                <w:bCs w:val="1"/>
                <w:color w:val="auto"/>
              </w:rPr>
              <w:t>89169</w:t>
            </w:r>
          </w:p>
        </w:tc>
      </w:tr>
      <w:tr>
        <w:trPr>
          <w:trHeight w:val="220"/>
        </w:trPr>
        <w:tc>
          <w:tcPr>
            <w:tcW w:w="5460" w:type="dxa"/>
            <w:vAlign w:val="bottom"/>
          </w:tcPr>
          <w:p>
            <w:pPr>
              <w:jc w:val="center"/>
              <w:ind w:right="1090"/>
              <w:spacing w:after="0"/>
              <w:rPr>
                <w:sz w:val="20"/>
                <w:szCs w:val="20"/>
                <w:color w:val="auto"/>
              </w:rPr>
            </w:pPr>
            <w:r>
              <w:rPr>
                <w:rFonts w:ascii="Arial" w:cs="Arial" w:eastAsia="Arial" w:hAnsi="Arial"/>
                <w:sz w:val="18"/>
                <w:szCs w:val="18"/>
                <w:b w:val="1"/>
                <w:bCs w:val="1"/>
                <w:color w:val="auto"/>
                <w:w w:val="88"/>
              </w:rPr>
              <w:t>Las Vegas, Nevada</w:t>
            </w:r>
          </w:p>
        </w:tc>
        <w:tc>
          <w:tcPr>
            <w:tcW w:w="3640" w:type="dxa"/>
            <w:vAlign w:val="bottom"/>
          </w:tcPr>
          <w:p>
            <w:pPr>
              <w:spacing w:after="0"/>
              <w:rPr>
                <w:sz w:val="19"/>
                <w:szCs w:val="19"/>
                <w:color w:val="auto"/>
              </w:rPr>
            </w:pPr>
          </w:p>
        </w:tc>
      </w:tr>
      <w:tr>
        <w:trPr>
          <w:trHeight w:val="230"/>
        </w:trPr>
        <w:tc>
          <w:tcPr>
            <w:tcW w:w="5460" w:type="dxa"/>
            <w:vAlign w:val="bottom"/>
          </w:tcPr>
          <w:p>
            <w:pPr>
              <w:jc w:val="center"/>
              <w:ind w:right="1070"/>
              <w:spacing w:after="0"/>
              <w:rPr>
                <w:sz w:val="20"/>
                <w:szCs w:val="20"/>
                <w:color w:val="auto"/>
              </w:rPr>
            </w:pPr>
            <w:r>
              <w:rPr>
                <w:rFonts w:ascii="Arial" w:cs="Arial" w:eastAsia="Arial" w:hAnsi="Arial"/>
                <w:sz w:val="18"/>
                <w:szCs w:val="18"/>
                <w:color w:val="auto"/>
                <w:w w:val="92"/>
              </w:rPr>
              <w:t>(Address of principal executive offices)</w:t>
            </w:r>
          </w:p>
        </w:tc>
        <w:tc>
          <w:tcPr>
            <w:tcW w:w="3640" w:type="dxa"/>
            <w:vAlign w:val="bottom"/>
          </w:tcPr>
          <w:p>
            <w:pPr>
              <w:jc w:val="center"/>
              <w:ind w:left="1050"/>
              <w:spacing w:after="0"/>
              <w:rPr>
                <w:sz w:val="20"/>
                <w:szCs w:val="20"/>
                <w:color w:val="auto"/>
              </w:rPr>
            </w:pPr>
            <w:r>
              <w:rPr>
                <w:rFonts w:ascii="Arial" w:cs="Arial" w:eastAsia="Arial" w:hAnsi="Arial"/>
                <w:sz w:val="18"/>
                <w:szCs w:val="18"/>
                <w:color w:val="auto"/>
                <w:w w:val="91"/>
              </w:rPr>
              <w:t>(Zip Code)</w:t>
            </w: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(949) 753-6800</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former address and former fiscal year, if changed since last report: N/A</w:t>
      </w:r>
    </w:p>
    <w:p>
      <w:pPr>
        <w:spacing w:after="0" w:line="225" w:lineRule="exact"/>
        <w:rPr>
          <w:sz w:val="24"/>
          <w:szCs w:val="24"/>
          <w:color w:val="auto"/>
        </w:rPr>
      </w:pPr>
    </w:p>
    <w:p>
      <w:pPr>
        <w:jc w:val="both"/>
        <w:ind w:right="20"/>
        <w:spacing w:after="0" w:line="264" w:lineRule="auto"/>
        <w:rPr>
          <w:sz w:val="20"/>
          <w:szCs w:val="20"/>
          <w:color w:val="auto"/>
        </w:rPr>
      </w:pPr>
      <w:r>
        <w:rPr>
          <w:rFonts w:ascii="Arial" w:cs="Arial" w:eastAsia="Arial" w:hAnsi="Arial"/>
          <w:sz w:val="18"/>
          <w:szCs w:val="18"/>
          <w:color w:val="auto"/>
        </w:rPr>
        <w:t>Indicate by check mark whether the registrant (1)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81" w:lineRule="exact"/>
        <w:rPr>
          <w:sz w:val="24"/>
          <w:szCs w:val="24"/>
          <w:color w:val="auto"/>
        </w:rPr>
      </w:pPr>
    </w:p>
    <w:p>
      <w:pPr>
        <w:spacing w:after="0"/>
        <w:rPr>
          <w:sz w:val="20"/>
          <w:szCs w:val="20"/>
          <w:color w:val="auto"/>
        </w:rPr>
      </w:pPr>
      <w:r>
        <w:rPr>
          <w:rFonts w:ascii="Arial" w:cs="Arial" w:eastAsia="Arial" w:hAnsi="Arial"/>
          <w:sz w:val="18"/>
          <w:szCs w:val="18"/>
          <w:color w:val="auto"/>
        </w:rPr>
        <w:t>Yes [X] No [_]</w:t>
      </w:r>
    </w:p>
    <w:p>
      <w:pPr>
        <w:spacing w:after="0" w:line="225" w:lineRule="exact"/>
        <w:rPr>
          <w:sz w:val="24"/>
          <w:szCs w:val="24"/>
          <w:color w:val="auto"/>
        </w:rPr>
      </w:pPr>
    </w:p>
    <w:p>
      <w:pPr>
        <w:jc w:val="both"/>
        <w:spacing w:after="0" w:line="342" w:lineRule="auto"/>
        <w:rPr>
          <w:sz w:val="20"/>
          <w:szCs w:val="20"/>
          <w:color w:val="auto"/>
        </w:rPr>
      </w:pPr>
      <w:r>
        <w:rPr>
          <w:rFonts w:ascii="Arial" w:cs="Arial" w:eastAsia="Arial" w:hAnsi="Arial"/>
          <w:sz w:val="16"/>
          <w:szCs w:val="16"/>
          <w:color w:val="auto"/>
        </w:rPr>
        <w:t>Indicate by check mark whether the registrant has submitted every Interactive Data File required to be submitted pursuant to Rule 405 of Regulation S-T (§232.405 of this chapter) during the preceding 12 months (or for such shorter period that the registrant was required to submit such files). Yes [X] No [ ]</w:t>
      </w:r>
    </w:p>
    <w:p>
      <w:pPr>
        <w:spacing w:after="0" w:line="124"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420"/>
          </w:cols>
          <w:pgMar w:left="240" w:top="351" w:right="239" w:bottom="1440" w:gutter="0" w:footer="0" w:header="0"/>
        </w:sectPr>
      </w:pPr>
    </w:p>
    <w:p>
      <w:pPr>
        <w:spacing w:after="0" w:line="181" w:lineRule="exact"/>
        <w:rPr>
          <w:sz w:val="24"/>
          <w:szCs w:val="24"/>
          <w:color w:val="auto"/>
        </w:rPr>
      </w:pPr>
    </w:p>
    <w:p>
      <w:pPr>
        <w:spacing w:after="0"/>
        <w:rPr>
          <w:sz w:val="20"/>
          <w:szCs w:val="20"/>
          <w:color w:val="auto"/>
        </w:rPr>
      </w:pPr>
      <w:r>
        <w:rPr>
          <w:rFonts w:ascii="Arial" w:cs="Arial" w:eastAsia="Arial" w:hAnsi="Arial"/>
          <w:sz w:val="17"/>
          <w:szCs w:val="17"/>
          <w:color w:val="auto"/>
        </w:rPr>
        <w:t>Large Accelerated Filer [ ]</w:t>
      </w:r>
    </w:p>
    <w:p>
      <w:pPr>
        <w:spacing w:after="0" w:line="35" w:lineRule="exact"/>
        <w:rPr>
          <w:sz w:val="24"/>
          <w:szCs w:val="24"/>
          <w:color w:val="auto"/>
        </w:rPr>
      </w:pPr>
    </w:p>
    <w:p>
      <w:pPr>
        <w:spacing w:after="0"/>
        <w:rPr>
          <w:sz w:val="20"/>
          <w:szCs w:val="20"/>
          <w:color w:val="auto"/>
        </w:rPr>
      </w:pPr>
      <w:r>
        <w:rPr>
          <w:rFonts w:ascii="Arial" w:cs="Arial" w:eastAsia="Arial" w:hAnsi="Arial"/>
          <w:sz w:val="18"/>
          <w:szCs w:val="18"/>
          <w:color w:val="auto"/>
        </w:rPr>
        <w:t>Non-Accelerated Filer [ ]</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 [X]</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[X]</w:t>
      </w:r>
    </w:p>
    <w:p>
      <w:pPr>
        <w:spacing w:after="0" w:line="31" w:lineRule="exact"/>
        <w:rPr>
          <w:sz w:val="24"/>
          <w:szCs w:val="24"/>
          <w:color w:val="auto"/>
        </w:rPr>
      </w:pPr>
    </w:p>
    <w:p>
      <w:pPr>
        <w:sectPr>
          <w:pgSz w:w="11900" w:h="16838" w:orient="portrait"/>
          <w:cols w:equalWidth="0" w:num="2">
            <w:col w:w="5000" w:space="720"/>
            <w:col w:w="5700"/>
          </w:cols>
          <w:pgMar w:left="240" w:top="351" w:right="239" w:bottom="1440" w:gutter="0" w:footer="0" w:header="0"/>
          <w:type w:val="continuous"/>
        </w:sectPr>
      </w:pPr>
    </w:p>
    <w:p>
      <w:pPr>
        <w:spacing w:after="0"/>
        <w:rPr>
          <w:sz w:val="20"/>
          <w:szCs w:val="20"/>
          <w:color w:val="auto"/>
        </w:rPr>
      </w:pPr>
      <w:r>
        <w:rPr>
          <w:rFonts w:ascii="Arial" w:cs="Arial" w:eastAsia="Arial" w:hAnsi="Arial"/>
          <w:sz w:val="16"/>
          <w:szCs w:val="16"/>
          <w:color w:val="auto"/>
        </w:rPr>
        <w:t>Emerging Growth Company [</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w:t>
      </w:r>
    </w:p>
    <w:p>
      <w:pPr>
        <w:spacing w:after="0" w:line="200" w:lineRule="exact"/>
        <w:rPr>
          <w:sz w:val="24"/>
          <w:szCs w:val="24"/>
          <w:color w:val="auto"/>
        </w:rPr>
      </w:pPr>
    </w:p>
    <w:p>
      <w:pPr>
        <w:sectPr>
          <w:pgSz w:w="11900" w:h="16838" w:orient="portrait"/>
          <w:cols w:equalWidth="0" w:num="2">
            <w:col w:w="2160" w:space="140"/>
            <w:col w:w="9120"/>
          </w:cols>
          <w:pgMar w:left="240" w:top="351" w:right="239" w:bottom="1440" w:gutter="0" w:footer="0" w:header="0"/>
          <w:type w:val="continuous"/>
        </w:sectPr>
      </w:pPr>
    </w:p>
    <w:p>
      <w:pPr>
        <w:spacing w:after="0" w:line="11"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[_]</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[_] No [X]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As of May 2, 2019 the registrant had 22,149,142 common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 TO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2019</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260" w:type="dxa"/>
            <w:vAlign w:val="bottom"/>
            <w:gridSpan w:val="8"/>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720" w:type="dxa"/>
            <w:vAlign w:val="bottom"/>
            <w:gridSpan w:val="2"/>
          </w:tcPr>
          <w:p>
            <w:pPr>
              <w:ind w:left="34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260" w:type="dxa"/>
            <w:vAlign w:val="bottom"/>
            <w:gridSpan w:val="8"/>
            <w:vMerge w:val="continue"/>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260" w:type="dxa"/>
            <w:vAlign w:val="bottom"/>
          </w:tcPr>
          <w:p>
            <w:pPr>
              <w:spacing w:after="0"/>
              <w:rPr>
                <w:sz w:val="20"/>
                <w:szCs w:val="20"/>
                <w:color w:val="auto"/>
              </w:rPr>
            </w:pPr>
            <w:r>
              <w:rPr>
                <w:rFonts w:ascii="Arial" w:cs="Arial" w:eastAsia="Arial" w:hAnsi="Arial"/>
                <w:sz w:val="18"/>
                <w:szCs w:val="18"/>
                <w:color w:val="auto"/>
              </w:rPr>
              <w:t>Item 1.</w:t>
            </w:r>
          </w:p>
        </w:tc>
        <w:tc>
          <w:tcPr>
            <w:tcW w:w="2920" w:type="dxa"/>
            <w:vAlign w:val="bottom"/>
            <w:gridSpan w:val="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3060" w:type="dxa"/>
            <w:vAlign w:val="bottom"/>
            <w:tcBorders>
              <w:top w:val="single" w:sz="8" w:color="0000EE"/>
            </w:tcBorders>
            <w:gridSpan w:val="2"/>
          </w:tcPr>
          <w:p>
            <w:pPr>
              <w:spacing w:after="0"/>
              <w:rPr>
                <w:sz w:val="24"/>
                <w:szCs w:val="24"/>
                <w:color w:val="auto"/>
              </w:rPr>
            </w:pPr>
          </w:p>
        </w:tc>
        <w:tc>
          <w:tcPr>
            <w:tcW w:w="3200" w:type="dxa"/>
            <w:vAlign w:val="bottom"/>
            <w:gridSpan w:val="6"/>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9180" w:type="dxa"/>
            <w:vAlign w:val="bottom"/>
            <w:gridSpan w:val="14"/>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Unaudited Condensed Consolidated Balance Sheets as of March 31, 2019 and December 31, 2018</w:t>
              </w:r>
            </w:hyperlink>
          </w:p>
        </w:tc>
        <w:tc>
          <w:tcPr>
            <w:tcW w:w="720" w:type="dxa"/>
            <w:vAlign w:val="bottom"/>
            <w:gridSpan w:val="2"/>
          </w:tcPr>
          <w:p>
            <w:pPr>
              <w:jc w:val="center"/>
              <w:ind w:left="250"/>
              <w:spacing w:after="0" w:line="196" w:lineRule="exact"/>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3020" w:type="dxa"/>
            <w:vAlign w:val="bottom"/>
            <w:gridSpan w:val="2"/>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886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Unaudited Condensed Consolidated Statements of Operations for the three-month periods ended March 31, 2019 and 2018</w:t>
              </w:r>
            </w:hyperlink>
          </w:p>
        </w:tc>
        <w:tc>
          <w:tcPr>
            <w:tcW w:w="320" w:type="dxa"/>
            <w:vAlign w:val="bottom"/>
            <w:gridSpan w:val="3"/>
          </w:tcPr>
          <w:p>
            <w:pPr>
              <w:spacing w:after="0"/>
              <w:rPr>
                <w:sz w:val="17"/>
                <w:szCs w:val="17"/>
                <w:color w:val="auto"/>
              </w:rPr>
            </w:pPr>
          </w:p>
        </w:tc>
        <w:tc>
          <w:tcPr>
            <w:tcW w:w="720" w:type="dxa"/>
            <w:vAlign w:val="bottom"/>
            <w:gridSpan w:val="2"/>
          </w:tcPr>
          <w:p>
            <w:pPr>
              <w:jc w:val="center"/>
              <w:ind w:left="250"/>
              <w:spacing w:after="0" w:line="196" w:lineRule="exact"/>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9180" w:type="dxa"/>
            <w:vAlign w:val="bottom"/>
            <w:gridSpan w:val="14"/>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Unaudited Condensed Consolidated Statements of Comprehensive Income for the three-month periods ended March 31, 2019</w:t>
              </w:r>
            </w:hyperlink>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88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and 2018</w:t>
              </w:r>
            </w:hyperlink>
          </w:p>
        </w:tc>
        <w:tc>
          <w:tcPr>
            <w:tcW w:w="120" w:type="dxa"/>
            <w:vAlign w:val="bottom"/>
          </w:tcPr>
          <w:p>
            <w:pPr>
              <w:spacing w:after="0"/>
              <w:rPr>
                <w:sz w:val="17"/>
                <w:szCs w:val="17"/>
                <w:color w:val="auto"/>
              </w:rPr>
            </w:pPr>
          </w:p>
        </w:tc>
        <w:tc>
          <w:tcPr>
            <w:tcW w:w="720" w:type="dxa"/>
            <w:vAlign w:val="bottom"/>
            <w:gridSpan w:val="2"/>
          </w:tcPr>
          <w:p>
            <w:pPr>
              <w:jc w:val="center"/>
              <w:ind w:left="250"/>
              <w:spacing w:after="0" w:line="196" w:lineRule="exact"/>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44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9180" w:type="dxa"/>
            <w:vAlign w:val="bottom"/>
            <w:gridSpan w:val="14"/>
          </w:tcPr>
          <w:p>
            <w:pPr>
              <w:spacing w:after="0" w:line="196" w:lineRule="exact"/>
              <w:rPr>
                <w:rFonts w:ascii="Arial" w:cs="Arial" w:eastAsia="Arial" w:hAnsi="Arial"/>
                <w:sz w:val="18"/>
                <w:szCs w:val="18"/>
                <w:color w:val="0000EE"/>
                <w:w w:val="92"/>
              </w:rPr>
            </w:pPr>
            <w:hyperlink w:anchor="page6">
              <w:r>
                <w:rPr>
                  <w:rFonts w:ascii="Arial" w:cs="Arial" w:eastAsia="Arial" w:hAnsi="Arial"/>
                  <w:sz w:val="18"/>
                  <w:szCs w:val="18"/>
                  <w:color w:val="0000EE"/>
                  <w:w w:val="92"/>
                </w:rPr>
                <w:t>Unaudited Condensed Consolidated Statements of Cash Flows for the three-month periods ended March 31, 2019 and 2018</w:t>
              </w:r>
            </w:hyperlink>
          </w:p>
        </w:tc>
        <w:tc>
          <w:tcPr>
            <w:tcW w:w="720" w:type="dxa"/>
            <w:vAlign w:val="bottom"/>
            <w:gridSpan w:val="2"/>
          </w:tcPr>
          <w:p>
            <w:pPr>
              <w:jc w:val="center"/>
              <w:ind w:left="250"/>
              <w:spacing w:after="0" w:line="196" w:lineRule="exact"/>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3020" w:type="dxa"/>
            <w:vAlign w:val="bottom"/>
            <w:gridSpan w:val="2"/>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2440" w:type="dxa"/>
            <w:vAlign w:val="bottom"/>
            <w:gridSpan w:val="3"/>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918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Unaudited Condensed Consolidated Statements of Shareholders’ Equity for the three-month periods ended March 31, 2019 and</w:t>
              </w:r>
            </w:hyperlink>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7">
              <w:r>
                <w:rPr>
                  <w:rFonts w:ascii="Arial" w:cs="Arial" w:eastAsia="Arial" w:hAnsi="Arial"/>
                  <w:sz w:val="18"/>
                  <w:szCs w:val="18"/>
                  <w:color w:val="0000EE"/>
                  <w:w w:val="84"/>
                </w:rPr>
                <w:t>2018</w:t>
              </w:r>
            </w:hyperlink>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center"/>
              <w:ind w:left="250"/>
              <w:spacing w:after="0" w:line="196" w:lineRule="exact"/>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480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8">
              <w:r>
                <w:rPr>
                  <w:rFonts w:ascii="Arial" w:cs="Arial" w:eastAsia="Arial" w:hAnsi="Arial"/>
                  <w:sz w:val="18"/>
                  <w:szCs w:val="18"/>
                  <w:color w:val="0000EE"/>
                  <w:w w:val="89"/>
                </w:rPr>
                <w:t>Notes to Unaudited Condensed Consolidated Financial Statements</w:t>
              </w:r>
            </w:hyperlink>
          </w:p>
        </w:tc>
        <w:tc>
          <w:tcPr>
            <w:tcW w:w="4380" w:type="dxa"/>
            <w:vAlign w:val="bottom"/>
            <w:gridSpan w:val="7"/>
          </w:tcPr>
          <w:p>
            <w:pPr>
              <w:spacing w:after="0"/>
              <w:rPr>
                <w:sz w:val="17"/>
                <w:szCs w:val="17"/>
                <w:color w:val="auto"/>
              </w:rPr>
            </w:pPr>
          </w:p>
        </w:tc>
        <w:tc>
          <w:tcPr>
            <w:tcW w:w="720" w:type="dxa"/>
            <w:vAlign w:val="bottom"/>
            <w:gridSpan w:val="2"/>
          </w:tcPr>
          <w:p>
            <w:pPr>
              <w:jc w:val="center"/>
              <w:ind w:left="250"/>
              <w:spacing w:after="0" w:line="196" w:lineRule="exact"/>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196"/>
        </w:trPr>
        <w:tc>
          <w:tcPr>
            <w:tcW w:w="126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9180" w:type="dxa"/>
            <w:vAlign w:val="bottom"/>
            <w:gridSpan w:val="14"/>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Management’s Discussion and Analysis of Financial Condition and Results of Operations</w:t>
              </w:r>
            </w:hyperlink>
          </w:p>
        </w:tc>
        <w:tc>
          <w:tcPr>
            <w:tcW w:w="720" w:type="dxa"/>
            <w:vAlign w:val="bottom"/>
            <w:gridSpan w:val="2"/>
          </w:tcPr>
          <w:p>
            <w:pPr>
              <w:jc w:val="center"/>
              <w:ind w:left="250"/>
              <w:spacing w:after="0" w:line="196" w:lineRule="exact"/>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196"/>
        </w:trPr>
        <w:tc>
          <w:tcPr>
            <w:tcW w:w="126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17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8"/>
              </w:rPr>
            </w:pPr>
            <w:hyperlink w:anchor="page32">
              <w:r>
                <w:rPr>
                  <w:rFonts w:ascii="Arial" w:cs="Arial" w:eastAsia="Arial" w:hAnsi="Arial"/>
                  <w:sz w:val="18"/>
                  <w:szCs w:val="18"/>
                  <w:color w:val="0000EE"/>
                  <w:w w:val="88"/>
                </w:rPr>
                <w:t>Controls and Procedures</w:t>
              </w:r>
            </w:hyperlink>
          </w:p>
        </w:tc>
        <w:tc>
          <w:tcPr>
            <w:tcW w:w="4680" w:type="dxa"/>
            <w:vAlign w:val="bottom"/>
            <w:tcBorders>
              <w:top w:val="single" w:sz="8" w:color="0000EE"/>
            </w:tcBorders>
            <w:gridSpan w:val="4"/>
          </w:tcPr>
          <w:p>
            <w:pPr>
              <w:spacing w:after="0"/>
              <w:rPr>
                <w:sz w:val="17"/>
                <w:szCs w:val="17"/>
                <w:color w:val="auto"/>
              </w:rPr>
            </w:pPr>
          </w:p>
        </w:tc>
        <w:tc>
          <w:tcPr>
            <w:tcW w:w="2720" w:type="dxa"/>
            <w:vAlign w:val="bottom"/>
            <w:gridSpan w:val="5"/>
          </w:tcPr>
          <w:p>
            <w:pPr>
              <w:spacing w:after="0"/>
              <w:rPr>
                <w:sz w:val="17"/>
                <w:szCs w:val="17"/>
                <w:color w:val="auto"/>
              </w:rPr>
            </w:pPr>
          </w:p>
        </w:tc>
        <w:tc>
          <w:tcPr>
            <w:tcW w:w="720" w:type="dxa"/>
            <w:vAlign w:val="bottom"/>
            <w:gridSpan w:val="2"/>
          </w:tcPr>
          <w:p>
            <w:pPr>
              <w:jc w:val="center"/>
              <w:ind w:left="250"/>
              <w:spacing w:after="0" w:line="196" w:lineRule="exact"/>
              <w:rPr>
                <w:sz w:val="20"/>
                <w:szCs w:val="20"/>
                <w:color w:val="auto"/>
              </w:rPr>
            </w:pPr>
            <w:r>
              <w:rPr>
                <w:rFonts w:ascii="Arial" w:cs="Arial" w:eastAsia="Arial" w:hAnsi="Arial"/>
                <w:sz w:val="18"/>
                <w:szCs w:val="18"/>
                <w:color w:val="auto"/>
                <w:w w:val="89"/>
              </w:rPr>
              <w:t>33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760" w:type="dxa"/>
            <w:vAlign w:val="bottom"/>
            <w:tcBorders>
              <w:bottom w:val="single" w:sz="8" w:color="0000EE"/>
            </w:tcBorders>
            <w:gridSpan w:val="2"/>
          </w:tcPr>
          <w:p>
            <w:pPr>
              <w:jc w:val="center"/>
              <w:spacing w:after="0"/>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PART II. OTHER INFORMATION</w:t>
              </w:r>
            </w:hyperlink>
          </w:p>
        </w:tc>
        <w:tc>
          <w:tcPr>
            <w:tcW w:w="4320" w:type="dxa"/>
            <w:vAlign w:val="bottom"/>
          </w:tcPr>
          <w:p>
            <w:pPr>
              <w:spacing w:after="0"/>
              <w:rPr>
                <w:sz w:val="17"/>
                <w:szCs w:val="17"/>
                <w:color w:val="auto"/>
              </w:rPr>
            </w:pPr>
          </w:p>
        </w:tc>
      </w:tr>
      <w:tr>
        <w:trPr>
          <w:trHeight w:val="412"/>
        </w:trPr>
        <w:tc>
          <w:tcPr>
            <w:tcW w:w="1260" w:type="dxa"/>
            <w:vAlign w:val="bottom"/>
          </w:tcPr>
          <w:p>
            <w:pPr>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EE"/>
            </w:tcBorders>
            <w:gridSpan w:val="4"/>
          </w:tcPr>
          <w:p>
            <w:pPr>
              <w:spacing w:after="0"/>
              <w:rPr>
                <w:rFonts w:ascii="Arial" w:cs="Arial" w:eastAsia="Arial" w:hAnsi="Arial"/>
                <w:sz w:val="18"/>
                <w:szCs w:val="18"/>
                <w:color w:val="0000EE"/>
                <w:w w:val="88"/>
              </w:rPr>
            </w:pPr>
            <w:hyperlink w:anchor="page33">
              <w:r>
                <w:rPr>
                  <w:rFonts w:ascii="Arial" w:cs="Arial" w:eastAsia="Arial" w:hAnsi="Arial"/>
                  <w:sz w:val="18"/>
                  <w:szCs w:val="18"/>
                  <w:color w:val="0000EE"/>
                  <w:w w:val="88"/>
                </w:rPr>
                <w:t>Legal Proceedings</w:t>
              </w:r>
            </w:hyperlink>
          </w:p>
        </w:tc>
        <w:tc>
          <w:tcPr>
            <w:tcW w:w="4500" w:type="dxa"/>
            <w:vAlign w:val="bottom"/>
            <w:gridSpan w:val="3"/>
          </w:tcPr>
          <w:p>
            <w:pPr>
              <w:spacing w:after="0"/>
              <w:rPr>
                <w:sz w:val="24"/>
                <w:szCs w:val="24"/>
                <w:color w:val="auto"/>
              </w:rPr>
            </w:pPr>
          </w:p>
        </w:tc>
        <w:tc>
          <w:tcPr>
            <w:tcW w:w="4320" w:type="dxa"/>
            <w:vAlign w:val="bottom"/>
          </w:tcPr>
          <w:p>
            <w:pPr>
              <w:jc w:val="right"/>
              <w:ind w:right="270"/>
              <w:spacing w:after="0"/>
              <w:rPr>
                <w:sz w:val="20"/>
                <w:szCs w:val="20"/>
                <w:color w:val="auto"/>
              </w:rPr>
            </w:pPr>
            <w:r>
              <w:rPr>
                <w:rFonts w:ascii="Arial" w:cs="Arial" w:eastAsia="Arial" w:hAnsi="Arial"/>
                <w:sz w:val="18"/>
                <w:szCs w:val="18"/>
                <w:color w:val="auto"/>
              </w:rPr>
              <w:t>34</w:t>
            </w:r>
          </w:p>
        </w:tc>
      </w:tr>
      <w:tr>
        <w:trPr>
          <w:trHeight w:val="196"/>
        </w:trPr>
        <w:tc>
          <w:tcPr>
            <w:tcW w:w="126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5840" w:type="dxa"/>
            <w:vAlign w:val="bottom"/>
            <w:gridSpan w:val="7"/>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Risk Factors</w:t>
              </w:r>
            </w:hyperlink>
          </w:p>
        </w:tc>
        <w:tc>
          <w:tcPr>
            <w:tcW w:w="432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34</w:t>
            </w:r>
          </w:p>
        </w:tc>
      </w:tr>
      <w:tr>
        <w:trPr>
          <w:trHeight w:val="20"/>
        </w:trPr>
        <w:tc>
          <w:tcPr>
            <w:tcW w:w="12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60" w:type="dxa"/>
            <w:vAlign w:val="bottom"/>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r>
      <w:tr>
        <w:trPr>
          <w:trHeight w:val="196"/>
        </w:trPr>
        <w:tc>
          <w:tcPr>
            <w:tcW w:w="126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34">
              <w:r>
                <w:rPr>
                  <w:rFonts w:ascii="Arial" w:cs="Arial" w:eastAsia="Arial" w:hAnsi="Arial"/>
                  <w:sz w:val="18"/>
                  <w:szCs w:val="18"/>
                  <w:color w:val="0000EE"/>
                  <w:w w:val="89"/>
                </w:rPr>
                <w:t>Unregistered Sales of Equity Securities and Use of Proceeds</w:t>
              </w:r>
            </w:hyperlink>
          </w:p>
        </w:tc>
        <w:tc>
          <w:tcPr>
            <w:tcW w:w="1480" w:type="dxa"/>
            <w:vAlign w:val="bottom"/>
          </w:tcPr>
          <w:p>
            <w:pPr>
              <w:spacing w:after="0"/>
              <w:rPr>
                <w:sz w:val="17"/>
                <w:szCs w:val="17"/>
                <w:color w:val="auto"/>
              </w:rPr>
            </w:pPr>
          </w:p>
        </w:tc>
        <w:tc>
          <w:tcPr>
            <w:tcW w:w="432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35</w:t>
            </w:r>
          </w:p>
        </w:tc>
      </w:tr>
      <w:tr>
        <w:trPr>
          <w:trHeight w:val="196"/>
        </w:trPr>
        <w:tc>
          <w:tcPr>
            <w:tcW w:w="126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5840" w:type="dxa"/>
            <w:vAlign w:val="bottom"/>
            <w:gridSpan w:val="7"/>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Exhibits</w:t>
              </w:r>
            </w:hyperlink>
          </w:p>
        </w:tc>
        <w:tc>
          <w:tcPr>
            <w:tcW w:w="432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36</w:t>
            </w:r>
          </w:p>
        </w:tc>
      </w:tr>
      <w:tr>
        <w:trPr>
          <w:trHeight w:val="20"/>
        </w:trPr>
        <w:tc>
          <w:tcPr>
            <w:tcW w:w="12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80" w:type="dxa"/>
            <w:vAlign w:val="bottom"/>
            <w:gridSpan w:val="5"/>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5840" w:type="dxa"/>
            <w:vAlign w:val="bottom"/>
            <w:gridSpan w:val="7"/>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Signatures</w:t>
              </w:r>
            </w:hyperlink>
          </w:p>
        </w:tc>
        <w:tc>
          <w:tcPr>
            <w:tcW w:w="432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37</w:t>
            </w:r>
          </w:p>
        </w:tc>
      </w:tr>
      <w:tr>
        <w:trPr>
          <w:trHeight w:val="1209"/>
        </w:trPr>
        <w:tc>
          <w:tcPr>
            <w:tcW w:w="1260" w:type="dxa"/>
            <w:vAlign w:val="bottom"/>
            <w:tcBorders>
              <w:bottom w:val="single" w:sz="8" w:color="auto"/>
            </w:tcBorders>
          </w:tcPr>
          <w:p>
            <w:pPr>
              <w:spacing w:after="0"/>
              <w:rPr>
                <w:sz w:val="24"/>
                <w:szCs w:val="24"/>
                <w:color w:val="auto"/>
              </w:rPr>
            </w:pPr>
          </w:p>
        </w:tc>
        <w:tc>
          <w:tcPr>
            <w:tcW w:w="760" w:type="dxa"/>
            <w:vAlign w:val="bottom"/>
            <w:tcBorders>
              <w:top w:val="single" w:sz="8" w:color="0000EE"/>
              <w:bottom w:val="single" w:sz="8" w:color="auto"/>
            </w:tcBorders>
            <w:gridSpan w:val="2"/>
          </w:tcPr>
          <w:p>
            <w:pPr>
              <w:spacing w:after="0"/>
              <w:rPr>
                <w:sz w:val="24"/>
                <w:szCs w:val="24"/>
                <w:color w:val="auto"/>
              </w:rPr>
            </w:pPr>
          </w:p>
        </w:tc>
        <w:tc>
          <w:tcPr>
            <w:tcW w:w="5080" w:type="dxa"/>
            <w:vAlign w:val="bottom"/>
            <w:tcBorders>
              <w:bottom w:val="single" w:sz="8" w:color="auto"/>
            </w:tcBorders>
            <w:gridSpan w:val="5"/>
          </w:tcPr>
          <w:p>
            <w:pPr>
              <w:jc w:val="right"/>
              <w:ind w:right="1340"/>
              <w:spacing w:after="0"/>
              <w:rPr>
                <w:sz w:val="20"/>
                <w:szCs w:val="20"/>
                <w:color w:val="auto"/>
              </w:rPr>
            </w:pPr>
            <w:r>
              <w:rPr>
                <w:rFonts w:ascii="Arial" w:cs="Arial" w:eastAsia="Arial" w:hAnsi="Arial"/>
                <w:sz w:val="18"/>
                <w:szCs w:val="18"/>
                <w:color w:val="auto"/>
              </w:rPr>
              <w:t>2</w:t>
            </w:r>
          </w:p>
        </w:tc>
        <w:tc>
          <w:tcPr>
            <w:tcW w:w="43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796"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March 31,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60" w:type="dxa"/>
            <w:vAlign w:val="bottom"/>
            <w:tcBorders>
              <w:bottom w:val="single" w:sz="8" w:color="EEEEEE"/>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bottom w:val="single" w:sz="8" w:color="EEEEEE"/>
            </w:tcBorders>
          </w:tcPr>
          <w:p>
            <w:pPr>
              <w:spacing w:after="0"/>
              <w:rPr>
                <w:sz w:val="20"/>
                <w:szCs w:val="20"/>
                <w:color w:val="auto"/>
              </w:rPr>
            </w:pPr>
          </w:p>
        </w:tc>
        <w:tc>
          <w:tcPr>
            <w:tcW w:w="160" w:type="dxa"/>
            <w:vAlign w:val="bottom"/>
            <w:tcBorders>
              <w:bottom w:val="single" w:sz="8" w:color="EEEEEE"/>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EEEEEE"/>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8,914</w:t>
            </w: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12,787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Restricted cash and equivalents</w:t>
            </w:r>
          </w:p>
        </w:tc>
        <w:tc>
          <w:tcPr>
            <w:tcW w:w="24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135,508</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117,323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Finance receivables</w:t>
            </w:r>
          </w:p>
        </w:tc>
        <w:tc>
          <w:tcPr>
            <w:tcW w:w="240" w:type="dxa"/>
            <w:vAlign w:val="bottom"/>
            <w:shd w:val="clear" w:color="auto" w:fill="EEEEEE"/>
          </w:tcPr>
          <w:p>
            <w:pPr>
              <w:spacing w:after="0"/>
              <w:rPr>
                <w:sz w:val="18"/>
                <w:szCs w:val="18"/>
                <w:color w:val="auto"/>
              </w:rPr>
            </w:pPr>
          </w:p>
        </w:tc>
        <w:tc>
          <w:tcPr>
            <w:tcW w:w="1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1,344,360</w:t>
            </w: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1,522,085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Less: Allowance for finance credit losses</w:t>
            </w:r>
          </w:p>
        </w:tc>
        <w:tc>
          <w:tcPr>
            <w:tcW w:w="240" w:type="dxa"/>
            <w:vAlign w:val="bottom"/>
          </w:tcPr>
          <w:p>
            <w:pPr>
              <w:spacing w:after="0"/>
              <w:rPr>
                <w:sz w:val="19"/>
                <w:szCs w:val="19"/>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(48,196)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(67,376)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Finance receivables, net</w:t>
            </w:r>
          </w:p>
        </w:tc>
        <w:tc>
          <w:tcPr>
            <w:tcW w:w="240" w:type="dxa"/>
            <w:vAlign w:val="bottom"/>
            <w:tcBorders>
              <w:top w:val="single" w:sz="8" w:color="auto"/>
            </w:tcBorders>
            <w:shd w:val="clear" w:color="auto" w:fill="EEEEEE"/>
          </w:tcPr>
          <w:p>
            <w:pPr>
              <w:spacing w:after="0"/>
              <w:rPr>
                <w:sz w:val="18"/>
                <w:szCs w:val="18"/>
                <w:color w:val="auto"/>
              </w:rPr>
            </w:pPr>
          </w:p>
        </w:tc>
        <w:tc>
          <w:tcPr>
            <w:tcW w:w="13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1,296,164</w:t>
            </w:r>
          </w:p>
        </w:tc>
        <w:tc>
          <w:tcPr>
            <w:tcW w:w="20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14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1,454,709</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Finance receivables measured at fair value</w:t>
            </w:r>
          </w:p>
        </w:tc>
        <w:tc>
          <w:tcPr>
            <w:tcW w:w="24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997,552</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821,066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Furniture and equipment, net</w:t>
            </w:r>
          </w:p>
        </w:tc>
        <w:tc>
          <w:tcPr>
            <w:tcW w:w="24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1,760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1,837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Deferred tax assets, net</w:t>
            </w:r>
          </w:p>
        </w:tc>
        <w:tc>
          <w:tcPr>
            <w:tcW w:w="24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18,281</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19,188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Accrued interest receivable</w:t>
            </w:r>
          </w:p>
        </w:tc>
        <w:tc>
          <w:tcPr>
            <w:tcW w:w="24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21,045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31,969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Other assets</w:t>
            </w:r>
          </w:p>
        </w:tc>
        <w:tc>
          <w:tcPr>
            <w:tcW w:w="240" w:type="dxa"/>
            <w:vAlign w:val="bottom"/>
            <w:shd w:val="clear" w:color="auto" w:fill="EEEEEE"/>
          </w:tcPr>
          <w:p>
            <w:pPr>
              <w:spacing w:after="0"/>
              <w:rPr>
                <w:sz w:val="19"/>
                <w:szCs w:val="19"/>
                <w:color w:val="auto"/>
              </w:rPr>
            </w:pPr>
          </w:p>
        </w:tc>
        <w:tc>
          <w:tcPr>
            <w:tcW w:w="15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52,021</w:t>
            </w:r>
          </w:p>
        </w:tc>
        <w:tc>
          <w:tcPr>
            <w:tcW w:w="16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26,801</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760" w:type="dxa"/>
            <w:vAlign w:val="bottom"/>
            <w:tcBorders>
              <w:bottom w:val="single" w:sz="8" w:color="EEEEEE"/>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2,531,245</w:t>
            </w:r>
          </w:p>
        </w:tc>
        <w:tc>
          <w:tcPr>
            <w:tcW w:w="200" w:type="dxa"/>
            <w:vAlign w:val="bottom"/>
            <w:tcBorders>
              <w:bottom w:val="single" w:sz="8" w:color="EEEEEE"/>
            </w:tcBorders>
          </w:tcPr>
          <w:p>
            <w:pPr>
              <w:spacing w:after="0"/>
              <w:rPr>
                <w:sz w:val="22"/>
                <w:szCs w:val="22"/>
                <w:color w:val="auto"/>
              </w:rPr>
            </w:pPr>
          </w:p>
        </w:tc>
        <w:tc>
          <w:tcPr>
            <w:tcW w:w="160" w:type="dxa"/>
            <w:vAlign w:val="bottom"/>
            <w:tcBorders>
              <w:bottom w:val="single" w:sz="8" w:color="EEEEEE"/>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2,485,680</w:t>
            </w:r>
          </w:p>
        </w:tc>
        <w:tc>
          <w:tcPr>
            <w:tcW w:w="100" w:type="dxa"/>
            <w:vAlign w:val="bottom"/>
            <w:tcBorders>
              <w:bottom w:val="single" w:sz="8" w:color="EEEEEE"/>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7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36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4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Liabilities</w:t>
            </w:r>
          </w:p>
        </w:tc>
        <w:tc>
          <w:tcPr>
            <w:tcW w:w="24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54,804</w:t>
            </w: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31,692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Warehouse lines of credit</w:t>
            </w:r>
          </w:p>
        </w:tc>
        <w:tc>
          <w:tcPr>
            <w:tcW w:w="24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117,104</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136,847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Residual interest financing</w:t>
            </w:r>
          </w:p>
        </w:tc>
        <w:tc>
          <w:tcPr>
            <w:tcW w:w="24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39,199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39,106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Securitization trust debt</w:t>
            </w:r>
          </w:p>
        </w:tc>
        <w:tc>
          <w:tcPr>
            <w:tcW w:w="240" w:type="dxa"/>
            <w:vAlign w:val="bottom"/>
            <w:shd w:val="clear" w:color="auto" w:fill="EEEEEE"/>
          </w:tcPr>
          <w:p>
            <w:pPr>
              <w:spacing w:after="0"/>
              <w:rPr>
                <w:sz w:val="18"/>
                <w:szCs w:val="18"/>
                <w:color w:val="auto"/>
              </w:rPr>
            </w:pPr>
          </w:p>
        </w:tc>
        <w:tc>
          <w:tcPr>
            <w:tcW w:w="1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2,109,024</w:t>
            </w: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2,063,627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Subordinated renewable notes</w:t>
            </w:r>
          </w:p>
        </w:tc>
        <w:tc>
          <w:tcPr>
            <w:tcW w:w="240" w:type="dxa"/>
            <w:vAlign w:val="bottom"/>
          </w:tcPr>
          <w:p>
            <w:pPr>
              <w:spacing w:after="0"/>
              <w:rPr>
                <w:sz w:val="19"/>
                <w:szCs w:val="19"/>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12,986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17,290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auto"/>
            </w:tcBorders>
            <w:shd w:val="clear" w:color="auto" w:fill="EEEEEE"/>
          </w:tcPr>
          <w:p>
            <w:pPr>
              <w:spacing w:after="0"/>
              <w:rPr>
                <w:sz w:val="18"/>
                <w:szCs w:val="18"/>
                <w:color w:val="auto"/>
              </w:rPr>
            </w:pPr>
          </w:p>
        </w:tc>
        <w:tc>
          <w:tcPr>
            <w:tcW w:w="13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2,333,117</w:t>
            </w:r>
          </w:p>
        </w:tc>
        <w:tc>
          <w:tcPr>
            <w:tcW w:w="20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14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2,288,562</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b w:val="1"/>
                <w:bCs w:val="1"/>
                <w:color w:val="auto"/>
              </w:rPr>
              <w:t>COMMITMENTS AND CONTINGENCIES</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Shareholders' Equity</w:t>
            </w:r>
          </w:p>
        </w:tc>
        <w:tc>
          <w:tcPr>
            <w:tcW w:w="24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Preferred stock, $1 par value; authorized 4,998,130 shares; none issued</w:t>
            </w:r>
          </w:p>
        </w:tc>
        <w:tc>
          <w:tcPr>
            <w:tcW w:w="24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Series A preferred stock, $1 par value; authorized 5,000,000 shares; none issued</w:t>
            </w:r>
          </w:p>
        </w:tc>
        <w:tc>
          <w:tcPr>
            <w:tcW w:w="24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Series B preferred stock, $1 par value; authorized 1,870 shares; none issued</w:t>
            </w:r>
          </w:p>
        </w:tc>
        <w:tc>
          <w:tcPr>
            <w:tcW w:w="24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6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w w:val="93"/>
              </w:rPr>
              <w:t>Common stock, no par value; authorized 75,000,000 shares; 22,134,142 and 22,421,688 shares issued</w:t>
            </w:r>
          </w:p>
        </w:tc>
        <w:tc>
          <w:tcPr>
            <w:tcW w:w="240" w:type="dxa"/>
            <w:vAlign w:val="bottom"/>
            <w:shd w:val="clear" w:color="auto" w:fill="EEEEEE"/>
          </w:tcPr>
          <w:p>
            <w:pPr>
              <w:spacing w:after="0"/>
              <w:rPr>
                <w:sz w:val="17"/>
                <w:szCs w:val="17"/>
                <w:color w:val="auto"/>
              </w:rPr>
            </w:pPr>
          </w:p>
        </w:tc>
        <w:tc>
          <w:tcPr>
            <w:tcW w:w="136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4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and outstanding at March 31, 2019 and December 31, 2018, respectively</w:t>
            </w:r>
          </w:p>
        </w:tc>
        <w:tc>
          <w:tcPr>
            <w:tcW w:w="240" w:type="dxa"/>
            <w:vAlign w:val="bottom"/>
            <w:shd w:val="clear" w:color="auto" w:fill="EEEEEE"/>
          </w:tcPr>
          <w:p>
            <w:pPr>
              <w:spacing w:after="0"/>
              <w:rPr>
                <w:sz w:val="20"/>
                <w:szCs w:val="20"/>
                <w:color w:val="auto"/>
              </w:rPr>
            </w:pPr>
          </w:p>
        </w:tc>
        <w:tc>
          <w:tcPr>
            <w:tcW w:w="15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69,544</w:t>
            </w:r>
          </w:p>
        </w:tc>
        <w:tc>
          <w:tcPr>
            <w:tcW w:w="16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70,273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Retained earnings</w:t>
            </w:r>
          </w:p>
        </w:tc>
        <w:tc>
          <w:tcPr>
            <w:tcW w:w="24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136,138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134,399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shd w:val="clear" w:color="auto" w:fill="EEEEEE"/>
          </w:tcPr>
          <w:p>
            <w:pPr>
              <w:spacing w:after="0"/>
              <w:rPr>
                <w:sz w:val="19"/>
                <w:szCs w:val="19"/>
                <w:color w:val="auto"/>
              </w:rPr>
            </w:pPr>
          </w:p>
        </w:tc>
        <w:tc>
          <w:tcPr>
            <w:tcW w:w="156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(7,554)</w:t>
            </w:r>
          </w:p>
        </w:tc>
        <w:tc>
          <w:tcPr>
            <w:tcW w:w="16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52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(7,554)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bottom w:val="single" w:sz="8" w:color="EEEEEE"/>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198,128</w:t>
            </w:r>
          </w:p>
        </w:tc>
        <w:tc>
          <w:tcPr>
            <w:tcW w:w="200" w:type="dxa"/>
            <w:vAlign w:val="bottom"/>
            <w:tcBorders>
              <w:bottom w:val="single" w:sz="8" w:color="EEEEEE"/>
            </w:tcBorders>
          </w:tcPr>
          <w:p>
            <w:pPr>
              <w:spacing w:after="0"/>
              <w:rPr>
                <w:sz w:val="18"/>
                <w:szCs w:val="18"/>
                <w:color w:val="auto"/>
              </w:rPr>
            </w:pPr>
          </w:p>
        </w:tc>
        <w:tc>
          <w:tcPr>
            <w:tcW w:w="160" w:type="dxa"/>
            <w:vAlign w:val="bottom"/>
            <w:tcBorders>
              <w:bottom w:val="single" w:sz="8" w:color="EEEEEE"/>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197,118</w:t>
            </w: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Borders>
              <w:bottom w:val="single" w:sz="8" w:color="EEEEEE"/>
            </w:tcBorders>
            <w:shd w:val="clear" w:color="auto" w:fill="EEEEEE"/>
          </w:tcPr>
          <w:p>
            <w:pPr>
              <w:spacing w:after="0"/>
              <w:rPr>
                <w:sz w:val="19"/>
                <w:szCs w:val="19"/>
                <w:color w:val="auto"/>
              </w:rPr>
            </w:pPr>
          </w:p>
        </w:tc>
        <w:tc>
          <w:tcPr>
            <w:tcW w:w="240" w:type="dxa"/>
            <w:vAlign w:val="bottom"/>
            <w:tcBorders>
              <w:bottom w:val="single" w:sz="8" w:color="auto"/>
            </w:tcBorders>
            <w:shd w:val="clear" w:color="auto" w:fill="EEEEEE"/>
          </w:tcPr>
          <w:p>
            <w:pPr>
              <w:jc w:val="right"/>
              <w:ind w:right="8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2,531,245</w:t>
            </w:r>
          </w:p>
        </w:tc>
        <w:tc>
          <w:tcPr>
            <w:tcW w:w="200" w:type="dxa"/>
            <w:vAlign w:val="bottom"/>
            <w:tcBorders>
              <w:bottom w:val="single" w:sz="8" w:color="EEEEEE"/>
            </w:tcBorders>
            <w:shd w:val="clear" w:color="auto" w:fill="EEEEEE"/>
          </w:tcPr>
          <w:p>
            <w:pPr>
              <w:spacing w:after="0"/>
              <w:rPr>
                <w:sz w:val="19"/>
                <w:szCs w:val="19"/>
                <w:color w:val="auto"/>
              </w:rPr>
            </w:pPr>
          </w:p>
        </w:tc>
        <w:tc>
          <w:tcPr>
            <w:tcW w:w="160" w:type="dxa"/>
            <w:vAlign w:val="bottom"/>
            <w:tcBorders>
              <w:bottom w:val="single" w:sz="8" w:color="EEEEEE"/>
            </w:tcBorders>
            <w:shd w:val="clear" w:color="auto" w:fill="EEEEEE"/>
          </w:tcPr>
          <w:p>
            <w:pPr>
              <w:spacing w:after="0"/>
              <w:rPr>
                <w:sz w:val="19"/>
                <w:szCs w:val="19"/>
                <w:color w:val="auto"/>
              </w:rPr>
            </w:pPr>
          </w:p>
        </w:tc>
        <w:tc>
          <w:tcPr>
            <w:tcW w:w="160" w:type="dxa"/>
            <w:vAlign w:val="bottom"/>
            <w:tcBorders>
              <w:bottom w:val="single" w:sz="8" w:color="auto"/>
            </w:tcBorders>
            <w:shd w:val="clear" w:color="auto" w:fill="EEEEEE"/>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2,485,680</w:t>
            </w:r>
          </w:p>
        </w:tc>
        <w:tc>
          <w:tcPr>
            <w:tcW w:w="100" w:type="dxa"/>
            <w:vAlign w:val="bottom"/>
            <w:tcBorders>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OPERATIONS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 thousands, except per share data)</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80" w:type="dxa"/>
            <w:vAlign w:val="bottom"/>
            <w:gridSpan w:val="6"/>
          </w:tcPr>
          <w:p>
            <w:pPr>
              <w:ind w:left="58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4"/>
          </w:tcPr>
          <w:p>
            <w:pPr>
              <w:jc w:val="right"/>
              <w:ind w:right="125"/>
              <w:spacing w:after="0"/>
              <w:rPr>
                <w:sz w:val="20"/>
                <w:szCs w:val="20"/>
                <w:color w:val="auto"/>
              </w:rPr>
            </w:pPr>
            <w:r>
              <w:rPr>
                <w:rFonts w:ascii="Arial" w:cs="Arial" w:eastAsia="Arial" w:hAnsi="Arial"/>
                <w:sz w:val="18"/>
                <w:szCs w:val="18"/>
                <w:b w:val="1"/>
                <w:bCs w:val="1"/>
                <w:color w:val="auto"/>
              </w:rPr>
              <w:t>March 31,</w:t>
            </w: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Revenues:</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78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Interest income</w:t>
            </w:r>
          </w:p>
        </w:tc>
        <w:tc>
          <w:tcPr>
            <w:tcW w:w="360" w:type="dxa"/>
            <w:vAlign w:val="bottom"/>
            <w:shd w:val="clear" w:color="auto" w:fill="EEEEEE"/>
          </w:tcPr>
          <w:p>
            <w:pPr>
              <w:jc w:val="right"/>
              <w:ind w:right="205"/>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85,845</w:t>
            </w:r>
          </w:p>
        </w:tc>
        <w:tc>
          <w:tcPr>
            <w:tcW w:w="580" w:type="dxa"/>
            <w:vAlign w:val="bottom"/>
            <w:gridSpan w:val="2"/>
            <w:shd w:val="clear" w:color="auto" w:fill="EEEEEE"/>
          </w:tcPr>
          <w:p>
            <w:pPr>
              <w:jc w:val="right"/>
              <w:ind w:right="245"/>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100,906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Other income</w:t>
            </w:r>
          </w:p>
        </w:tc>
        <w:tc>
          <w:tcPr>
            <w:tcW w:w="36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2,385</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2,657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top w:val="single" w:sz="8" w:color="EEEEEE"/>
            </w:tcBorders>
            <w:shd w:val="clear" w:color="auto" w:fill="EEEEEE"/>
          </w:tcPr>
          <w:p>
            <w:pPr>
              <w:spacing w:after="0"/>
              <w:rPr>
                <w:sz w:val="18"/>
                <w:szCs w:val="18"/>
                <w:color w:val="auto"/>
              </w:rPr>
            </w:pPr>
          </w:p>
        </w:tc>
        <w:tc>
          <w:tcPr>
            <w:tcW w:w="360" w:type="dxa"/>
            <w:vAlign w:val="bottom"/>
            <w:tcBorders>
              <w:top w:val="single" w:sz="8" w:color="auto"/>
              <w:bottom w:val="single" w:sz="8" w:color="auto"/>
            </w:tcBorders>
            <w:shd w:val="clear" w:color="auto" w:fill="EEEEEE"/>
          </w:tcPr>
          <w:p>
            <w:pPr>
              <w:spacing w:after="0"/>
              <w:rPr>
                <w:sz w:val="18"/>
                <w:szCs w:val="18"/>
                <w:color w:val="auto"/>
              </w:rPr>
            </w:pP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88,230</w:t>
            </w:r>
          </w:p>
        </w:tc>
        <w:tc>
          <w:tcPr>
            <w:tcW w:w="18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400" w:type="dxa"/>
            <w:vAlign w:val="bottom"/>
            <w:tcBorders>
              <w:top w:val="single" w:sz="8" w:color="auto"/>
              <w:bottom w:val="single" w:sz="8" w:color="auto"/>
            </w:tcBorders>
            <w:shd w:val="clear" w:color="auto" w:fill="EEEEEE"/>
          </w:tcPr>
          <w:p>
            <w:pPr>
              <w:spacing w:after="0"/>
              <w:rPr>
                <w:sz w:val="18"/>
                <w:szCs w:val="18"/>
                <w:color w:val="auto"/>
              </w:rPr>
            </w:pPr>
          </w:p>
        </w:tc>
        <w:tc>
          <w:tcPr>
            <w:tcW w:w="1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103,563</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Expenses:</w:t>
            </w: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Employee costs</w:t>
            </w:r>
          </w:p>
        </w:tc>
        <w:tc>
          <w:tcPr>
            <w:tcW w:w="36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19,073</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20,641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General and administrative</w:t>
            </w:r>
          </w:p>
        </w:tc>
        <w:tc>
          <w:tcPr>
            <w:tcW w:w="3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8,174</w:t>
            </w:r>
          </w:p>
        </w:tc>
        <w:tc>
          <w:tcPr>
            <w:tcW w:w="1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Interest</w:t>
            </w:r>
          </w:p>
        </w:tc>
        <w:tc>
          <w:tcPr>
            <w:tcW w:w="36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27,290</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24,062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Provision for credit losses</w:t>
            </w:r>
          </w:p>
        </w:tc>
        <w:tc>
          <w:tcPr>
            <w:tcW w:w="3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23,956</w:t>
            </w:r>
          </w:p>
        </w:tc>
        <w:tc>
          <w:tcPr>
            <w:tcW w:w="1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40,507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Marketing</w:t>
            </w:r>
          </w:p>
        </w:tc>
        <w:tc>
          <w:tcPr>
            <w:tcW w:w="36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4,836</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Occupancy</w:t>
            </w:r>
          </w:p>
        </w:tc>
        <w:tc>
          <w:tcPr>
            <w:tcW w:w="3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1,974</w:t>
            </w:r>
          </w:p>
        </w:tc>
        <w:tc>
          <w:tcPr>
            <w:tcW w:w="1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1,850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251</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top w:val="single" w:sz="8" w:color="EEEEEE"/>
            </w:tcBorders>
            <w:shd w:val="clear" w:color="auto" w:fill="EEEEEE"/>
          </w:tcPr>
          <w:p>
            <w:pPr>
              <w:spacing w:after="0"/>
              <w:rPr>
                <w:sz w:val="18"/>
                <w:szCs w:val="18"/>
                <w:color w:val="auto"/>
              </w:rPr>
            </w:pPr>
          </w:p>
        </w:tc>
        <w:tc>
          <w:tcPr>
            <w:tcW w:w="360" w:type="dxa"/>
            <w:vAlign w:val="bottom"/>
            <w:tcBorders>
              <w:top w:val="single" w:sz="8" w:color="auto"/>
              <w:bottom w:val="single" w:sz="8" w:color="auto"/>
            </w:tcBorders>
            <w:shd w:val="clear" w:color="auto" w:fill="EEEEEE"/>
          </w:tcPr>
          <w:p>
            <w:pPr>
              <w:spacing w:after="0"/>
              <w:rPr>
                <w:sz w:val="18"/>
                <w:szCs w:val="18"/>
                <w:color w:val="auto"/>
              </w:rPr>
            </w:pP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85,554</w:t>
            </w:r>
          </w:p>
        </w:tc>
        <w:tc>
          <w:tcPr>
            <w:tcW w:w="18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400" w:type="dxa"/>
            <w:vAlign w:val="bottom"/>
            <w:tcBorders>
              <w:top w:val="single" w:sz="8" w:color="auto"/>
              <w:bottom w:val="single" w:sz="8" w:color="auto"/>
            </w:tcBorders>
            <w:shd w:val="clear" w:color="auto" w:fill="EEEEEE"/>
          </w:tcPr>
          <w:p>
            <w:pPr>
              <w:spacing w:after="0"/>
              <w:rPr>
                <w:sz w:val="18"/>
                <w:szCs w:val="18"/>
                <w:color w:val="auto"/>
              </w:rPr>
            </w:pPr>
          </w:p>
        </w:tc>
        <w:tc>
          <w:tcPr>
            <w:tcW w:w="1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99,006</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Income before income tax expense</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2,676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Income tax expense</w:t>
            </w:r>
          </w:p>
        </w:tc>
        <w:tc>
          <w:tcPr>
            <w:tcW w:w="360" w:type="dxa"/>
            <w:vAlign w:val="bottom"/>
            <w:shd w:val="clear" w:color="auto" w:fill="EEEEEE"/>
          </w:tcPr>
          <w:p>
            <w:pPr>
              <w:spacing w:after="0"/>
              <w:rPr>
                <w:sz w:val="19"/>
                <w:szCs w:val="19"/>
                <w:color w:val="auto"/>
              </w:rPr>
            </w:pPr>
          </w:p>
        </w:tc>
        <w:tc>
          <w:tcPr>
            <w:tcW w:w="14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937</w:t>
            </w:r>
          </w:p>
        </w:tc>
        <w:tc>
          <w:tcPr>
            <w:tcW w:w="180" w:type="dxa"/>
            <w:vAlign w:val="bottom"/>
            <w:shd w:val="clear" w:color="auto" w:fill="EEEEEE"/>
          </w:tcPr>
          <w:p>
            <w:pPr>
              <w:spacing w:after="0"/>
              <w:rPr>
                <w:sz w:val="19"/>
                <w:szCs w:val="19"/>
                <w:color w:val="auto"/>
              </w:rPr>
            </w:pPr>
          </w:p>
        </w:tc>
        <w:tc>
          <w:tcPr>
            <w:tcW w:w="400" w:type="dxa"/>
            <w:vAlign w:val="bottom"/>
            <w:shd w:val="clear" w:color="auto" w:fill="EEEEEE"/>
          </w:tcPr>
          <w:p>
            <w:pPr>
              <w:spacing w:after="0"/>
              <w:rPr>
                <w:sz w:val="19"/>
                <w:szCs w:val="19"/>
                <w:color w:val="auto"/>
              </w:rPr>
            </w:pPr>
          </w:p>
        </w:tc>
        <w:tc>
          <w:tcPr>
            <w:tcW w:w="12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1,412</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76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Net income</w:t>
            </w: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1,739</w:t>
            </w:r>
          </w:p>
        </w:tc>
        <w:tc>
          <w:tcPr>
            <w:tcW w:w="180" w:type="dxa"/>
            <w:vAlign w:val="bottom"/>
            <w:tcBorders>
              <w:bottom w:val="single" w:sz="8" w:color="EEEEEE"/>
            </w:tcBorders>
          </w:tcPr>
          <w:p>
            <w:pPr>
              <w:spacing w:after="0"/>
              <w:rPr>
                <w:sz w:val="22"/>
                <w:szCs w:val="22"/>
                <w:color w:val="auto"/>
              </w:rPr>
            </w:pPr>
          </w:p>
        </w:tc>
        <w:tc>
          <w:tcPr>
            <w:tcW w:w="180" w:type="dxa"/>
            <w:vAlign w:val="bottom"/>
            <w:tcBorders>
              <w:bottom w:val="single" w:sz="8" w:color="EEEEEE"/>
            </w:tcBorders>
          </w:tcPr>
          <w:p>
            <w:pPr>
              <w:spacing w:after="0"/>
              <w:rPr>
                <w:sz w:val="22"/>
                <w:szCs w:val="22"/>
                <w:color w:val="auto"/>
              </w:rPr>
            </w:pPr>
          </w:p>
        </w:tc>
        <w:tc>
          <w:tcPr>
            <w:tcW w:w="400" w:type="dxa"/>
            <w:vAlign w:val="bottom"/>
            <w:tcBorders>
              <w:top w:val="single" w:sz="8" w:color="auto"/>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3,145</w:t>
            </w:r>
          </w:p>
        </w:tc>
        <w:tc>
          <w:tcPr>
            <w:tcW w:w="100" w:type="dxa"/>
            <w:vAlign w:val="bottom"/>
            <w:tcBorders>
              <w:bottom w:val="single" w:sz="8" w:color="EEEEEE"/>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76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11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Earnings per share:</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Basic</w:t>
            </w:r>
          </w:p>
        </w:tc>
        <w:tc>
          <w:tcPr>
            <w:tcW w:w="360" w:type="dxa"/>
            <w:vAlign w:val="bottom"/>
            <w:shd w:val="clear" w:color="auto" w:fill="EEEEEE"/>
          </w:tcPr>
          <w:p>
            <w:pPr>
              <w:jc w:val="right"/>
              <w:ind w:right="205"/>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0.08</w:t>
            </w:r>
          </w:p>
        </w:tc>
        <w:tc>
          <w:tcPr>
            <w:tcW w:w="580" w:type="dxa"/>
            <w:vAlign w:val="bottom"/>
            <w:gridSpan w:val="2"/>
            <w:shd w:val="clear" w:color="auto" w:fill="EEEEEE"/>
          </w:tcPr>
          <w:p>
            <w:pPr>
              <w:jc w:val="right"/>
              <w:ind w:right="245"/>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80"/>
              <w:spacing w:after="0"/>
              <w:rPr>
                <w:sz w:val="20"/>
                <w:szCs w:val="20"/>
                <w:color w:val="auto"/>
              </w:rPr>
            </w:pPr>
            <w:r>
              <w:rPr>
                <w:rFonts w:ascii="Arial" w:cs="Arial" w:eastAsia="Arial" w:hAnsi="Arial"/>
                <w:sz w:val="18"/>
                <w:szCs w:val="18"/>
                <w:color w:val="auto"/>
              </w:rPr>
              <w:t>Diluted</w:t>
            </w:r>
          </w:p>
        </w:tc>
        <w:tc>
          <w:tcPr>
            <w:tcW w:w="36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0.07</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Number of shares used in computing earnings per share:</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Basic</w:t>
            </w:r>
          </w:p>
        </w:tc>
        <w:tc>
          <w:tcPr>
            <w:tcW w:w="3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22,242</w:t>
            </w:r>
          </w:p>
        </w:tc>
        <w:tc>
          <w:tcPr>
            <w:tcW w:w="1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21,576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60" w:type="dxa"/>
            <w:vAlign w:val="bottom"/>
          </w:tcPr>
          <w:p>
            <w:pPr>
              <w:ind w:left="180"/>
              <w:spacing w:after="0"/>
              <w:rPr>
                <w:sz w:val="20"/>
                <w:szCs w:val="20"/>
                <w:color w:val="auto"/>
              </w:rPr>
            </w:pPr>
            <w:r>
              <w:rPr>
                <w:rFonts w:ascii="Arial" w:cs="Arial" w:eastAsia="Arial" w:hAnsi="Arial"/>
                <w:sz w:val="18"/>
                <w:szCs w:val="18"/>
                <w:color w:val="auto"/>
              </w:rPr>
              <w:t>Diluted</w:t>
            </w:r>
          </w:p>
        </w:tc>
        <w:tc>
          <w:tcPr>
            <w:tcW w:w="36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24,259</w:t>
            </w: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25,664</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4" w:name="page5"/>
    <w:bookmarkEnd w:id="4"/>
    <w:p>
      <w:pPr>
        <w:jc w:val="center"/>
        <w:ind w:left="260" w:right="1820"/>
        <w:spacing w:after="0" w:line="275" w:lineRule="auto"/>
        <w:rPr>
          <w:sz w:val="20"/>
          <w:szCs w:val="20"/>
          <w:color w:val="auto"/>
        </w:rPr>
      </w:pPr>
      <w:r>
        <w:rPr>
          <w:rFonts w:ascii="Arial" w:cs="Arial" w:eastAsia="Arial" w:hAnsi="Arial"/>
          <w:sz w:val="18"/>
          <w:szCs w:val="18"/>
          <w:b w:val="1"/>
          <w:bCs w:val="1"/>
          <w:color w:val="auto"/>
        </w:rPr>
        <w:t>CONSUMER PORTFOLIO SERVICES, INC. AND SUBSIDIARIES UNAUDITED CONDENSED CONSOLIDATED STATEMENTS OF COMPREHENSIVE INCOME (In thousands)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760" w:type="dxa"/>
            <w:vAlign w:val="bottom"/>
          </w:tcPr>
          <w:p>
            <w:pPr>
              <w:spacing w:after="0"/>
              <w:rPr>
                <w:sz w:val="19"/>
                <w:szCs w:val="19"/>
                <w:color w:val="auto"/>
              </w:rPr>
            </w:pPr>
          </w:p>
        </w:tc>
        <w:tc>
          <w:tcPr>
            <w:tcW w:w="3020" w:type="dxa"/>
            <w:vAlign w:val="bottom"/>
            <w:gridSpan w:val="5"/>
          </w:tcPr>
          <w:p>
            <w:pPr>
              <w:jc w:val="right"/>
              <w:ind w:right="390"/>
              <w:spacing w:after="0"/>
              <w:rPr>
                <w:sz w:val="20"/>
                <w:szCs w:val="20"/>
                <w:color w:val="auto"/>
              </w:rPr>
            </w:pPr>
            <w:r>
              <w:rPr>
                <w:rFonts w:ascii="Arial" w:cs="Arial" w:eastAsia="Arial" w:hAnsi="Arial"/>
                <w:sz w:val="18"/>
                <w:szCs w:val="18"/>
                <w:b w:val="1"/>
                <w:bCs w:val="1"/>
                <w:color w:val="auto"/>
              </w:rPr>
              <w:t>Three Months Ended</w:t>
            </w: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6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4"/>
          </w:tcPr>
          <w:p>
            <w:pPr>
              <w:jc w:val="right"/>
              <w:ind w:right="810"/>
              <w:spacing w:after="0"/>
              <w:rPr>
                <w:sz w:val="20"/>
                <w:szCs w:val="20"/>
                <w:color w:val="auto"/>
              </w:rPr>
            </w:pPr>
            <w:r>
              <w:rPr>
                <w:rFonts w:ascii="Arial" w:cs="Arial" w:eastAsia="Arial" w:hAnsi="Arial"/>
                <w:sz w:val="18"/>
                <w:szCs w:val="18"/>
                <w:b w:val="1"/>
                <w:bCs w:val="1"/>
                <w:color w:val="auto"/>
              </w:rPr>
              <w:t>March 31,</w:t>
            </w:r>
          </w:p>
        </w:tc>
        <w:tc>
          <w:tcPr>
            <w:tcW w:w="5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Pr>
          <w:p>
            <w:pPr>
              <w:spacing w:after="0"/>
              <w:rPr>
                <w:sz w:val="19"/>
                <w:szCs w:val="19"/>
                <w:color w:val="auto"/>
              </w:rPr>
            </w:pPr>
          </w:p>
        </w:tc>
        <w:tc>
          <w:tcPr>
            <w:tcW w:w="1080" w:type="dxa"/>
            <w:vAlign w:val="bottom"/>
          </w:tcPr>
          <w:p>
            <w:pPr>
              <w:jc w:val="right"/>
              <w:ind w:right="17"/>
              <w:spacing w:after="0"/>
              <w:rPr>
                <w:sz w:val="20"/>
                <w:szCs w:val="20"/>
                <w:color w:val="auto"/>
              </w:rPr>
            </w:pPr>
            <w:r>
              <w:rPr>
                <w:rFonts w:ascii="Arial" w:cs="Arial" w:eastAsia="Arial" w:hAnsi="Arial"/>
                <w:sz w:val="18"/>
                <w:szCs w:val="18"/>
                <w:b w:val="1"/>
                <w:bCs w:val="1"/>
                <w:color w:val="auto"/>
              </w:rPr>
              <w:t>2019</w:t>
            </w: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2018</w:t>
            </w: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Net income</w:t>
            </w:r>
          </w:p>
        </w:tc>
        <w:tc>
          <w:tcPr>
            <w:tcW w:w="1080" w:type="dxa"/>
            <w:vAlign w:val="bottom"/>
            <w:shd w:val="clear" w:color="auto" w:fill="EEEEEE"/>
          </w:tcPr>
          <w:p>
            <w:pPr>
              <w:jc w:val="right"/>
              <w:ind w:right="917"/>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1,739</w:t>
            </w:r>
          </w:p>
        </w:tc>
        <w:tc>
          <w:tcPr>
            <w:tcW w:w="1060" w:type="dxa"/>
            <w:vAlign w:val="bottom"/>
            <w:gridSpan w:val="2"/>
            <w:shd w:val="clear" w:color="auto" w:fill="EEEEEE"/>
          </w:tcPr>
          <w:p>
            <w:pPr>
              <w:jc w:val="right"/>
              <w:ind w:right="930"/>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3,145</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Other comprehensive income/(loss); change in funded status of pension plan</w:t>
            </w:r>
          </w:p>
        </w:tc>
        <w:tc>
          <w:tcPr>
            <w:tcW w:w="1080" w:type="dxa"/>
            <w:vAlign w:val="bottom"/>
            <w:shd w:val="clear" w:color="auto" w:fill="EEEEEE"/>
          </w:tcPr>
          <w:p>
            <w:pPr>
              <w:spacing w:after="0"/>
              <w:rPr>
                <w:sz w:val="19"/>
                <w:szCs w:val="19"/>
                <w:color w:val="auto"/>
              </w:rPr>
            </w:pPr>
          </w:p>
        </w:tc>
        <w:tc>
          <w:tcPr>
            <w:tcW w:w="8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w:t>
            </w:r>
          </w:p>
        </w:tc>
        <w:tc>
          <w:tcPr>
            <w:tcW w:w="20" w:type="dxa"/>
            <w:vAlign w:val="bottom"/>
            <w:shd w:val="clear" w:color="auto" w:fill="EEEEEE"/>
          </w:tcPr>
          <w:p>
            <w:pPr>
              <w:spacing w:after="0"/>
              <w:rPr>
                <w:sz w:val="19"/>
                <w:szCs w:val="19"/>
                <w:color w:val="auto"/>
              </w:rPr>
            </w:pPr>
          </w:p>
        </w:tc>
        <w:tc>
          <w:tcPr>
            <w:tcW w:w="1040" w:type="dxa"/>
            <w:vAlign w:val="bottom"/>
            <w:shd w:val="clear" w:color="auto" w:fill="EEEEEE"/>
          </w:tcPr>
          <w:p>
            <w:pPr>
              <w:spacing w:after="0"/>
              <w:rPr>
                <w:sz w:val="19"/>
                <w:szCs w:val="19"/>
                <w:color w:val="auto"/>
              </w:rPr>
            </w:pPr>
          </w:p>
        </w:tc>
        <w:tc>
          <w:tcPr>
            <w:tcW w:w="62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Comprehensive income</w:t>
            </w:r>
          </w:p>
        </w:tc>
        <w:tc>
          <w:tcPr>
            <w:tcW w:w="1080" w:type="dxa"/>
            <w:vAlign w:val="bottom"/>
            <w:tcBorders>
              <w:top w:val="single" w:sz="8" w:color="auto"/>
              <w:bottom w:val="single" w:sz="8" w:color="auto"/>
            </w:tcBorders>
          </w:tcPr>
          <w:p>
            <w:pPr>
              <w:jc w:val="right"/>
              <w:ind w:right="917"/>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1,739</w:t>
            </w:r>
          </w:p>
        </w:tc>
        <w:tc>
          <w:tcPr>
            <w:tcW w:w="3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930"/>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5" w:name="page6"/>
    <w:bookmarkEnd w:id="5"/>
    <w:p>
      <w:pPr>
        <w:jc w:val="center"/>
        <w:spacing w:after="0" w:line="266" w:lineRule="auto"/>
        <w:rPr>
          <w:sz w:val="20"/>
          <w:szCs w:val="20"/>
          <w:color w:val="auto"/>
        </w:rPr>
      </w:pPr>
      <w:r>
        <w:rPr>
          <w:rFonts w:ascii="Arial" w:cs="Arial" w:eastAsia="Arial" w:hAnsi="Arial"/>
          <w:sz w:val="18"/>
          <w:szCs w:val="18"/>
          <w:b w:val="1"/>
          <w:bCs w:val="1"/>
          <w:color w:val="auto"/>
        </w:rPr>
        <w:t>CONSUMER PORTFOLIO SERVICES, INC. AND SUBSIDIARIES UNAUDITED CONDENSED CONSOLIDATED STATEMENTS OF CASH FLOWS (In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80" w:type="dxa"/>
            <w:vAlign w:val="bottom"/>
            <w:gridSpan w:val="6"/>
          </w:tcPr>
          <w:p>
            <w:pPr>
              <w:jc w:val="right"/>
              <w:ind w:right="98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4"/>
          </w:tcPr>
          <w:p>
            <w:pPr>
              <w:jc w:val="right"/>
              <w:ind w:right="125"/>
              <w:spacing w:after="0"/>
              <w:rPr>
                <w:sz w:val="20"/>
                <w:szCs w:val="20"/>
                <w:color w:val="auto"/>
              </w:rPr>
            </w:pPr>
            <w:r>
              <w:rPr>
                <w:rFonts w:ascii="Arial" w:cs="Arial" w:eastAsia="Arial" w:hAnsi="Arial"/>
                <w:sz w:val="18"/>
                <w:szCs w:val="18"/>
                <w:b w:val="1"/>
                <w:bCs w:val="1"/>
                <w:color w:val="auto"/>
              </w:rPr>
              <w:t>March 31,</w:t>
            </w: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Borders>
              <w:bottom w:val="single" w:sz="8" w:color="EEEEEE"/>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bottom w:val="single" w:sz="8" w:color="EEEEEE"/>
            </w:tcBorders>
          </w:tcPr>
          <w:p>
            <w:pPr>
              <w:spacing w:after="0"/>
              <w:rPr>
                <w:sz w:val="19"/>
                <w:szCs w:val="19"/>
                <w:color w:val="auto"/>
              </w:rPr>
            </w:pPr>
          </w:p>
        </w:tc>
        <w:tc>
          <w:tcPr>
            <w:tcW w:w="160" w:type="dxa"/>
            <w:vAlign w:val="bottom"/>
            <w:tcBorders>
              <w:bottom w:val="single" w:sz="8" w:color="EEEEEE"/>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i w:val="1"/>
                <w:iCs w:val="1"/>
                <w:color w:val="auto"/>
              </w:rPr>
              <w:t>Cash flows from operating activities:</w:t>
            </w: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1,739</w:t>
            </w:r>
          </w:p>
        </w:tc>
        <w:tc>
          <w:tcPr>
            <w:tcW w:w="560" w:type="dxa"/>
            <w:vAlign w:val="bottom"/>
            <w:gridSpan w:val="2"/>
          </w:tcPr>
          <w:p>
            <w:pPr>
              <w:jc w:val="right"/>
              <w:ind w:right="245"/>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3,145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80"/>
              <w:spacing w:after="0"/>
              <w:rPr>
                <w:sz w:val="20"/>
                <w:szCs w:val="20"/>
                <w:color w:val="auto"/>
              </w:rPr>
            </w:pPr>
            <w:r>
              <w:rPr>
                <w:rFonts w:ascii="Arial" w:cs="Arial" w:eastAsia="Arial" w:hAnsi="Arial"/>
                <w:sz w:val="18"/>
                <w:szCs w:val="18"/>
                <w:color w:val="auto"/>
              </w:rPr>
              <w:t>Accretion of deferred acquisition fees and origination costs</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492</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Net interest income accretion on fair value receivables</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18,767</w:t>
            </w: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251</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Amortization of deferred financing costs</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2,045</w:t>
            </w: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80"/>
              <w:spacing w:after="0"/>
              <w:rPr>
                <w:sz w:val="20"/>
                <w:szCs w:val="20"/>
                <w:color w:val="auto"/>
              </w:rPr>
            </w:pPr>
            <w:r>
              <w:rPr>
                <w:rFonts w:ascii="Arial" w:cs="Arial" w:eastAsia="Arial" w:hAnsi="Arial"/>
                <w:sz w:val="18"/>
                <w:szCs w:val="18"/>
                <w:color w:val="auto"/>
              </w:rPr>
              <w:t>Provision for credit losses</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23,956</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40,507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Stock-based compensation expense</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638</w:t>
            </w: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80"/>
              <w:spacing w:after="0"/>
              <w:rPr>
                <w:sz w:val="20"/>
                <w:szCs w:val="20"/>
                <w:color w:val="auto"/>
              </w:rPr>
            </w:pPr>
            <w:r>
              <w:rPr>
                <w:rFonts w:ascii="Arial" w:cs="Arial" w:eastAsia="Arial" w:hAnsi="Arial"/>
                <w:sz w:val="18"/>
                <w:szCs w:val="18"/>
                <w:color w:val="auto"/>
              </w:rPr>
              <w:t>Changes in assets and liabilities:</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380"/>
              <w:spacing w:after="0"/>
              <w:rPr>
                <w:sz w:val="20"/>
                <w:szCs w:val="20"/>
                <w:color w:val="auto"/>
              </w:rPr>
            </w:pPr>
            <w:r>
              <w:rPr>
                <w:rFonts w:ascii="Arial" w:cs="Arial" w:eastAsia="Arial" w:hAnsi="Arial"/>
                <w:sz w:val="18"/>
                <w:szCs w:val="18"/>
                <w:color w:val="auto"/>
              </w:rPr>
              <w:t>Accrued interest receivable</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10,924</w:t>
            </w: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7,676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380"/>
              <w:spacing w:after="0"/>
              <w:rPr>
                <w:sz w:val="20"/>
                <w:szCs w:val="20"/>
                <w:color w:val="auto"/>
              </w:rPr>
            </w:pPr>
            <w:r>
              <w:rPr>
                <w:rFonts w:ascii="Arial" w:cs="Arial" w:eastAsia="Arial" w:hAnsi="Arial"/>
                <w:sz w:val="18"/>
                <w:szCs w:val="18"/>
                <w:color w:val="auto"/>
              </w:rPr>
              <w:t>Deferred tax assets, net</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907</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380"/>
              <w:spacing w:after="0"/>
              <w:rPr>
                <w:sz w:val="20"/>
                <w:szCs w:val="20"/>
                <w:color w:val="auto"/>
              </w:rPr>
            </w:pPr>
            <w:r>
              <w:rPr>
                <w:rFonts w:ascii="Arial" w:cs="Arial" w:eastAsia="Arial" w:hAnsi="Arial"/>
                <w:sz w:val="18"/>
                <w:szCs w:val="18"/>
                <w:color w:val="auto"/>
              </w:rPr>
              <w:t>Other assets</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(2,458)</w:t>
            </w: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2,461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Pr>
          <w:p>
            <w:pPr>
              <w:ind w:left="380"/>
              <w:spacing w:after="0"/>
              <w:rPr>
                <w:sz w:val="20"/>
                <w:szCs w:val="20"/>
                <w:color w:val="auto"/>
              </w:rPr>
            </w:pPr>
            <w:r>
              <w:rPr>
                <w:rFonts w:ascii="Arial" w:cs="Arial" w:eastAsia="Arial" w:hAnsi="Arial"/>
                <w:sz w:val="18"/>
                <w:szCs w:val="18"/>
                <w:color w:val="auto"/>
              </w:rPr>
              <w:t>Accounts payable and accrued expenses</w:t>
            </w:r>
          </w:p>
        </w:tc>
        <w:tc>
          <w:tcPr>
            <w:tcW w:w="36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1,243</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4,854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top w:val="single" w:sz="8" w:color="EEEEEE"/>
            </w:tcBorders>
            <w:shd w:val="clear" w:color="auto" w:fill="EEEEEE"/>
          </w:tcPr>
          <w:p>
            <w:pPr>
              <w:ind w:left="58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top w:val="single" w:sz="8" w:color="auto"/>
              <w:bottom w:val="single" w:sz="8" w:color="auto"/>
            </w:tcBorders>
            <w:shd w:val="clear" w:color="auto" w:fill="EEEEEE"/>
          </w:tcPr>
          <w:p>
            <w:pPr>
              <w:spacing w:after="0"/>
              <w:rPr>
                <w:sz w:val="18"/>
                <w:szCs w:val="18"/>
                <w:color w:val="auto"/>
              </w:rPr>
            </w:pP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58,504</w:t>
            </w:r>
          </w:p>
        </w:tc>
        <w:tc>
          <w:tcPr>
            <w:tcW w:w="20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400" w:type="dxa"/>
            <w:vAlign w:val="bottom"/>
            <w:tcBorders>
              <w:top w:val="single" w:sz="8" w:color="auto"/>
              <w:bottom w:val="single" w:sz="8" w:color="auto"/>
            </w:tcBorders>
            <w:shd w:val="clear" w:color="auto" w:fill="EEEEEE"/>
          </w:tcPr>
          <w:p>
            <w:pPr>
              <w:spacing w:after="0"/>
              <w:rPr>
                <w:sz w:val="18"/>
                <w:szCs w:val="18"/>
                <w:color w:val="auto"/>
              </w:rPr>
            </w:pPr>
          </w:p>
        </w:tc>
        <w:tc>
          <w:tcPr>
            <w:tcW w:w="1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63,198</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i w:val="1"/>
                <w:iCs w:val="1"/>
                <w:color w:val="auto"/>
              </w:rPr>
              <w:t>Cash flows from investing activities:</w:t>
            </w: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80"/>
              <w:spacing w:after="0"/>
              <w:rPr>
                <w:sz w:val="20"/>
                <w:szCs w:val="20"/>
                <w:color w:val="auto"/>
              </w:rPr>
            </w:pPr>
            <w:r>
              <w:rPr>
                <w:rFonts w:ascii="Arial" w:cs="Arial" w:eastAsia="Arial" w:hAnsi="Arial"/>
                <w:sz w:val="18"/>
                <w:szCs w:val="18"/>
                <w:color w:val="auto"/>
              </w:rPr>
              <w:t>Purchases of finance receivables held for investment</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Payments received on finance receivables held for investment</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134,097</w:t>
            </w: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163,531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80"/>
              <w:spacing w:after="0"/>
              <w:rPr>
                <w:sz w:val="20"/>
                <w:szCs w:val="20"/>
                <w:color w:val="auto"/>
              </w:rPr>
            </w:pPr>
            <w:r>
              <w:rPr>
                <w:rFonts w:ascii="Arial" w:cs="Arial" w:eastAsia="Arial" w:hAnsi="Arial"/>
                <w:sz w:val="18"/>
                <w:szCs w:val="18"/>
                <w:color w:val="auto"/>
              </w:rPr>
              <w:t>Purchases of finance receivables measured at fair value</w:t>
            </w:r>
          </w:p>
        </w:tc>
        <w:tc>
          <w:tcPr>
            <w:tcW w:w="3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(244,753)</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(212,610)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Payments received on finance receivables at fair value</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49,500</w:t>
            </w: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80"/>
              <w:spacing w:after="0"/>
              <w:rPr>
                <w:sz w:val="20"/>
                <w:szCs w:val="20"/>
                <w:color w:val="auto"/>
              </w:rPr>
            </w:pPr>
            <w:r>
              <w:rPr>
                <w:rFonts w:ascii="Arial" w:cs="Arial" w:eastAsia="Arial" w:hAnsi="Arial"/>
                <w:sz w:val="18"/>
                <w:szCs w:val="18"/>
                <w:color w:val="auto"/>
              </w:rPr>
              <w:t>Change in repossessions held in inventory</w:t>
            </w:r>
          </w:p>
        </w:tc>
        <w:tc>
          <w:tcPr>
            <w:tcW w:w="3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(893)</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(1,764)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Purchase of furniture and equipment</w:t>
            </w:r>
          </w:p>
        </w:tc>
        <w:tc>
          <w:tcPr>
            <w:tcW w:w="360" w:type="dxa"/>
            <w:vAlign w:val="bottom"/>
            <w:shd w:val="clear" w:color="auto" w:fill="EEEEEE"/>
          </w:tcPr>
          <w:p>
            <w:pPr>
              <w:spacing w:after="0"/>
              <w:rPr>
                <w:sz w:val="19"/>
                <w:szCs w:val="19"/>
                <w:color w:val="auto"/>
              </w:rPr>
            </w:pPr>
          </w:p>
        </w:tc>
        <w:tc>
          <w:tcPr>
            <w:tcW w:w="14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(174)</w:t>
            </w:r>
          </w:p>
        </w:tc>
        <w:tc>
          <w:tcPr>
            <w:tcW w:w="160" w:type="dxa"/>
            <w:vAlign w:val="bottom"/>
            <w:shd w:val="clear" w:color="auto" w:fill="EEEEEE"/>
          </w:tcPr>
          <w:p>
            <w:pPr>
              <w:spacing w:after="0"/>
              <w:rPr>
                <w:sz w:val="19"/>
                <w:szCs w:val="19"/>
                <w:color w:val="auto"/>
              </w:rPr>
            </w:pPr>
          </w:p>
        </w:tc>
        <w:tc>
          <w:tcPr>
            <w:tcW w:w="400" w:type="dxa"/>
            <w:vAlign w:val="bottom"/>
            <w:shd w:val="clear" w:color="auto" w:fill="EEEEEE"/>
          </w:tcPr>
          <w:p>
            <w:pPr>
              <w:spacing w:after="0"/>
              <w:rPr>
                <w:sz w:val="19"/>
                <w:szCs w:val="19"/>
                <w:color w:val="auto"/>
              </w:rPr>
            </w:pPr>
          </w:p>
        </w:tc>
        <w:tc>
          <w:tcPr>
            <w:tcW w:w="12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bottom w:val="single" w:sz="8" w:color="EEEEEE"/>
            </w:tcBorders>
          </w:tcPr>
          <w:p>
            <w:pPr>
              <w:ind w:left="58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(62,223</w:t>
            </w:r>
          </w:p>
        </w:tc>
        <w:tc>
          <w:tcPr>
            <w:tcW w:w="200" w:type="dxa"/>
            <w:vAlign w:val="bottom"/>
            <w:tcBorders>
              <w:bottom w:val="single" w:sz="8" w:color="EEEEEE"/>
            </w:tcBorders>
          </w:tcPr>
          <w:p>
            <w:pPr>
              <w:jc w:val="right"/>
              <w:ind w:right="60"/>
              <w:spacing w:after="0"/>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EEEEEE"/>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(48,338</w:t>
            </w:r>
          </w:p>
        </w:tc>
        <w:tc>
          <w:tcPr>
            <w:tcW w:w="100" w:type="dxa"/>
            <w:vAlign w:val="bottom"/>
            <w:tcBorders>
              <w:bottom w:val="single" w:sz="8" w:color="EEEEEE"/>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i w:val="1"/>
                <w:iCs w:val="1"/>
                <w:color w:val="auto"/>
              </w:rPr>
              <w:t>Cash flows from financing activities:</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Proceeds from issuance of securitization trust debt</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254,400</w:t>
            </w: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190,000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80"/>
              <w:spacing w:after="0"/>
              <w:rPr>
                <w:sz w:val="20"/>
                <w:szCs w:val="20"/>
                <w:color w:val="auto"/>
              </w:rPr>
            </w:pPr>
            <w:r>
              <w:rPr>
                <w:rFonts w:ascii="Arial" w:cs="Arial" w:eastAsia="Arial" w:hAnsi="Arial"/>
                <w:sz w:val="18"/>
                <w:szCs w:val="18"/>
                <w:color w:val="auto"/>
              </w:rPr>
              <w:t>Proceeds from issuance of subordinated renewable notes</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397</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Payments on subordinated renewable notes</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(4,701)</w:t>
            </w: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80"/>
              <w:spacing w:after="0"/>
              <w:rPr>
                <w:sz w:val="20"/>
                <w:szCs w:val="20"/>
                <w:color w:val="auto"/>
              </w:rPr>
            </w:pPr>
            <w:r>
              <w:rPr>
                <w:rFonts w:ascii="Arial" w:cs="Arial" w:eastAsia="Arial" w:hAnsi="Arial"/>
                <w:sz w:val="18"/>
                <w:szCs w:val="18"/>
                <w:color w:val="auto"/>
              </w:rPr>
              <w:t>Net advances of warehouse lines of credit</w:t>
            </w:r>
          </w:p>
        </w:tc>
        <w:tc>
          <w:tcPr>
            <w:tcW w:w="3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(19,092)</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8,880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Repayment of securitization trust debt</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(208,798)</w:t>
            </w: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(193,560)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80"/>
              <w:spacing w:after="0"/>
              <w:rPr>
                <w:sz w:val="20"/>
                <w:szCs w:val="20"/>
                <w:color w:val="auto"/>
              </w:rPr>
            </w:pPr>
            <w:r>
              <w:rPr>
                <w:rFonts w:ascii="Arial" w:cs="Arial" w:eastAsia="Arial" w:hAnsi="Arial"/>
                <w:sz w:val="18"/>
                <w:szCs w:val="18"/>
                <w:color w:val="auto"/>
              </w:rPr>
              <w:t>Payment of financing costs</w:t>
            </w:r>
          </w:p>
        </w:tc>
        <w:tc>
          <w:tcPr>
            <w:tcW w:w="3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(2,808)</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Purchase of common stock</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(1,440)</w:t>
            </w: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(1,419)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Pr>
          <w:p>
            <w:pPr>
              <w:ind w:left="180"/>
              <w:spacing w:after="0"/>
              <w:rPr>
                <w:sz w:val="20"/>
                <w:szCs w:val="20"/>
                <w:color w:val="auto"/>
              </w:rPr>
            </w:pPr>
            <w:r>
              <w:rPr>
                <w:rFonts w:ascii="Arial" w:cs="Arial" w:eastAsia="Arial" w:hAnsi="Arial"/>
                <w:sz w:val="18"/>
                <w:szCs w:val="18"/>
                <w:color w:val="auto"/>
              </w:rPr>
              <w:t>Exercise of options and warrants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73</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top w:val="single" w:sz="8" w:color="EEEEEE"/>
            </w:tcBorders>
            <w:shd w:val="clear" w:color="auto" w:fill="EEEEEE"/>
          </w:tcPr>
          <w:p>
            <w:pPr>
              <w:ind w:left="580"/>
              <w:spacing w:after="0"/>
              <w:rPr>
                <w:sz w:val="20"/>
                <w:szCs w:val="20"/>
                <w:color w:val="auto"/>
              </w:rPr>
            </w:pPr>
            <w:r>
              <w:rPr>
                <w:rFonts w:ascii="Arial" w:cs="Arial" w:eastAsia="Arial" w:hAnsi="Arial"/>
                <w:sz w:val="18"/>
                <w:szCs w:val="18"/>
                <w:color w:val="auto"/>
              </w:rPr>
              <w:t>Net cash provided by (used in) financing activities</w:t>
            </w:r>
          </w:p>
        </w:tc>
        <w:tc>
          <w:tcPr>
            <w:tcW w:w="360" w:type="dxa"/>
            <w:vAlign w:val="bottom"/>
            <w:tcBorders>
              <w:top w:val="single" w:sz="8" w:color="auto"/>
              <w:bottom w:val="single" w:sz="8" w:color="auto"/>
            </w:tcBorders>
            <w:shd w:val="clear" w:color="auto" w:fill="EEEEEE"/>
          </w:tcPr>
          <w:p>
            <w:pPr>
              <w:spacing w:after="0"/>
              <w:rPr>
                <w:sz w:val="18"/>
                <w:szCs w:val="18"/>
                <w:color w:val="auto"/>
              </w:rPr>
            </w:pP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18,031</w:t>
            </w:r>
          </w:p>
        </w:tc>
        <w:tc>
          <w:tcPr>
            <w:tcW w:w="20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400" w:type="dxa"/>
            <w:vAlign w:val="bottom"/>
            <w:tcBorders>
              <w:top w:val="single" w:sz="8" w:color="auto"/>
              <w:bottom w:val="single" w:sz="8" w:color="auto"/>
            </w:tcBorders>
            <w:shd w:val="clear" w:color="auto" w:fill="EEEEEE"/>
          </w:tcPr>
          <w:p>
            <w:pPr>
              <w:spacing w:after="0"/>
              <w:rPr>
                <w:sz w:val="18"/>
                <w:szCs w:val="18"/>
                <w:color w:val="auto"/>
              </w:rPr>
            </w:pPr>
          </w:p>
        </w:tc>
        <w:tc>
          <w:tcPr>
            <w:tcW w:w="1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2,815</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Increase (decrease) in cash and cash equivalents</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14,312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17,675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Cash and restricted cash at beginning of period</w:t>
            </w:r>
          </w:p>
        </w:tc>
        <w:tc>
          <w:tcPr>
            <w:tcW w:w="360" w:type="dxa"/>
            <w:vAlign w:val="bottom"/>
            <w:shd w:val="clear" w:color="auto" w:fill="EEEEEE"/>
          </w:tcPr>
          <w:p>
            <w:pPr>
              <w:spacing w:after="0"/>
              <w:rPr>
                <w:sz w:val="19"/>
                <w:szCs w:val="19"/>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130,110</w:t>
            </w:r>
          </w:p>
        </w:tc>
        <w:tc>
          <w:tcPr>
            <w:tcW w:w="160" w:type="dxa"/>
            <w:vAlign w:val="bottom"/>
            <w:shd w:val="clear" w:color="auto" w:fill="EEEEEE"/>
          </w:tcPr>
          <w:p>
            <w:pPr>
              <w:spacing w:after="0"/>
              <w:rPr>
                <w:sz w:val="19"/>
                <w:szCs w:val="19"/>
                <w:color w:val="auto"/>
              </w:rPr>
            </w:pPr>
          </w:p>
        </w:tc>
        <w:tc>
          <w:tcPr>
            <w:tcW w:w="400" w:type="dxa"/>
            <w:vAlign w:val="bottom"/>
            <w:shd w:val="clear" w:color="auto" w:fill="EEEEEE"/>
          </w:tcPr>
          <w:p>
            <w:pPr>
              <w:spacing w:after="0"/>
              <w:rPr>
                <w:sz w:val="19"/>
                <w:szCs w:val="19"/>
                <w:color w:val="auto"/>
              </w:rPr>
            </w:pPr>
          </w:p>
        </w:tc>
        <w:tc>
          <w:tcPr>
            <w:tcW w:w="12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124,696</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76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Cash and restricted cash at end of period</w:t>
            </w: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144,422</w:t>
            </w:r>
          </w:p>
        </w:tc>
        <w:tc>
          <w:tcPr>
            <w:tcW w:w="200" w:type="dxa"/>
            <w:vAlign w:val="bottom"/>
            <w:tcBorders>
              <w:bottom w:val="single" w:sz="8" w:color="EEEEEE"/>
            </w:tcBorders>
          </w:tcPr>
          <w:p>
            <w:pPr>
              <w:spacing w:after="0"/>
              <w:rPr>
                <w:sz w:val="22"/>
                <w:szCs w:val="22"/>
                <w:color w:val="auto"/>
              </w:rPr>
            </w:pPr>
          </w:p>
        </w:tc>
        <w:tc>
          <w:tcPr>
            <w:tcW w:w="160" w:type="dxa"/>
            <w:vAlign w:val="bottom"/>
            <w:tcBorders>
              <w:bottom w:val="single" w:sz="8" w:color="EEEEEE"/>
            </w:tcBorders>
          </w:tcPr>
          <w:p>
            <w:pPr>
              <w:spacing w:after="0"/>
              <w:rPr>
                <w:sz w:val="22"/>
                <w:szCs w:val="22"/>
                <w:color w:val="auto"/>
              </w:rPr>
            </w:pPr>
          </w:p>
        </w:tc>
        <w:tc>
          <w:tcPr>
            <w:tcW w:w="400" w:type="dxa"/>
            <w:vAlign w:val="bottom"/>
            <w:tcBorders>
              <w:top w:val="single" w:sz="8" w:color="auto"/>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142,371</w:t>
            </w:r>
          </w:p>
        </w:tc>
        <w:tc>
          <w:tcPr>
            <w:tcW w:w="100" w:type="dxa"/>
            <w:vAlign w:val="bottom"/>
            <w:tcBorders>
              <w:bottom w:val="single" w:sz="8" w:color="EEEEEE"/>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76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11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Supplemental disclosure of cash flow information:</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Cash paid during the period for:</w:t>
            </w: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380"/>
              <w:spacing w:after="0"/>
              <w:rPr>
                <w:sz w:val="20"/>
                <w:szCs w:val="20"/>
                <w:color w:val="auto"/>
              </w:rPr>
            </w:pPr>
            <w:r>
              <w:rPr>
                <w:rFonts w:ascii="Arial" w:cs="Arial" w:eastAsia="Arial" w:hAnsi="Arial"/>
                <w:sz w:val="18"/>
                <w:szCs w:val="18"/>
                <w:color w:val="auto"/>
              </w:rPr>
              <w:t>Interest</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24,921</w:t>
            </w:r>
          </w:p>
        </w:tc>
        <w:tc>
          <w:tcPr>
            <w:tcW w:w="560" w:type="dxa"/>
            <w:vAlign w:val="bottom"/>
            <w:gridSpan w:val="2"/>
          </w:tcPr>
          <w:p>
            <w:pPr>
              <w:jc w:val="right"/>
              <w:ind w:right="245"/>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21,729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380"/>
              <w:spacing w:after="0"/>
              <w:rPr>
                <w:sz w:val="20"/>
                <w:szCs w:val="20"/>
                <w:color w:val="auto"/>
              </w:rPr>
            </w:pPr>
            <w:r>
              <w:rPr>
                <w:rFonts w:ascii="Arial" w:cs="Arial" w:eastAsia="Arial" w:hAnsi="Arial"/>
                <w:sz w:val="18"/>
                <w:szCs w:val="18"/>
                <w:color w:val="auto"/>
              </w:rPr>
              <w:t>Income taxes</w:t>
            </w:r>
          </w:p>
        </w:tc>
        <w:tc>
          <w:tcPr>
            <w:tcW w:w="360" w:type="dxa"/>
            <w:vAlign w:val="bottom"/>
            <w:shd w:val="clear" w:color="auto" w:fill="EEEEEE"/>
          </w:tcPr>
          <w:p>
            <w:pPr>
              <w:jc w:val="right"/>
              <w:ind w:right="205"/>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EEEEEE"/>
          </w:tcPr>
          <w:p>
            <w:pPr>
              <w:jc w:val="right"/>
              <w:ind w:right="245"/>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80"/>
              <w:spacing w:after="0"/>
              <w:rPr>
                <w:sz w:val="20"/>
                <w:szCs w:val="20"/>
                <w:color w:val="auto"/>
              </w:rPr>
            </w:pPr>
            <w:r>
              <w:rPr>
                <w:rFonts w:ascii="Arial" w:cs="Arial" w:eastAsia="Arial" w:hAnsi="Arial"/>
                <w:sz w:val="18"/>
                <w:szCs w:val="18"/>
                <w:color w:val="auto"/>
              </w:rPr>
              <w:t>Non-cash financing activities:</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380"/>
              <w:spacing w:after="0"/>
              <w:rPr>
                <w:sz w:val="20"/>
                <w:szCs w:val="20"/>
                <w:color w:val="auto"/>
              </w:rPr>
            </w:pPr>
            <w:r>
              <w:rPr>
                <w:rFonts w:ascii="Arial" w:cs="Arial" w:eastAsia="Arial" w:hAnsi="Arial"/>
                <w:sz w:val="18"/>
                <w:szCs w:val="18"/>
                <w:color w:val="auto"/>
              </w:rPr>
              <w:t>Right-of-use asset, net</w:t>
            </w:r>
          </w:p>
        </w:tc>
        <w:tc>
          <w:tcPr>
            <w:tcW w:w="360" w:type="dxa"/>
            <w:vAlign w:val="bottom"/>
            <w:shd w:val="clear" w:color="auto" w:fill="EEEEEE"/>
          </w:tcPr>
          <w:p>
            <w:pPr>
              <w:jc w:val="right"/>
              <w:ind w:right="205"/>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(21,869)</w:t>
            </w:r>
          </w:p>
        </w:tc>
        <w:tc>
          <w:tcPr>
            <w:tcW w:w="560" w:type="dxa"/>
            <w:vAlign w:val="bottom"/>
            <w:gridSpan w:val="2"/>
            <w:shd w:val="clear" w:color="auto" w:fill="EEEEEE"/>
          </w:tcPr>
          <w:p>
            <w:pPr>
              <w:jc w:val="right"/>
              <w:ind w:right="245"/>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380"/>
              <w:spacing w:after="0"/>
              <w:rPr>
                <w:sz w:val="20"/>
                <w:szCs w:val="20"/>
                <w:color w:val="auto"/>
              </w:rPr>
            </w:pPr>
            <w:r>
              <w:rPr>
                <w:rFonts w:ascii="Arial" w:cs="Arial" w:eastAsia="Arial" w:hAnsi="Arial"/>
                <w:sz w:val="18"/>
                <w:szCs w:val="18"/>
                <w:color w:val="auto"/>
              </w:rPr>
              <w:t>Lease liability</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23,327</w:t>
            </w:r>
          </w:p>
        </w:tc>
        <w:tc>
          <w:tcPr>
            <w:tcW w:w="560" w:type="dxa"/>
            <w:vAlign w:val="bottom"/>
            <w:gridSpan w:val="2"/>
          </w:tcPr>
          <w:p>
            <w:pPr>
              <w:jc w:val="right"/>
              <w:ind w:right="245"/>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380"/>
              <w:spacing w:after="0"/>
              <w:rPr>
                <w:sz w:val="20"/>
                <w:szCs w:val="20"/>
                <w:color w:val="auto"/>
              </w:rPr>
            </w:pPr>
            <w:r>
              <w:rPr>
                <w:rFonts w:ascii="Arial" w:cs="Arial" w:eastAsia="Arial" w:hAnsi="Arial"/>
                <w:sz w:val="18"/>
                <w:szCs w:val="18"/>
                <w:color w:val="auto"/>
              </w:rPr>
              <w:t>Deferred office rent</w:t>
            </w:r>
          </w:p>
        </w:tc>
        <w:tc>
          <w:tcPr>
            <w:tcW w:w="360" w:type="dxa"/>
            <w:vAlign w:val="bottom"/>
            <w:shd w:val="clear" w:color="auto" w:fill="EEEEEE"/>
          </w:tcPr>
          <w:p>
            <w:pPr>
              <w:jc w:val="right"/>
              <w:ind w:right="205"/>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(1,458)</w:t>
            </w:r>
          </w:p>
        </w:tc>
        <w:tc>
          <w:tcPr>
            <w:tcW w:w="560" w:type="dxa"/>
            <w:vAlign w:val="bottom"/>
            <w:gridSpan w:val="2"/>
            <w:shd w:val="clear" w:color="auto" w:fill="EEEEEE"/>
          </w:tcPr>
          <w:p>
            <w:pPr>
              <w:jc w:val="right"/>
              <w:ind w:right="245"/>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13"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CONSUMER PORTFOLIO SERVICES,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760" w:type="dxa"/>
            <w:vAlign w:val="bottom"/>
          </w:tcPr>
          <w:p>
            <w:pPr>
              <w:spacing w:after="0"/>
              <w:rPr>
                <w:sz w:val="19"/>
                <w:szCs w:val="19"/>
                <w:color w:val="auto"/>
              </w:rPr>
            </w:pPr>
          </w:p>
        </w:tc>
        <w:tc>
          <w:tcPr>
            <w:tcW w:w="2940" w:type="dxa"/>
            <w:vAlign w:val="bottom"/>
            <w:gridSpan w:val="5"/>
          </w:tcPr>
          <w:p>
            <w:pPr>
              <w:jc w:val="right"/>
              <w:ind w:right="285"/>
              <w:spacing w:after="0"/>
              <w:rPr>
                <w:sz w:val="20"/>
                <w:szCs w:val="20"/>
                <w:color w:val="auto"/>
              </w:rPr>
            </w:pPr>
            <w:r>
              <w:rPr>
                <w:rFonts w:ascii="Arial" w:cs="Arial" w:eastAsia="Arial" w:hAnsi="Arial"/>
                <w:sz w:val="18"/>
                <w:szCs w:val="18"/>
                <w:b w:val="1"/>
                <w:bCs w:val="1"/>
                <w:color w:val="auto"/>
              </w:rPr>
              <w:t>Three Months Ended</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6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4"/>
          </w:tcPr>
          <w:p>
            <w:pPr>
              <w:jc w:val="right"/>
              <w:ind w:right="705"/>
              <w:spacing w:after="0"/>
              <w:rPr>
                <w:sz w:val="20"/>
                <w:szCs w:val="20"/>
                <w:color w:val="auto"/>
              </w:rPr>
            </w:pPr>
            <w:r>
              <w:rPr>
                <w:rFonts w:ascii="Arial" w:cs="Arial" w:eastAsia="Arial" w:hAnsi="Arial"/>
                <w:sz w:val="18"/>
                <w:szCs w:val="18"/>
                <w:b w:val="1"/>
                <w:bCs w:val="1"/>
                <w:color w:val="auto"/>
              </w:rPr>
              <w:t>March 31,</w:t>
            </w:r>
          </w:p>
        </w:tc>
        <w:tc>
          <w:tcPr>
            <w:tcW w:w="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Common Stock (Shares Outstanding)</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2018</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780" w:type="dxa"/>
            <w:vAlign w:val="bottom"/>
            <w:gridSpan w:val="2"/>
            <w:vMerge w:val="continue"/>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Balance, beginning of period</w:t>
            </w:r>
          </w:p>
        </w:tc>
        <w:tc>
          <w:tcPr>
            <w:tcW w:w="100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22,422</w:t>
            </w: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21,489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Common stock issued upon exercise of options and warrants</w:t>
            </w:r>
          </w:p>
        </w:tc>
        <w:tc>
          <w:tcPr>
            <w:tcW w:w="10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Repurchase of common stock</w:t>
            </w:r>
          </w:p>
        </w:tc>
        <w:tc>
          <w:tcPr>
            <w:tcW w:w="1000" w:type="dxa"/>
            <w:vAlign w:val="bottom"/>
            <w:shd w:val="clear" w:color="auto" w:fill="EEEEEE"/>
          </w:tcPr>
          <w:p>
            <w:pPr>
              <w:spacing w:after="0"/>
              <w:rPr>
                <w:sz w:val="19"/>
                <w:szCs w:val="19"/>
                <w:color w:val="auto"/>
              </w:rPr>
            </w:pPr>
          </w:p>
        </w:tc>
        <w:tc>
          <w:tcPr>
            <w:tcW w:w="8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(366)</w:t>
            </w:r>
          </w:p>
        </w:tc>
        <w:tc>
          <w:tcPr>
            <w:tcW w:w="160" w:type="dxa"/>
            <w:vAlign w:val="bottom"/>
            <w:shd w:val="clear" w:color="auto" w:fill="EEEEEE"/>
          </w:tcPr>
          <w:p>
            <w:pPr>
              <w:spacing w:after="0"/>
              <w:rPr>
                <w:sz w:val="19"/>
                <w:szCs w:val="19"/>
                <w:color w:val="auto"/>
              </w:rPr>
            </w:pPr>
          </w:p>
        </w:tc>
        <w:tc>
          <w:tcPr>
            <w:tcW w:w="980" w:type="dxa"/>
            <w:vAlign w:val="bottom"/>
            <w:shd w:val="clear" w:color="auto" w:fill="EEEEEE"/>
          </w:tcPr>
          <w:p>
            <w:pPr>
              <w:spacing w:after="0"/>
              <w:rPr>
                <w:sz w:val="19"/>
                <w:szCs w:val="19"/>
                <w:color w:val="auto"/>
              </w:rPr>
            </w:pP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Balance, end of period</w:t>
            </w:r>
          </w:p>
        </w:tc>
        <w:tc>
          <w:tcPr>
            <w:tcW w:w="10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22,134</w:t>
            </w:r>
          </w:p>
        </w:tc>
        <w:tc>
          <w:tcPr>
            <w:tcW w:w="200" w:type="dxa"/>
            <w:vAlign w:val="bottom"/>
            <w:tcBorders>
              <w:bottom w:val="single" w:sz="8" w:color="EEEEEE"/>
            </w:tcBorders>
          </w:tcPr>
          <w:p>
            <w:pPr>
              <w:spacing w:after="0"/>
              <w:rPr>
                <w:sz w:val="18"/>
                <w:szCs w:val="18"/>
                <w:color w:val="auto"/>
              </w:rPr>
            </w:pPr>
          </w:p>
        </w:tc>
        <w:tc>
          <w:tcPr>
            <w:tcW w:w="160" w:type="dxa"/>
            <w:vAlign w:val="bottom"/>
            <w:tcBorders>
              <w:bottom w:val="single" w:sz="8" w:color="EEEEEE"/>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21,442</w:t>
            </w: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6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b w:val="1"/>
                <w:bCs w:val="1"/>
                <w:color w:val="auto"/>
              </w:rPr>
              <w:t>Common Stock</w:t>
            </w: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Balance, beginning of period</w:t>
            </w:r>
          </w:p>
        </w:tc>
        <w:tc>
          <w:tcPr>
            <w:tcW w:w="1000" w:type="dxa"/>
            <w:vAlign w:val="bottom"/>
            <w:shd w:val="clear" w:color="auto" w:fill="EEEEEE"/>
          </w:tcPr>
          <w:p>
            <w:pPr>
              <w:jc w:val="right"/>
              <w:ind w:right="842"/>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70,273</w:t>
            </w:r>
          </w:p>
        </w:tc>
        <w:tc>
          <w:tcPr>
            <w:tcW w:w="1140" w:type="dxa"/>
            <w:vAlign w:val="bottom"/>
            <w:gridSpan w:val="2"/>
            <w:shd w:val="clear" w:color="auto" w:fill="EEEEEE"/>
          </w:tcPr>
          <w:p>
            <w:pPr>
              <w:jc w:val="right"/>
              <w:ind w:right="825"/>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71,582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Common stock issued upon exercise of options and warrants</w:t>
            </w:r>
          </w:p>
        </w:tc>
        <w:tc>
          <w:tcPr>
            <w:tcW w:w="10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Repurchase of common stock</w:t>
            </w:r>
          </w:p>
        </w:tc>
        <w:tc>
          <w:tcPr>
            <w:tcW w:w="100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(1,440)</w:t>
            </w: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(1,419)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00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638</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1,186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Balance, end of period</w:t>
            </w:r>
          </w:p>
        </w:tc>
        <w:tc>
          <w:tcPr>
            <w:tcW w:w="1000" w:type="dxa"/>
            <w:vAlign w:val="bottom"/>
            <w:tcBorders>
              <w:top w:val="single" w:sz="8" w:color="auto"/>
              <w:bottom w:val="single" w:sz="8" w:color="auto"/>
            </w:tcBorders>
            <w:shd w:val="clear" w:color="auto" w:fill="EEEEEE"/>
          </w:tcPr>
          <w:p>
            <w:pPr>
              <w:jc w:val="right"/>
              <w:ind w:right="842"/>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69,544</w:t>
            </w:r>
          </w:p>
        </w:tc>
        <w:tc>
          <w:tcPr>
            <w:tcW w:w="20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980" w:type="dxa"/>
            <w:vAlign w:val="bottom"/>
            <w:tcBorders>
              <w:top w:val="single" w:sz="8" w:color="auto"/>
              <w:bottom w:val="single" w:sz="8" w:color="auto"/>
            </w:tcBorders>
            <w:shd w:val="clear" w:color="auto" w:fill="EEEEEE"/>
          </w:tcPr>
          <w:p>
            <w:pPr>
              <w:jc w:val="right"/>
              <w:ind w:right="82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71,824</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Retained Earnings</w:t>
            </w:r>
          </w:p>
        </w:tc>
        <w:tc>
          <w:tcPr>
            <w:tcW w:w="100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Balance, beginning of period</w:t>
            </w:r>
          </w:p>
        </w:tc>
        <w:tc>
          <w:tcPr>
            <w:tcW w:w="1000" w:type="dxa"/>
            <w:vAlign w:val="bottom"/>
          </w:tcPr>
          <w:p>
            <w:pPr>
              <w:jc w:val="right"/>
              <w:ind w:right="842"/>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134,399</w:t>
            </w:r>
          </w:p>
        </w:tc>
        <w:tc>
          <w:tcPr>
            <w:tcW w:w="1140" w:type="dxa"/>
            <w:vAlign w:val="bottom"/>
            <w:gridSpan w:val="2"/>
          </w:tcPr>
          <w:p>
            <w:pPr>
              <w:jc w:val="right"/>
              <w:ind w:right="825"/>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119,537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Net income</w:t>
            </w:r>
          </w:p>
        </w:tc>
        <w:tc>
          <w:tcPr>
            <w:tcW w:w="1000" w:type="dxa"/>
            <w:vAlign w:val="bottom"/>
            <w:shd w:val="clear" w:color="auto" w:fill="EEEEEE"/>
          </w:tcPr>
          <w:p>
            <w:pPr>
              <w:spacing w:after="0"/>
              <w:rPr>
                <w:sz w:val="19"/>
                <w:szCs w:val="19"/>
                <w:color w:val="auto"/>
              </w:rPr>
            </w:pPr>
          </w:p>
        </w:tc>
        <w:tc>
          <w:tcPr>
            <w:tcW w:w="8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1,739</w:t>
            </w:r>
          </w:p>
        </w:tc>
        <w:tc>
          <w:tcPr>
            <w:tcW w:w="160" w:type="dxa"/>
            <w:vAlign w:val="bottom"/>
            <w:shd w:val="clear" w:color="auto" w:fill="EEEEEE"/>
          </w:tcPr>
          <w:p>
            <w:pPr>
              <w:spacing w:after="0"/>
              <w:rPr>
                <w:sz w:val="19"/>
                <w:szCs w:val="19"/>
                <w:color w:val="auto"/>
              </w:rPr>
            </w:pPr>
          </w:p>
        </w:tc>
        <w:tc>
          <w:tcPr>
            <w:tcW w:w="980" w:type="dxa"/>
            <w:vAlign w:val="bottom"/>
            <w:shd w:val="clear" w:color="auto" w:fill="EEEEEE"/>
          </w:tcPr>
          <w:p>
            <w:pPr>
              <w:spacing w:after="0"/>
              <w:rPr>
                <w:sz w:val="19"/>
                <w:szCs w:val="19"/>
                <w:color w:val="auto"/>
              </w:rPr>
            </w:pPr>
          </w:p>
        </w:tc>
        <w:tc>
          <w:tcPr>
            <w:tcW w:w="7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3,145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Balance, end of period</w:t>
            </w:r>
          </w:p>
        </w:tc>
        <w:tc>
          <w:tcPr>
            <w:tcW w:w="1000" w:type="dxa"/>
            <w:vAlign w:val="bottom"/>
            <w:tcBorders>
              <w:top w:val="single" w:sz="8" w:color="auto"/>
              <w:bottom w:val="single" w:sz="8" w:color="auto"/>
            </w:tcBorders>
          </w:tcPr>
          <w:p>
            <w:pPr>
              <w:jc w:val="right"/>
              <w:ind w:right="842"/>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136,138</w:t>
            </w:r>
          </w:p>
        </w:tc>
        <w:tc>
          <w:tcPr>
            <w:tcW w:w="200" w:type="dxa"/>
            <w:vAlign w:val="bottom"/>
            <w:tcBorders>
              <w:bottom w:val="single" w:sz="8" w:color="EEEEEE"/>
            </w:tcBorders>
          </w:tcPr>
          <w:p>
            <w:pPr>
              <w:spacing w:after="0"/>
              <w:rPr>
                <w:sz w:val="18"/>
                <w:szCs w:val="18"/>
                <w:color w:val="auto"/>
              </w:rPr>
            </w:pPr>
          </w:p>
        </w:tc>
        <w:tc>
          <w:tcPr>
            <w:tcW w:w="160" w:type="dxa"/>
            <w:vAlign w:val="bottom"/>
            <w:tcBorders>
              <w:bottom w:val="single" w:sz="8" w:color="EEEEEE"/>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82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122,682</w:t>
            </w: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6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b w:val="1"/>
                <w:bCs w:val="1"/>
                <w:color w:val="auto"/>
              </w:rPr>
              <w:t>Accumulated Other Comprehensive Loss</w:t>
            </w: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Balance, beginning of period</w:t>
            </w:r>
          </w:p>
        </w:tc>
        <w:tc>
          <w:tcPr>
            <w:tcW w:w="1000" w:type="dxa"/>
            <w:vAlign w:val="bottom"/>
            <w:shd w:val="clear" w:color="auto" w:fill="EEEEEE"/>
          </w:tcPr>
          <w:p>
            <w:pPr>
              <w:jc w:val="right"/>
              <w:ind w:right="842"/>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(7,554)</w:t>
            </w:r>
          </w:p>
        </w:tc>
        <w:tc>
          <w:tcPr>
            <w:tcW w:w="1140" w:type="dxa"/>
            <w:vAlign w:val="bottom"/>
            <w:gridSpan w:val="2"/>
            <w:shd w:val="clear" w:color="auto" w:fill="EEEEEE"/>
          </w:tcPr>
          <w:p>
            <w:pPr>
              <w:jc w:val="right"/>
              <w:ind w:right="825"/>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(7,182)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Pension benefit obligation</w:t>
            </w:r>
          </w:p>
        </w:tc>
        <w:tc>
          <w:tcPr>
            <w:tcW w:w="100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Balance, end of period</w:t>
            </w:r>
          </w:p>
        </w:tc>
        <w:tc>
          <w:tcPr>
            <w:tcW w:w="1000" w:type="dxa"/>
            <w:vAlign w:val="bottom"/>
            <w:tcBorders>
              <w:top w:val="single" w:sz="8" w:color="auto"/>
              <w:bottom w:val="single" w:sz="8" w:color="auto"/>
            </w:tcBorders>
            <w:shd w:val="clear" w:color="auto" w:fill="EEEEEE"/>
          </w:tcPr>
          <w:p>
            <w:pPr>
              <w:jc w:val="right"/>
              <w:ind w:right="842"/>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(7,554</w:t>
            </w:r>
          </w:p>
        </w:tc>
        <w:tc>
          <w:tcPr>
            <w:tcW w:w="200" w:type="dxa"/>
            <w:vAlign w:val="bottom"/>
            <w:tcBorders>
              <w:top w:val="single" w:sz="8" w:color="EEEEEE"/>
            </w:tcBorders>
            <w:shd w:val="clear" w:color="auto" w:fill="EEEEEE"/>
          </w:tcPr>
          <w:p>
            <w:pPr>
              <w:jc w:val="right"/>
              <w:ind w:right="6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EEEEEE"/>
            </w:tcBorders>
            <w:shd w:val="clear" w:color="auto" w:fill="EEEEEE"/>
          </w:tcPr>
          <w:p>
            <w:pPr>
              <w:spacing w:after="0"/>
              <w:rPr>
                <w:sz w:val="18"/>
                <w:szCs w:val="18"/>
                <w:color w:val="auto"/>
              </w:rPr>
            </w:pPr>
          </w:p>
        </w:tc>
        <w:tc>
          <w:tcPr>
            <w:tcW w:w="980" w:type="dxa"/>
            <w:vAlign w:val="bottom"/>
            <w:tcBorders>
              <w:top w:val="single" w:sz="8" w:color="auto"/>
              <w:bottom w:val="single" w:sz="8" w:color="auto"/>
            </w:tcBorders>
            <w:shd w:val="clear" w:color="auto" w:fill="EEEEEE"/>
          </w:tcPr>
          <w:p>
            <w:pPr>
              <w:jc w:val="right"/>
              <w:ind w:right="82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(7,182</w:t>
            </w:r>
          </w:p>
        </w:tc>
        <w:tc>
          <w:tcPr>
            <w:tcW w:w="100" w:type="dxa"/>
            <w:vAlign w:val="bottom"/>
            <w:tcBorders>
              <w:top w:val="single" w:sz="8" w:color="EEEEEE"/>
            </w:tcBorders>
            <w:shd w:val="clear" w:color="auto" w:fill="EEEEEE"/>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Total Shareholders' Equity</w:t>
            </w:r>
          </w:p>
        </w:tc>
        <w:tc>
          <w:tcPr>
            <w:tcW w:w="1000" w:type="dxa"/>
            <w:vAlign w:val="bottom"/>
            <w:shd w:val="clear" w:color="auto" w:fill="EEEEEE"/>
          </w:tcPr>
          <w:p>
            <w:pPr>
              <w:jc w:val="right"/>
              <w:ind w:right="842"/>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w w:val="89"/>
              </w:rPr>
              <w:t>198,128</w:t>
            </w:r>
          </w:p>
        </w:tc>
        <w:tc>
          <w:tcPr>
            <w:tcW w:w="1140" w:type="dxa"/>
            <w:vAlign w:val="bottom"/>
            <w:gridSpan w:val="2"/>
            <w:shd w:val="clear" w:color="auto" w:fill="EEEEEE"/>
          </w:tcPr>
          <w:p>
            <w:pPr>
              <w:jc w:val="right"/>
              <w:ind w:right="825"/>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w w:val="89"/>
              </w:rPr>
              <w:t>187,324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Summary of Significant Accounting Policies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were formed in California on March 8, 1991. We specialize in purchasing and servicing retail automobile installment sale contracts (“automobile contracts” or “finance receivables”) originated by licensed motor vehicle dealers located throughout the United States (“dealers”) in the sale of new and used automobiles, light trucks and passenger vans. Through our purchases, we provide indirect financing to dealer customers for borrowers with limited credit histories or past credit problems (“sub-prime customers”). We serve as an alternative source of financing for dealers, allowing sales to customers who otherwise might not be able to obtain financing. In addition to purchasing installment purchase contracts directly from dealers, we have also (i) lent money directly to consumers for loans secured by vehicles, (ii) purchased immaterial amounts of vehicle purchase money loans from non-affiliated lenders, and (iii) acquired installment purchase contracts in four merger and acquisition transactions. In this report, we refer to all of such contracts and loans as "automobile contracts."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Unaudited Condensed Consolidated Financial Statements have been prepared in conformity with accounting principles generally accepted in the United States of America, with the instructions to Form 10-Q and with Article 10 of Regulation S-X of the Securities and Exchange Commission, and include all adjustments that are, in management’s opinion, necessary for a fair presentation of the results for the interim periods presented. All such adjustments are, in the opinion of management, of a normal recurring nature. Results for the three month period ended March 31, 2019 are not necessarily indicative of the operating results to be expected for the full year.</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Certain information and footnote disclosures normally included in financial statements prepared in accordance with accounting principles generally accepted in the United States of America have been condensed or omitted from these Unaudited Condensed Consolidated Financial Statements. These Unaudited Condensed Consolidated Financial Statements should be read in conjunction with the Consolidated Financial Statements and Notes to Consolidated Financial Statements included in our Annual Report on Form 10-K for the year ended December 31, 2018.</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us to make estimates and assumptions that affect the reported amounts of assets and liabilities as of the date of the financial statements, as well as the reported amounts of income and expenses during the reported periods.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Finance Receivables Measured at Fair Value</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Effective January 1, 2018, we adopted the fair value method of accounting for finance receivables acquired on or after that date. For each finance receivable acquired after 2017, we consider the price paid on the purchase date as the fair value for such receivable. We estimate the cash to be received in the future with respect to such receivables, based on our experience with similar receivables acquired in the past. We then compute the internal rate of return that results in the present value of those estimated cash receipts being equal to the purchase date fair value. Thereafter, we recognize interest income on such receivables on a level yield basis using that internal rate of return as the applicable interest rate. Cash received with respect to such receivables is applied first against such interest income, and then to reduce the carrying value of the receivables.</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re-evaluate the fair value of such receivables at the close of each measurement period. If the reevaluation were to yield a value materially different from the carrying value, an adjustment would be required.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2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Anticipated credit losses are included in our estimation of cash to be received with respect to receivables. Because such credit losses are included in our computation of the appropriate level yield, we do not thereafter make periodic provision for credit losses, as our best estimate of the lifetime aggregate of credit losses is included in that initial computation. Also because we include anticipated credit losses in our computation of the level yield, the computed level yield is materially lower than the average contractual rate applicable to the receivables. Because our initial carrying value is fixed as the price we pay for the receivable, rather than as the contractual principal balance, we do not record acquisition fees as an amortizing asset related to the receivables, nor do we capitalize costs of acquiring the receivables. Rather we recognize the costs of acquisition as expenses in the period incurred.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primary components of Other Income for the three-month periods ending March 31, 2019 and 2018:</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0" w:type="dxa"/>
            <w:vAlign w:val="bottom"/>
            <w:gridSpan w:val="3"/>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55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3"/>
          </w:tcPr>
          <w:p>
            <w:pPr>
              <w:jc w:val="right"/>
              <w:ind w:right="345"/>
              <w:spacing w:after="0"/>
              <w:rPr>
                <w:sz w:val="20"/>
                <w:szCs w:val="20"/>
                <w:color w:val="auto"/>
              </w:rPr>
            </w:pPr>
            <w:r>
              <w:rPr>
                <w:rFonts w:ascii="Arial" w:cs="Arial" w:eastAsia="Arial" w:hAnsi="Arial"/>
                <w:sz w:val="18"/>
                <w:szCs w:val="18"/>
                <w:b w:val="1"/>
                <w:bCs w:val="1"/>
                <w:color w:val="auto"/>
              </w:rPr>
              <w:t>March 31,</w:t>
            </w:r>
          </w:p>
        </w:tc>
        <w:tc>
          <w:tcPr>
            <w:tcW w:w="9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5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3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84"/>
              </w:rPr>
              <w:t>2018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5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0" w:type="dxa"/>
            <w:vAlign w:val="bottom"/>
            <w:gridSpan w:val="3"/>
          </w:tcPr>
          <w:p>
            <w:pPr>
              <w:jc w:val="right"/>
              <w:ind w:right="125"/>
              <w:spacing w:after="0"/>
              <w:rPr>
                <w:sz w:val="20"/>
                <w:szCs w:val="20"/>
                <w:color w:val="auto"/>
              </w:rPr>
            </w:pPr>
            <w:r>
              <w:rPr>
                <w:rFonts w:ascii="Arial" w:cs="Arial" w:eastAsia="Arial" w:hAnsi="Arial"/>
                <w:sz w:val="18"/>
                <w:szCs w:val="18"/>
                <w:b w:val="1"/>
                <w:bCs w:val="1"/>
                <w:color w:val="auto"/>
              </w:rPr>
              <w:t>(In thousands)</w:t>
            </w: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00" w:type="dxa"/>
            <w:vAlign w:val="bottom"/>
            <w:shd w:val="clear" w:color="auto" w:fill="EEEEEE"/>
          </w:tcPr>
          <w:p>
            <w:pPr>
              <w:spacing w:after="0"/>
              <w:rPr>
                <w:sz w:val="20"/>
                <w:szCs w:val="20"/>
                <w:color w:val="auto"/>
              </w:rPr>
            </w:pPr>
            <w:r>
              <w:rPr>
                <w:rFonts w:ascii="Arial" w:cs="Arial" w:eastAsia="Arial" w:hAnsi="Arial"/>
                <w:sz w:val="18"/>
                <w:szCs w:val="18"/>
                <w:color w:val="auto"/>
              </w:rPr>
              <w:t>Direct mail revenues</w:t>
            </w:r>
          </w:p>
        </w:tc>
        <w:tc>
          <w:tcPr>
            <w:tcW w:w="380" w:type="dxa"/>
            <w:vAlign w:val="bottom"/>
            <w:shd w:val="clear" w:color="auto" w:fill="EEEEEE"/>
          </w:tcPr>
          <w:p>
            <w:pPr>
              <w:jc w:val="right"/>
              <w:ind w:right="225"/>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1,336</w:t>
            </w:r>
          </w:p>
        </w:tc>
        <w:tc>
          <w:tcPr>
            <w:tcW w:w="680" w:type="dxa"/>
            <w:vAlign w:val="bottom"/>
            <w:shd w:val="clear" w:color="auto" w:fill="EEEEEE"/>
          </w:tcPr>
          <w:p>
            <w:pPr>
              <w:jc w:val="right"/>
              <w:ind w:right="52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1,797</w:t>
            </w:r>
          </w:p>
        </w:tc>
        <w:tc>
          <w:tcPr>
            <w:tcW w:w="100" w:type="dxa"/>
            <w:vAlign w:val="bottom"/>
            <w:shd w:val="clear" w:color="auto" w:fill="EEEEEE"/>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Convenience fee revenue</w:t>
            </w:r>
          </w:p>
        </w:tc>
        <w:tc>
          <w:tcPr>
            <w:tcW w:w="380" w:type="dxa"/>
            <w:vAlign w:val="bottom"/>
          </w:tcPr>
          <w:p>
            <w:pPr>
              <w:spacing w:after="0"/>
              <w:rPr>
                <w:sz w:val="18"/>
                <w:szCs w:val="18"/>
                <w:color w:val="auto"/>
              </w:rPr>
            </w:pPr>
          </w:p>
        </w:tc>
        <w:tc>
          <w:tcPr>
            <w:tcW w:w="1520" w:type="dxa"/>
            <w:vAlign w:val="bottom"/>
            <w:gridSpan w:val="2"/>
          </w:tcPr>
          <w:p>
            <w:pPr>
              <w:jc w:val="right"/>
              <w:ind w:right="320"/>
              <w:spacing w:after="0"/>
              <w:rPr>
                <w:sz w:val="20"/>
                <w:szCs w:val="20"/>
                <w:color w:val="auto"/>
              </w:rPr>
            </w:pPr>
            <w:r>
              <w:rPr>
                <w:rFonts w:ascii="Arial" w:cs="Arial" w:eastAsia="Arial" w:hAnsi="Arial"/>
                <w:sz w:val="18"/>
                <w:szCs w:val="18"/>
                <w:color w:val="auto"/>
              </w:rPr>
              <w:t>700</w:t>
            </w:r>
          </w:p>
        </w:tc>
        <w:tc>
          <w:tcPr>
            <w:tcW w:w="6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18"/>
                <w:szCs w:val="18"/>
                <w:color w:val="auto"/>
              </w:rPr>
            </w:pPr>
          </w:p>
        </w:tc>
      </w:tr>
      <w:tr>
        <w:trPr>
          <w:trHeight w:val="216"/>
        </w:trPr>
        <w:tc>
          <w:tcPr>
            <w:tcW w:w="5500" w:type="dxa"/>
            <w:vAlign w:val="bottom"/>
            <w:shd w:val="clear" w:color="auto" w:fill="EEEEEE"/>
          </w:tcPr>
          <w:p>
            <w:pPr>
              <w:spacing w:after="0"/>
              <w:rPr>
                <w:sz w:val="20"/>
                <w:szCs w:val="20"/>
                <w:color w:val="auto"/>
              </w:rPr>
            </w:pPr>
            <w:r>
              <w:rPr>
                <w:rFonts w:ascii="Arial" w:cs="Arial" w:eastAsia="Arial" w:hAnsi="Arial"/>
                <w:sz w:val="18"/>
                <w:szCs w:val="18"/>
                <w:color w:val="auto"/>
              </w:rPr>
              <w:t>Recoveries on previously charged-off contracts</w:t>
            </w:r>
          </w:p>
        </w:tc>
        <w:tc>
          <w:tcPr>
            <w:tcW w:w="38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57</w:t>
            </w:r>
          </w:p>
        </w:tc>
        <w:tc>
          <w:tcPr>
            <w:tcW w:w="680" w:type="dxa"/>
            <w:vAlign w:val="bottom"/>
            <w:shd w:val="clear" w:color="auto" w:fill="EEEEEE"/>
          </w:tcPr>
          <w:p>
            <w:pPr>
              <w:spacing w:after="0"/>
              <w:rPr>
                <w:sz w:val="18"/>
                <w:szCs w:val="18"/>
                <w:color w:val="auto"/>
              </w:rPr>
            </w:pPr>
          </w:p>
        </w:tc>
        <w:tc>
          <w:tcPr>
            <w:tcW w:w="1060" w:type="dxa"/>
            <w:vAlign w:val="bottom"/>
            <w:gridSpan w:val="3"/>
            <w:shd w:val="clear" w:color="auto" w:fill="EEEEEE"/>
          </w:tcPr>
          <w:p>
            <w:pPr>
              <w:jc w:val="right"/>
              <w:ind w:right="120"/>
              <w:spacing w:after="0"/>
              <w:rPr>
                <w:sz w:val="20"/>
                <w:szCs w:val="20"/>
                <w:color w:val="auto"/>
              </w:rPr>
            </w:pPr>
            <w:r>
              <w:rPr>
                <w:rFonts w:ascii="Arial" w:cs="Arial" w:eastAsia="Arial" w:hAnsi="Arial"/>
                <w:sz w:val="18"/>
                <w:szCs w:val="18"/>
                <w:color w:val="auto"/>
              </w:rPr>
              <w:t>118</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Sales tax refunds</w:t>
            </w:r>
          </w:p>
        </w:tc>
        <w:tc>
          <w:tcPr>
            <w:tcW w:w="380" w:type="dxa"/>
            <w:vAlign w:val="bottom"/>
          </w:tcPr>
          <w:p>
            <w:pPr>
              <w:spacing w:after="0"/>
              <w:rPr>
                <w:sz w:val="18"/>
                <w:szCs w:val="18"/>
                <w:color w:val="auto"/>
              </w:rPr>
            </w:pPr>
          </w:p>
        </w:tc>
        <w:tc>
          <w:tcPr>
            <w:tcW w:w="1520" w:type="dxa"/>
            <w:vAlign w:val="bottom"/>
            <w:gridSpan w:val="2"/>
          </w:tcPr>
          <w:p>
            <w:pPr>
              <w:jc w:val="right"/>
              <w:ind w:right="320"/>
              <w:spacing w:after="0"/>
              <w:rPr>
                <w:sz w:val="20"/>
                <w:szCs w:val="20"/>
                <w:color w:val="auto"/>
              </w:rPr>
            </w:pPr>
            <w:r>
              <w:rPr>
                <w:rFonts w:ascii="Arial" w:cs="Arial" w:eastAsia="Arial" w:hAnsi="Arial"/>
                <w:sz w:val="18"/>
                <w:szCs w:val="18"/>
                <w:color w:val="auto"/>
              </w:rPr>
              <w:t>227</w:t>
            </w:r>
          </w:p>
        </w:tc>
        <w:tc>
          <w:tcPr>
            <w:tcW w:w="6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18"/>
                <w:szCs w:val="18"/>
                <w:color w:val="auto"/>
              </w:rPr>
            </w:pPr>
          </w:p>
        </w:tc>
      </w:tr>
      <w:tr>
        <w:trPr>
          <w:trHeight w:val="230"/>
        </w:trPr>
        <w:tc>
          <w:tcPr>
            <w:tcW w:w="5500" w:type="dxa"/>
            <w:vAlign w:val="bottom"/>
            <w:shd w:val="clear" w:color="auto" w:fill="EEEEEE"/>
          </w:tcPr>
          <w:p>
            <w:pPr>
              <w:spacing w:after="0"/>
              <w:rPr>
                <w:sz w:val="20"/>
                <w:szCs w:val="20"/>
                <w:color w:val="auto"/>
              </w:rPr>
            </w:pPr>
            <w:r>
              <w:rPr>
                <w:rFonts w:ascii="Arial" w:cs="Arial" w:eastAsia="Arial" w:hAnsi="Arial"/>
                <w:sz w:val="18"/>
                <w:szCs w:val="18"/>
                <w:color w:val="auto"/>
              </w:rPr>
              <w:t>Other</w:t>
            </w:r>
          </w:p>
        </w:tc>
        <w:tc>
          <w:tcPr>
            <w:tcW w:w="380" w:type="dxa"/>
            <w:vAlign w:val="bottom"/>
            <w:shd w:val="clear" w:color="auto" w:fill="EEEEEE"/>
          </w:tcPr>
          <w:p>
            <w:pPr>
              <w:spacing w:after="0"/>
              <w:rPr>
                <w:sz w:val="19"/>
                <w:szCs w:val="19"/>
                <w:color w:val="auto"/>
              </w:rPr>
            </w:pPr>
          </w:p>
        </w:tc>
        <w:tc>
          <w:tcPr>
            <w:tcW w:w="15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65</w:t>
            </w:r>
          </w:p>
        </w:tc>
        <w:tc>
          <w:tcPr>
            <w:tcW w:w="680" w:type="dxa"/>
            <w:vAlign w:val="bottom"/>
            <w:shd w:val="clear" w:color="auto" w:fill="EEEEEE"/>
          </w:tcPr>
          <w:p>
            <w:pPr>
              <w:spacing w:after="0"/>
              <w:rPr>
                <w:sz w:val="19"/>
                <w:szCs w:val="19"/>
                <w:color w:val="auto"/>
              </w:rPr>
            </w:pPr>
          </w:p>
        </w:tc>
        <w:tc>
          <w:tcPr>
            <w:tcW w:w="9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58</w:t>
            </w:r>
          </w:p>
        </w:tc>
        <w:tc>
          <w:tcPr>
            <w:tcW w:w="100" w:type="dxa"/>
            <w:vAlign w:val="bottom"/>
            <w:shd w:val="clear" w:color="auto" w:fill="EEEEEE"/>
          </w:tcPr>
          <w:p>
            <w:pPr>
              <w:spacing w:after="0"/>
              <w:rPr>
                <w:sz w:val="19"/>
                <w:szCs w:val="19"/>
                <w:color w:val="auto"/>
              </w:rPr>
            </w:pPr>
          </w:p>
        </w:tc>
      </w:tr>
      <w:tr>
        <w:trPr>
          <w:trHeight w:val="223"/>
        </w:trPr>
        <w:tc>
          <w:tcPr>
            <w:tcW w:w="5500" w:type="dxa"/>
            <w:vAlign w:val="bottom"/>
          </w:tcPr>
          <w:p>
            <w:pPr>
              <w:spacing w:after="0"/>
              <w:rPr>
                <w:sz w:val="20"/>
                <w:szCs w:val="20"/>
                <w:color w:val="auto"/>
              </w:rPr>
            </w:pPr>
            <w:r>
              <w:rPr>
                <w:rFonts w:ascii="Arial" w:cs="Arial" w:eastAsia="Arial" w:hAnsi="Arial"/>
                <w:sz w:val="18"/>
                <w:szCs w:val="18"/>
                <w:color w:val="auto"/>
              </w:rPr>
              <w:t>Other income for the period</w:t>
            </w: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2,385</w:t>
            </w:r>
          </w:p>
        </w:tc>
        <w:tc>
          <w:tcPr>
            <w:tcW w:w="3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ind w:right="5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2,657</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55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January 1, 2018, the Company adopted Accounting Standards Codification (“ASC”) Topic 606, “Revenue from Contracts with Customers”. The majority of the Company’s revenues come from interest income which is outside the scope of ASC 606. The Company’s services that fall within the scope of ASC 606 are presented within Other Income and are recognized as revenue as the Company satisfies its obligation to the customer. Services within the scope of ASC 606 include revenue associated with direct mail and other related products and services that we offer to our dealers.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Effective January 1, 2019, the Company adopted guidance Accounting Standards Update (“ASU 2016-02”) Topic 842, “Leases” using the modified retrospective transition method. Prior comparable periods are presented accordance with previous guidance under Accounting Standards Codification (“ASC”) Topic 840, “Leases.” The Company also elected the package of practical expedients, which allows the Company to not reassess if expired or existing contracts contain leases, to not reassess lease classifications for any expired or existing leases and to not reassess existing leases initial direct costs.</w:t>
      </w:r>
    </w:p>
    <w:p>
      <w:pPr>
        <w:spacing w:after="0" w:line="15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determine if a contract contains a lease at contract inception. Right-of-use assets and liabilities are recognized based on the present value of lease payments over the lease term. In determining the present value of lease payments, we use the Company’s incremental borrowing rate. Right-of-use assets are included in other assets and lease liabilities are included in accounts payable and accrued expenses in our Unaudited Condensed Consolidated Balance Sheet at March 31, 2019.</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has operating leases for corporate offices, equipment, software and hardware. The Company has entered into operating leases for the majority of its real estate locations, primarily office space. These leases are generally for periods of three to seven years with various renewal options. The depreciable life of leased assets is limited by the expected lease term. Leases with an initial term of 12 months or less are not recorded on the balance sheet and the related lease expense is recognized on a straight-line basis over the lease term.</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260" w:type="dxa"/>
            <w:vAlign w:val="bottom"/>
          </w:tcPr>
          <w:p>
            <w:pPr>
              <w:ind w:left="640"/>
              <w:spacing w:after="0"/>
              <w:rPr>
                <w:sz w:val="20"/>
                <w:szCs w:val="20"/>
                <w:color w:val="auto"/>
              </w:rPr>
            </w:pPr>
            <w:r>
              <w:rPr>
                <w:rFonts w:ascii="Arial" w:cs="Arial" w:eastAsia="Arial" w:hAnsi="Arial"/>
                <w:sz w:val="18"/>
                <w:szCs w:val="18"/>
                <w:color w:val="auto"/>
                <w:w w:val="91"/>
              </w:rPr>
              <w:t>The following table presents the supplemental balance sheet information related to leases:</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3"/>
              </w:rPr>
              <w:t>Three Months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9"/>
              </w:rPr>
              <w:t>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2"/>
              </w:rPr>
              <w:t>March 31, 2019</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0"/>
              </w:rPr>
              <w:t>(In thousands)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b w:val="1"/>
                <w:bCs w:val="1"/>
                <w:color w:val="auto"/>
              </w:rPr>
              <w:t>Operating Leases</w:t>
            </w:r>
          </w:p>
        </w:tc>
        <w:tc>
          <w:tcPr>
            <w:tcW w:w="140" w:type="dxa"/>
            <w:vAlign w:val="bottom"/>
            <w:tcBorders>
              <w:top w:val="single" w:sz="8" w:color="EEEEEE"/>
            </w:tcBorders>
            <w:shd w:val="clear" w:color="auto" w:fill="EEEEEE"/>
          </w:tcPr>
          <w:p>
            <w:pPr>
              <w:spacing w:after="0"/>
              <w:rPr>
                <w:sz w:val="18"/>
                <w:szCs w:val="18"/>
                <w:color w:val="auto"/>
              </w:rPr>
            </w:pPr>
          </w:p>
        </w:tc>
        <w:tc>
          <w:tcPr>
            <w:tcW w:w="20" w:type="dxa"/>
            <w:vAlign w:val="bottom"/>
            <w:tcBorders>
              <w:top w:val="single" w:sz="8" w:color="auto"/>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1440" w:type="dxa"/>
            <w:vAlign w:val="bottom"/>
            <w:tcBorders>
              <w:top w:val="single" w:sz="8" w:color="auto"/>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160"/>
              <w:spacing w:after="0"/>
              <w:rPr>
                <w:sz w:val="20"/>
                <w:szCs w:val="20"/>
                <w:color w:val="auto"/>
              </w:rPr>
            </w:pPr>
            <w:r>
              <w:rPr>
                <w:rFonts w:ascii="Arial" w:cs="Arial" w:eastAsia="Arial" w:hAnsi="Arial"/>
                <w:sz w:val="18"/>
                <w:szCs w:val="18"/>
                <w:color w:val="auto"/>
              </w:rPr>
              <w:t>Operating lease right-of-use assets</w:t>
            </w:r>
          </w:p>
        </w:tc>
        <w:tc>
          <w:tcPr>
            <w:tcW w:w="3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23,555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Less: Accumulated amortization right-of-use assets</w:t>
            </w:r>
          </w:p>
        </w:tc>
        <w:tc>
          <w:tcPr>
            <w:tcW w:w="14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560" w:type="dxa"/>
            <w:vAlign w:val="bottom"/>
            <w:gridSpan w:val="3"/>
            <w:shd w:val="clear" w:color="auto" w:fill="EEEEEE"/>
          </w:tcPr>
          <w:p>
            <w:pPr>
              <w:jc w:val="right"/>
              <w:ind w:right="60"/>
              <w:spacing w:after="0"/>
              <w:rPr>
                <w:sz w:val="20"/>
                <w:szCs w:val="20"/>
                <w:color w:val="auto"/>
              </w:rPr>
            </w:pPr>
            <w:r>
              <w:rPr>
                <w:rFonts w:ascii="Arial" w:cs="Arial" w:eastAsia="Arial" w:hAnsi="Arial"/>
                <w:sz w:val="18"/>
                <w:szCs w:val="18"/>
                <w:color w:val="auto"/>
              </w:rPr>
              <w:t>(1,686)</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260" w:type="dxa"/>
            <w:vAlign w:val="bottom"/>
            <w:tcBorders>
              <w:bottom w:val="single" w:sz="8" w:color="EEEEEE"/>
            </w:tcBorders>
          </w:tcPr>
          <w:p>
            <w:pPr>
              <w:ind w:left="160"/>
              <w:spacing w:after="0"/>
              <w:rPr>
                <w:sz w:val="20"/>
                <w:szCs w:val="20"/>
                <w:color w:val="auto"/>
              </w:rPr>
            </w:pPr>
            <w:r>
              <w:rPr>
                <w:rFonts w:ascii="Arial" w:cs="Arial" w:eastAsia="Arial" w:hAnsi="Arial"/>
                <w:sz w:val="18"/>
                <w:szCs w:val="18"/>
                <w:color w:val="auto"/>
              </w:rPr>
              <w:t>Operating lease right-of-use assets, net</w:t>
            </w:r>
          </w:p>
        </w:tc>
        <w:tc>
          <w:tcPr>
            <w:tcW w:w="140" w:type="dxa"/>
            <w:vAlign w:val="bottom"/>
            <w:tcBorders>
              <w:bottom w:val="single" w:sz="8" w:color="EEEEEE"/>
            </w:tcBorders>
          </w:tcPr>
          <w:p>
            <w:pPr>
              <w:spacing w:after="0"/>
              <w:rPr>
                <w:sz w:val="22"/>
                <w:szCs w:val="22"/>
                <w:color w:val="auto"/>
              </w:rPr>
            </w:pPr>
          </w:p>
        </w:tc>
        <w:tc>
          <w:tcPr>
            <w:tcW w:w="16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21,869</w:t>
            </w:r>
          </w:p>
        </w:tc>
        <w:tc>
          <w:tcPr>
            <w:tcW w:w="20" w:type="dxa"/>
            <w:vAlign w:val="bottom"/>
            <w:tcBorders>
              <w:bottom w:val="single" w:sz="8" w:color="EEEEEE"/>
            </w:tcBorders>
          </w:tcPr>
          <w:p>
            <w:pPr>
              <w:spacing w:after="0"/>
              <w:rPr>
                <w:sz w:val="22"/>
                <w:szCs w:val="22"/>
                <w:color w:val="auto"/>
              </w:rPr>
            </w:pPr>
          </w:p>
        </w:tc>
        <w:tc>
          <w:tcPr>
            <w:tcW w:w="100" w:type="dxa"/>
            <w:vAlign w:val="bottom"/>
            <w:tcBorders>
              <w:bottom w:val="single" w:sz="8" w:color="EEEEEE"/>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260" w:type="dxa"/>
            <w:vAlign w:val="bottom"/>
            <w:tcBorders>
              <w:bottom w:val="single" w:sz="8" w:color="EEEEEE"/>
            </w:tcBorders>
            <w:shd w:val="clear" w:color="auto" w:fill="EEEEEE"/>
          </w:tcPr>
          <w:p>
            <w:pPr>
              <w:ind w:left="160"/>
              <w:spacing w:after="0" w:line="190" w:lineRule="exact"/>
              <w:rPr>
                <w:sz w:val="20"/>
                <w:szCs w:val="20"/>
                <w:color w:val="auto"/>
              </w:rPr>
            </w:pPr>
            <w:r>
              <w:rPr>
                <w:rFonts w:ascii="Arial" w:cs="Arial" w:eastAsia="Arial" w:hAnsi="Arial"/>
                <w:sz w:val="18"/>
                <w:szCs w:val="18"/>
                <w:color w:val="auto"/>
              </w:rPr>
              <w:t>Operating lease liabilities</w:t>
            </w:r>
          </w:p>
        </w:tc>
        <w:tc>
          <w:tcPr>
            <w:tcW w:w="140" w:type="dxa"/>
            <w:vAlign w:val="bottom"/>
            <w:tcBorders>
              <w:bottom w:val="single" w:sz="8" w:color="EEEEEE"/>
            </w:tcBorders>
            <w:shd w:val="clear" w:color="auto" w:fill="EEEEEE"/>
          </w:tcPr>
          <w:p>
            <w:pPr>
              <w:spacing w:after="0"/>
              <w:rPr>
                <w:sz w:val="17"/>
                <w:szCs w:val="17"/>
                <w:color w:val="auto"/>
              </w:rPr>
            </w:pPr>
          </w:p>
        </w:tc>
        <w:tc>
          <w:tcPr>
            <w:tcW w:w="160" w:type="dxa"/>
            <w:vAlign w:val="bottom"/>
            <w:tcBorders>
              <w:bottom w:val="single" w:sz="8" w:color="auto"/>
            </w:tcBorders>
            <w:gridSpan w:val="2"/>
            <w:shd w:val="clear" w:color="auto" w:fill="EEEEEE"/>
          </w:tcPr>
          <w:p>
            <w:pPr>
              <w:jc w:val="right"/>
              <w:ind w:right="60"/>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EEEEEE"/>
          </w:tcPr>
          <w:p>
            <w:pPr>
              <w:jc w:val="right"/>
              <w:spacing w:after="0" w:line="196" w:lineRule="exact"/>
              <w:rPr>
                <w:sz w:val="20"/>
                <w:szCs w:val="20"/>
                <w:color w:val="auto"/>
              </w:rPr>
            </w:pPr>
            <w:r>
              <w:rPr>
                <w:rFonts w:ascii="Arial" w:cs="Arial" w:eastAsia="Arial" w:hAnsi="Arial"/>
                <w:sz w:val="18"/>
                <w:szCs w:val="18"/>
                <w:color w:val="auto"/>
              </w:rPr>
              <w:t>23,327</w:t>
            </w:r>
          </w:p>
        </w:tc>
        <w:tc>
          <w:tcPr>
            <w:tcW w:w="20" w:type="dxa"/>
            <w:vAlign w:val="bottom"/>
            <w:tcBorders>
              <w:bottom w:val="single" w:sz="8" w:color="EEEEEE"/>
            </w:tcBorders>
            <w:shd w:val="clear" w:color="auto" w:fill="EEEEEE"/>
          </w:tcPr>
          <w:p>
            <w:pPr>
              <w:spacing w:after="0"/>
              <w:rPr>
                <w:sz w:val="17"/>
                <w:szCs w:val="17"/>
                <w:color w:val="auto"/>
              </w:rPr>
            </w:pPr>
          </w:p>
        </w:tc>
        <w:tc>
          <w:tcPr>
            <w:tcW w:w="100" w:type="dxa"/>
            <w:vAlign w:val="bottom"/>
            <w:tcBorders>
              <w:bottom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vMerge w:val="restart"/>
          </w:tcPr>
          <w:p>
            <w:pPr>
              <w:spacing w:after="0"/>
              <w:rPr>
                <w:sz w:val="19"/>
                <w:szCs w:val="19"/>
                <w:color w:val="auto"/>
              </w:rPr>
            </w:pPr>
          </w:p>
        </w:tc>
        <w:tc>
          <w:tcPr>
            <w:tcW w:w="7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Finance Leases</w:t>
            </w:r>
          </w:p>
        </w:tc>
        <w:tc>
          <w:tcPr>
            <w:tcW w:w="1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160"/>
              <w:spacing w:after="0"/>
              <w:rPr>
                <w:sz w:val="20"/>
                <w:szCs w:val="20"/>
                <w:color w:val="auto"/>
              </w:rPr>
            </w:pPr>
            <w:r>
              <w:rPr>
                <w:rFonts w:ascii="Arial" w:cs="Arial" w:eastAsia="Arial" w:hAnsi="Arial"/>
                <w:sz w:val="18"/>
                <w:szCs w:val="18"/>
                <w:color w:val="auto"/>
              </w:rPr>
              <w:t>Property and equipment, at cost</w:t>
            </w:r>
          </w:p>
        </w:tc>
        <w:tc>
          <w:tcPr>
            <w:tcW w:w="3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5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Less: Accumulated depreciation</w:t>
            </w:r>
          </w:p>
        </w:tc>
        <w:tc>
          <w:tcPr>
            <w:tcW w:w="14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560" w:type="dxa"/>
            <w:vAlign w:val="bottom"/>
            <w:gridSpan w:val="3"/>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260" w:type="dxa"/>
            <w:vAlign w:val="bottom"/>
            <w:tcBorders>
              <w:bottom w:val="single" w:sz="8" w:color="EEEEEE"/>
            </w:tcBorders>
          </w:tcPr>
          <w:p>
            <w:pPr>
              <w:ind w:left="160"/>
              <w:spacing w:after="0"/>
              <w:rPr>
                <w:sz w:val="20"/>
                <w:szCs w:val="20"/>
                <w:color w:val="auto"/>
              </w:rPr>
            </w:pPr>
            <w:r>
              <w:rPr>
                <w:rFonts w:ascii="Arial" w:cs="Arial" w:eastAsia="Arial" w:hAnsi="Arial"/>
                <w:sz w:val="18"/>
                <w:szCs w:val="18"/>
                <w:color w:val="auto"/>
              </w:rPr>
              <w:t>Property and equipment, net</w:t>
            </w:r>
          </w:p>
        </w:tc>
        <w:tc>
          <w:tcPr>
            <w:tcW w:w="140" w:type="dxa"/>
            <w:vAlign w:val="bottom"/>
            <w:tcBorders>
              <w:bottom w:val="single" w:sz="8" w:color="EEEEEE"/>
            </w:tcBorders>
          </w:tcPr>
          <w:p>
            <w:pPr>
              <w:spacing w:after="0"/>
              <w:rPr>
                <w:sz w:val="22"/>
                <w:szCs w:val="22"/>
                <w:color w:val="auto"/>
              </w:rPr>
            </w:pPr>
          </w:p>
        </w:tc>
        <w:tc>
          <w:tcPr>
            <w:tcW w:w="16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EEEEEE"/>
            </w:tcBorders>
          </w:tcPr>
          <w:p>
            <w:pPr>
              <w:spacing w:after="0"/>
              <w:rPr>
                <w:sz w:val="22"/>
                <w:szCs w:val="22"/>
                <w:color w:val="auto"/>
              </w:rPr>
            </w:pPr>
          </w:p>
        </w:tc>
        <w:tc>
          <w:tcPr>
            <w:tcW w:w="100" w:type="dxa"/>
            <w:vAlign w:val="bottom"/>
            <w:tcBorders>
              <w:bottom w:val="single" w:sz="8" w:color="EEEEEE"/>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260" w:type="dxa"/>
            <w:vAlign w:val="bottom"/>
            <w:tcBorders>
              <w:bottom w:val="single" w:sz="8" w:color="EEEEEE"/>
            </w:tcBorders>
            <w:shd w:val="clear" w:color="auto" w:fill="EEEEEE"/>
          </w:tcPr>
          <w:p>
            <w:pPr>
              <w:ind w:left="160"/>
              <w:spacing w:after="0" w:line="190" w:lineRule="exact"/>
              <w:rPr>
                <w:sz w:val="20"/>
                <w:szCs w:val="20"/>
                <w:color w:val="auto"/>
              </w:rPr>
            </w:pPr>
            <w:r>
              <w:rPr>
                <w:rFonts w:ascii="Arial" w:cs="Arial" w:eastAsia="Arial" w:hAnsi="Arial"/>
                <w:sz w:val="18"/>
                <w:szCs w:val="18"/>
                <w:color w:val="auto"/>
              </w:rPr>
              <w:t>Finance lease liabilities</w:t>
            </w:r>
          </w:p>
        </w:tc>
        <w:tc>
          <w:tcPr>
            <w:tcW w:w="140" w:type="dxa"/>
            <w:vAlign w:val="bottom"/>
            <w:tcBorders>
              <w:bottom w:val="single" w:sz="8" w:color="EEEEEE"/>
            </w:tcBorders>
            <w:shd w:val="clear" w:color="auto" w:fill="EEEEEE"/>
          </w:tcPr>
          <w:p>
            <w:pPr>
              <w:spacing w:after="0"/>
              <w:rPr>
                <w:sz w:val="17"/>
                <w:szCs w:val="17"/>
                <w:color w:val="auto"/>
              </w:rPr>
            </w:pPr>
          </w:p>
        </w:tc>
        <w:tc>
          <w:tcPr>
            <w:tcW w:w="160" w:type="dxa"/>
            <w:vAlign w:val="bottom"/>
            <w:tcBorders>
              <w:bottom w:val="single" w:sz="8" w:color="auto"/>
            </w:tcBorders>
            <w:gridSpan w:val="2"/>
            <w:shd w:val="clear" w:color="auto" w:fill="EEEEEE"/>
          </w:tcPr>
          <w:p>
            <w:pPr>
              <w:jc w:val="right"/>
              <w:ind w:right="60"/>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EEEEEE"/>
          </w:tcPr>
          <w:p>
            <w:pPr>
              <w:jc w:val="right"/>
              <w:spacing w:after="0" w:line="196" w:lineRule="exact"/>
              <w:rPr>
                <w:sz w:val="20"/>
                <w:szCs w:val="20"/>
                <w:color w:val="auto"/>
              </w:rPr>
            </w:pPr>
            <w:r>
              <w:rPr>
                <w:rFonts w:ascii="Arial" w:cs="Arial" w:eastAsia="Arial" w:hAnsi="Arial"/>
                <w:sz w:val="18"/>
                <w:szCs w:val="18"/>
                <w:color w:val="auto"/>
              </w:rPr>
              <w:t>–</w:t>
            </w:r>
          </w:p>
        </w:tc>
        <w:tc>
          <w:tcPr>
            <w:tcW w:w="20" w:type="dxa"/>
            <w:vAlign w:val="bottom"/>
            <w:tcBorders>
              <w:bottom w:val="single" w:sz="8" w:color="EEEEEE"/>
            </w:tcBorders>
            <w:shd w:val="clear" w:color="auto" w:fill="EEEEEE"/>
          </w:tcPr>
          <w:p>
            <w:pPr>
              <w:spacing w:after="0"/>
              <w:rPr>
                <w:sz w:val="17"/>
                <w:szCs w:val="17"/>
                <w:color w:val="auto"/>
              </w:rPr>
            </w:pPr>
          </w:p>
        </w:tc>
        <w:tc>
          <w:tcPr>
            <w:tcW w:w="100" w:type="dxa"/>
            <w:vAlign w:val="bottom"/>
            <w:tcBorders>
              <w:bottom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vMerge w:val="restart"/>
          </w:tcPr>
          <w:p>
            <w:pPr>
              <w:spacing w:after="0"/>
              <w:rPr>
                <w:sz w:val="19"/>
                <w:szCs w:val="19"/>
                <w:color w:val="auto"/>
              </w:rPr>
            </w:pPr>
          </w:p>
        </w:tc>
        <w:tc>
          <w:tcPr>
            <w:tcW w:w="7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Weighted Average Discount Rate</w:t>
            </w:r>
          </w:p>
        </w:tc>
        <w:tc>
          <w:tcPr>
            <w:tcW w:w="1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Operating lease</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7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Maturities of lease liabilities were as follows:</w:t>
            </w:r>
          </w:p>
        </w:tc>
        <w:tc>
          <w:tcPr>
            <w:tcW w:w="1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(In thousands)</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EEEEEE"/>
          </w:tcPr>
          <w:p>
            <w:pPr>
              <w:spacing w:after="0"/>
              <w:rPr>
                <w:sz w:val="20"/>
                <w:szCs w:val="20"/>
                <w:color w:val="auto"/>
              </w:rPr>
            </w:pPr>
            <w:r>
              <w:rPr>
                <w:rFonts w:ascii="Arial" w:cs="Arial" w:eastAsia="Arial" w:hAnsi="Arial"/>
                <w:sz w:val="18"/>
                <w:szCs w:val="18"/>
                <w:color w:val="auto"/>
              </w:rPr>
              <w:t>Year Ending December 31,</w:t>
            </w:r>
          </w:p>
        </w:tc>
        <w:tc>
          <w:tcPr>
            <w:tcW w:w="1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160"/>
              <w:spacing w:after="0"/>
              <w:rPr>
                <w:sz w:val="20"/>
                <w:szCs w:val="20"/>
                <w:color w:val="auto"/>
              </w:rPr>
            </w:pPr>
            <w:r>
              <w:rPr>
                <w:rFonts w:ascii="Arial" w:cs="Arial" w:eastAsia="Arial" w:hAnsi="Arial"/>
                <w:sz w:val="18"/>
                <w:szCs w:val="18"/>
                <w:color w:val="auto"/>
              </w:rPr>
              <w:t>2019 (excluding the three months ended March 31, 2019)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5,699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2020</w:t>
            </w:r>
          </w:p>
        </w:tc>
        <w:tc>
          <w:tcPr>
            <w:tcW w:w="1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7,500</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160"/>
              <w:spacing w:after="0"/>
              <w:rPr>
                <w:sz w:val="20"/>
                <w:szCs w:val="20"/>
                <w:color w:val="auto"/>
              </w:rPr>
            </w:pPr>
            <w:r>
              <w:rPr>
                <w:rFonts w:ascii="Arial" w:cs="Arial" w:eastAsia="Arial" w:hAnsi="Arial"/>
                <w:sz w:val="18"/>
                <w:szCs w:val="18"/>
                <w:color w:val="auto"/>
              </w:rPr>
              <w:t>2021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7,391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2022</w:t>
            </w:r>
          </w:p>
        </w:tc>
        <w:tc>
          <w:tcPr>
            <w:tcW w:w="1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6,125</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160"/>
              <w:spacing w:after="0"/>
              <w:rPr>
                <w:sz w:val="20"/>
                <w:szCs w:val="20"/>
                <w:color w:val="auto"/>
              </w:rPr>
            </w:pPr>
            <w:r>
              <w:rPr>
                <w:rFonts w:ascii="Arial" w:cs="Arial" w:eastAsia="Arial" w:hAnsi="Arial"/>
                <w:sz w:val="18"/>
                <w:szCs w:val="18"/>
                <w:color w:val="auto"/>
              </w:rPr>
              <w:t>2023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1,389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Thereafter</w:t>
            </w:r>
          </w:p>
        </w:tc>
        <w:tc>
          <w:tcPr>
            <w:tcW w:w="14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4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689</w:t>
            </w:r>
          </w:p>
        </w:tc>
        <w:tc>
          <w:tcPr>
            <w:tcW w:w="1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tcPr>
          <w:p>
            <w:pPr>
              <w:ind w:left="160"/>
              <w:spacing w:after="0"/>
              <w:rPr>
                <w:sz w:val="20"/>
                <w:szCs w:val="20"/>
                <w:color w:val="auto"/>
              </w:rPr>
            </w:pPr>
            <w:r>
              <w:rPr>
                <w:rFonts w:ascii="Arial" w:cs="Arial" w:eastAsia="Arial" w:hAnsi="Arial"/>
                <w:sz w:val="18"/>
                <w:szCs w:val="18"/>
                <w:color w:val="auto"/>
              </w:rPr>
              <w:t>Total undiscounted lease payments</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28,793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Less amounts representing interest</w:t>
            </w:r>
          </w:p>
        </w:tc>
        <w:tc>
          <w:tcPr>
            <w:tcW w:w="14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560" w:type="dxa"/>
            <w:vAlign w:val="bottom"/>
            <w:gridSpan w:val="3"/>
            <w:shd w:val="clear" w:color="auto" w:fill="EEEEEE"/>
          </w:tcPr>
          <w:p>
            <w:pPr>
              <w:jc w:val="right"/>
              <w:ind w:right="60"/>
              <w:spacing w:after="0"/>
              <w:rPr>
                <w:sz w:val="20"/>
                <w:szCs w:val="20"/>
                <w:color w:val="auto"/>
              </w:rPr>
            </w:pPr>
            <w:r>
              <w:rPr>
                <w:rFonts w:ascii="Arial" w:cs="Arial" w:eastAsia="Arial" w:hAnsi="Arial"/>
                <w:sz w:val="18"/>
                <w:szCs w:val="18"/>
                <w:color w:val="auto"/>
              </w:rPr>
              <w:t>(5,466)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60" w:type="dxa"/>
            <w:vAlign w:val="bottom"/>
          </w:tcPr>
          <w:p>
            <w:pPr>
              <w:ind w:left="160"/>
              <w:spacing w:after="0"/>
              <w:rPr>
                <w:sz w:val="20"/>
                <w:szCs w:val="20"/>
                <w:color w:val="auto"/>
              </w:rPr>
            </w:pPr>
            <w:r>
              <w:rPr>
                <w:rFonts w:ascii="Arial" w:cs="Arial" w:eastAsia="Arial" w:hAnsi="Arial"/>
                <w:sz w:val="18"/>
                <w:szCs w:val="18"/>
                <w:color w:val="auto"/>
              </w:rPr>
              <w:t>Lease Liability</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23,327</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presents the leases expense included in Occupancy, General and administrative on our Unaudited Condensed Consolidated Statement of Operations:</w:t>
      </w:r>
    </w:p>
    <w:p>
      <w:pPr>
        <w:sectPr>
          <w:pgSz w:w="11900" w:h="16838" w:orient="portrait"/>
          <w:cols w:equalWidth="0" w:num="1">
            <w:col w:w="11420"/>
          </w:cols>
          <w:pgMar w:left="240" w:top="79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5"/>
          <w:szCs w:val="15"/>
          <w:color w:val="auto"/>
        </w:rPr>
        <w:t>Operating lease cost</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color w:val="auto"/>
        </w:rPr>
        <w:t>Finance lease cost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Total lease cost</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jc w:val="center"/>
        <w:ind w:right="240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right="2400"/>
        <w:spacing w:after="0"/>
        <w:rPr>
          <w:sz w:val="20"/>
          <w:szCs w:val="20"/>
          <w:color w:val="auto"/>
        </w:rPr>
      </w:pPr>
      <w:r>
        <w:rPr>
          <w:rFonts w:ascii="Arial" w:cs="Arial" w:eastAsia="Arial" w:hAnsi="Arial"/>
          <w:sz w:val="18"/>
          <w:szCs w:val="18"/>
          <w:b w:val="1"/>
          <w:bCs w:val="1"/>
          <w:color w:val="auto"/>
        </w:rPr>
        <w:t>March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32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2018</w:t>
            </w:r>
          </w:p>
        </w:tc>
      </w:tr>
      <w:tr>
        <w:trPr>
          <w:trHeight w:val="195"/>
        </w:trPr>
        <w:tc>
          <w:tcPr>
            <w:tcW w:w="340" w:type="dxa"/>
            <w:vAlign w:val="bottom"/>
          </w:tcPr>
          <w:p>
            <w:pPr>
              <w:spacing w:after="0"/>
              <w:rPr>
                <w:sz w:val="16"/>
                <w:szCs w:val="16"/>
                <w:color w:val="auto"/>
              </w:rPr>
            </w:pPr>
          </w:p>
        </w:tc>
        <w:tc>
          <w:tcPr>
            <w:tcW w:w="2080" w:type="dxa"/>
            <w:vAlign w:val="bottom"/>
            <w:gridSpan w:val="3"/>
          </w:tcPr>
          <w:p>
            <w:pPr>
              <w:jc w:val="right"/>
              <w:ind w:right="25"/>
              <w:spacing w:after="0" w:line="195" w:lineRule="exact"/>
              <w:rPr>
                <w:sz w:val="20"/>
                <w:szCs w:val="20"/>
                <w:color w:val="auto"/>
              </w:rPr>
            </w:pPr>
            <w:r>
              <w:rPr>
                <w:rFonts w:ascii="Arial" w:cs="Arial" w:eastAsia="Arial" w:hAnsi="Arial"/>
                <w:sz w:val="18"/>
                <w:szCs w:val="18"/>
                <w:b w:val="1"/>
                <w:bCs w:val="1"/>
                <w:color w:val="auto"/>
              </w:rPr>
              <w:t>(In thousands)</w:t>
            </w:r>
          </w:p>
        </w:tc>
        <w:tc>
          <w:tcPr>
            <w:tcW w:w="1100" w:type="dxa"/>
            <w:vAlign w:val="bottom"/>
          </w:tcPr>
          <w:p>
            <w:pPr>
              <w:spacing w:after="0"/>
              <w:rPr>
                <w:sz w:val="16"/>
                <w:szCs w:val="16"/>
                <w:color w:val="auto"/>
              </w:rPr>
            </w:pPr>
          </w:p>
        </w:tc>
      </w:tr>
      <w:tr>
        <w:trPr>
          <w:trHeight w:val="230"/>
        </w:trPr>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1,889</w:t>
            </w:r>
          </w:p>
        </w:tc>
        <w:tc>
          <w:tcPr>
            <w:tcW w:w="520" w:type="dxa"/>
            <w:vAlign w:val="bottom"/>
          </w:tcPr>
          <w:p>
            <w:pPr>
              <w:jc w:val="right"/>
              <w:ind w:right="365"/>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1,710</w:t>
            </w:r>
          </w:p>
        </w:tc>
      </w:tr>
      <w:tr>
        <w:trPr>
          <w:trHeight w:val="230"/>
        </w:trPr>
        <w:tc>
          <w:tcPr>
            <w:tcW w:w="340" w:type="dxa"/>
            <w:vAlign w:val="bottom"/>
          </w:tcPr>
          <w:p>
            <w:pPr>
              <w:spacing w:after="0"/>
              <w:rPr>
                <w:sz w:val="20"/>
                <w:szCs w:val="20"/>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1,889</w:t>
            </w:r>
          </w:p>
        </w:tc>
        <w:tc>
          <w:tcPr>
            <w:tcW w:w="32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6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1,710</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-462280</wp:posOffset>
            </wp:positionV>
            <wp:extent cx="579755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97550" cy="137160"/>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-179705</wp:posOffset>
            </wp:positionV>
            <wp:extent cx="5797550" cy="163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9755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780" w:space="720"/>
            <w:col w:w="5920"/>
          </w:cols>
          <w:pgMar w:left="240" w:top="796" w:right="239" w:bottom="1440" w:gutter="0" w:footer="0" w:header="0"/>
          <w:type w:val="continuous"/>
        </w:sectPr>
      </w:pP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supplemental cash flow information related to leases:</w:t>
      </w:r>
    </w:p>
    <w:p>
      <w:pPr>
        <w:spacing w:after="0" w:line="221" w:lineRule="exact"/>
        <w:rPr>
          <w:sz w:val="20"/>
          <w:szCs w:val="20"/>
          <w:color w:val="auto"/>
        </w:rPr>
      </w:pPr>
    </w:p>
    <w:p>
      <w:pPr>
        <w:jc w:val="center"/>
        <w:ind w:left="2740"/>
        <w:spacing w:after="0"/>
        <w:rPr>
          <w:sz w:val="20"/>
          <w:szCs w:val="20"/>
          <w:color w:val="auto"/>
        </w:rPr>
      </w:pPr>
      <w:r>
        <w:rPr>
          <w:rFonts w:ascii="Arial" w:cs="Arial" w:eastAsia="Arial" w:hAnsi="Arial"/>
          <w:sz w:val="18"/>
          <w:szCs w:val="18"/>
          <w:b w:val="1"/>
          <w:bCs w:val="1"/>
          <w:color w:val="auto"/>
        </w:rPr>
        <w:t>Three Months</w:t>
      </w:r>
    </w:p>
    <w:p>
      <w:pPr>
        <w:spacing w:after="0" w:line="27" w:lineRule="exact"/>
        <w:rPr>
          <w:sz w:val="20"/>
          <w:szCs w:val="20"/>
          <w:color w:val="auto"/>
        </w:rPr>
      </w:pPr>
    </w:p>
    <w:p>
      <w:pPr>
        <w:jc w:val="center"/>
        <w:ind w:left="2740"/>
        <w:spacing w:after="0"/>
        <w:rPr>
          <w:sz w:val="20"/>
          <w:szCs w:val="20"/>
          <w:color w:val="auto"/>
        </w:rPr>
      </w:pPr>
      <w:r>
        <w:rPr>
          <w:rFonts w:ascii="Arial" w:cs="Arial" w:eastAsia="Arial" w:hAnsi="Arial"/>
          <w:sz w:val="18"/>
          <w:szCs w:val="18"/>
          <w:b w:val="1"/>
          <w:bCs w:val="1"/>
          <w:color w:val="auto"/>
        </w:rPr>
        <w:t>Ended</w:t>
      </w:r>
    </w:p>
    <w:p>
      <w:pPr>
        <w:spacing w:after="0" w:line="9" w:lineRule="exact"/>
        <w:rPr>
          <w:sz w:val="20"/>
          <w:szCs w:val="20"/>
          <w:color w:val="auto"/>
        </w:rPr>
      </w:pPr>
    </w:p>
    <w:p>
      <w:pPr>
        <w:ind w:left="6480"/>
        <w:spacing w:after="0"/>
        <w:rPr>
          <w:sz w:val="20"/>
          <w:szCs w:val="20"/>
          <w:color w:val="auto"/>
        </w:rPr>
      </w:pPr>
      <w:r>
        <w:rPr>
          <w:rFonts w:ascii="Arial" w:cs="Arial" w:eastAsia="Arial" w:hAnsi="Arial"/>
          <w:sz w:val="18"/>
          <w:szCs w:val="18"/>
          <w:b w:val="1"/>
          <w:bCs w:val="1"/>
          <w:color w:val="auto"/>
        </w:rPr>
        <w:t>March 31, 2019</w:t>
      </w:r>
    </w:p>
    <w:p>
      <w:pPr>
        <w:spacing w:after="0" w:line="23" w:lineRule="exact"/>
        <w:rPr>
          <w:sz w:val="20"/>
          <w:szCs w:val="20"/>
          <w:color w:val="auto"/>
        </w:rPr>
      </w:pPr>
    </w:p>
    <w:p>
      <w:pPr>
        <w:ind w:left="6520"/>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-130810</wp:posOffset>
            </wp:positionV>
            <wp:extent cx="102044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20445" cy="8890"/>
                    </a:xfrm>
                    <a:prstGeom prst="rect">
                      <a:avLst/>
                    </a:prstGeom>
                    <a:noFill/>
                  </pic:spPr>
                </pic:pic>
              </a:graphicData>
            </a:graphic>
          </wp:anchor>
        </w:drawing>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w w:val="95"/>
              </w:rPr>
              <w:t>Cash paid for amounts included in the measurement of lease liabilities:</w:t>
            </w:r>
          </w:p>
        </w:tc>
        <w:tc>
          <w:tcPr>
            <w:tcW w:w="1060" w:type="dxa"/>
            <w:vAlign w:val="bottom"/>
            <w:shd w:val="clear" w:color="auto" w:fill="EEEEEE"/>
          </w:tcPr>
          <w:p>
            <w:pPr>
              <w:spacing w:after="0"/>
              <w:rPr>
                <w:sz w:val="17"/>
                <w:szCs w:val="17"/>
                <w:color w:val="auto"/>
              </w:rPr>
            </w:pPr>
          </w:p>
        </w:tc>
        <w:tc>
          <w:tcPr>
            <w:tcW w:w="1060" w:type="dxa"/>
            <w:vAlign w:val="bottom"/>
            <w:shd w:val="clear" w:color="auto" w:fill="EEEEEE"/>
          </w:tcPr>
          <w:p>
            <w:pPr>
              <w:spacing w:after="0"/>
              <w:rPr>
                <w:sz w:val="17"/>
                <w:szCs w:val="17"/>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Operating cash flows from operating leases</w:t>
            </w:r>
          </w:p>
        </w:tc>
        <w:tc>
          <w:tcPr>
            <w:tcW w:w="106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1,886</w:t>
            </w:r>
          </w:p>
        </w:tc>
      </w:tr>
      <w:tr>
        <w:trPr>
          <w:trHeight w:val="216"/>
        </w:trPr>
        <w:tc>
          <w:tcPr>
            <w:tcW w:w="5860" w:type="dxa"/>
            <w:vAlign w:val="bottom"/>
            <w:shd w:val="clear" w:color="auto" w:fill="EEEEEE"/>
          </w:tcPr>
          <w:p>
            <w:pPr>
              <w:spacing w:after="0"/>
              <w:rPr>
                <w:sz w:val="20"/>
                <w:szCs w:val="20"/>
                <w:color w:val="auto"/>
              </w:rPr>
            </w:pPr>
            <w:r>
              <w:rPr>
                <w:rFonts w:ascii="Arial" w:cs="Arial" w:eastAsia="Arial" w:hAnsi="Arial"/>
                <w:sz w:val="18"/>
                <w:szCs w:val="18"/>
                <w:color w:val="auto"/>
              </w:rPr>
              <w:t>Operating cash flows from finance leases</w:t>
            </w:r>
          </w:p>
        </w:tc>
        <w:tc>
          <w:tcPr>
            <w:tcW w:w="1060" w:type="dxa"/>
            <w:vAlign w:val="bottom"/>
            <w:shd w:val="clear" w:color="auto" w:fill="EEEEEE"/>
          </w:tcPr>
          <w:p>
            <w:pPr>
              <w:spacing w:after="0"/>
              <w:rPr>
                <w:sz w:val="18"/>
                <w:szCs w:val="18"/>
                <w:color w:val="auto"/>
              </w:rPr>
            </w:pPr>
          </w:p>
        </w:tc>
        <w:tc>
          <w:tcPr>
            <w:tcW w:w="106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Financing cash flows from finance leases</w:t>
            </w:r>
          </w:p>
        </w:tc>
        <w:tc>
          <w:tcPr>
            <w:tcW w:w="106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418"/>
        </w:trPr>
        <w:tc>
          <w:tcPr>
            <w:tcW w:w="5860" w:type="dxa"/>
            <w:vAlign w:val="bottom"/>
          </w:tcPr>
          <w:p>
            <w:pPr>
              <w:spacing w:after="0"/>
              <w:rPr>
                <w:sz w:val="20"/>
                <w:szCs w:val="20"/>
                <w:color w:val="auto"/>
              </w:rPr>
            </w:pPr>
            <w:r>
              <w:rPr>
                <w:rFonts w:ascii="Arial" w:cs="Arial" w:eastAsia="Arial" w:hAnsi="Arial"/>
                <w:sz w:val="18"/>
                <w:szCs w:val="18"/>
                <w:b w:val="1"/>
                <w:bCs w:val="1"/>
                <w:color w:val="auto"/>
              </w:rPr>
              <w:t>Stock-based Compensation</w:t>
            </w:r>
          </w:p>
        </w:tc>
        <w:tc>
          <w:tcPr>
            <w:tcW w:w="106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recognize compensation costs in the financial statements for all share-based payments based on the grant date fair value estimated in accordance with the provisions of ASC 718 “Stock Compensation”.</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the three months ended March 31, 2019 and 2018, we recorded stock-based compensation costs in the amount of $638,000 and $1.2 million, respectively. As of March 31, 2019, unrecognized stock-based compensation costs to be recognized over future periods equaled $3.0 million. This amount will be recognized as expense over a weighted-average period of 1.8 years.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represents stock option activity for the three months ended March 31, 2019: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19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Number of</w:t>
            </w:r>
          </w:p>
        </w:tc>
        <w:tc>
          <w:tcPr>
            <w:tcW w:w="180" w:type="dxa"/>
            <w:vAlign w:val="bottom"/>
          </w:tcPr>
          <w:p>
            <w:pPr>
              <w:spacing w:after="0"/>
              <w:rPr>
                <w:sz w:val="18"/>
                <w:szCs w:val="18"/>
                <w:color w:val="auto"/>
              </w:rPr>
            </w:pPr>
          </w:p>
        </w:tc>
        <w:tc>
          <w:tcPr>
            <w:tcW w:w="174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8"/>
              </w:rPr>
              <w:t>Weighted</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19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Shares</w:t>
            </w:r>
          </w:p>
        </w:tc>
        <w:tc>
          <w:tcPr>
            <w:tcW w:w="180" w:type="dxa"/>
            <w:vAlign w:val="bottom"/>
          </w:tcPr>
          <w:p>
            <w:pPr>
              <w:spacing w:after="0"/>
              <w:rPr>
                <w:sz w:val="19"/>
                <w:szCs w:val="19"/>
                <w:color w:val="auto"/>
              </w:rPr>
            </w:pPr>
          </w:p>
        </w:tc>
        <w:tc>
          <w:tcPr>
            <w:tcW w:w="174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0"/>
              </w:rPr>
              <w:t>Average</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820" w:type="dxa"/>
            <w:vAlign w:val="bottom"/>
          </w:tcPr>
          <w:p>
            <w:pPr>
              <w:spacing w:after="0"/>
              <w:rPr>
                <w:sz w:val="20"/>
                <w:szCs w:val="20"/>
                <w:color w:val="auto"/>
              </w:rPr>
            </w:pPr>
          </w:p>
        </w:tc>
        <w:tc>
          <w:tcPr>
            <w:tcW w:w="19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(in thousands)</w:t>
            </w:r>
          </w:p>
        </w:tc>
        <w:tc>
          <w:tcPr>
            <w:tcW w:w="180" w:type="dxa"/>
            <w:vAlign w:val="bottom"/>
          </w:tcPr>
          <w:p>
            <w:pPr>
              <w:spacing w:after="0"/>
              <w:rPr>
                <w:sz w:val="20"/>
                <w:szCs w:val="20"/>
                <w:color w:val="auto"/>
              </w:rPr>
            </w:pPr>
          </w:p>
        </w:tc>
        <w:tc>
          <w:tcPr>
            <w:tcW w:w="174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7"/>
              </w:rPr>
              <w:t>Exercise Price</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2"/>
              </w:rPr>
              <w:t>Contractual Term</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Options outstanding at the beginning of period</w:t>
            </w:r>
          </w:p>
        </w:tc>
        <w:tc>
          <w:tcPr>
            <w:tcW w:w="16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14,421</w:t>
            </w:r>
          </w:p>
        </w:tc>
        <w:tc>
          <w:tcPr>
            <w:tcW w:w="36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4.57</w:t>
            </w:r>
          </w:p>
        </w:tc>
        <w:tc>
          <w:tcPr>
            <w:tcW w:w="320" w:type="dxa"/>
            <w:vAlign w:val="bottom"/>
            <w:tcBorders>
              <w:top w:val="single" w:sz="8" w:color="EEEEEE"/>
            </w:tcBorders>
            <w:shd w:val="clear" w:color="auto" w:fill="EEEEEE"/>
          </w:tcPr>
          <w:p>
            <w:pPr>
              <w:spacing w:after="0"/>
              <w:rPr>
                <w:sz w:val="18"/>
                <w:szCs w:val="18"/>
                <w:color w:val="auto"/>
              </w:rPr>
            </w:pPr>
          </w:p>
        </w:tc>
        <w:tc>
          <w:tcPr>
            <w:tcW w:w="170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160"/>
              <w:spacing w:after="0"/>
              <w:rPr>
                <w:sz w:val="20"/>
                <w:szCs w:val="20"/>
                <w:color w:val="auto"/>
              </w:rPr>
            </w:pPr>
            <w:r>
              <w:rPr>
                <w:rFonts w:ascii="Arial" w:cs="Arial" w:eastAsia="Arial" w:hAnsi="Arial"/>
                <w:sz w:val="18"/>
                <w:szCs w:val="18"/>
                <w:color w:val="auto"/>
              </w:rPr>
              <w:t>Granted</w:t>
            </w:r>
          </w:p>
        </w:tc>
        <w:tc>
          <w:tcPr>
            <w:tcW w:w="1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7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EEEEEE"/>
          </w:tcPr>
          <w:p>
            <w:pPr>
              <w:ind w:left="160"/>
              <w:spacing w:after="0"/>
              <w:rPr>
                <w:sz w:val="20"/>
                <w:szCs w:val="20"/>
                <w:color w:val="auto"/>
              </w:rPr>
            </w:pPr>
            <w:r>
              <w:rPr>
                <w:rFonts w:ascii="Arial" w:cs="Arial" w:eastAsia="Arial" w:hAnsi="Arial"/>
                <w:sz w:val="18"/>
                <w:szCs w:val="18"/>
                <w:color w:val="auto"/>
              </w:rPr>
              <w:t>Exercised</w:t>
            </w:r>
          </w:p>
        </w:tc>
        <w:tc>
          <w:tcPr>
            <w:tcW w:w="196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(78)</w:t>
            </w:r>
          </w:p>
        </w:tc>
        <w:tc>
          <w:tcPr>
            <w:tcW w:w="180" w:type="dxa"/>
            <w:vAlign w:val="bottom"/>
            <w:shd w:val="clear" w:color="auto" w:fill="EEEEEE"/>
          </w:tcPr>
          <w:p>
            <w:pPr>
              <w:spacing w:after="0"/>
              <w:rPr>
                <w:sz w:val="18"/>
                <w:szCs w:val="18"/>
                <w:color w:val="auto"/>
              </w:rPr>
            </w:pPr>
          </w:p>
        </w:tc>
        <w:tc>
          <w:tcPr>
            <w:tcW w:w="17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1.23</w:t>
            </w:r>
          </w:p>
        </w:tc>
        <w:tc>
          <w:tcPr>
            <w:tcW w:w="17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2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1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7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Options outstanding at the end of period</w:t>
            </w:r>
          </w:p>
        </w:tc>
        <w:tc>
          <w:tcPr>
            <w:tcW w:w="16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14,343</w:t>
            </w:r>
          </w:p>
        </w:tc>
        <w:tc>
          <w:tcPr>
            <w:tcW w:w="360" w:type="dxa"/>
            <w:vAlign w:val="bottom"/>
            <w:tcBorders>
              <w:top w:val="single" w:sz="8" w:color="EEEEEE"/>
            </w:tcBorders>
            <w:shd w:val="clear" w:color="auto" w:fill="EEEEEE"/>
          </w:tcPr>
          <w:p>
            <w:pPr>
              <w:spacing w:after="0"/>
              <w:rPr>
                <w:sz w:val="19"/>
                <w:szCs w:val="19"/>
                <w:color w:val="auto"/>
              </w:rPr>
            </w:pPr>
          </w:p>
        </w:tc>
        <w:tc>
          <w:tcPr>
            <w:tcW w:w="180" w:type="dxa"/>
            <w:vAlign w:val="bottom"/>
            <w:tcBorders>
              <w:top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EEEEEE"/>
            </w:tcBorders>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4.58</w:t>
            </w:r>
          </w:p>
        </w:tc>
        <w:tc>
          <w:tcPr>
            <w:tcW w:w="1700" w:type="dxa"/>
            <w:vAlign w:val="bottom"/>
            <w:tcBorders>
              <w:top w:val="single" w:sz="8" w:color="EEEEEE"/>
            </w:tcBorders>
            <w:shd w:val="clear" w:color="auto" w:fill="EEEEEE"/>
          </w:tcPr>
          <w:p>
            <w:pPr>
              <w:jc w:val="center"/>
              <w:spacing w:after="0"/>
              <w:rPr>
                <w:sz w:val="20"/>
                <w:szCs w:val="20"/>
                <w:color w:val="auto"/>
              </w:rPr>
            </w:pPr>
            <w:r>
              <w:rPr>
                <w:rFonts w:ascii="Arial" w:cs="Arial" w:eastAsia="Arial" w:hAnsi="Arial"/>
                <w:sz w:val="18"/>
                <w:szCs w:val="18"/>
                <w:color w:val="auto"/>
                <w:w w:val="87"/>
              </w:rPr>
              <w:t>3.67 years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Borders>
              <w:top w:val="single" w:sz="8" w:color="EEEEEE"/>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8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820" w:type="dxa"/>
            <w:vAlign w:val="bottom"/>
            <w:shd w:val="clear" w:color="auto" w:fill="EEEEEE"/>
          </w:tcPr>
          <w:p>
            <w:pPr>
              <w:spacing w:after="0"/>
              <w:rPr>
                <w:sz w:val="20"/>
                <w:szCs w:val="20"/>
                <w:color w:val="auto"/>
              </w:rPr>
            </w:pPr>
            <w:r>
              <w:rPr>
                <w:rFonts w:ascii="Arial" w:cs="Arial" w:eastAsia="Arial" w:hAnsi="Arial"/>
                <w:sz w:val="18"/>
                <w:szCs w:val="18"/>
                <w:color w:val="auto"/>
              </w:rPr>
              <w:t>Options exercisable at the end of period</w:t>
            </w:r>
          </w:p>
        </w:tc>
        <w:tc>
          <w:tcPr>
            <w:tcW w:w="19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10,594</w:t>
            </w: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4.78</w:t>
            </w:r>
          </w:p>
        </w:tc>
        <w:tc>
          <w:tcPr>
            <w:tcW w:w="17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7"/>
              </w:rPr>
              <w:t>3.19 years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Borders>
              <w:top w:val="single" w:sz="8" w:color="EEEEEE"/>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March 31, 2019, the aggregate intrinsic value of options outstanding and exercisable was $6.2 million and $6.2 million, respectively. There were 78,000 options exercised for the three months ended March 31, 2019 compared to 307,850 for the comparable period in 2018. The total intrinsic value of options exercised was $227,000 and $849,000 for the three-month periods ended March 31, 2019 and 2018. There were 2,873,000 shares available for future stock option grants under existing plans as of March 31, 2019.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Company Stock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describes the purchase of our common stock for the three-month ended March 31, 2019 and 2018:</w:t>
      </w:r>
    </w:p>
    <w:p>
      <w:pPr>
        <w:sectPr>
          <w:pgSz w:w="11900" w:h="16838" w:orient="portrait"/>
          <w:cols w:equalWidth="0" w:num="1">
            <w:col w:w="11420"/>
          </w:cols>
          <w:pgMar w:left="240" w:top="79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color w:val="auto"/>
        </w:rPr>
        <w:t>Open market purchases</w:t>
      </w:r>
    </w:p>
    <w:p>
      <w:pPr>
        <w:spacing w:after="0" w:line="23" w:lineRule="exact"/>
        <w:rPr>
          <w:sz w:val="20"/>
          <w:szCs w:val="20"/>
          <w:color w:val="auto"/>
        </w:rPr>
      </w:pPr>
    </w:p>
    <w:p>
      <w:pPr>
        <w:ind w:right="360"/>
        <w:spacing w:after="0" w:line="250" w:lineRule="auto"/>
        <w:rPr>
          <w:sz w:val="20"/>
          <w:szCs w:val="20"/>
          <w:color w:val="auto"/>
        </w:rPr>
      </w:pPr>
      <w:r>
        <w:rPr>
          <w:rFonts w:ascii="Arial" w:cs="Arial" w:eastAsia="Arial" w:hAnsi="Arial"/>
          <w:sz w:val="18"/>
          <w:szCs w:val="18"/>
          <w:color w:val="auto"/>
        </w:rPr>
        <w:t>Shares redeemed upon net exercise of stock options Other purchases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Total stock purchases</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460" w:type="dxa"/>
            <w:vAlign w:val="bottom"/>
            <w:tcBorders>
              <w:top w:val="single" w:sz="8" w:color="auto"/>
            </w:tcBorders>
            <w:gridSpan w:val="5"/>
          </w:tcPr>
          <w:p>
            <w:pPr>
              <w:jc w:val="right"/>
              <w:ind w:right="1320"/>
              <w:spacing w:after="0"/>
              <w:rPr>
                <w:sz w:val="20"/>
                <w:szCs w:val="20"/>
                <w:color w:val="auto"/>
              </w:rPr>
            </w:pPr>
            <w:r>
              <w:rPr>
                <w:rFonts w:ascii="Arial" w:cs="Arial" w:eastAsia="Arial" w:hAnsi="Arial"/>
                <w:sz w:val="18"/>
                <w:szCs w:val="18"/>
                <w:b w:val="1"/>
                <w:bCs w:val="1"/>
                <w:color w:val="auto"/>
              </w:rPr>
              <w:t>March 31, 2019</w:t>
            </w:r>
          </w:p>
        </w:tc>
        <w:tc>
          <w:tcPr>
            <w:tcW w:w="3040" w:type="dxa"/>
            <w:vAlign w:val="bottom"/>
            <w:tcBorders>
              <w:top w:val="single" w:sz="8" w:color="auto"/>
            </w:tcBorders>
            <w:gridSpan w:val="4"/>
          </w:tcPr>
          <w:p>
            <w:pPr>
              <w:jc w:val="right"/>
              <w:ind w:right="850"/>
              <w:spacing w:after="0"/>
              <w:rPr>
                <w:sz w:val="20"/>
                <w:szCs w:val="20"/>
                <w:color w:val="auto"/>
              </w:rPr>
            </w:pPr>
            <w:r>
              <w:rPr>
                <w:rFonts w:ascii="Arial" w:cs="Arial" w:eastAsia="Arial" w:hAnsi="Arial"/>
                <w:sz w:val="18"/>
                <w:szCs w:val="18"/>
                <w:b w:val="1"/>
                <w:bCs w:val="1"/>
                <w:color w:val="auto"/>
              </w:rPr>
              <w:t>March 31, 2018</w:t>
            </w:r>
          </w:p>
        </w:tc>
        <w:tc>
          <w:tcPr>
            <w:tcW w:w="20" w:type="dxa"/>
            <w:vAlign w:val="bottom"/>
          </w:tcPr>
          <w:p>
            <w:pPr>
              <w:spacing w:after="0"/>
              <w:rPr>
                <w:sz w:val="19"/>
                <w:szCs w:val="19"/>
                <w:color w:val="auto"/>
              </w:rPr>
            </w:pPr>
          </w:p>
        </w:tc>
      </w:tr>
      <w:tr>
        <w:trPr>
          <w:trHeight w:val="223"/>
        </w:trPr>
        <w:tc>
          <w:tcPr>
            <w:tcW w:w="1720" w:type="dxa"/>
            <w:vAlign w:val="bottom"/>
            <w:tcBorders>
              <w:top w:val="single" w:sz="8" w:color="auto"/>
            </w:tcBorders>
            <w:gridSpan w:val="2"/>
          </w:tcPr>
          <w:p>
            <w:pPr>
              <w:ind w:left="420"/>
              <w:spacing w:after="0"/>
              <w:rPr>
                <w:sz w:val="20"/>
                <w:szCs w:val="20"/>
                <w:color w:val="auto"/>
              </w:rPr>
            </w:pPr>
            <w:r>
              <w:rPr>
                <w:rFonts w:ascii="Arial" w:cs="Arial" w:eastAsia="Arial" w:hAnsi="Arial"/>
                <w:sz w:val="18"/>
                <w:szCs w:val="18"/>
                <w:b w:val="1"/>
                <w:bCs w:val="1"/>
                <w:color w:val="auto"/>
              </w:rPr>
              <w:t>Shares</w:t>
            </w:r>
          </w:p>
        </w:tc>
        <w:tc>
          <w:tcPr>
            <w:tcW w:w="2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7"/>
              </w:rPr>
              <w:t>Avg. Price</w:t>
            </w:r>
          </w:p>
        </w:tc>
        <w:tc>
          <w:tcPr>
            <w:tcW w:w="360" w:type="dxa"/>
            <w:vAlign w:val="bottom"/>
          </w:tcPr>
          <w:p>
            <w:pPr>
              <w:spacing w:after="0"/>
              <w:rPr>
                <w:sz w:val="19"/>
                <w:szCs w:val="19"/>
                <w:color w:val="auto"/>
              </w:rPr>
            </w:pPr>
          </w:p>
        </w:tc>
        <w:tc>
          <w:tcPr>
            <w:tcW w:w="1680" w:type="dxa"/>
            <w:vAlign w:val="bottom"/>
            <w:tcBorders>
              <w:top w:val="single" w:sz="8" w:color="auto"/>
            </w:tcBorders>
            <w:gridSpan w:val="2"/>
          </w:tcPr>
          <w:p>
            <w:pPr>
              <w:ind w:left="420"/>
              <w:spacing w:after="0"/>
              <w:rPr>
                <w:sz w:val="20"/>
                <w:szCs w:val="20"/>
                <w:color w:val="auto"/>
              </w:rPr>
            </w:pPr>
            <w:r>
              <w:rPr>
                <w:rFonts w:ascii="Arial" w:cs="Arial" w:eastAsia="Arial" w:hAnsi="Arial"/>
                <w:sz w:val="18"/>
                <w:szCs w:val="18"/>
                <w:b w:val="1"/>
                <w:bCs w:val="1"/>
                <w:color w:val="auto"/>
              </w:rPr>
              <w:t>Shares</w:t>
            </w: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7"/>
              </w:rPr>
              <w:t>Avg. Price</w:t>
            </w:r>
          </w:p>
        </w:tc>
        <w:tc>
          <w:tcPr>
            <w:tcW w:w="20" w:type="dxa"/>
            <w:vAlign w:val="bottom"/>
          </w:tcPr>
          <w:p>
            <w:pPr>
              <w:spacing w:after="0"/>
              <w:rPr>
                <w:sz w:val="19"/>
                <w:szCs w:val="19"/>
                <w:color w:val="auto"/>
              </w:rPr>
            </w:pPr>
          </w:p>
        </w:tc>
      </w:tr>
      <w:tr>
        <w:trPr>
          <w:trHeight w:val="195"/>
        </w:trPr>
        <w:tc>
          <w:tcPr>
            <w:tcW w:w="13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335,546</w:t>
            </w:r>
          </w:p>
        </w:tc>
        <w:tc>
          <w:tcPr>
            <w:tcW w:w="340" w:type="dxa"/>
            <w:vAlign w:val="bottom"/>
          </w:tcPr>
          <w:p>
            <w:pPr>
              <w:spacing w:after="0"/>
              <w:rPr>
                <w:sz w:val="16"/>
                <w:szCs w:val="16"/>
                <w:color w:val="auto"/>
              </w:rPr>
            </w:pPr>
          </w:p>
        </w:tc>
        <w:tc>
          <w:tcPr>
            <w:tcW w:w="200" w:type="dxa"/>
            <w:vAlign w:val="bottom"/>
            <w:tcBorders>
              <w:top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3.95</w:t>
            </w:r>
          </w:p>
        </w:tc>
        <w:tc>
          <w:tcPr>
            <w:tcW w:w="360" w:type="dxa"/>
            <w:vAlign w:val="bottom"/>
          </w:tcPr>
          <w:p>
            <w:pPr>
              <w:spacing w:after="0"/>
              <w:rPr>
                <w:sz w:val="16"/>
                <w:szCs w:val="16"/>
                <w:color w:val="auto"/>
              </w:rPr>
            </w:pPr>
          </w:p>
        </w:tc>
        <w:tc>
          <w:tcPr>
            <w:tcW w:w="13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231,181</w:t>
            </w:r>
          </w:p>
        </w:tc>
        <w:tc>
          <w:tcPr>
            <w:tcW w:w="320" w:type="dxa"/>
            <w:vAlign w:val="bottom"/>
          </w:tcPr>
          <w:p>
            <w:pPr>
              <w:spacing w:after="0"/>
              <w:rPr>
                <w:sz w:val="16"/>
                <w:szCs w:val="16"/>
                <w:color w:val="auto"/>
              </w:rPr>
            </w:pPr>
          </w:p>
        </w:tc>
        <w:tc>
          <w:tcPr>
            <w:tcW w:w="1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3.86</w:t>
            </w:r>
          </w:p>
        </w:tc>
        <w:tc>
          <w:tcPr>
            <w:tcW w:w="20" w:type="dxa"/>
            <w:vAlign w:val="bottom"/>
          </w:tcPr>
          <w:p>
            <w:pPr>
              <w:spacing w:after="0"/>
              <w:rPr>
                <w:sz w:val="16"/>
                <w:szCs w:val="16"/>
                <w:color w:val="auto"/>
              </w:rPr>
            </w:pPr>
          </w:p>
        </w:tc>
      </w:tr>
      <w:tr>
        <w:trPr>
          <w:trHeight w:val="230"/>
        </w:trPr>
        <w:tc>
          <w:tcPr>
            <w:tcW w:w="1720" w:type="dxa"/>
            <w:vAlign w:val="bottom"/>
            <w:gridSpan w:val="2"/>
          </w:tcPr>
          <w:p>
            <w:pPr>
              <w:jc w:val="right"/>
              <w:ind w:right="340"/>
              <w:spacing w:after="0"/>
              <w:rPr>
                <w:sz w:val="20"/>
                <w:szCs w:val="20"/>
                <w:color w:val="auto"/>
              </w:rPr>
            </w:pPr>
            <w:r>
              <w:rPr>
                <w:rFonts w:ascii="Arial" w:cs="Arial" w:eastAsia="Arial" w:hAnsi="Arial"/>
                <w:sz w:val="18"/>
                <w:szCs w:val="18"/>
                <w:color w:val="auto"/>
              </w:rPr>
              <w:t>5,500</w:t>
            </w:r>
          </w:p>
        </w:tc>
        <w:tc>
          <w:tcPr>
            <w:tcW w:w="200" w:type="dxa"/>
            <w:vAlign w:val="bottom"/>
          </w:tcPr>
          <w:p>
            <w:pPr>
              <w:spacing w:after="0"/>
              <w:rPr>
                <w:sz w:val="19"/>
                <w:szCs w:val="19"/>
                <w:color w:val="auto"/>
              </w:rPr>
            </w:pPr>
          </w:p>
        </w:tc>
        <w:tc>
          <w:tcPr>
            <w:tcW w:w="1540" w:type="dxa"/>
            <w:vAlign w:val="bottom"/>
            <w:gridSpan w:val="2"/>
          </w:tcPr>
          <w:p>
            <w:pPr>
              <w:jc w:val="right"/>
              <w:ind w:right="360"/>
              <w:spacing w:after="0"/>
              <w:rPr>
                <w:sz w:val="20"/>
                <w:szCs w:val="20"/>
                <w:color w:val="auto"/>
              </w:rPr>
            </w:pPr>
            <w:r>
              <w:rPr>
                <w:rFonts w:ascii="Arial" w:cs="Arial" w:eastAsia="Arial" w:hAnsi="Arial"/>
                <w:sz w:val="18"/>
                <w:szCs w:val="18"/>
                <w:color w:val="auto"/>
              </w:rPr>
              <w:t>4.20</w:t>
            </w:r>
          </w:p>
        </w:tc>
        <w:tc>
          <w:tcPr>
            <w:tcW w:w="1680" w:type="dxa"/>
            <w:vAlign w:val="bottom"/>
            <w:gridSpan w:val="2"/>
          </w:tcPr>
          <w:p>
            <w:pPr>
              <w:jc w:val="right"/>
              <w:ind w:right="320"/>
              <w:spacing w:after="0"/>
              <w:rPr>
                <w:sz w:val="20"/>
                <w:szCs w:val="20"/>
                <w:color w:val="auto"/>
              </w:rPr>
            </w:pPr>
            <w:r>
              <w:rPr>
                <w:rFonts w:ascii="Arial" w:cs="Arial" w:eastAsia="Arial" w:hAnsi="Arial"/>
                <w:sz w:val="18"/>
                <w:szCs w:val="18"/>
                <w:color w:val="auto"/>
              </w:rPr>
              <w:t>33,599</w:t>
            </w:r>
          </w:p>
        </w:tc>
        <w:tc>
          <w:tcPr>
            <w:tcW w:w="18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4.37</w:t>
            </w:r>
          </w:p>
        </w:tc>
      </w:tr>
      <w:tr>
        <w:trPr>
          <w:trHeight w:val="230"/>
        </w:trPr>
        <w:tc>
          <w:tcPr>
            <w:tcW w:w="1720" w:type="dxa"/>
            <w:vAlign w:val="bottom"/>
            <w:gridSpan w:val="2"/>
          </w:tcPr>
          <w:p>
            <w:pPr>
              <w:jc w:val="right"/>
              <w:ind w:right="340"/>
              <w:spacing w:after="0"/>
              <w:rPr>
                <w:sz w:val="20"/>
                <w:szCs w:val="20"/>
                <w:color w:val="auto"/>
              </w:rPr>
            </w:pPr>
            <w:r>
              <w:rPr>
                <w:rFonts w:ascii="Arial" w:cs="Arial" w:eastAsia="Arial" w:hAnsi="Arial"/>
                <w:sz w:val="18"/>
                <w:szCs w:val="18"/>
                <w:color w:val="auto"/>
              </w:rPr>
              <w:t>24,500</w:t>
            </w:r>
          </w:p>
        </w:tc>
        <w:tc>
          <w:tcPr>
            <w:tcW w:w="200" w:type="dxa"/>
            <w:vAlign w:val="bottom"/>
          </w:tcPr>
          <w:p>
            <w:pPr>
              <w:spacing w:after="0"/>
              <w:rPr>
                <w:sz w:val="20"/>
                <w:szCs w:val="20"/>
                <w:color w:val="auto"/>
              </w:rPr>
            </w:pPr>
          </w:p>
        </w:tc>
        <w:tc>
          <w:tcPr>
            <w:tcW w:w="1540" w:type="dxa"/>
            <w:vAlign w:val="bottom"/>
            <w:gridSpan w:val="2"/>
          </w:tcPr>
          <w:p>
            <w:pPr>
              <w:jc w:val="right"/>
              <w:ind w:right="360"/>
              <w:spacing w:after="0"/>
              <w:rPr>
                <w:sz w:val="20"/>
                <w:szCs w:val="20"/>
                <w:color w:val="auto"/>
              </w:rPr>
            </w:pPr>
            <w:r>
              <w:rPr>
                <w:rFonts w:ascii="Arial" w:cs="Arial" w:eastAsia="Arial" w:hAnsi="Arial"/>
                <w:sz w:val="18"/>
                <w:szCs w:val="18"/>
                <w:color w:val="auto"/>
              </w:rPr>
              <w:t>4.20</w:t>
            </w:r>
          </w:p>
        </w:tc>
        <w:tc>
          <w:tcPr>
            <w:tcW w:w="1680" w:type="dxa"/>
            <w:vAlign w:val="bottom"/>
            <w:gridSpan w:val="2"/>
          </w:tcPr>
          <w:p>
            <w:pPr>
              <w:jc w:val="right"/>
              <w:ind w:right="320"/>
              <w:spacing w:after="0"/>
              <w:rPr>
                <w:sz w:val="20"/>
                <w:szCs w:val="20"/>
                <w:color w:val="auto"/>
              </w:rPr>
            </w:pPr>
            <w:r>
              <w:rPr>
                <w:rFonts w:ascii="Arial" w:cs="Arial" w:eastAsia="Arial" w:hAnsi="Arial"/>
                <w:sz w:val="18"/>
                <w:szCs w:val="18"/>
                <w:color w:val="auto"/>
              </w:rPr>
              <w:t>90,000</w:t>
            </w:r>
          </w:p>
        </w:tc>
        <w:tc>
          <w:tcPr>
            <w:tcW w:w="18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4.13</w:t>
            </w:r>
          </w:p>
        </w:tc>
      </w:tr>
      <w:tr>
        <w:trPr>
          <w:trHeight w:val="223"/>
        </w:trPr>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365,546</w:t>
            </w:r>
          </w:p>
        </w:tc>
        <w:tc>
          <w:tcPr>
            <w:tcW w:w="3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w:t>
            </w:r>
          </w:p>
        </w:tc>
        <w:tc>
          <w:tcPr>
            <w:tcW w:w="36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354,780</w:t>
            </w:r>
          </w:p>
        </w:tc>
        <w:tc>
          <w:tcPr>
            <w:tcW w:w="3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3.97</w:t>
            </w:r>
          </w:p>
        </w:tc>
      </w:tr>
      <w:tr>
        <w:trPr>
          <w:trHeight w:val="20"/>
        </w:trPr>
        <w:tc>
          <w:tcPr>
            <w:tcW w:w="13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-3054985</wp:posOffset>
            </wp:positionH>
            <wp:positionV relativeFrom="paragraph">
              <wp:posOffset>-608330</wp:posOffset>
            </wp:positionV>
            <wp:extent cx="724662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-3054985</wp:posOffset>
            </wp:positionH>
            <wp:positionV relativeFrom="paragraph">
              <wp:posOffset>-325120</wp:posOffset>
            </wp:positionV>
            <wp:extent cx="724662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100" w:space="720"/>
            <w:col w:w="6600"/>
          </w:cols>
          <w:pgMar w:left="240" w:top="796" w:right="239" w:bottom="1440" w:gutter="0" w:footer="0" w:header="0"/>
          <w:type w:val="continuous"/>
        </w:sect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Some items in the prior year financial statements were reclassified to conform to the current presentation. Reclassifications had no effect on net income or shareholders’ equity.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Covenants</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Certain of our securitization transactions, our warehouse credit facilities and our residual interest financing contain various financial covenants requiring minimum financial ratios and results. Such covenants include maintaining minimum levels of liquidity and net worth and not exceeding maximum leverage levels. As of March 31, 2019, we were in compliance with all such covenants. In addition, certain of our debt agreements other than our term securitizations contain cross-default provisions. Such cross-default provisions would allow the respective creditors to declare a default if an event of default occurred with respect to other indebtedness of ours, but only if such other event of default were to be accompanied by acceleration of such other indebtedness.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Contingent Liabilities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are routinely involved in various legal proceedings resulting from our consumer finance activities and practices, both continuing and discontinued. Our legal counsel has advised us on such matters where, based on information available at the time of this report, there is an indication that it is both probable that a liability has been incurred and the amount of the loss can be reasonably determined.</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record at each measurement date, most recently as of March 31, 2019, our best estimate of probable incurred losses for legal contingencies. The amount of losses that may ultimately be incurred cannot be estimated with certainty.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New Accounting Standards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February 2016, the FASB issued ASU No. 2016-02, Leases (Topic 842) (“ASU 2016-02”), which modifies lease accounting for lessees to increase transparency and comparability by recording lease assets and liabilities for operating leases and disclosing key information about leasing arrangements. We have adopted ASU 2016-02 effective January 1, 2019 utilizing the modified retrospective transition method. The lease liability and right-of-use asset, net balance as of March 31, 2019, respectively, was $23.3 million and $21.9 million. This entry to the Unaudited Condensed Consolidated Balance Sheets had no material impact to its Condensed Consolidated Statements of Operations.</w:t>
      </w:r>
    </w:p>
    <w:p>
      <w:pPr>
        <w:spacing w:after="0" w:line="188" w:lineRule="exact"/>
        <w:rPr>
          <w:sz w:val="20"/>
          <w:szCs w:val="20"/>
          <w:color w:val="auto"/>
        </w:rPr>
      </w:pPr>
    </w:p>
    <w:p>
      <w:pPr>
        <w:ind w:left="920" w:hanging="264"/>
        <w:spacing w:after="0"/>
        <w:tabs>
          <w:tab w:leader="none" w:pos="9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Finance Receivables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portfolio of finance receivables consists of small-balance homogeneous contracts comprising a single segment and class that is collectively evaluated for impairment on a portfolio basis according to delinquency status. Our contract purchase guidelines are designed to produce a homogenous portfolio. For key terms such as interest rate, length of contract, monthly payment and amount financed, there is relatively little variation from the average for the portfolio. We report delinquency on a contractual basis. Once a contract becomes greater than 90 days delinquent, we do not recognize additional interest income until the obligor under the contract makes sufficient payments to be less than 90 days delinquent. Any payments received on a contract that is greater than 90 days delinquent are first applied to accrued interest and then to principal reduction.</w:t>
      </w:r>
    </w:p>
    <w:p>
      <w:pPr>
        <w:spacing w:after="0" w:line="17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January 2018 the Company adopted the fair value method of accounting for finance receivables acquired after 2017. Finance receivables measured at fair value are recorded separately on the Company’s Balance Sheet and are excluded from all tables in this footnote.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components of Finance Receivables, net of unearned interest: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March 31,</w:t>
            </w:r>
          </w:p>
        </w:tc>
        <w:tc>
          <w:tcPr>
            <w:tcW w:w="180" w:type="dxa"/>
            <w:vAlign w:val="bottom"/>
          </w:tcPr>
          <w:p>
            <w:pPr>
              <w:spacing w:after="0"/>
              <w:rPr>
                <w:sz w:val="19"/>
                <w:szCs w:val="19"/>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5500" w:type="dxa"/>
            <w:vAlign w:val="bottom"/>
            <w:gridSpan w:val="2"/>
            <w:vMerge w:val="restart"/>
          </w:tcPr>
          <w:p>
            <w:pPr>
              <w:spacing w:after="0"/>
              <w:rPr>
                <w:sz w:val="20"/>
                <w:szCs w:val="20"/>
                <w:color w:val="auto"/>
              </w:rPr>
            </w:pPr>
            <w:r>
              <w:rPr>
                <w:rFonts w:ascii="Arial" w:cs="Arial" w:eastAsia="Arial" w:hAnsi="Arial"/>
                <w:sz w:val="18"/>
                <w:szCs w:val="18"/>
                <w:color w:val="auto"/>
              </w:rPr>
              <w:t>Finance receivables</w:t>
            </w: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3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50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3280" w:type="dxa"/>
            <w:vAlign w:val="bottom"/>
            <w:gridSpan w:val="4"/>
          </w:tcPr>
          <w:p>
            <w:pPr>
              <w:jc w:val="right"/>
              <w:ind w:right="1110"/>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5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EEEEEE"/>
          </w:tcPr>
          <w:p>
            <w:pPr>
              <w:spacing w:after="0"/>
              <w:rPr>
                <w:sz w:val="20"/>
                <w:szCs w:val="20"/>
                <w:color w:val="auto"/>
              </w:rPr>
            </w:pPr>
            <w:r>
              <w:rPr>
                <w:rFonts w:ascii="Arial" w:cs="Arial" w:eastAsia="Arial" w:hAnsi="Arial"/>
                <w:sz w:val="18"/>
                <w:szCs w:val="18"/>
                <w:color w:val="auto"/>
              </w:rPr>
              <w:t>Automobile finance receivables, net of unearned interest</w:t>
            </w:r>
          </w:p>
        </w:tc>
        <w:tc>
          <w:tcPr>
            <w:tcW w:w="240" w:type="dxa"/>
            <w:vAlign w:val="bottom"/>
            <w:shd w:val="clear" w:color="auto" w:fill="EEEEEE"/>
          </w:tcPr>
          <w:p>
            <w:pPr>
              <w:jc w:val="right"/>
              <w:ind w:right="85"/>
              <w:spacing w:after="0"/>
              <w:rPr>
                <w:sz w:val="20"/>
                <w:szCs w:val="20"/>
                <w:color w:val="auto"/>
              </w:rPr>
            </w:pPr>
            <w:r>
              <w:rPr>
                <w:rFonts w:ascii="Arial" w:cs="Arial" w:eastAsia="Arial" w:hAnsi="Arial"/>
                <w:sz w:val="15"/>
                <w:szCs w:val="15"/>
                <w:color w:val="auto"/>
                <w:w w:val="71"/>
              </w:rPr>
              <w:t>$</w:t>
            </w:r>
          </w:p>
        </w:tc>
        <w:tc>
          <w:tcPr>
            <w:tcW w:w="16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1,341,131</w:t>
            </w:r>
          </w:p>
        </w:tc>
        <w:tc>
          <w:tcPr>
            <w:tcW w:w="180" w:type="dxa"/>
            <w:vAlign w:val="bottom"/>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1,518,395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Unearned acquisition fees and originations costs</w:t>
            </w:r>
          </w:p>
        </w:tc>
        <w:tc>
          <w:tcPr>
            <w:tcW w:w="240" w:type="dxa"/>
            <w:vAlign w:val="bottom"/>
          </w:tcPr>
          <w:p>
            <w:pPr>
              <w:spacing w:after="0"/>
              <w:rPr>
                <w:sz w:val="19"/>
                <w:szCs w:val="19"/>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3,229</w:t>
            </w:r>
          </w:p>
        </w:tc>
        <w:tc>
          <w:tcPr>
            <w:tcW w:w="180" w:type="dxa"/>
            <w:vAlign w:val="bottom"/>
          </w:tcPr>
          <w:p>
            <w:pPr>
              <w:spacing w:after="0"/>
              <w:rPr>
                <w:sz w:val="19"/>
                <w:szCs w:val="19"/>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3,690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Finance receivables</w:t>
            </w:r>
          </w:p>
        </w:tc>
        <w:tc>
          <w:tcPr>
            <w:tcW w:w="240" w:type="dxa"/>
            <w:vAlign w:val="bottom"/>
            <w:tcBorders>
              <w:top w:val="single" w:sz="8" w:color="auto"/>
              <w:bottom w:val="single" w:sz="8" w:color="auto"/>
            </w:tcBorders>
            <w:shd w:val="clear" w:color="auto" w:fill="EEEEEE"/>
          </w:tcPr>
          <w:p>
            <w:pPr>
              <w:jc w:val="right"/>
              <w:ind w:right="8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1,344,360</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1,522,085</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consider an automobile contract delinquent when an obligor fails to make at least 90% of a contractually due payment by the following due date, which date may have been extended within limits specified in the servicing agreements. The period of delinquency is based on the number of days payments are contractually past due, as extended where applicable. Automobile contracts less than 31 days delinquent are not included. In certain circumstances we will grant obligors one-month payment extensions to assist them with temporary cash flow problems. The only modification of terms is to advance the obligor’s next due date by one month and extend the maturity date of the receivable by one month. In certain limited cases, a two-month extension may be granted. There are no other concessions such as a reduction in interest rate, forgiveness of principal or of accrued interest. Accordingly, we consider such extensions to be insignificant delays in payments rather than troubled debt restructurings. The following table summarizes the delinquency status of finance receivables as of March 31, 2019 and December 31, 2018:</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March 31,</w:t>
            </w:r>
          </w:p>
        </w:tc>
        <w:tc>
          <w:tcPr>
            <w:tcW w:w="180" w:type="dxa"/>
            <w:vAlign w:val="bottom"/>
          </w:tcPr>
          <w:p>
            <w:pPr>
              <w:spacing w:after="0"/>
              <w:rPr>
                <w:sz w:val="19"/>
                <w:szCs w:val="19"/>
                <w:color w:val="auto"/>
              </w:rPr>
            </w:pPr>
          </w:p>
        </w:tc>
        <w:tc>
          <w:tcPr>
            <w:tcW w:w="1560" w:type="dxa"/>
            <w:vAlign w:val="bottom"/>
            <w:gridSpan w:val="3"/>
          </w:tcPr>
          <w:p>
            <w:pPr>
              <w:ind w:left="10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40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3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0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80" w:type="dxa"/>
            <w:vAlign w:val="bottom"/>
            <w:gridSpan w:val="4"/>
          </w:tcPr>
          <w:p>
            <w:pPr>
              <w:jc w:val="right"/>
              <w:ind w:right="1110"/>
              <w:spacing w:after="0"/>
              <w:rPr>
                <w:sz w:val="20"/>
                <w:szCs w:val="20"/>
                <w:color w:val="auto"/>
              </w:rPr>
            </w:pPr>
            <w:r>
              <w:rPr>
                <w:rFonts w:ascii="Arial" w:cs="Arial" w:eastAsia="Arial" w:hAnsi="Arial"/>
                <w:sz w:val="18"/>
                <w:szCs w:val="18"/>
                <w:b w:val="1"/>
                <w:bCs w:val="1"/>
                <w:color w:val="auto"/>
              </w:rPr>
              <w:t>(In thousands)</w:t>
            </w:r>
          </w:p>
        </w:tc>
        <w:tc>
          <w:tcPr>
            <w:tcW w:w="120" w:type="dxa"/>
            <w:vAlign w:val="bottom"/>
            <w:gridSpan w:val="2"/>
          </w:tcPr>
          <w:p>
            <w:pPr>
              <w:spacing w:after="0"/>
              <w:rPr>
                <w:sz w:val="18"/>
                <w:szCs w:val="18"/>
                <w:color w:val="auto"/>
              </w:rPr>
            </w:pPr>
          </w:p>
        </w:tc>
      </w:tr>
      <w:tr>
        <w:trPr>
          <w:trHeight w:val="216"/>
        </w:trPr>
        <w:tc>
          <w:tcPr>
            <w:tcW w:w="55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Delinquency Status</w:t>
            </w:r>
          </w:p>
        </w:tc>
        <w:tc>
          <w:tcPr>
            <w:tcW w:w="240" w:type="dxa"/>
            <w:vAlign w:val="bottom"/>
            <w:shd w:val="clear" w:color="auto" w:fill="EEEEEE"/>
          </w:tcPr>
          <w:p>
            <w:pPr>
              <w:spacing w:after="0"/>
              <w:rPr>
                <w:sz w:val="18"/>
                <w:szCs w:val="18"/>
                <w:color w:val="auto"/>
              </w:rPr>
            </w:pPr>
          </w:p>
        </w:tc>
        <w:tc>
          <w:tcPr>
            <w:tcW w:w="13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Current</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1,136,824</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1,262,730</w:t>
            </w:r>
          </w:p>
        </w:tc>
        <w:tc>
          <w:tcPr>
            <w:tcW w:w="100" w:type="dxa"/>
            <w:vAlign w:val="bottom"/>
          </w:tcPr>
          <w:p>
            <w:pPr>
              <w:spacing w:after="0"/>
              <w:rPr>
                <w:sz w:val="18"/>
                <w:szCs w:val="18"/>
                <w:color w:val="auto"/>
              </w:rPr>
            </w:pPr>
          </w:p>
        </w:tc>
      </w:tr>
      <w:tr>
        <w:trPr>
          <w:trHeight w:val="216"/>
        </w:trPr>
        <w:tc>
          <w:tcPr>
            <w:tcW w:w="400" w:type="dxa"/>
            <w:vAlign w:val="bottom"/>
            <w:shd w:val="clear" w:color="auto" w:fill="EEEEEE"/>
          </w:tcPr>
          <w:p>
            <w:pPr>
              <w:ind w:left="180"/>
              <w:spacing w:after="0"/>
              <w:rPr>
                <w:sz w:val="20"/>
                <w:szCs w:val="20"/>
                <w:color w:val="auto"/>
              </w:rPr>
            </w:pPr>
            <w:r>
              <w:rPr>
                <w:rFonts w:ascii="Arial" w:cs="Arial" w:eastAsia="Arial" w:hAnsi="Arial"/>
                <w:sz w:val="18"/>
                <w:szCs w:val="18"/>
                <w:color w:val="auto"/>
                <w:w w:val="99"/>
              </w:rPr>
              <w:t>31</w:t>
            </w:r>
          </w:p>
        </w:tc>
        <w:tc>
          <w:tcPr>
            <w:tcW w:w="5100" w:type="dxa"/>
            <w:vAlign w:val="bottom"/>
            <w:shd w:val="clear" w:color="auto" w:fill="EEEEEE"/>
          </w:tcPr>
          <w:p>
            <w:pPr>
              <w:ind w:left="20"/>
              <w:spacing w:after="0"/>
              <w:rPr>
                <w:sz w:val="20"/>
                <w:szCs w:val="20"/>
                <w:color w:val="auto"/>
              </w:rPr>
            </w:pPr>
            <w:r>
              <w:rPr>
                <w:rFonts w:ascii="Arial" w:cs="Arial" w:eastAsia="Arial" w:hAnsi="Arial"/>
                <w:sz w:val="18"/>
                <w:szCs w:val="18"/>
                <w:color w:val="auto"/>
              </w:rPr>
              <w:t>- 60 days</w:t>
            </w:r>
          </w:p>
        </w:tc>
        <w:tc>
          <w:tcPr>
            <w:tcW w:w="24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121,505</w:t>
            </w:r>
          </w:p>
        </w:tc>
        <w:tc>
          <w:tcPr>
            <w:tcW w:w="18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157,688</w:t>
            </w:r>
          </w:p>
        </w:tc>
        <w:tc>
          <w:tcPr>
            <w:tcW w:w="100" w:type="dxa"/>
            <w:vAlign w:val="bottom"/>
            <w:shd w:val="clear" w:color="auto" w:fill="EEEEEE"/>
          </w:tcPr>
          <w:p>
            <w:pPr>
              <w:spacing w:after="0"/>
              <w:rPr>
                <w:sz w:val="18"/>
                <w:szCs w:val="18"/>
                <w:color w:val="auto"/>
              </w:rPr>
            </w:pPr>
          </w:p>
        </w:tc>
      </w:tr>
      <w:tr>
        <w:trPr>
          <w:trHeight w:val="216"/>
        </w:trPr>
        <w:tc>
          <w:tcPr>
            <w:tcW w:w="400" w:type="dxa"/>
            <w:vAlign w:val="bottom"/>
          </w:tcPr>
          <w:p>
            <w:pPr>
              <w:ind w:left="180"/>
              <w:spacing w:after="0"/>
              <w:rPr>
                <w:sz w:val="20"/>
                <w:szCs w:val="20"/>
                <w:color w:val="auto"/>
              </w:rPr>
            </w:pPr>
            <w:r>
              <w:rPr>
                <w:rFonts w:ascii="Arial" w:cs="Arial" w:eastAsia="Arial" w:hAnsi="Arial"/>
                <w:sz w:val="18"/>
                <w:szCs w:val="18"/>
                <w:color w:val="auto"/>
                <w:w w:val="99"/>
              </w:rPr>
              <w:t>61</w:t>
            </w:r>
          </w:p>
        </w:tc>
        <w:tc>
          <w:tcPr>
            <w:tcW w:w="5100" w:type="dxa"/>
            <w:vAlign w:val="bottom"/>
          </w:tcPr>
          <w:p>
            <w:pPr>
              <w:ind w:left="20"/>
              <w:spacing w:after="0"/>
              <w:rPr>
                <w:sz w:val="20"/>
                <w:szCs w:val="20"/>
                <w:color w:val="auto"/>
              </w:rPr>
            </w:pPr>
            <w:r>
              <w:rPr>
                <w:rFonts w:ascii="Arial" w:cs="Arial" w:eastAsia="Arial" w:hAnsi="Arial"/>
                <w:sz w:val="18"/>
                <w:szCs w:val="18"/>
                <w:color w:val="auto"/>
              </w:rPr>
              <w:t>- 90 days</w:t>
            </w:r>
          </w:p>
        </w:tc>
        <w:tc>
          <w:tcPr>
            <w:tcW w:w="24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56,654</w:t>
            </w:r>
          </w:p>
        </w:tc>
        <w:tc>
          <w:tcPr>
            <w:tcW w:w="180" w:type="dxa"/>
            <w:vAlign w:val="bottom"/>
          </w:tcPr>
          <w:p>
            <w:pPr>
              <w:spacing w:after="0"/>
              <w:rPr>
                <w:sz w:val="18"/>
                <w:szCs w:val="18"/>
                <w:color w:val="auto"/>
              </w:rPr>
            </w:pPr>
          </w:p>
        </w:tc>
        <w:tc>
          <w:tcPr>
            <w:tcW w:w="1560" w:type="dxa"/>
            <w:vAlign w:val="bottom"/>
            <w:gridSpan w:val="3"/>
          </w:tcPr>
          <w:p>
            <w:pPr>
              <w:jc w:val="right"/>
              <w:ind w:right="120"/>
              <w:spacing w:after="0"/>
              <w:rPr>
                <w:sz w:val="20"/>
                <w:szCs w:val="20"/>
                <w:color w:val="auto"/>
              </w:rPr>
            </w:pPr>
            <w:r>
              <w:rPr>
                <w:rFonts w:ascii="Arial" w:cs="Arial" w:eastAsia="Arial" w:hAnsi="Arial"/>
                <w:sz w:val="18"/>
                <w:szCs w:val="18"/>
                <w:color w:val="auto"/>
              </w:rPr>
              <w:t>66,134</w:t>
            </w:r>
          </w:p>
        </w:tc>
      </w:tr>
      <w:tr>
        <w:trPr>
          <w:trHeight w:val="230"/>
        </w:trPr>
        <w:tc>
          <w:tcPr>
            <w:tcW w:w="400" w:type="dxa"/>
            <w:vAlign w:val="bottom"/>
            <w:shd w:val="clear" w:color="auto" w:fill="EEEEEE"/>
          </w:tcPr>
          <w:p>
            <w:pPr>
              <w:ind w:left="180"/>
              <w:spacing w:after="0"/>
              <w:rPr>
                <w:sz w:val="20"/>
                <w:szCs w:val="20"/>
                <w:color w:val="auto"/>
              </w:rPr>
            </w:pPr>
            <w:r>
              <w:rPr>
                <w:rFonts w:ascii="Arial" w:cs="Arial" w:eastAsia="Arial" w:hAnsi="Arial"/>
                <w:sz w:val="18"/>
                <w:szCs w:val="18"/>
                <w:color w:val="auto"/>
                <w:w w:val="99"/>
              </w:rPr>
              <w:t>91</w:t>
            </w:r>
          </w:p>
        </w:tc>
        <w:tc>
          <w:tcPr>
            <w:tcW w:w="5100" w:type="dxa"/>
            <w:vAlign w:val="bottom"/>
            <w:shd w:val="clear" w:color="auto" w:fill="EEEEEE"/>
          </w:tcPr>
          <w:p>
            <w:pPr>
              <w:ind w:left="20"/>
              <w:spacing w:after="0"/>
              <w:rPr>
                <w:sz w:val="20"/>
                <w:szCs w:val="20"/>
                <w:color w:val="auto"/>
              </w:rPr>
            </w:pPr>
            <w:r>
              <w:rPr>
                <w:rFonts w:ascii="Arial" w:cs="Arial" w:eastAsia="Arial" w:hAnsi="Arial"/>
                <w:sz w:val="18"/>
                <w:szCs w:val="18"/>
                <w:color w:val="auto"/>
              </w:rPr>
              <w:t>+ days</w:t>
            </w:r>
          </w:p>
        </w:tc>
        <w:tc>
          <w:tcPr>
            <w:tcW w:w="240" w:type="dxa"/>
            <w:vAlign w:val="bottom"/>
            <w:shd w:val="clear" w:color="auto" w:fill="EEEEEE"/>
          </w:tcPr>
          <w:p>
            <w:pPr>
              <w:spacing w:after="0"/>
              <w:rPr>
                <w:sz w:val="19"/>
                <w:szCs w:val="19"/>
                <w:color w:val="auto"/>
              </w:rPr>
            </w:pPr>
          </w:p>
        </w:tc>
        <w:tc>
          <w:tcPr>
            <w:tcW w:w="16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26,148</w:t>
            </w:r>
          </w:p>
        </w:tc>
        <w:tc>
          <w:tcPr>
            <w:tcW w:w="180" w:type="dxa"/>
            <w:vAlign w:val="bottom"/>
            <w:shd w:val="clear" w:color="auto" w:fill="EEEEEE"/>
          </w:tcPr>
          <w:p>
            <w:pPr>
              <w:spacing w:after="0"/>
              <w:rPr>
                <w:sz w:val="19"/>
                <w:szCs w:val="19"/>
                <w:color w:val="auto"/>
              </w:rPr>
            </w:pPr>
          </w:p>
        </w:tc>
        <w:tc>
          <w:tcPr>
            <w:tcW w:w="1560" w:type="dxa"/>
            <w:vAlign w:val="bottom"/>
            <w:gridSpan w:val="3"/>
            <w:shd w:val="clear" w:color="auto" w:fill="EEEEEE"/>
          </w:tcPr>
          <w:p>
            <w:pPr>
              <w:jc w:val="right"/>
              <w:ind w:right="120"/>
              <w:spacing w:after="0"/>
              <w:rPr>
                <w:sz w:val="20"/>
                <w:szCs w:val="20"/>
                <w:color w:val="auto"/>
              </w:rPr>
            </w:pPr>
            <w:r>
              <w:rPr>
                <w:rFonts w:ascii="Arial" w:cs="Arial" w:eastAsia="Arial" w:hAnsi="Arial"/>
                <w:sz w:val="18"/>
                <w:szCs w:val="18"/>
                <w:color w:val="auto"/>
              </w:rPr>
              <w:t>31,843</w:t>
            </w:r>
          </w:p>
        </w:tc>
      </w:tr>
      <w:tr>
        <w:trPr>
          <w:trHeight w:val="223"/>
        </w:trPr>
        <w:tc>
          <w:tcPr>
            <w:tcW w:w="40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1,341,131</w:t>
            </w:r>
          </w:p>
        </w:tc>
        <w:tc>
          <w:tcPr>
            <w:tcW w:w="3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1,518,395</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40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Finance receivables totaling $26.1 million and $31.8 million at March 31, 2019 and December 31, 2018, respectively, including all receivables greater than 90 days delinquent, have been placed on non-accrual status as a result of their delinquency status.</w:t>
      </w:r>
    </w:p>
    <w:p>
      <w:pPr>
        <w:spacing w:after="0" w:line="17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use a loss allowance methodology commonly referred to as "static pooling," which stratifies our finance receivable portfolio into separately identified pools based on the period of origination. Using analytical and formula driven techniques, we estimate an allowance for finance credit losses, which we believe is adequate for probable incurred credit losses that can be reasonably estimated in our portfolio of automobile contracts. The estimate for probable incurred credit losses is reduced by our estimate for future recoveries on previously incurred losses. Provision for credit losses is charged to our consolidated statement of operations. Net losses incurred on finance receivables are charged to the allowance.</w:t>
      </w:r>
    </w:p>
    <w:p>
      <w:pPr>
        <w:spacing w:after="0" w:line="1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presents a summary of the activity for the allowance for finance credit losses for the three-month periods ended March 31, 2019 and 2018:</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19"/>
                <w:szCs w:val="19"/>
                <w:color w:val="auto"/>
              </w:rPr>
            </w:pPr>
          </w:p>
        </w:tc>
        <w:tc>
          <w:tcPr>
            <w:tcW w:w="2920" w:type="dxa"/>
            <w:vAlign w:val="bottom"/>
            <w:gridSpan w:val="4"/>
          </w:tcPr>
          <w:p>
            <w:pPr>
              <w:jc w:val="center"/>
              <w:ind w:left="517"/>
              <w:spacing w:after="0"/>
              <w:rPr>
                <w:sz w:val="20"/>
                <w:szCs w:val="20"/>
                <w:color w:val="auto"/>
              </w:rPr>
            </w:pPr>
            <w:r>
              <w:rPr>
                <w:rFonts w:ascii="Arial" w:cs="Arial" w:eastAsia="Arial" w:hAnsi="Arial"/>
                <w:sz w:val="18"/>
                <w:szCs w:val="18"/>
                <w:b w:val="1"/>
                <w:bCs w:val="1"/>
                <w:color w:val="auto"/>
                <w:w w:val="92"/>
              </w:rPr>
              <w:t>Three Months Ended</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4"/>
        </w:trPr>
        <w:tc>
          <w:tcPr>
            <w:tcW w:w="550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8"/>
                <w:szCs w:val="18"/>
                <w:b w:val="1"/>
                <w:bCs w:val="1"/>
                <w:color w:val="auto"/>
                <w:w w:val="96"/>
              </w:rPr>
              <w:t>March 31,</w:t>
            </w:r>
          </w:p>
        </w:tc>
        <w:tc>
          <w:tcPr>
            <w:tcW w:w="6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550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6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0"/>
        </w:trPr>
        <w:tc>
          <w:tcPr>
            <w:tcW w:w="5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92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0"/>
              </w:rPr>
              <w:t>(In thousands)</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500" w:type="dxa"/>
            <w:vAlign w:val="bottom"/>
            <w:shd w:val="clear" w:color="auto" w:fill="EEEEEE"/>
          </w:tcPr>
          <w:p>
            <w:pPr>
              <w:spacing w:after="0"/>
              <w:rPr>
                <w:sz w:val="20"/>
                <w:szCs w:val="20"/>
                <w:color w:val="auto"/>
              </w:rPr>
            </w:pPr>
            <w:r>
              <w:rPr>
                <w:rFonts w:ascii="Arial" w:cs="Arial" w:eastAsia="Arial" w:hAnsi="Arial"/>
                <w:sz w:val="18"/>
                <w:szCs w:val="18"/>
                <w:color w:val="auto"/>
              </w:rPr>
              <w:t>Balance at beginning of period</w:t>
            </w:r>
          </w:p>
        </w:tc>
        <w:tc>
          <w:tcPr>
            <w:tcW w:w="1000" w:type="dxa"/>
            <w:vAlign w:val="bottom"/>
            <w:shd w:val="clear" w:color="auto" w:fill="EEEEEE"/>
          </w:tcPr>
          <w:p>
            <w:pPr>
              <w:jc w:val="right"/>
              <w:ind w:right="837"/>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67,376</w:t>
            </w:r>
          </w:p>
        </w:tc>
        <w:tc>
          <w:tcPr>
            <w:tcW w:w="1020" w:type="dxa"/>
            <w:vAlign w:val="bottom"/>
            <w:shd w:val="clear" w:color="auto" w:fill="EEEEEE"/>
          </w:tcPr>
          <w:p>
            <w:pPr>
              <w:jc w:val="right"/>
              <w:ind w:right="860"/>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w w:val="89"/>
              </w:rPr>
              <w:t>109,187</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Provision for credit losses on finance receivables</w:t>
            </w:r>
          </w:p>
        </w:tc>
        <w:tc>
          <w:tcPr>
            <w:tcW w:w="10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23,956</w:t>
            </w:r>
          </w:p>
        </w:tc>
        <w:tc>
          <w:tcPr>
            <w:tcW w:w="10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40,507</w:t>
            </w:r>
          </w:p>
        </w:tc>
      </w:tr>
      <w:tr>
        <w:trPr>
          <w:trHeight w:val="216"/>
        </w:trPr>
        <w:tc>
          <w:tcPr>
            <w:tcW w:w="5500" w:type="dxa"/>
            <w:vAlign w:val="bottom"/>
            <w:shd w:val="clear" w:color="auto" w:fill="EEEEEE"/>
          </w:tcPr>
          <w:p>
            <w:pPr>
              <w:spacing w:after="0"/>
              <w:rPr>
                <w:sz w:val="20"/>
                <w:szCs w:val="20"/>
                <w:color w:val="auto"/>
              </w:rPr>
            </w:pPr>
            <w:r>
              <w:rPr>
                <w:rFonts w:ascii="Arial" w:cs="Arial" w:eastAsia="Arial" w:hAnsi="Arial"/>
                <w:sz w:val="18"/>
                <w:szCs w:val="18"/>
                <w:color w:val="auto"/>
              </w:rPr>
              <w:t>Charge-offs</w:t>
            </w:r>
          </w:p>
        </w:tc>
        <w:tc>
          <w:tcPr>
            <w:tcW w:w="100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w w:val="92"/>
              </w:rPr>
              <w:t>(52,510)</w:t>
            </w:r>
          </w:p>
        </w:tc>
        <w:tc>
          <w:tcPr>
            <w:tcW w:w="102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w w:val="95"/>
              </w:rPr>
              <w:t>(56,102)</w:t>
            </w: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Recoveries</w:t>
            </w:r>
          </w:p>
        </w:tc>
        <w:tc>
          <w:tcPr>
            <w:tcW w:w="100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9,374</w:t>
            </w:r>
          </w:p>
        </w:tc>
        <w:tc>
          <w:tcPr>
            <w:tcW w:w="102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7,252</w:t>
            </w:r>
          </w:p>
        </w:tc>
      </w:tr>
      <w:tr>
        <w:trPr>
          <w:trHeight w:val="223"/>
        </w:trPr>
        <w:tc>
          <w:tcPr>
            <w:tcW w:w="550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Balance at end of period</w:t>
            </w:r>
          </w:p>
        </w:tc>
        <w:tc>
          <w:tcPr>
            <w:tcW w:w="1000" w:type="dxa"/>
            <w:vAlign w:val="bottom"/>
            <w:tcBorders>
              <w:top w:val="single" w:sz="8" w:color="auto"/>
              <w:bottom w:val="single" w:sz="8" w:color="auto"/>
            </w:tcBorders>
            <w:shd w:val="clear" w:color="auto" w:fill="EEEEEE"/>
          </w:tcPr>
          <w:p>
            <w:pPr>
              <w:jc w:val="right"/>
              <w:ind w:right="83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48,196</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020" w:type="dxa"/>
            <w:vAlign w:val="bottom"/>
            <w:tcBorders>
              <w:top w:val="single" w:sz="8" w:color="auto"/>
              <w:bottom w:val="single" w:sz="8" w:color="auto"/>
            </w:tcBorders>
            <w:shd w:val="clear" w:color="auto" w:fill="EEEEEE"/>
          </w:tcPr>
          <w:p>
            <w:pPr>
              <w:jc w:val="right"/>
              <w:ind w:right="860"/>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89"/>
              </w:rPr>
              <w:t>100,844</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55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3" w:name="page14"/>
    <w:bookmarkEnd w:id="13"/>
    <w:p>
      <w:pPr>
        <w:jc w:val="both"/>
        <w:ind w:firstLine="648"/>
        <w:spacing w:after="0" w:line="264" w:lineRule="auto"/>
        <w:rPr>
          <w:sz w:val="20"/>
          <w:szCs w:val="20"/>
          <w:color w:val="auto"/>
        </w:rPr>
      </w:pPr>
      <w:r>
        <w:rPr>
          <w:rFonts w:ascii="Arial" w:cs="Arial" w:eastAsia="Arial" w:hAnsi="Arial"/>
          <w:sz w:val="18"/>
          <w:szCs w:val="18"/>
          <w:color w:val="auto"/>
        </w:rPr>
        <w:t>Excluded from finance receivables are contracts that were previously classified as finance receivables but were reclassified as other assets because we have repossessed the vehicle securing the Contract. The following table presents a summary of such repossessed inventory together with the allowance for losses in repossessed inventory that is not included in the allowance for finance credit losses:</w:t>
      </w:r>
    </w:p>
    <w:p>
      <w:pPr>
        <w:sectPr>
          <w:pgSz w:w="11900" w:h="16838" w:orient="portrait"/>
          <w:cols w:equalWidth="0" w:num="1">
            <w:col w:w="11420"/>
          </w:cols>
          <w:pgMar w:left="240" w:top="80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Gross balance of repossessions in inventory</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Allowance for losses on repossessed inventory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Net repossessed inventory included in other assets</w:t>
      </w:r>
    </w:p>
    <w:p>
      <w:pPr>
        <w:spacing w:after="0" w:line="315" w:lineRule="exact"/>
        <w:rPr>
          <w:sz w:val="20"/>
          <w:szCs w:val="20"/>
          <w:color w:val="auto"/>
        </w:rPr>
      </w:pPr>
    </w:p>
    <w:p>
      <w:pPr>
        <w:ind w:left="260" w:hanging="252"/>
        <w:spacing w:after="0"/>
        <w:tabs>
          <w:tab w:leader="none" w:pos="2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Securitization Trust Debt</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40" w:type="dxa"/>
            <w:vAlign w:val="bottom"/>
          </w:tcPr>
          <w:p>
            <w:pPr>
              <w:spacing w:after="0"/>
              <w:rPr>
                <w:sz w:val="19"/>
                <w:szCs w:val="19"/>
                <w:color w:val="auto"/>
              </w:rPr>
            </w:pPr>
          </w:p>
        </w:tc>
        <w:tc>
          <w:tcPr>
            <w:tcW w:w="172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March 31,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w w:val="95"/>
              </w:rPr>
              <w:t>December 31,</w:t>
            </w:r>
          </w:p>
        </w:tc>
      </w:tr>
      <w:tr>
        <w:trPr>
          <w:trHeight w:val="234"/>
        </w:trPr>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3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195"/>
        </w:trPr>
        <w:tc>
          <w:tcPr>
            <w:tcW w:w="240" w:type="dxa"/>
            <w:vAlign w:val="bottom"/>
          </w:tcPr>
          <w:p>
            <w:pPr>
              <w:spacing w:after="0"/>
              <w:rPr>
                <w:sz w:val="16"/>
                <w:szCs w:val="16"/>
                <w:color w:val="auto"/>
              </w:rPr>
            </w:pPr>
          </w:p>
        </w:tc>
        <w:tc>
          <w:tcPr>
            <w:tcW w:w="3300" w:type="dxa"/>
            <w:vAlign w:val="bottom"/>
            <w:gridSpan w:val="5"/>
          </w:tcPr>
          <w:p>
            <w:pPr>
              <w:jc w:val="right"/>
              <w:ind w:right="1130"/>
              <w:spacing w:after="0" w:line="195" w:lineRule="exact"/>
              <w:rPr>
                <w:sz w:val="20"/>
                <w:szCs w:val="20"/>
                <w:color w:val="auto"/>
              </w:rPr>
            </w:pPr>
            <w:r>
              <w:rPr>
                <w:rFonts w:ascii="Arial" w:cs="Arial" w:eastAsia="Arial" w:hAnsi="Arial"/>
                <w:sz w:val="18"/>
                <w:szCs w:val="18"/>
                <w:b w:val="1"/>
                <w:bCs w:val="1"/>
                <w:color w:val="auto"/>
              </w:rPr>
              <w:t>(In thousands)</w:t>
            </w:r>
          </w:p>
        </w:tc>
        <w:tc>
          <w:tcPr>
            <w:tcW w:w="60" w:type="dxa"/>
            <w:vAlign w:val="bottom"/>
            <w:gridSpan w:val="2"/>
          </w:tcPr>
          <w:p>
            <w:pPr>
              <w:spacing w:after="0"/>
              <w:rPr>
                <w:sz w:val="16"/>
                <w:szCs w:val="16"/>
                <w:color w:val="auto"/>
              </w:rPr>
            </w:pPr>
          </w:p>
        </w:tc>
      </w:tr>
      <w:tr>
        <w:trPr>
          <w:trHeight w:val="216"/>
        </w:trPr>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720" w:type="dxa"/>
            <w:vAlign w:val="bottom"/>
            <w:gridSpan w:val="2"/>
          </w:tcPr>
          <w:p>
            <w:pPr>
              <w:jc w:val="right"/>
              <w:ind w:right="360"/>
              <w:spacing w:after="0"/>
              <w:rPr>
                <w:sz w:val="20"/>
                <w:szCs w:val="20"/>
                <w:color w:val="auto"/>
              </w:rPr>
            </w:pPr>
            <w:r>
              <w:rPr>
                <w:rFonts w:ascii="Arial" w:cs="Arial" w:eastAsia="Arial" w:hAnsi="Arial"/>
                <w:sz w:val="18"/>
                <w:szCs w:val="18"/>
                <w:color w:val="auto"/>
              </w:rPr>
              <w:t>36,188</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33,462</w:t>
            </w:r>
          </w:p>
        </w:tc>
        <w:tc>
          <w:tcPr>
            <w:tcW w:w="40" w:type="dxa"/>
            <w:vAlign w:val="bottom"/>
          </w:tcPr>
          <w:p>
            <w:pPr>
              <w:spacing w:after="0"/>
              <w:rPr>
                <w:sz w:val="18"/>
                <w:szCs w:val="18"/>
                <w:color w:val="auto"/>
              </w:rPr>
            </w:pPr>
          </w:p>
        </w:tc>
      </w:tr>
      <w:tr>
        <w:trPr>
          <w:trHeight w:val="244"/>
        </w:trPr>
        <w:tc>
          <w:tcPr>
            <w:tcW w:w="240" w:type="dxa"/>
            <w:vAlign w:val="bottom"/>
          </w:tcPr>
          <w:p>
            <w:pPr>
              <w:spacing w:after="0"/>
              <w:rPr>
                <w:sz w:val="21"/>
                <w:szCs w:val="21"/>
                <w:color w:val="auto"/>
              </w:rPr>
            </w:pPr>
          </w:p>
        </w:tc>
        <w:tc>
          <w:tcPr>
            <w:tcW w:w="1720" w:type="dxa"/>
            <w:vAlign w:val="bottom"/>
            <w:gridSpan w:val="2"/>
          </w:tcPr>
          <w:p>
            <w:pPr>
              <w:jc w:val="right"/>
              <w:ind w:right="300"/>
              <w:spacing w:after="0"/>
              <w:rPr>
                <w:sz w:val="20"/>
                <w:szCs w:val="20"/>
                <w:color w:val="auto"/>
              </w:rPr>
            </w:pPr>
            <w:r>
              <w:rPr>
                <w:rFonts w:ascii="Arial" w:cs="Arial" w:eastAsia="Arial" w:hAnsi="Arial"/>
                <w:sz w:val="18"/>
                <w:szCs w:val="18"/>
                <w:color w:val="auto"/>
              </w:rPr>
              <w:t>(26,397)</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(24,564)</w:t>
            </w:r>
          </w:p>
        </w:tc>
      </w:tr>
      <w:tr>
        <w:trPr>
          <w:trHeight w:val="223"/>
        </w:trPr>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9,791</w:t>
            </w:r>
          </w:p>
        </w:tc>
        <w:tc>
          <w:tcPr>
            <w:tcW w:w="3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4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8,898</w:t>
            </w:r>
          </w:p>
        </w:tc>
        <w:tc>
          <w:tcPr>
            <w:tcW w:w="40" w:type="dxa"/>
            <w:vAlign w:val="bottom"/>
          </w:tcPr>
          <w:p>
            <w:pPr>
              <w:spacing w:after="0"/>
              <w:rPr>
                <w:sz w:val="19"/>
                <w:szCs w:val="19"/>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-4934585</wp:posOffset>
            </wp:positionH>
            <wp:positionV relativeFrom="paragraph">
              <wp:posOffset>-462280</wp:posOffset>
            </wp:positionV>
            <wp:extent cx="72466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-4934585</wp:posOffset>
            </wp:positionH>
            <wp:positionV relativeFrom="paragraph">
              <wp:posOffset>-179705</wp:posOffset>
            </wp:positionV>
            <wp:extent cx="7246620"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608" w:lineRule="exact"/>
        <w:rPr>
          <w:sz w:val="20"/>
          <w:szCs w:val="20"/>
          <w:color w:val="auto"/>
        </w:rPr>
      </w:pPr>
    </w:p>
    <w:p>
      <w:pPr>
        <w:sectPr>
          <w:pgSz w:w="11900" w:h="16838" w:orient="portrait"/>
          <w:cols w:equalWidth="0" w:num="2">
            <w:col w:w="7060" w:space="720"/>
            <w:col w:w="3640"/>
          </w:cols>
          <w:pgMar w:left="240" w:top="800" w:right="239" w:bottom="1440" w:gutter="0" w:footer="0" w:header="0"/>
          <w:type w:val="continuous"/>
        </w:sectPr>
      </w:pPr>
    </w:p>
    <w:p>
      <w:pPr>
        <w:spacing w:after="0" w:line="2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We have completed many securitization transactions that are structured as secured borrowings for financial accounting purposes. The debt issued in these transactions is shown on our Unaudited Condensed Consolidated Balance Sheets as “Securitization trust debt,” and the components of such debt are summarized in the following table: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center"/>
              <w:ind w:right="230"/>
              <w:spacing w:after="0"/>
              <w:rPr>
                <w:sz w:val="20"/>
                <w:szCs w:val="20"/>
                <w:color w:val="auto"/>
              </w:rPr>
            </w:pPr>
            <w:r>
              <w:rPr>
                <w:rFonts w:ascii="Arial" w:cs="Arial" w:eastAsia="Arial" w:hAnsi="Arial"/>
                <w:sz w:val="18"/>
                <w:szCs w:val="18"/>
                <w:b w:val="1"/>
                <w:bCs w:val="1"/>
                <w:color w:val="auto"/>
                <w:w w:val="95"/>
              </w:rPr>
              <w:t>Final</w:t>
            </w:r>
          </w:p>
        </w:tc>
        <w:tc>
          <w:tcPr>
            <w:tcW w:w="15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6"/>
              </w:rPr>
              <w:t>Receivables</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Outstanding</w:t>
            </w:r>
          </w:p>
        </w:tc>
        <w:tc>
          <w:tcPr>
            <w:tcW w:w="120" w:type="dxa"/>
            <w:vAlign w:val="bottom"/>
          </w:tcPr>
          <w:p>
            <w:pPr>
              <w:spacing w:after="0"/>
              <w:rPr>
                <w:sz w:val="18"/>
                <w:szCs w:val="18"/>
                <w:color w:val="auto"/>
              </w:rPr>
            </w:pPr>
          </w:p>
        </w:tc>
        <w:tc>
          <w:tcPr>
            <w:tcW w:w="144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2"/>
              </w:rPr>
              <w:t>Outstanding</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Contractual</w:t>
            </w:r>
          </w:p>
        </w:tc>
      </w:tr>
      <w:tr>
        <w:trPr>
          <w:trHeight w:val="216"/>
        </w:trPr>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center"/>
              <w:ind w:right="230"/>
              <w:spacing w:after="0"/>
              <w:rPr>
                <w:sz w:val="20"/>
                <w:szCs w:val="20"/>
                <w:color w:val="auto"/>
              </w:rPr>
            </w:pPr>
            <w:r>
              <w:rPr>
                <w:rFonts w:ascii="Arial" w:cs="Arial" w:eastAsia="Arial" w:hAnsi="Arial"/>
                <w:sz w:val="18"/>
                <w:szCs w:val="18"/>
                <w:b w:val="1"/>
                <w:bCs w:val="1"/>
                <w:color w:val="auto"/>
                <w:w w:val="87"/>
              </w:rPr>
              <w:t>Scheduled</w:t>
            </w:r>
          </w:p>
        </w:tc>
        <w:tc>
          <w:tcPr>
            <w:tcW w:w="15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7"/>
              </w:rPr>
              <w:t>Pledged at</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Principal at</w:t>
            </w:r>
          </w:p>
        </w:tc>
        <w:tc>
          <w:tcPr>
            <w:tcW w:w="120" w:type="dxa"/>
            <w:vAlign w:val="bottom"/>
          </w:tcPr>
          <w:p>
            <w:pPr>
              <w:spacing w:after="0"/>
              <w:rPr>
                <w:sz w:val="18"/>
                <w:szCs w:val="18"/>
                <w:color w:val="auto"/>
              </w:rPr>
            </w:pPr>
          </w:p>
        </w:tc>
        <w:tc>
          <w:tcPr>
            <w:tcW w:w="144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2"/>
              </w:rPr>
              <w:t>Principal at</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Interest Rate at</w:t>
            </w:r>
          </w:p>
        </w:tc>
      </w:tr>
      <w:tr>
        <w:trPr>
          <w:trHeight w:val="230"/>
        </w:trPr>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gridSpan w:val="2"/>
          </w:tcPr>
          <w:p>
            <w:pPr>
              <w:jc w:val="center"/>
              <w:ind w:right="230"/>
              <w:spacing w:after="0"/>
              <w:rPr>
                <w:sz w:val="20"/>
                <w:szCs w:val="20"/>
                <w:color w:val="auto"/>
              </w:rPr>
            </w:pPr>
            <w:r>
              <w:rPr>
                <w:rFonts w:ascii="Arial" w:cs="Arial" w:eastAsia="Arial" w:hAnsi="Arial"/>
                <w:sz w:val="18"/>
                <w:szCs w:val="18"/>
                <w:b w:val="1"/>
                <w:bCs w:val="1"/>
                <w:color w:val="auto"/>
                <w:w w:val="90"/>
              </w:rPr>
              <w:t>Payment</w:t>
            </w:r>
          </w:p>
        </w:tc>
        <w:tc>
          <w:tcPr>
            <w:tcW w:w="15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3"/>
              </w:rPr>
              <w:t>March 31,</w:t>
            </w:r>
          </w:p>
        </w:tc>
        <w:tc>
          <w:tcPr>
            <w:tcW w:w="220" w:type="dxa"/>
            <w:vAlign w:val="bottom"/>
          </w:tcPr>
          <w:p>
            <w:pPr>
              <w:spacing w:after="0"/>
              <w:rPr>
                <w:sz w:val="19"/>
                <w:szCs w:val="19"/>
                <w:color w:val="auto"/>
              </w:rPr>
            </w:pPr>
          </w:p>
        </w:tc>
        <w:tc>
          <w:tcPr>
            <w:tcW w:w="140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Initial</w:t>
            </w:r>
          </w:p>
        </w:tc>
        <w:tc>
          <w:tcPr>
            <w:tcW w:w="160" w:type="dxa"/>
            <w:vAlign w:val="bottom"/>
          </w:tcPr>
          <w:p>
            <w:pPr>
              <w:spacing w:after="0"/>
              <w:rPr>
                <w:sz w:val="19"/>
                <w:szCs w:val="19"/>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March 31,</w:t>
            </w:r>
          </w:p>
        </w:tc>
        <w:tc>
          <w:tcPr>
            <w:tcW w:w="120" w:type="dxa"/>
            <w:vAlign w:val="bottom"/>
          </w:tcPr>
          <w:p>
            <w:pPr>
              <w:spacing w:after="0"/>
              <w:rPr>
                <w:sz w:val="19"/>
                <w:szCs w:val="19"/>
                <w:color w:val="auto"/>
              </w:rPr>
            </w:pPr>
          </w:p>
        </w:tc>
        <w:tc>
          <w:tcPr>
            <w:tcW w:w="144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0"/>
              </w:rPr>
              <w:t>December 31,</w:t>
            </w: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March 31,</w:t>
            </w:r>
          </w:p>
        </w:tc>
      </w:tr>
      <w:tr>
        <w:trPr>
          <w:trHeight w:val="234"/>
        </w:trPr>
        <w:tc>
          <w:tcPr>
            <w:tcW w:w="1740" w:type="dxa"/>
            <w:vAlign w:val="bottom"/>
            <w:gridSpan w:val="2"/>
          </w:tcPr>
          <w:p>
            <w:pPr>
              <w:ind w:left="580"/>
              <w:spacing w:after="0"/>
              <w:rPr>
                <w:sz w:val="20"/>
                <w:szCs w:val="20"/>
                <w:color w:val="auto"/>
              </w:rPr>
            </w:pPr>
            <w:r>
              <w:rPr>
                <w:rFonts w:ascii="Arial" w:cs="Arial" w:eastAsia="Arial" w:hAnsi="Arial"/>
                <w:sz w:val="18"/>
                <w:szCs w:val="18"/>
                <w:b w:val="1"/>
                <w:bCs w:val="1"/>
                <w:color w:val="auto"/>
              </w:rPr>
              <w:t>Series</w:t>
            </w:r>
          </w:p>
        </w:tc>
        <w:tc>
          <w:tcPr>
            <w:tcW w:w="1920" w:type="dxa"/>
            <w:vAlign w:val="bottom"/>
            <w:gridSpan w:val="2"/>
          </w:tcPr>
          <w:p>
            <w:pPr>
              <w:jc w:val="center"/>
              <w:ind w:right="230"/>
              <w:spacing w:after="0"/>
              <w:rPr>
                <w:sz w:val="20"/>
                <w:szCs w:val="20"/>
                <w:color w:val="auto"/>
              </w:rPr>
            </w:pPr>
            <w:r>
              <w:rPr>
                <w:rFonts w:ascii="Arial" w:cs="Arial" w:eastAsia="Arial" w:hAnsi="Arial"/>
                <w:sz w:val="18"/>
                <w:szCs w:val="18"/>
                <w:b w:val="1"/>
                <w:bCs w:val="1"/>
                <w:color w:val="auto"/>
                <w:w w:val="90"/>
              </w:rPr>
              <w:t>Date (1)</w:t>
            </w:r>
          </w:p>
        </w:tc>
        <w:tc>
          <w:tcPr>
            <w:tcW w:w="130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2019 (2)</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Principal</w:t>
            </w:r>
          </w:p>
        </w:tc>
        <w:tc>
          <w:tcPr>
            <w:tcW w:w="160" w:type="dxa"/>
            <w:vAlign w:val="bottom"/>
          </w:tcPr>
          <w:p>
            <w:pPr>
              <w:spacing w:after="0"/>
              <w:rPr>
                <w:sz w:val="20"/>
                <w:szCs w:val="20"/>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2019</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2018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20"/>
                <w:szCs w:val="20"/>
                <w:color w:val="auto"/>
              </w:rPr>
            </w:pPr>
          </w:p>
        </w:tc>
      </w:tr>
      <w:tr>
        <w:trPr>
          <w:trHeight w:val="210"/>
        </w:trPr>
        <w:tc>
          <w:tcPr>
            <w:tcW w:w="16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160" w:type="dxa"/>
            <w:vAlign w:val="bottom"/>
            <w:tcBorders>
              <w:top w:val="single" w:sz="8" w:color="auto"/>
            </w:tcBorders>
            <w:gridSpan w:val="5"/>
          </w:tcPr>
          <w:p>
            <w:pPr>
              <w:jc w:val="right"/>
              <w:ind w:right="180"/>
              <w:spacing w:after="0"/>
              <w:rPr>
                <w:sz w:val="20"/>
                <w:szCs w:val="20"/>
                <w:color w:val="auto"/>
              </w:rPr>
            </w:pPr>
            <w:r>
              <w:rPr>
                <w:rFonts w:ascii="Arial" w:cs="Arial" w:eastAsia="Arial" w:hAnsi="Arial"/>
                <w:sz w:val="18"/>
                <w:szCs w:val="18"/>
                <w:b w:val="1"/>
                <w:bCs w:val="1"/>
                <w:color w:val="auto"/>
              </w:rPr>
              <w:t>(Dollars in thousands)</w:t>
            </w: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7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2014-A</w:t>
            </w:r>
          </w:p>
        </w:tc>
        <w:tc>
          <w:tcPr>
            <w:tcW w:w="1920" w:type="dxa"/>
            <w:vAlign w:val="bottom"/>
            <w:gridSpan w:val="2"/>
            <w:shd w:val="clear" w:color="auto" w:fill="EEEEEE"/>
          </w:tcPr>
          <w:p>
            <w:pPr>
              <w:jc w:val="right"/>
              <w:ind w:right="230"/>
              <w:spacing w:after="0"/>
              <w:rPr>
                <w:sz w:val="20"/>
                <w:szCs w:val="20"/>
                <w:color w:val="auto"/>
              </w:rPr>
            </w:pPr>
            <w:r>
              <w:rPr>
                <w:rFonts w:ascii="Arial" w:cs="Arial" w:eastAsia="Arial" w:hAnsi="Arial"/>
                <w:sz w:val="18"/>
                <w:szCs w:val="18"/>
                <w:color w:val="auto"/>
              </w:rPr>
              <w:t>June 2021</w:t>
            </w:r>
          </w:p>
        </w:tc>
        <w:tc>
          <w:tcPr>
            <w:tcW w:w="15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14,133</w:t>
            </w:r>
          </w:p>
        </w:tc>
        <w:tc>
          <w:tcPr>
            <w:tcW w:w="22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180,000</w:t>
            </w:r>
          </w:p>
        </w:tc>
        <w:tc>
          <w:tcPr>
            <w:tcW w:w="1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12,508</w:t>
            </w: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15,328</w:t>
            </w:r>
          </w:p>
        </w:tc>
        <w:tc>
          <w:tcPr>
            <w:tcW w:w="10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5.61%</w:t>
            </w:r>
          </w:p>
        </w:tc>
      </w:tr>
      <w:tr>
        <w:trPr>
          <w:trHeight w:val="216"/>
        </w:trPr>
        <w:tc>
          <w:tcPr>
            <w:tcW w:w="1740" w:type="dxa"/>
            <w:vAlign w:val="bottom"/>
            <w:gridSpan w:val="2"/>
          </w:tcPr>
          <w:p>
            <w:pPr>
              <w:spacing w:after="0"/>
              <w:rPr>
                <w:sz w:val="20"/>
                <w:szCs w:val="20"/>
                <w:color w:val="auto"/>
              </w:rPr>
            </w:pPr>
            <w:r>
              <w:rPr>
                <w:rFonts w:ascii="Arial" w:cs="Arial" w:eastAsia="Arial" w:hAnsi="Arial"/>
                <w:sz w:val="18"/>
                <w:szCs w:val="18"/>
                <w:color w:val="auto"/>
              </w:rPr>
              <w:t>CPS 2014-B</w:t>
            </w:r>
          </w:p>
        </w:tc>
        <w:tc>
          <w:tcPr>
            <w:tcW w:w="1920" w:type="dxa"/>
            <w:vAlign w:val="bottom"/>
            <w:gridSpan w:val="2"/>
          </w:tcPr>
          <w:p>
            <w:pPr>
              <w:jc w:val="right"/>
              <w:ind w:right="230"/>
              <w:spacing w:after="0"/>
              <w:rPr>
                <w:sz w:val="20"/>
                <w:szCs w:val="20"/>
                <w:color w:val="auto"/>
              </w:rPr>
            </w:pPr>
            <w:r>
              <w:rPr>
                <w:rFonts w:ascii="Arial" w:cs="Arial" w:eastAsia="Arial" w:hAnsi="Arial"/>
                <w:sz w:val="18"/>
                <w:szCs w:val="18"/>
                <w:color w:val="auto"/>
              </w:rPr>
              <w:t>September 2021</w:t>
            </w: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21,787</w:t>
            </w:r>
          </w:p>
        </w:tc>
        <w:tc>
          <w:tcPr>
            <w:tcW w:w="22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202,500</w:t>
            </w:r>
          </w:p>
        </w:tc>
        <w:tc>
          <w:tcPr>
            <w:tcW w:w="1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20,232</w:t>
            </w:r>
          </w:p>
        </w:tc>
        <w:tc>
          <w:tcPr>
            <w:tcW w:w="12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24,051</w:t>
            </w:r>
          </w:p>
        </w:tc>
        <w:tc>
          <w:tcPr>
            <w:tcW w:w="1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4.65%</w:t>
            </w:r>
          </w:p>
        </w:tc>
      </w:tr>
      <w:tr>
        <w:trPr>
          <w:trHeight w:val="216"/>
        </w:trPr>
        <w:tc>
          <w:tcPr>
            <w:tcW w:w="17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2014-C</w:t>
            </w:r>
          </w:p>
        </w:tc>
        <w:tc>
          <w:tcPr>
            <w:tcW w:w="1920" w:type="dxa"/>
            <w:vAlign w:val="bottom"/>
            <w:gridSpan w:val="2"/>
            <w:shd w:val="clear" w:color="auto" w:fill="EEEEEE"/>
          </w:tcPr>
          <w:p>
            <w:pPr>
              <w:jc w:val="right"/>
              <w:ind w:right="230"/>
              <w:spacing w:after="0"/>
              <w:rPr>
                <w:sz w:val="20"/>
                <w:szCs w:val="20"/>
                <w:color w:val="auto"/>
              </w:rPr>
            </w:pPr>
            <w:r>
              <w:rPr>
                <w:rFonts w:ascii="Arial" w:cs="Arial" w:eastAsia="Arial" w:hAnsi="Arial"/>
                <w:sz w:val="18"/>
                <w:szCs w:val="18"/>
                <w:color w:val="auto"/>
              </w:rPr>
              <w:t>December 2021</w:t>
            </w:r>
          </w:p>
        </w:tc>
        <w:tc>
          <w:tcPr>
            <w:tcW w:w="15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36,289</w:t>
            </w:r>
          </w:p>
        </w:tc>
        <w:tc>
          <w:tcPr>
            <w:tcW w:w="22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273,000</w:t>
            </w:r>
          </w:p>
        </w:tc>
        <w:tc>
          <w:tcPr>
            <w:tcW w:w="1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35,052</w:t>
            </w: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40,896</w:t>
            </w:r>
          </w:p>
        </w:tc>
        <w:tc>
          <w:tcPr>
            <w:tcW w:w="10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4.64%</w:t>
            </w:r>
          </w:p>
        </w:tc>
      </w:tr>
      <w:tr>
        <w:trPr>
          <w:trHeight w:val="216"/>
        </w:trPr>
        <w:tc>
          <w:tcPr>
            <w:tcW w:w="1740" w:type="dxa"/>
            <w:vAlign w:val="bottom"/>
            <w:gridSpan w:val="2"/>
          </w:tcPr>
          <w:p>
            <w:pPr>
              <w:spacing w:after="0"/>
              <w:rPr>
                <w:sz w:val="20"/>
                <w:szCs w:val="20"/>
                <w:color w:val="auto"/>
              </w:rPr>
            </w:pPr>
            <w:r>
              <w:rPr>
                <w:rFonts w:ascii="Arial" w:cs="Arial" w:eastAsia="Arial" w:hAnsi="Arial"/>
                <w:sz w:val="18"/>
                <w:szCs w:val="18"/>
                <w:color w:val="auto"/>
              </w:rPr>
              <w:t>CPS 2014-D</w:t>
            </w:r>
          </w:p>
        </w:tc>
        <w:tc>
          <w:tcPr>
            <w:tcW w:w="1920" w:type="dxa"/>
            <w:vAlign w:val="bottom"/>
            <w:gridSpan w:val="2"/>
          </w:tcPr>
          <w:p>
            <w:pPr>
              <w:jc w:val="right"/>
              <w:ind w:right="230"/>
              <w:spacing w:after="0"/>
              <w:rPr>
                <w:sz w:val="20"/>
                <w:szCs w:val="20"/>
                <w:color w:val="auto"/>
              </w:rPr>
            </w:pPr>
            <w:r>
              <w:rPr>
                <w:rFonts w:ascii="Arial" w:cs="Arial" w:eastAsia="Arial" w:hAnsi="Arial"/>
                <w:sz w:val="18"/>
                <w:szCs w:val="18"/>
                <w:color w:val="auto"/>
              </w:rPr>
              <w:t>March 2022</w:t>
            </w: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41,339</w:t>
            </w:r>
          </w:p>
        </w:tc>
        <w:tc>
          <w:tcPr>
            <w:tcW w:w="22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267,500</w:t>
            </w:r>
          </w:p>
        </w:tc>
        <w:tc>
          <w:tcPr>
            <w:tcW w:w="1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40,388</w:t>
            </w:r>
          </w:p>
        </w:tc>
        <w:tc>
          <w:tcPr>
            <w:tcW w:w="12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46,489</w:t>
            </w:r>
          </w:p>
        </w:tc>
        <w:tc>
          <w:tcPr>
            <w:tcW w:w="1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5.04%</w:t>
            </w:r>
          </w:p>
        </w:tc>
      </w:tr>
      <w:tr>
        <w:trPr>
          <w:trHeight w:val="216"/>
        </w:trPr>
        <w:tc>
          <w:tcPr>
            <w:tcW w:w="17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2015-A</w:t>
            </w:r>
          </w:p>
        </w:tc>
        <w:tc>
          <w:tcPr>
            <w:tcW w:w="1920" w:type="dxa"/>
            <w:vAlign w:val="bottom"/>
            <w:gridSpan w:val="2"/>
            <w:shd w:val="clear" w:color="auto" w:fill="EEEEEE"/>
          </w:tcPr>
          <w:p>
            <w:pPr>
              <w:jc w:val="right"/>
              <w:ind w:right="230"/>
              <w:spacing w:after="0"/>
              <w:rPr>
                <w:sz w:val="20"/>
                <w:szCs w:val="20"/>
                <w:color w:val="auto"/>
              </w:rPr>
            </w:pPr>
            <w:r>
              <w:rPr>
                <w:rFonts w:ascii="Arial" w:cs="Arial" w:eastAsia="Arial" w:hAnsi="Arial"/>
                <w:sz w:val="18"/>
                <w:szCs w:val="18"/>
                <w:color w:val="auto"/>
              </w:rPr>
              <w:t>June 2022</w:t>
            </w:r>
          </w:p>
        </w:tc>
        <w:tc>
          <w:tcPr>
            <w:tcW w:w="15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47,303</w:t>
            </w:r>
          </w:p>
        </w:tc>
        <w:tc>
          <w:tcPr>
            <w:tcW w:w="22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245,000</w:t>
            </w:r>
          </w:p>
        </w:tc>
        <w:tc>
          <w:tcPr>
            <w:tcW w:w="1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45,458</w:t>
            </w: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52,448</w:t>
            </w:r>
          </w:p>
        </w:tc>
        <w:tc>
          <w:tcPr>
            <w:tcW w:w="10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4.75%</w:t>
            </w:r>
          </w:p>
        </w:tc>
      </w:tr>
      <w:tr>
        <w:trPr>
          <w:trHeight w:val="216"/>
        </w:trPr>
        <w:tc>
          <w:tcPr>
            <w:tcW w:w="1740" w:type="dxa"/>
            <w:vAlign w:val="bottom"/>
            <w:gridSpan w:val="2"/>
          </w:tcPr>
          <w:p>
            <w:pPr>
              <w:spacing w:after="0"/>
              <w:rPr>
                <w:sz w:val="20"/>
                <w:szCs w:val="20"/>
                <w:color w:val="auto"/>
              </w:rPr>
            </w:pPr>
            <w:r>
              <w:rPr>
                <w:rFonts w:ascii="Arial" w:cs="Arial" w:eastAsia="Arial" w:hAnsi="Arial"/>
                <w:sz w:val="18"/>
                <w:szCs w:val="18"/>
                <w:color w:val="auto"/>
              </w:rPr>
              <w:t>CPS 2015-B</w:t>
            </w:r>
          </w:p>
        </w:tc>
        <w:tc>
          <w:tcPr>
            <w:tcW w:w="1920" w:type="dxa"/>
            <w:vAlign w:val="bottom"/>
            <w:gridSpan w:val="2"/>
          </w:tcPr>
          <w:p>
            <w:pPr>
              <w:jc w:val="right"/>
              <w:ind w:right="230"/>
              <w:spacing w:after="0"/>
              <w:rPr>
                <w:sz w:val="20"/>
                <w:szCs w:val="20"/>
                <w:color w:val="auto"/>
              </w:rPr>
            </w:pPr>
            <w:r>
              <w:rPr>
                <w:rFonts w:ascii="Arial" w:cs="Arial" w:eastAsia="Arial" w:hAnsi="Arial"/>
                <w:sz w:val="18"/>
                <w:szCs w:val="18"/>
                <w:color w:val="auto"/>
              </w:rPr>
              <w:t>September 2022</w:t>
            </w: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57,357</w:t>
            </w:r>
          </w:p>
        </w:tc>
        <w:tc>
          <w:tcPr>
            <w:tcW w:w="22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250,000</w:t>
            </w:r>
          </w:p>
        </w:tc>
        <w:tc>
          <w:tcPr>
            <w:tcW w:w="1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57,155</w:t>
            </w:r>
          </w:p>
        </w:tc>
        <w:tc>
          <w:tcPr>
            <w:tcW w:w="12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64,591</w:t>
            </w:r>
          </w:p>
        </w:tc>
        <w:tc>
          <w:tcPr>
            <w:tcW w:w="1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4.63%</w:t>
            </w:r>
          </w:p>
        </w:tc>
      </w:tr>
      <w:tr>
        <w:trPr>
          <w:trHeight w:val="216"/>
        </w:trPr>
        <w:tc>
          <w:tcPr>
            <w:tcW w:w="17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2015-C</w:t>
            </w:r>
          </w:p>
        </w:tc>
        <w:tc>
          <w:tcPr>
            <w:tcW w:w="1920" w:type="dxa"/>
            <w:vAlign w:val="bottom"/>
            <w:gridSpan w:val="2"/>
            <w:shd w:val="clear" w:color="auto" w:fill="EEEEEE"/>
          </w:tcPr>
          <w:p>
            <w:pPr>
              <w:jc w:val="right"/>
              <w:ind w:right="230"/>
              <w:spacing w:after="0"/>
              <w:rPr>
                <w:sz w:val="20"/>
                <w:szCs w:val="20"/>
                <w:color w:val="auto"/>
              </w:rPr>
            </w:pPr>
            <w:r>
              <w:rPr>
                <w:rFonts w:ascii="Arial" w:cs="Arial" w:eastAsia="Arial" w:hAnsi="Arial"/>
                <w:sz w:val="18"/>
                <w:szCs w:val="18"/>
                <w:color w:val="auto"/>
              </w:rPr>
              <w:t>December 2022</w:t>
            </w:r>
          </w:p>
        </w:tc>
        <w:tc>
          <w:tcPr>
            <w:tcW w:w="15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81,433</w:t>
            </w:r>
          </w:p>
        </w:tc>
        <w:tc>
          <w:tcPr>
            <w:tcW w:w="22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300,000</w:t>
            </w:r>
          </w:p>
        </w:tc>
        <w:tc>
          <w:tcPr>
            <w:tcW w:w="1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81,046</w:t>
            </w: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90,639</w:t>
            </w:r>
          </w:p>
        </w:tc>
        <w:tc>
          <w:tcPr>
            <w:tcW w:w="10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5.07%</w:t>
            </w:r>
          </w:p>
        </w:tc>
      </w:tr>
      <w:tr>
        <w:trPr>
          <w:trHeight w:val="216"/>
        </w:trPr>
        <w:tc>
          <w:tcPr>
            <w:tcW w:w="1740" w:type="dxa"/>
            <w:vAlign w:val="bottom"/>
            <w:gridSpan w:val="2"/>
          </w:tcPr>
          <w:p>
            <w:pPr>
              <w:spacing w:after="0"/>
              <w:rPr>
                <w:sz w:val="20"/>
                <w:szCs w:val="20"/>
                <w:color w:val="auto"/>
              </w:rPr>
            </w:pPr>
            <w:r>
              <w:rPr>
                <w:rFonts w:ascii="Arial" w:cs="Arial" w:eastAsia="Arial" w:hAnsi="Arial"/>
                <w:sz w:val="18"/>
                <w:szCs w:val="18"/>
                <w:color w:val="auto"/>
              </w:rPr>
              <w:t>CPS 2016-A</w:t>
            </w:r>
          </w:p>
        </w:tc>
        <w:tc>
          <w:tcPr>
            <w:tcW w:w="1920" w:type="dxa"/>
            <w:vAlign w:val="bottom"/>
            <w:gridSpan w:val="2"/>
          </w:tcPr>
          <w:p>
            <w:pPr>
              <w:jc w:val="right"/>
              <w:ind w:right="230"/>
              <w:spacing w:after="0"/>
              <w:rPr>
                <w:sz w:val="20"/>
                <w:szCs w:val="20"/>
                <w:color w:val="auto"/>
              </w:rPr>
            </w:pPr>
            <w:r>
              <w:rPr>
                <w:rFonts w:ascii="Arial" w:cs="Arial" w:eastAsia="Arial" w:hAnsi="Arial"/>
                <w:sz w:val="18"/>
                <w:szCs w:val="18"/>
                <w:color w:val="auto"/>
              </w:rPr>
              <w:t>March 2023</w:t>
            </w: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107,558</w:t>
            </w:r>
          </w:p>
        </w:tc>
        <w:tc>
          <w:tcPr>
            <w:tcW w:w="22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329,460</w:t>
            </w:r>
          </w:p>
        </w:tc>
        <w:tc>
          <w:tcPr>
            <w:tcW w:w="1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107,099</w:t>
            </w:r>
          </w:p>
        </w:tc>
        <w:tc>
          <w:tcPr>
            <w:tcW w:w="12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119,444</w:t>
            </w:r>
          </w:p>
        </w:tc>
        <w:tc>
          <w:tcPr>
            <w:tcW w:w="1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5.34%</w:t>
            </w:r>
          </w:p>
        </w:tc>
      </w:tr>
      <w:tr>
        <w:trPr>
          <w:trHeight w:val="216"/>
        </w:trPr>
        <w:tc>
          <w:tcPr>
            <w:tcW w:w="17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2016-B</w:t>
            </w:r>
          </w:p>
        </w:tc>
        <w:tc>
          <w:tcPr>
            <w:tcW w:w="1920" w:type="dxa"/>
            <w:vAlign w:val="bottom"/>
            <w:gridSpan w:val="2"/>
            <w:shd w:val="clear" w:color="auto" w:fill="EEEEEE"/>
          </w:tcPr>
          <w:p>
            <w:pPr>
              <w:jc w:val="right"/>
              <w:ind w:right="230"/>
              <w:spacing w:after="0"/>
              <w:rPr>
                <w:sz w:val="20"/>
                <w:szCs w:val="20"/>
                <w:color w:val="auto"/>
              </w:rPr>
            </w:pPr>
            <w:r>
              <w:rPr>
                <w:rFonts w:ascii="Arial" w:cs="Arial" w:eastAsia="Arial" w:hAnsi="Arial"/>
                <w:sz w:val="18"/>
                <w:szCs w:val="18"/>
                <w:color w:val="auto"/>
              </w:rPr>
              <w:t>June 2023</w:t>
            </w:r>
          </w:p>
        </w:tc>
        <w:tc>
          <w:tcPr>
            <w:tcW w:w="15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124,008</w:t>
            </w:r>
          </w:p>
        </w:tc>
        <w:tc>
          <w:tcPr>
            <w:tcW w:w="22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332,690</w:t>
            </w:r>
          </w:p>
        </w:tc>
        <w:tc>
          <w:tcPr>
            <w:tcW w:w="1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121,767</w:t>
            </w: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135,688</w:t>
            </w:r>
          </w:p>
        </w:tc>
        <w:tc>
          <w:tcPr>
            <w:tcW w:w="10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5.65%</w:t>
            </w:r>
          </w:p>
        </w:tc>
      </w:tr>
      <w:tr>
        <w:trPr>
          <w:trHeight w:val="216"/>
        </w:trPr>
        <w:tc>
          <w:tcPr>
            <w:tcW w:w="1740" w:type="dxa"/>
            <w:vAlign w:val="bottom"/>
            <w:gridSpan w:val="2"/>
          </w:tcPr>
          <w:p>
            <w:pPr>
              <w:spacing w:after="0"/>
              <w:rPr>
                <w:sz w:val="20"/>
                <w:szCs w:val="20"/>
                <w:color w:val="auto"/>
              </w:rPr>
            </w:pPr>
            <w:r>
              <w:rPr>
                <w:rFonts w:ascii="Arial" w:cs="Arial" w:eastAsia="Arial" w:hAnsi="Arial"/>
                <w:sz w:val="18"/>
                <w:szCs w:val="18"/>
                <w:color w:val="auto"/>
              </w:rPr>
              <w:t>CPS 2016-C</w:t>
            </w:r>
          </w:p>
        </w:tc>
        <w:tc>
          <w:tcPr>
            <w:tcW w:w="1920" w:type="dxa"/>
            <w:vAlign w:val="bottom"/>
            <w:gridSpan w:val="2"/>
          </w:tcPr>
          <w:p>
            <w:pPr>
              <w:jc w:val="right"/>
              <w:ind w:right="230"/>
              <w:spacing w:after="0"/>
              <w:rPr>
                <w:sz w:val="20"/>
                <w:szCs w:val="20"/>
                <w:color w:val="auto"/>
              </w:rPr>
            </w:pPr>
            <w:r>
              <w:rPr>
                <w:rFonts w:ascii="Arial" w:cs="Arial" w:eastAsia="Arial" w:hAnsi="Arial"/>
                <w:sz w:val="18"/>
                <w:szCs w:val="18"/>
                <w:color w:val="auto"/>
              </w:rPr>
              <w:t>September 2023</w:t>
            </w: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124,638</w:t>
            </w:r>
          </w:p>
        </w:tc>
        <w:tc>
          <w:tcPr>
            <w:tcW w:w="22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318,500</w:t>
            </w:r>
          </w:p>
        </w:tc>
        <w:tc>
          <w:tcPr>
            <w:tcW w:w="1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122,374</w:t>
            </w:r>
          </w:p>
        </w:tc>
        <w:tc>
          <w:tcPr>
            <w:tcW w:w="12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136,114</w:t>
            </w:r>
          </w:p>
        </w:tc>
        <w:tc>
          <w:tcPr>
            <w:tcW w:w="1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5.42%</w:t>
            </w:r>
          </w:p>
        </w:tc>
      </w:tr>
      <w:tr>
        <w:trPr>
          <w:trHeight w:val="216"/>
        </w:trPr>
        <w:tc>
          <w:tcPr>
            <w:tcW w:w="17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2016-D</w:t>
            </w:r>
          </w:p>
        </w:tc>
        <w:tc>
          <w:tcPr>
            <w:tcW w:w="1920" w:type="dxa"/>
            <w:vAlign w:val="bottom"/>
            <w:gridSpan w:val="2"/>
            <w:shd w:val="clear" w:color="auto" w:fill="EEEEEE"/>
          </w:tcPr>
          <w:p>
            <w:pPr>
              <w:jc w:val="right"/>
              <w:ind w:right="230"/>
              <w:spacing w:after="0"/>
              <w:rPr>
                <w:sz w:val="20"/>
                <w:szCs w:val="20"/>
                <w:color w:val="auto"/>
              </w:rPr>
            </w:pPr>
            <w:r>
              <w:rPr>
                <w:rFonts w:ascii="Arial" w:cs="Arial" w:eastAsia="Arial" w:hAnsi="Arial"/>
                <w:sz w:val="18"/>
                <w:szCs w:val="18"/>
                <w:color w:val="auto"/>
              </w:rPr>
              <w:t>April 2024</w:t>
            </w:r>
          </w:p>
        </w:tc>
        <w:tc>
          <w:tcPr>
            <w:tcW w:w="15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96,524</w:t>
            </w:r>
          </w:p>
        </w:tc>
        <w:tc>
          <w:tcPr>
            <w:tcW w:w="22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206,325</w:t>
            </w:r>
          </w:p>
        </w:tc>
        <w:tc>
          <w:tcPr>
            <w:tcW w:w="1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95,229</w:t>
            </w: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104,645</w:t>
            </w:r>
          </w:p>
        </w:tc>
        <w:tc>
          <w:tcPr>
            <w:tcW w:w="10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4.01%</w:t>
            </w:r>
          </w:p>
        </w:tc>
      </w:tr>
      <w:tr>
        <w:trPr>
          <w:trHeight w:val="216"/>
        </w:trPr>
        <w:tc>
          <w:tcPr>
            <w:tcW w:w="1740" w:type="dxa"/>
            <w:vAlign w:val="bottom"/>
            <w:gridSpan w:val="2"/>
          </w:tcPr>
          <w:p>
            <w:pPr>
              <w:spacing w:after="0"/>
              <w:rPr>
                <w:sz w:val="20"/>
                <w:szCs w:val="20"/>
                <w:color w:val="auto"/>
              </w:rPr>
            </w:pPr>
            <w:r>
              <w:rPr>
                <w:rFonts w:ascii="Arial" w:cs="Arial" w:eastAsia="Arial" w:hAnsi="Arial"/>
                <w:sz w:val="18"/>
                <w:szCs w:val="18"/>
                <w:color w:val="auto"/>
              </w:rPr>
              <w:t>CPS 2017-A</w:t>
            </w:r>
          </w:p>
        </w:tc>
        <w:tc>
          <w:tcPr>
            <w:tcW w:w="1920" w:type="dxa"/>
            <w:vAlign w:val="bottom"/>
            <w:gridSpan w:val="2"/>
          </w:tcPr>
          <w:p>
            <w:pPr>
              <w:jc w:val="right"/>
              <w:ind w:right="230"/>
              <w:spacing w:after="0"/>
              <w:rPr>
                <w:sz w:val="20"/>
                <w:szCs w:val="20"/>
                <w:color w:val="auto"/>
              </w:rPr>
            </w:pPr>
            <w:r>
              <w:rPr>
                <w:rFonts w:ascii="Arial" w:cs="Arial" w:eastAsia="Arial" w:hAnsi="Arial"/>
                <w:sz w:val="18"/>
                <w:szCs w:val="18"/>
                <w:color w:val="auto"/>
              </w:rPr>
              <w:t>April 2024</w:t>
            </w: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104,432</w:t>
            </w:r>
          </w:p>
        </w:tc>
        <w:tc>
          <w:tcPr>
            <w:tcW w:w="22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206,320</w:t>
            </w:r>
          </w:p>
        </w:tc>
        <w:tc>
          <w:tcPr>
            <w:tcW w:w="1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102,812</w:t>
            </w:r>
          </w:p>
        </w:tc>
        <w:tc>
          <w:tcPr>
            <w:tcW w:w="12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113,527</w:t>
            </w:r>
          </w:p>
        </w:tc>
        <w:tc>
          <w:tcPr>
            <w:tcW w:w="1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4.20%</w:t>
            </w:r>
          </w:p>
        </w:tc>
      </w:tr>
      <w:tr>
        <w:trPr>
          <w:trHeight w:val="216"/>
        </w:trPr>
        <w:tc>
          <w:tcPr>
            <w:tcW w:w="17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2017-B</w:t>
            </w:r>
          </w:p>
        </w:tc>
        <w:tc>
          <w:tcPr>
            <w:tcW w:w="1920" w:type="dxa"/>
            <w:vAlign w:val="bottom"/>
            <w:gridSpan w:val="2"/>
            <w:shd w:val="clear" w:color="auto" w:fill="EEEEEE"/>
          </w:tcPr>
          <w:p>
            <w:pPr>
              <w:jc w:val="right"/>
              <w:ind w:right="230"/>
              <w:spacing w:after="0"/>
              <w:rPr>
                <w:sz w:val="20"/>
                <w:szCs w:val="20"/>
                <w:color w:val="auto"/>
              </w:rPr>
            </w:pPr>
            <w:r>
              <w:rPr>
                <w:rFonts w:ascii="Arial" w:cs="Arial" w:eastAsia="Arial" w:hAnsi="Arial"/>
                <w:sz w:val="18"/>
                <w:szCs w:val="18"/>
                <w:color w:val="auto"/>
              </w:rPr>
              <w:t>December 2023</w:t>
            </w:r>
          </w:p>
        </w:tc>
        <w:tc>
          <w:tcPr>
            <w:tcW w:w="15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127,462</w:t>
            </w:r>
          </w:p>
        </w:tc>
        <w:tc>
          <w:tcPr>
            <w:tcW w:w="22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225,170</w:t>
            </w:r>
          </w:p>
        </w:tc>
        <w:tc>
          <w:tcPr>
            <w:tcW w:w="1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115,265</w:t>
            </w: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127,726</w:t>
            </w:r>
          </w:p>
        </w:tc>
        <w:tc>
          <w:tcPr>
            <w:tcW w:w="10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3.57%</w:t>
            </w:r>
          </w:p>
        </w:tc>
      </w:tr>
      <w:tr>
        <w:trPr>
          <w:trHeight w:val="216"/>
        </w:trPr>
        <w:tc>
          <w:tcPr>
            <w:tcW w:w="1740" w:type="dxa"/>
            <w:vAlign w:val="bottom"/>
            <w:gridSpan w:val="2"/>
          </w:tcPr>
          <w:p>
            <w:pPr>
              <w:spacing w:after="0"/>
              <w:rPr>
                <w:sz w:val="20"/>
                <w:szCs w:val="20"/>
                <w:color w:val="auto"/>
              </w:rPr>
            </w:pPr>
            <w:r>
              <w:rPr>
                <w:rFonts w:ascii="Arial" w:cs="Arial" w:eastAsia="Arial" w:hAnsi="Arial"/>
                <w:sz w:val="18"/>
                <w:szCs w:val="18"/>
                <w:color w:val="auto"/>
              </w:rPr>
              <w:t>CPS 2017-C</w:t>
            </w:r>
          </w:p>
        </w:tc>
        <w:tc>
          <w:tcPr>
            <w:tcW w:w="1920" w:type="dxa"/>
            <w:vAlign w:val="bottom"/>
            <w:gridSpan w:val="2"/>
          </w:tcPr>
          <w:p>
            <w:pPr>
              <w:jc w:val="right"/>
              <w:ind w:right="230"/>
              <w:spacing w:after="0"/>
              <w:rPr>
                <w:sz w:val="20"/>
                <w:szCs w:val="20"/>
                <w:color w:val="auto"/>
              </w:rPr>
            </w:pPr>
            <w:r>
              <w:rPr>
                <w:rFonts w:ascii="Arial" w:cs="Arial" w:eastAsia="Arial" w:hAnsi="Arial"/>
                <w:sz w:val="18"/>
                <w:szCs w:val="18"/>
                <w:color w:val="auto"/>
              </w:rPr>
              <w:t>September 2024</w:t>
            </w: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128,546</w:t>
            </w:r>
          </w:p>
        </w:tc>
        <w:tc>
          <w:tcPr>
            <w:tcW w:w="22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224,825</w:t>
            </w:r>
          </w:p>
        </w:tc>
        <w:tc>
          <w:tcPr>
            <w:tcW w:w="1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118,607</w:t>
            </w:r>
          </w:p>
        </w:tc>
        <w:tc>
          <w:tcPr>
            <w:tcW w:w="12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131,845</w:t>
            </w:r>
          </w:p>
        </w:tc>
        <w:tc>
          <w:tcPr>
            <w:tcW w:w="1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3.52%</w:t>
            </w:r>
          </w:p>
        </w:tc>
      </w:tr>
      <w:tr>
        <w:trPr>
          <w:trHeight w:val="216"/>
        </w:trPr>
        <w:tc>
          <w:tcPr>
            <w:tcW w:w="17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2017-D</w:t>
            </w:r>
          </w:p>
        </w:tc>
        <w:tc>
          <w:tcPr>
            <w:tcW w:w="1920" w:type="dxa"/>
            <w:vAlign w:val="bottom"/>
            <w:gridSpan w:val="2"/>
            <w:shd w:val="clear" w:color="auto" w:fill="EEEEEE"/>
          </w:tcPr>
          <w:p>
            <w:pPr>
              <w:jc w:val="right"/>
              <w:ind w:right="230"/>
              <w:spacing w:after="0"/>
              <w:rPr>
                <w:sz w:val="20"/>
                <w:szCs w:val="20"/>
                <w:color w:val="auto"/>
              </w:rPr>
            </w:pPr>
            <w:r>
              <w:rPr>
                <w:rFonts w:ascii="Arial" w:cs="Arial" w:eastAsia="Arial" w:hAnsi="Arial"/>
                <w:sz w:val="18"/>
                <w:szCs w:val="18"/>
                <w:color w:val="auto"/>
              </w:rPr>
              <w:t>June 2024</w:t>
            </w:r>
          </w:p>
        </w:tc>
        <w:tc>
          <w:tcPr>
            <w:tcW w:w="15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129,052</w:t>
            </w:r>
          </w:p>
        </w:tc>
        <w:tc>
          <w:tcPr>
            <w:tcW w:w="22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196,300</w:t>
            </w:r>
          </w:p>
        </w:tc>
        <w:tc>
          <w:tcPr>
            <w:tcW w:w="1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120,481</w:t>
            </w: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132,919</w:t>
            </w:r>
          </w:p>
        </w:tc>
        <w:tc>
          <w:tcPr>
            <w:tcW w:w="10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3.24%</w:t>
            </w:r>
          </w:p>
        </w:tc>
      </w:tr>
      <w:tr>
        <w:trPr>
          <w:trHeight w:val="216"/>
        </w:trPr>
        <w:tc>
          <w:tcPr>
            <w:tcW w:w="1740" w:type="dxa"/>
            <w:vAlign w:val="bottom"/>
            <w:gridSpan w:val="2"/>
          </w:tcPr>
          <w:p>
            <w:pPr>
              <w:spacing w:after="0"/>
              <w:rPr>
                <w:sz w:val="20"/>
                <w:szCs w:val="20"/>
                <w:color w:val="auto"/>
              </w:rPr>
            </w:pPr>
            <w:r>
              <w:rPr>
                <w:rFonts w:ascii="Arial" w:cs="Arial" w:eastAsia="Arial" w:hAnsi="Arial"/>
                <w:sz w:val="18"/>
                <w:szCs w:val="18"/>
                <w:color w:val="auto"/>
              </w:rPr>
              <w:t>CPS 2018-A</w:t>
            </w:r>
          </w:p>
        </w:tc>
        <w:tc>
          <w:tcPr>
            <w:tcW w:w="1920" w:type="dxa"/>
            <w:vAlign w:val="bottom"/>
            <w:gridSpan w:val="2"/>
          </w:tcPr>
          <w:p>
            <w:pPr>
              <w:jc w:val="right"/>
              <w:ind w:right="230"/>
              <w:spacing w:after="0"/>
              <w:rPr>
                <w:sz w:val="20"/>
                <w:szCs w:val="20"/>
                <w:color w:val="auto"/>
              </w:rPr>
            </w:pPr>
            <w:r>
              <w:rPr>
                <w:rFonts w:ascii="Arial" w:cs="Arial" w:eastAsia="Arial" w:hAnsi="Arial"/>
                <w:sz w:val="18"/>
                <w:szCs w:val="18"/>
                <w:color w:val="auto"/>
              </w:rPr>
              <w:t>March 2025</w:t>
            </w: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138,374</w:t>
            </w:r>
          </w:p>
        </w:tc>
        <w:tc>
          <w:tcPr>
            <w:tcW w:w="22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190,000</w:t>
            </w:r>
          </w:p>
        </w:tc>
        <w:tc>
          <w:tcPr>
            <w:tcW w:w="1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130,064</w:t>
            </w:r>
          </w:p>
        </w:tc>
        <w:tc>
          <w:tcPr>
            <w:tcW w:w="12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142,643</w:t>
            </w:r>
          </w:p>
        </w:tc>
        <w:tc>
          <w:tcPr>
            <w:tcW w:w="1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3.22%</w:t>
            </w:r>
          </w:p>
        </w:tc>
      </w:tr>
      <w:tr>
        <w:trPr>
          <w:trHeight w:val="216"/>
        </w:trPr>
        <w:tc>
          <w:tcPr>
            <w:tcW w:w="17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2018-B</w:t>
            </w:r>
          </w:p>
        </w:tc>
        <w:tc>
          <w:tcPr>
            <w:tcW w:w="1920" w:type="dxa"/>
            <w:vAlign w:val="bottom"/>
            <w:gridSpan w:val="2"/>
            <w:shd w:val="clear" w:color="auto" w:fill="EEEEEE"/>
          </w:tcPr>
          <w:p>
            <w:pPr>
              <w:jc w:val="right"/>
              <w:ind w:right="230"/>
              <w:spacing w:after="0"/>
              <w:rPr>
                <w:sz w:val="20"/>
                <w:szCs w:val="20"/>
                <w:color w:val="auto"/>
              </w:rPr>
            </w:pPr>
            <w:r>
              <w:rPr>
                <w:rFonts w:ascii="Arial" w:cs="Arial" w:eastAsia="Arial" w:hAnsi="Arial"/>
                <w:sz w:val="18"/>
                <w:szCs w:val="18"/>
                <w:color w:val="auto"/>
              </w:rPr>
              <w:t>December 2024</w:t>
            </w:r>
          </w:p>
        </w:tc>
        <w:tc>
          <w:tcPr>
            <w:tcW w:w="15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161,062</w:t>
            </w:r>
          </w:p>
        </w:tc>
        <w:tc>
          <w:tcPr>
            <w:tcW w:w="22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201,823</w:t>
            </w:r>
          </w:p>
        </w:tc>
        <w:tc>
          <w:tcPr>
            <w:tcW w:w="1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154,845</w:t>
            </w: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167,809</w:t>
            </w:r>
          </w:p>
        </w:tc>
        <w:tc>
          <w:tcPr>
            <w:tcW w:w="10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3.65%</w:t>
            </w:r>
          </w:p>
        </w:tc>
      </w:tr>
      <w:tr>
        <w:trPr>
          <w:trHeight w:val="216"/>
        </w:trPr>
        <w:tc>
          <w:tcPr>
            <w:tcW w:w="1740" w:type="dxa"/>
            <w:vAlign w:val="bottom"/>
            <w:gridSpan w:val="2"/>
          </w:tcPr>
          <w:p>
            <w:pPr>
              <w:spacing w:after="0"/>
              <w:rPr>
                <w:sz w:val="20"/>
                <w:szCs w:val="20"/>
                <w:color w:val="auto"/>
              </w:rPr>
            </w:pPr>
            <w:r>
              <w:rPr>
                <w:rFonts w:ascii="Arial" w:cs="Arial" w:eastAsia="Arial" w:hAnsi="Arial"/>
                <w:sz w:val="18"/>
                <w:szCs w:val="18"/>
                <w:color w:val="auto"/>
              </w:rPr>
              <w:t>CPS 2018-C</w:t>
            </w:r>
          </w:p>
        </w:tc>
        <w:tc>
          <w:tcPr>
            <w:tcW w:w="1920" w:type="dxa"/>
            <w:vAlign w:val="bottom"/>
            <w:gridSpan w:val="2"/>
          </w:tcPr>
          <w:p>
            <w:pPr>
              <w:jc w:val="right"/>
              <w:ind w:right="230"/>
              <w:spacing w:after="0"/>
              <w:rPr>
                <w:sz w:val="20"/>
                <w:szCs w:val="20"/>
                <w:color w:val="auto"/>
              </w:rPr>
            </w:pPr>
            <w:r>
              <w:rPr>
                <w:rFonts w:ascii="Arial" w:cs="Arial" w:eastAsia="Arial" w:hAnsi="Arial"/>
                <w:sz w:val="18"/>
                <w:szCs w:val="18"/>
                <w:color w:val="auto"/>
              </w:rPr>
              <w:t>September 2025</w:t>
            </w: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195,981</w:t>
            </w:r>
          </w:p>
        </w:tc>
        <w:tc>
          <w:tcPr>
            <w:tcW w:w="22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230,275</w:t>
            </w:r>
          </w:p>
        </w:tc>
        <w:tc>
          <w:tcPr>
            <w:tcW w:w="1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187,282</w:t>
            </w:r>
          </w:p>
        </w:tc>
        <w:tc>
          <w:tcPr>
            <w:tcW w:w="12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204,418</w:t>
            </w:r>
          </w:p>
        </w:tc>
        <w:tc>
          <w:tcPr>
            <w:tcW w:w="1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3.72%</w:t>
            </w:r>
          </w:p>
        </w:tc>
      </w:tr>
      <w:tr>
        <w:trPr>
          <w:trHeight w:val="216"/>
        </w:trPr>
        <w:tc>
          <w:tcPr>
            <w:tcW w:w="17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2018-D</w:t>
            </w:r>
          </w:p>
        </w:tc>
        <w:tc>
          <w:tcPr>
            <w:tcW w:w="1920" w:type="dxa"/>
            <w:vAlign w:val="bottom"/>
            <w:gridSpan w:val="2"/>
            <w:shd w:val="clear" w:color="auto" w:fill="EEEEEE"/>
          </w:tcPr>
          <w:p>
            <w:pPr>
              <w:jc w:val="right"/>
              <w:ind w:right="230"/>
              <w:spacing w:after="0"/>
              <w:rPr>
                <w:sz w:val="20"/>
                <w:szCs w:val="20"/>
                <w:color w:val="auto"/>
              </w:rPr>
            </w:pPr>
            <w:r>
              <w:rPr>
                <w:rFonts w:ascii="Arial" w:cs="Arial" w:eastAsia="Arial" w:hAnsi="Arial"/>
                <w:sz w:val="18"/>
                <w:szCs w:val="18"/>
                <w:color w:val="auto"/>
              </w:rPr>
              <w:t>June 2025</w:t>
            </w:r>
          </w:p>
        </w:tc>
        <w:tc>
          <w:tcPr>
            <w:tcW w:w="15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222,304</w:t>
            </w:r>
          </w:p>
        </w:tc>
        <w:tc>
          <w:tcPr>
            <w:tcW w:w="22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233,730</w:t>
            </w:r>
          </w:p>
        </w:tc>
        <w:tc>
          <w:tcPr>
            <w:tcW w:w="1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207,198</w:t>
            </w: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224,189</w:t>
            </w:r>
          </w:p>
        </w:tc>
        <w:tc>
          <w:tcPr>
            <w:tcW w:w="10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3.79%</w:t>
            </w:r>
          </w:p>
        </w:tc>
      </w:tr>
      <w:tr>
        <w:trPr>
          <w:trHeight w:val="230"/>
        </w:trPr>
        <w:tc>
          <w:tcPr>
            <w:tcW w:w="1740" w:type="dxa"/>
            <w:vAlign w:val="bottom"/>
            <w:gridSpan w:val="2"/>
          </w:tcPr>
          <w:p>
            <w:pPr>
              <w:spacing w:after="0"/>
              <w:rPr>
                <w:sz w:val="20"/>
                <w:szCs w:val="20"/>
                <w:color w:val="auto"/>
              </w:rPr>
            </w:pPr>
            <w:r>
              <w:rPr>
                <w:rFonts w:ascii="Arial" w:cs="Arial" w:eastAsia="Arial" w:hAnsi="Arial"/>
                <w:sz w:val="18"/>
                <w:szCs w:val="18"/>
                <w:color w:val="auto"/>
              </w:rPr>
              <w:t>CPS 2019-A</w:t>
            </w:r>
          </w:p>
        </w:tc>
        <w:tc>
          <w:tcPr>
            <w:tcW w:w="1920" w:type="dxa"/>
            <w:vAlign w:val="bottom"/>
            <w:gridSpan w:val="2"/>
          </w:tcPr>
          <w:p>
            <w:pPr>
              <w:jc w:val="right"/>
              <w:ind w:right="230"/>
              <w:spacing w:after="0"/>
              <w:rPr>
                <w:sz w:val="20"/>
                <w:szCs w:val="20"/>
                <w:color w:val="auto"/>
              </w:rPr>
            </w:pPr>
            <w:r>
              <w:rPr>
                <w:rFonts w:ascii="Arial" w:cs="Arial" w:eastAsia="Arial" w:hAnsi="Arial"/>
                <w:sz w:val="18"/>
                <w:szCs w:val="18"/>
                <w:color w:val="auto"/>
              </w:rPr>
              <w:t>March 2026</w:t>
            </w: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256,900</w:t>
            </w:r>
          </w:p>
        </w:tc>
        <w:tc>
          <w:tcPr>
            <w:tcW w:w="220" w:type="dxa"/>
            <w:vAlign w:val="bottom"/>
          </w:tcPr>
          <w:p>
            <w:pPr>
              <w:spacing w:after="0"/>
              <w:rPr>
                <w:sz w:val="19"/>
                <w:szCs w:val="19"/>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254,400</w:t>
            </w:r>
          </w:p>
        </w:tc>
        <w:tc>
          <w:tcPr>
            <w:tcW w:w="160" w:type="dxa"/>
            <w:vAlign w:val="bottom"/>
          </w:tcPr>
          <w:p>
            <w:pPr>
              <w:spacing w:after="0"/>
              <w:rPr>
                <w:sz w:val="19"/>
                <w:szCs w:val="19"/>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246,148</w:t>
            </w:r>
          </w:p>
        </w:tc>
        <w:tc>
          <w:tcPr>
            <w:tcW w:w="120" w:type="dxa"/>
            <w:vAlign w:val="bottom"/>
          </w:tcPr>
          <w:p>
            <w:pPr>
              <w:spacing w:after="0"/>
              <w:rPr>
                <w:sz w:val="19"/>
                <w:szCs w:val="19"/>
                <w:color w:val="auto"/>
              </w:rPr>
            </w:pP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3.76%</w:t>
            </w:r>
          </w:p>
        </w:tc>
      </w:tr>
      <w:tr>
        <w:trPr>
          <w:trHeight w:val="223"/>
        </w:trPr>
        <w:tc>
          <w:tcPr>
            <w:tcW w:w="162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1720" w:type="dxa"/>
            <w:vAlign w:val="bottom"/>
            <w:tcBorders>
              <w:top w:val="single" w:sz="8" w:color="EEEEEE"/>
              <w:bottom w:val="single" w:sz="8" w:color="EEEEEE"/>
            </w:tcBorders>
            <w:shd w:val="clear" w:color="auto" w:fill="EEEEEE"/>
          </w:tcPr>
          <w:p>
            <w:pPr>
              <w:spacing w:after="0"/>
              <w:rPr>
                <w:sz w:val="19"/>
                <w:szCs w:val="19"/>
                <w:color w:val="auto"/>
              </w:rPr>
            </w:pPr>
          </w:p>
        </w:tc>
        <w:tc>
          <w:tcPr>
            <w:tcW w:w="200" w:type="dxa"/>
            <w:vAlign w:val="bottom"/>
            <w:tcBorders>
              <w:top w:val="single" w:sz="8" w:color="auto"/>
              <w:bottom w:val="single" w:sz="8" w:color="auto"/>
            </w:tcBorders>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2,216,482</w:t>
            </w:r>
          </w:p>
        </w:tc>
        <w:tc>
          <w:tcPr>
            <w:tcW w:w="240" w:type="dxa"/>
            <w:vAlign w:val="bottom"/>
            <w:tcBorders>
              <w:top w:val="single" w:sz="8" w:color="EEEEEE"/>
              <w:bottom w:val="single" w:sz="8" w:color="EEEEEE"/>
            </w:tcBorders>
            <w:shd w:val="clear" w:color="auto" w:fill="EEEEEE"/>
          </w:tcPr>
          <w:p>
            <w:pPr>
              <w:spacing w:after="0"/>
              <w:rPr>
                <w:sz w:val="19"/>
                <w:szCs w:val="19"/>
                <w:color w:val="auto"/>
              </w:rPr>
            </w:pPr>
          </w:p>
        </w:tc>
        <w:tc>
          <w:tcPr>
            <w:tcW w:w="220" w:type="dxa"/>
            <w:vAlign w:val="bottom"/>
            <w:tcBorders>
              <w:top w:val="single" w:sz="8" w:color="auto"/>
              <w:bottom w:val="single" w:sz="8" w:color="auto"/>
            </w:tcBorders>
            <w:shd w:val="clear" w:color="auto" w:fill="EEEEEE"/>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4,867,818</w:t>
            </w:r>
          </w:p>
        </w:tc>
        <w:tc>
          <w:tcPr>
            <w:tcW w:w="24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2,121,010</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2,075,409</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136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bl>
    <w:p>
      <w:pPr>
        <w:spacing w:after="0" w:line="6"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2200275</wp:posOffset>
            </wp:positionH>
            <wp:positionV relativeFrom="paragraph">
              <wp:posOffset>-154940</wp:posOffset>
            </wp:positionV>
            <wp:extent cx="39878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987800" cy="8890"/>
                    </a:xfrm>
                    <a:prstGeom prst="rect">
                      <a:avLst/>
                    </a:prstGeom>
                    <a:noFill/>
                  </pic:spPr>
                </pic:pic>
              </a:graphicData>
            </a:graphic>
          </wp:anchor>
        </w:drawing>
      </w:r>
    </w:p>
    <w:p>
      <w:pPr>
        <w:jc w:val="both"/>
        <w:ind w:left="340" w:hanging="332"/>
        <w:spacing w:after="0" w:line="253" w:lineRule="auto"/>
        <w:tabs>
          <w:tab w:leader="none" w:pos="34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The Final Scheduled Payment Date represents final legal maturity of the securitization trust debt. Securitization trust debt is expected to become due and to be paid prior to those dates, based on amortization of the finance receivables pledged to the trusts. Expected payments, which will depend on the performance of such receivables, as to which there can be no assurance, are $622.1 million in 2019, $649.4 million in 2020, $431.5 million in 2021, $236.3 million in 2022, $150.3 million in 2023, $19.4 million in 2024.</w:t>
      </w:r>
    </w:p>
    <w:p>
      <w:pPr>
        <w:spacing w:after="0" w:line="191" w:lineRule="exact"/>
        <w:rPr>
          <w:rFonts w:ascii="Arial" w:cs="Arial" w:eastAsia="Arial" w:hAnsi="Arial"/>
          <w:sz w:val="18"/>
          <w:szCs w:val="18"/>
          <w:i w:val="1"/>
          <w:iCs w:val="1"/>
          <w:color w:val="auto"/>
        </w:rPr>
      </w:pPr>
    </w:p>
    <w:p>
      <w:pPr>
        <w:ind w:left="340" w:hanging="332"/>
        <w:spacing w:after="0"/>
        <w:tabs>
          <w:tab w:leader="none" w:pos="34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Includes repossessed assets that are included in Other assets on our Unaudited Condensed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type w:val="continuous"/>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2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Debt issuance costs of $12.0 million and $11.8 million as of March 31, 2019 and December 31, 2018, respectively, have been excluded from the table above. These debt issuance costs are presented as a direct deduction to the carrying amount of the securitization trust debt on our Unaudited Condensed Consolidated Balance Sheets.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All of the securitization trust debt was sold in private placement transactions to qualified institutional buyers. The debt was issued through our wholly-owned bankruptcy remote subsidiaries and is secured by the assets of such subsidiaries, but not by our other assets.</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terms of the securitization agreements related to the issuance of the securitization trust debt and the warehouse credit facilities require that we meet certain delinquency and credit loss criteria with respect to the pool of receivables, and certain of the agreements require that we maintain minimum levels of liquidity and not exceed maximum leverage levels. As of March 31, 2019, we were in compliance with all such covenants.</w:t>
      </w:r>
    </w:p>
    <w:p>
      <w:pPr>
        <w:spacing w:after="0" w:line="16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are responsible for the administration and collection of the automobile contracts. The securitization agreements also require certain funds be held in restricted cash accounts to provide additional collateral for the borrowings, to be applied to make payments on the securitization trust debt or as pre-funding proceeds from a term securitization prior to the purchase of additional collateral. As of March 31, 2019, restricted cash under the various agreements totaled approximately $135.5 million. Interest expense on the securitization trust debt consists of the stated rate of interest plus amortization of additional costs of borrowing. Additional costs of borrowing include facility fees, amortization of deferred financing costs and discounts on notes sold. Deferred financing costs and discounts on notes sold related to the securitization trust debt are amortized using a level yield method. Accordingly, the effective cost of the securitization trust debt is greater than the contractual rate of interest disclosed above.</w:t>
      </w:r>
    </w:p>
    <w:p>
      <w:pPr>
        <w:spacing w:after="0" w:line="17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Our wholly-owned bankruptcy remote subsidiaries were formed to facilitate the above asset-backed financing transactions. Similar bankruptcy remote subsidiaries issue the debt outstanding under our credit facilities. Bankruptcy remote refers to a legal structure in which it is expected that the applicable entity would not be included in any bankruptcy filing by its parent or affiliates. All of the assets of these subsidiaries have been pledged as collateral for the related debt. All such transactions, treated as secured financings for accounting and tax purposes, are treated as sales for all other purposes, including legal and bankruptcy purposes. None of the assets of these subsidiaries are available to pay other creditors.</w:t>
      </w:r>
    </w:p>
    <w:p>
      <w:pPr>
        <w:spacing w:after="0" w:line="1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April 17, 2019 we completed our second securitization transaction of 2019. In the transaction, qualified institutional buyers purchased $228.3 million of asset-backed notes secured by $230 million in automobile receivables purchased by us. The sold notes, issued by CPS Auto Receivables Trust 2019-B, consist of six classes. Ratings of the notes were provided by Standard &amp; Poor’s and Kroll Bond Rating Agency, and were based on the structure of the transaction, the historical performance of similar receivables and CPS’s experience as a servicer. The weighted average yield on the notes is approximately 3.95%.</w:t>
      </w:r>
    </w:p>
    <w:p>
      <w:pPr>
        <w:spacing w:after="0" w:line="188" w:lineRule="exact"/>
        <w:rPr>
          <w:sz w:val="20"/>
          <w:szCs w:val="20"/>
          <w:color w:val="auto"/>
        </w:rPr>
      </w:pPr>
    </w:p>
    <w:p>
      <w:pPr>
        <w:ind w:left="260" w:hanging="252"/>
        <w:spacing w:after="0"/>
        <w:tabs>
          <w:tab w:leader="none" w:pos="2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Debt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terms and amounts of our other debt outstanding at March 31, 2019 and December 31, 2018 are summarized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60" w:type="dxa"/>
            <w:vAlign w:val="bottom"/>
            <w:gridSpan w:val="6"/>
          </w:tcPr>
          <w:p>
            <w:pPr>
              <w:ind w:left="200"/>
              <w:spacing w:after="0"/>
              <w:rPr>
                <w:sz w:val="20"/>
                <w:szCs w:val="20"/>
                <w:color w:val="auto"/>
              </w:rPr>
            </w:pPr>
            <w:r>
              <w:rPr>
                <w:rFonts w:ascii="Arial" w:cs="Arial" w:eastAsia="Arial" w:hAnsi="Arial"/>
                <w:sz w:val="18"/>
                <w:szCs w:val="18"/>
                <w:b w:val="1"/>
                <w:bCs w:val="1"/>
                <w:color w:val="auto"/>
              </w:rPr>
              <w:t>Amount Outstanding at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2"/>
          </w:tcPr>
          <w:p>
            <w:pPr>
              <w:jc w:val="right"/>
              <w:ind w:right="280"/>
              <w:spacing w:after="0" w:line="205" w:lineRule="exact"/>
              <w:rPr>
                <w:sz w:val="20"/>
                <w:szCs w:val="20"/>
                <w:color w:val="auto"/>
              </w:rPr>
            </w:pPr>
            <w:r>
              <w:rPr>
                <w:rFonts w:ascii="Arial" w:cs="Arial" w:eastAsia="Arial" w:hAnsi="Arial"/>
                <w:sz w:val="18"/>
                <w:szCs w:val="18"/>
                <w:b w:val="1"/>
                <w:bCs w:val="1"/>
                <w:color w:val="auto"/>
                <w:w w:val="96"/>
              </w:rPr>
              <w:t>March 31,</w:t>
            </w:r>
          </w:p>
        </w:tc>
        <w:tc>
          <w:tcPr>
            <w:tcW w:w="1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right"/>
              <w:spacing w:after="0" w:line="205" w:lineRule="exact"/>
              <w:rPr>
                <w:sz w:val="20"/>
                <w:szCs w:val="20"/>
                <w:color w:val="auto"/>
              </w:rPr>
            </w:pPr>
            <w:r>
              <w:rPr>
                <w:rFonts w:ascii="Arial" w:cs="Arial" w:eastAsia="Arial" w:hAnsi="Arial"/>
                <w:sz w:val="18"/>
                <w:szCs w:val="18"/>
                <w:b w:val="1"/>
                <w:bCs w:val="1"/>
                <w:color w:val="auto"/>
                <w:w w:val="90"/>
              </w:rPr>
              <w:t>December 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980" w:type="dxa"/>
            <w:vAlign w:val="bottom"/>
            <w:gridSpan w:val="2"/>
            <w:vMerge w:val="restart"/>
          </w:tcPr>
          <w:p>
            <w:pPr>
              <w:ind w:left="980"/>
              <w:spacing w:after="0"/>
              <w:rPr>
                <w:sz w:val="20"/>
                <w:szCs w:val="20"/>
                <w:color w:val="auto"/>
              </w:rPr>
            </w:pPr>
            <w:r>
              <w:rPr>
                <w:rFonts w:ascii="Arial" w:cs="Arial" w:eastAsia="Arial" w:hAnsi="Arial"/>
                <w:sz w:val="18"/>
                <w:szCs w:val="18"/>
                <w:b w:val="1"/>
                <w:bCs w:val="1"/>
                <w:color w:val="auto"/>
              </w:rPr>
              <w:t>Description</w:t>
            </w:r>
          </w:p>
        </w:tc>
        <w:tc>
          <w:tcPr>
            <w:tcW w:w="2980" w:type="dxa"/>
            <w:vAlign w:val="bottom"/>
            <w:gridSpan w:val="2"/>
            <w:vMerge w:val="restart"/>
          </w:tcPr>
          <w:p>
            <w:pPr>
              <w:jc w:val="center"/>
              <w:ind w:right="140"/>
              <w:spacing w:after="0"/>
              <w:rPr>
                <w:sz w:val="20"/>
                <w:szCs w:val="20"/>
                <w:color w:val="auto"/>
              </w:rPr>
            </w:pPr>
            <w:r>
              <w:rPr>
                <w:rFonts w:ascii="Arial" w:cs="Arial" w:eastAsia="Arial" w:hAnsi="Arial"/>
                <w:sz w:val="18"/>
                <w:szCs w:val="18"/>
                <w:b w:val="1"/>
                <w:bCs w:val="1"/>
                <w:color w:val="auto"/>
                <w:w w:val="91"/>
              </w:rPr>
              <w:t>Interest Rate</w:t>
            </w:r>
          </w:p>
        </w:tc>
        <w:tc>
          <w:tcPr>
            <w:tcW w:w="2280" w:type="dxa"/>
            <w:vAlign w:val="bottom"/>
            <w:vMerge w:val="restart"/>
          </w:tcPr>
          <w:p>
            <w:pPr>
              <w:jc w:val="center"/>
              <w:ind w:left="370"/>
              <w:spacing w:after="0"/>
              <w:rPr>
                <w:sz w:val="20"/>
                <w:szCs w:val="20"/>
                <w:color w:val="auto"/>
              </w:rPr>
            </w:pPr>
            <w:r>
              <w:rPr>
                <w:rFonts w:ascii="Arial" w:cs="Arial" w:eastAsia="Arial" w:hAnsi="Arial"/>
                <w:sz w:val="18"/>
                <w:szCs w:val="18"/>
                <w:b w:val="1"/>
                <w:bCs w:val="1"/>
                <w:color w:val="auto"/>
                <w:w w:val="99"/>
              </w:rPr>
              <w:t>Maturity</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60" w:type="dxa"/>
            <w:vAlign w:val="bottom"/>
            <w:gridSpan w:val="5"/>
          </w:tcPr>
          <w:p>
            <w:pPr>
              <w:jc w:val="right"/>
              <w:ind w:right="61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980" w:type="dxa"/>
            <w:vAlign w:val="bottom"/>
            <w:gridSpan w:val="2"/>
            <w:vMerge w:val="continue"/>
          </w:tcPr>
          <w:p>
            <w:pPr>
              <w:spacing w:after="0"/>
              <w:rPr>
                <w:sz w:val="18"/>
                <w:szCs w:val="18"/>
                <w:color w:val="auto"/>
              </w:rPr>
            </w:pPr>
          </w:p>
        </w:tc>
        <w:tc>
          <w:tcPr>
            <w:tcW w:w="2980" w:type="dxa"/>
            <w:vAlign w:val="bottom"/>
            <w:gridSpan w:val="2"/>
            <w:vMerge w:val="continue"/>
          </w:tcPr>
          <w:p>
            <w:pPr>
              <w:spacing w:after="0"/>
              <w:rPr>
                <w:sz w:val="18"/>
                <w:szCs w:val="18"/>
                <w:color w:val="auto"/>
              </w:rPr>
            </w:pPr>
          </w:p>
        </w:tc>
        <w:tc>
          <w:tcPr>
            <w:tcW w:w="228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980" w:type="dxa"/>
            <w:vAlign w:val="bottom"/>
            <w:gridSpan w:val="2"/>
            <w:shd w:val="clear" w:color="auto" w:fill="EEEEEE"/>
          </w:tcPr>
          <w:p>
            <w:pPr>
              <w:jc w:val="center"/>
              <w:ind w:right="140"/>
              <w:spacing w:after="0" w:line="201" w:lineRule="exact"/>
              <w:rPr>
                <w:sz w:val="20"/>
                <w:szCs w:val="20"/>
                <w:color w:val="auto"/>
              </w:rPr>
            </w:pPr>
            <w:r>
              <w:rPr>
                <w:rFonts w:ascii="Arial" w:cs="Arial" w:eastAsia="Arial" w:hAnsi="Arial"/>
                <w:sz w:val="18"/>
                <w:szCs w:val="18"/>
                <w:color w:val="auto"/>
                <w:w w:val="91"/>
              </w:rPr>
              <w:t>5.50% over one month Libor</w:t>
            </w:r>
          </w:p>
        </w:tc>
        <w:tc>
          <w:tcPr>
            <w:tcW w:w="2280" w:type="dxa"/>
            <w:vAlign w:val="bottom"/>
            <w:shd w:val="clear" w:color="auto" w:fill="EEEEEE"/>
          </w:tcPr>
          <w:p>
            <w:pPr>
              <w:spacing w:after="0"/>
              <w:rPr>
                <w:sz w:val="17"/>
                <w:szCs w:val="17"/>
                <w:color w:val="auto"/>
              </w:rPr>
            </w:pPr>
          </w:p>
        </w:tc>
        <w:tc>
          <w:tcPr>
            <w:tcW w:w="4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9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Warehouse lines of credit</w:t>
            </w:r>
          </w:p>
        </w:tc>
        <w:tc>
          <w:tcPr>
            <w:tcW w:w="2980" w:type="dxa"/>
            <w:vAlign w:val="bottom"/>
            <w:gridSpan w:val="2"/>
            <w:shd w:val="clear" w:color="auto" w:fill="EEEEEE"/>
          </w:tcPr>
          <w:p>
            <w:pPr>
              <w:jc w:val="center"/>
              <w:ind w:right="140"/>
              <w:spacing w:after="0"/>
              <w:rPr>
                <w:sz w:val="20"/>
                <w:szCs w:val="20"/>
                <w:color w:val="auto"/>
              </w:rPr>
            </w:pPr>
            <w:r>
              <w:rPr>
                <w:rFonts w:ascii="Arial" w:cs="Arial" w:eastAsia="Arial" w:hAnsi="Arial"/>
                <w:sz w:val="18"/>
                <w:szCs w:val="18"/>
                <w:color w:val="auto"/>
                <w:w w:val="96"/>
              </w:rPr>
              <w:t>(Minimum 6.50%)</w:t>
            </w:r>
          </w:p>
        </w:tc>
        <w:tc>
          <w:tcPr>
            <w:tcW w:w="2280" w:type="dxa"/>
            <w:vAlign w:val="bottom"/>
            <w:shd w:val="clear" w:color="auto" w:fill="EEEEEE"/>
          </w:tcPr>
          <w:p>
            <w:pPr>
              <w:jc w:val="center"/>
              <w:ind w:left="370"/>
              <w:spacing w:after="0"/>
              <w:rPr>
                <w:sz w:val="20"/>
                <w:szCs w:val="20"/>
                <w:color w:val="auto"/>
              </w:rPr>
            </w:pPr>
            <w:r>
              <w:rPr>
                <w:rFonts w:ascii="Arial" w:cs="Arial" w:eastAsia="Arial" w:hAnsi="Arial"/>
                <w:sz w:val="18"/>
                <w:szCs w:val="18"/>
                <w:color w:val="auto"/>
                <w:w w:val="90"/>
              </w:rPr>
              <w:t>February 2021</w:t>
            </w:r>
          </w:p>
        </w:tc>
        <w:tc>
          <w:tcPr>
            <w:tcW w:w="7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46,890</w:t>
            </w:r>
          </w:p>
        </w:tc>
        <w:tc>
          <w:tcPr>
            <w:tcW w:w="360" w:type="dxa"/>
            <w:vAlign w:val="bottom"/>
            <w:gridSpan w:val="2"/>
            <w:shd w:val="clear" w:color="auto" w:fill="EEEEEE"/>
          </w:tcPr>
          <w:p>
            <w:pPr>
              <w:jc w:val="right"/>
              <w:ind w:right="77"/>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38,198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980" w:type="dxa"/>
            <w:vAlign w:val="bottom"/>
            <w:gridSpan w:val="2"/>
            <w:shd w:val="clear" w:color="auto" w:fill="EEEEEE"/>
          </w:tcPr>
          <w:p>
            <w:pPr>
              <w:jc w:val="center"/>
              <w:ind w:right="140"/>
              <w:spacing w:after="0" w:line="201" w:lineRule="exact"/>
              <w:rPr>
                <w:sz w:val="20"/>
                <w:szCs w:val="20"/>
                <w:color w:val="auto"/>
              </w:rPr>
            </w:pPr>
            <w:r>
              <w:rPr>
                <w:rFonts w:ascii="Arial" w:cs="Arial" w:eastAsia="Arial" w:hAnsi="Arial"/>
                <w:sz w:val="18"/>
                <w:szCs w:val="18"/>
                <w:color w:val="auto"/>
                <w:w w:val="91"/>
              </w:rPr>
              <w:t>3.00% over one month Libor</w:t>
            </w:r>
          </w:p>
        </w:tc>
        <w:tc>
          <w:tcPr>
            <w:tcW w:w="2280" w:type="dxa"/>
            <w:vAlign w:val="bottom"/>
            <w:shd w:val="clear" w:color="auto" w:fill="EEEEEE"/>
          </w:tcPr>
          <w:p>
            <w:pPr>
              <w:spacing w:after="0"/>
              <w:rPr>
                <w:sz w:val="17"/>
                <w:szCs w:val="17"/>
                <w:color w:val="auto"/>
              </w:rPr>
            </w:pPr>
          </w:p>
        </w:tc>
        <w:tc>
          <w:tcPr>
            <w:tcW w:w="4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9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6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2980" w:type="dxa"/>
            <w:vAlign w:val="bottom"/>
            <w:gridSpan w:val="2"/>
            <w:shd w:val="clear" w:color="auto" w:fill="EEEEEE"/>
          </w:tcPr>
          <w:p>
            <w:pPr>
              <w:jc w:val="center"/>
              <w:ind w:right="140"/>
              <w:spacing w:after="0"/>
              <w:rPr>
                <w:sz w:val="20"/>
                <w:szCs w:val="20"/>
                <w:color w:val="auto"/>
              </w:rPr>
            </w:pPr>
            <w:r>
              <w:rPr>
                <w:rFonts w:ascii="Arial" w:cs="Arial" w:eastAsia="Arial" w:hAnsi="Arial"/>
                <w:sz w:val="18"/>
                <w:szCs w:val="18"/>
                <w:color w:val="auto"/>
                <w:w w:val="96"/>
              </w:rPr>
              <w:t>(Minimum 3.75%)</w:t>
            </w:r>
          </w:p>
        </w:tc>
        <w:tc>
          <w:tcPr>
            <w:tcW w:w="2280" w:type="dxa"/>
            <w:vAlign w:val="bottom"/>
            <w:shd w:val="clear" w:color="auto" w:fill="EEEEEE"/>
          </w:tcPr>
          <w:p>
            <w:pPr>
              <w:jc w:val="center"/>
              <w:ind w:left="370"/>
              <w:spacing w:after="0"/>
              <w:rPr>
                <w:sz w:val="20"/>
                <w:szCs w:val="20"/>
                <w:color w:val="auto"/>
              </w:rPr>
            </w:pPr>
            <w:r>
              <w:rPr>
                <w:rFonts w:ascii="Arial" w:cs="Arial" w:eastAsia="Arial" w:hAnsi="Arial"/>
                <w:sz w:val="18"/>
                <w:szCs w:val="18"/>
                <w:color w:val="auto"/>
                <w:w w:val="88"/>
              </w:rPr>
              <w:t>September 2020</w:t>
            </w:r>
          </w:p>
        </w:tc>
        <w:tc>
          <w:tcPr>
            <w:tcW w:w="46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1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72,101</w:t>
            </w:r>
          </w:p>
        </w:tc>
        <w:tc>
          <w:tcPr>
            <w:tcW w:w="12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99,885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980" w:type="dxa"/>
            <w:vAlign w:val="bottom"/>
            <w:gridSpan w:val="2"/>
            <w:shd w:val="clear" w:color="auto" w:fill="EEEEEE"/>
          </w:tcPr>
          <w:p>
            <w:pPr>
              <w:jc w:val="center"/>
              <w:ind w:right="140"/>
              <w:spacing w:after="0" w:line="201" w:lineRule="exact"/>
              <w:rPr>
                <w:sz w:val="20"/>
                <w:szCs w:val="20"/>
                <w:color w:val="auto"/>
              </w:rPr>
            </w:pPr>
            <w:r>
              <w:rPr>
                <w:rFonts w:ascii="Arial" w:cs="Arial" w:eastAsia="Arial" w:hAnsi="Arial"/>
                <w:sz w:val="18"/>
                <w:szCs w:val="18"/>
                <w:color w:val="auto"/>
                <w:w w:val="89"/>
              </w:rPr>
              <w:t>6.75% over a commercial paper rate</w:t>
            </w:r>
          </w:p>
        </w:tc>
        <w:tc>
          <w:tcPr>
            <w:tcW w:w="2280" w:type="dxa"/>
            <w:vAlign w:val="bottom"/>
            <w:shd w:val="clear" w:color="auto" w:fill="EEEEEE"/>
          </w:tcPr>
          <w:p>
            <w:pPr>
              <w:spacing w:after="0"/>
              <w:rPr>
                <w:sz w:val="17"/>
                <w:szCs w:val="17"/>
                <w:color w:val="auto"/>
              </w:rPr>
            </w:pPr>
          </w:p>
        </w:tc>
        <w:tc>
          <w:tcPr>
            <w:tcW w:w="4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9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6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2980" w:type="dxa"/>
            <w:vAlign w:val="bottom"/>
            <w:gridSpan w:val="2"/>
            <w:shd w:val="clear" w:color="auto" w:fill="EEEEEE"/>
          </w:tcPr>
          <w:p>
            <w:pPr>
              <w:jc w:val="center"/>
              <w:ind w:right="140"/>
              <w:spacing w:after="0"/>
              <w:rPr>
                <w:sz w:val="20"/>
                <w:szCs w:val="20"/>
                <w:color w:val="auto"/>
              </w:rPr>
            </w:pPr>
            <w:r>
              <w:rPr>
                <w:rFonts w:ascii="Arial" w:cs="Arial" w:eastAsia="Arial" w:hAnsi="Arial"/>
                <w:sz w:val="18"/>
                <w:szCs w:val="18"/>
                <w:color w:val="auto"/>
                <w:w w:val="96"/>
              </w:rPr>
              <w:t>(Minimum 7.75%)</w:t>
            </w:r>
          </w:p>
        </w:tc>
        <w:tc>
          <w:tcPr>
            <w:tcW w:w="2280" w:type="dxa"/>
            <w:vAlign w:val="bottom"/>
            <w:shd w:val="clear" w:color="auto" w:fill="EEEEEE"/>
          </w:tcPr>
          <w:p>
            <w:pPr>
              <w:jc w:val="center"/>
              <w:ind w:left="370"/>
              <w:spacing w:after="0"/>
              <w:rPr>
                <w:sz w:val="20"/>
                <w:szCs w:val="20"/>
                <w:color w:val="auto"/>
              </w:rPr>
            </w:pPr>
            <w:r>
              <w:rPr>
                <w:rFonts w:ascii="Arial" w:cs="Arial" w:eastAsia="Arial" w:hAnsi="Arial"/>
                <w:sz w:val="18"/>
                <w:szCs w:val="18"/>
                <w:color w:val="auto"/>
                <w:w w:val="92"/>
              </w:rPr>
              <w:t>November 2019</w:t>
            </w:r>
          </w:p>
        </w:tc>
        <w:tc>
          <w:tcPr>
            <w:tcW w:w="46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1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Residual interest financing</w:t>
            </w:r>
          </w:p>
        </w:tc>
        <w:tc>
          <w:tcPr>
            <w:tcW w:w="28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8.60%</w:t>
            </w:r>
          </w:p>
        </w:tc>
        <w:tc>
          <w:tcPr>
            <w:tcW w:w="120" w:type="dxa"/>
            <w:vAlign w:val="bottom"/>
            <w:shd w:val="clear" w:color="auto" w:fill="EEEEEE"/>
          </w:tcPr>
          <w:p>
            <w:pPr>
              <w:spacing w:after="0"/>
              <w:rPr>
                <w:sz w:val="18"/>
                <w:szCs w:val="18"/>
                <w:color w:val="auto"/>
              </w:rPr>
            </w:pPr>
          </w:p>
        </w:tc>
        <w:tc>
          <w:tcPr>
            <w:tcW w:w="2280" w:type="dxa"/>
            <w:vAlign w:val="bottom"/>
            <w:shd w:val="clear" w:color="auto" w:fill="EEEEEE"/>
          </w:tcPr>
          <w:p>
            <w:pPr>
              <w:jc w:val="center"/>
              <w:ind w:left="370"/>
              <w:spacing w:after="0"/>
              <w:rPr>
                <w:sz w:val="20"/>
                <w:szCs w:val="20"/>
                <w:color w:val="auto"/>
              </w:rPr>
            </w:pPr>
            <w:r>
              <w:rPr>
                <w:rFonts w:ascii="Arial" w:cs="Arial" w:eastAsia="Arial" w:hAnsi="Arial"/>
                <w:sz w:val="18"/>
                <w:szCs w:val="18"/>
                <w:color w:val="auto"/>
                <w:w w:val="89"/>
              </w:rPr>
              <w:t>January 2026</w:t>
            </w:r>
          </w:p>
        </w:tc>
        <w:tc>
          <w:tcPr>
            <w:tcW w:w="4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40,000</w:t>
            </w: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8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280" w:type="dxa"/>
            <w:vAlign w:val="bottom"/>
            <w:shd w:val="clear" w:color="auto" w:fill="EEEEEE"/>
          </w:tcPr>
          <w:p>
            <w:pPr>
              <w:ind w:left="100"/>
              <w:spacing w:after="0" w:line="201" w:lineRule="exact"/>
              <w:rPr>
                <w:sz w:val="20"/>
                <w:szCs w:val="20"/>
                <w:color w:val="auto"/>
              </w:rPr>
            </w:pPr>
            <w:r>
              <w:rPr>
                <w:rFonts w:ascii="Arial" w:cs="Arial" w:eastAsia="Arial" w:hAnsi="Arial"/>
                <w:sz w:val="18"/>
                <w:szCs w:val="18"/>
                <w:color w:val="auto"/>
                <w:w w:val="91"/>
              </w:rPr>
              <w:t>Weighted average maturity of</w:t>
            </w:r>
          </w:p>
        </w:tc>
        <w:tc>
          <w:tcPr>
            <w:tcW w:w="700" w:type="dxa"/>
            <w:vAlign w:val="bottom"/>
            <w:gridSpan w:val="3"/>
            <w:shd w:val="clear" w:color="auto" w:fill="EEEEEE"/>
          </w:tcPr>
          <w:p>
            <w:pPr>
              <w:jc w:val="right"/>
              <w:ind w:right="250"/>
              <w:spacing w:after="0" w:line="201" w:lineRule="exact"/>
              <w:rPr>
                <w:sz w:val="20"/>
                <w:szCs w:val="20"/>
                <w:color w:val="auto"/>
              </w:rPr>
            </w:pPr>
            <w:r>
              <w:rPr>
                <w:rFonts w:ascii="Arial" w:cs="Arial" w:eastAsia="Arial" w:hAnsi="Arial"/>
                <w:sz w:val="18"/>
                <w:szCs w:val="18"/>
                <w:color w:val="auto"/>
              </w:rPr>
              <w:t>July</w:t>
            </w:r>
          </w:p>
        </w:tc>
        <w:tc>
          <w:tcPr>
            <w:tcW w:w="10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9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980" w:type="dxa"/>
            <w:vAlign w:val="bottom"/>
            <w:gridSpan w:val="2"/>
            <w:shd w:val="clear" w:color="auto" w:fill="EEEEEE"/>
          </w:tcPr>
          <w:p>
            <w:pPr>
              <w:jc w:val="center"/>
              <w:ind w:right="120"/>
              <w:spacing w:after="0"/>
              <w:rPr>
                <w:sz w:val="20"/>
                <w:szCs w:val="20"/>
                <w:color w:val="auto"/>
              </w:rPr>
            </w:pPr>
            <w:r>
              <w:rPr>
                <w:rFonts w:ascii="Arial" w:cs="Arial" w:eastAsia="Arial" w:hAnsi="Arial"/>
                <w:sz w:val="18"/>
                <w:szCs w:val="18"/>
                <w:color w:val="auto"/>
                <w:w w:val="89"/>
              </w:rPr>
              <w:t>Weighted average rate of 8.28% and</w:t>
            </w:r>
          </w:p>
        </w:tc>
        <w:tc>
          <w:tcPr>
            <w:tcW w:w="2980" w:type="dxa"/>
            <w:vAlign w:val="bottom"/>
            <w:gridSpan w:val="4"/>
            <w:shd w:val="clear" w:color="auto" w:fill="EEEEEE"/>
          </w:tcPr>
          <w:p>
            <w:pPr>
              <w:jc w:val="center"/>
              <w:ind w:right="150"/>
              <w:spacing w:after="0"/>
              <w:rPr>
                <w:sz w:val="20"/>
                <w:szCs w:val="20"/>
                <w:color w:val="auto"/>
              </w:rPr>
            </w:pPr>
            <w:r>
              <w:rPr>
                <w:rFonts w:ascii="Arial" w:cs="Arial" w:eastAsia="Arial" w:hAnsi="Arial"/>
                <w:sz w:val="18"/>
                <w:szCs w:val="18"/>
                <w:color w:val="auto"/>
                <w:w w:val="89"/>
              </w:rPr>
              <w:t>2021 and January 2021 at March 31,</w:t>
            </w:r>
          </w:p>
        </w:tc>
        <w:tc>
          <w:tcPr>
            <w:tcW w:w="10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980" w:type="dxa"/>
            <w:vAlign w:val="bottom"/>
            <w:gridSpan w:val="2"/>
            <w:shd w:val="clear" w:color="auto" w:fill="EEEEEE"/>
          </w:tcPr>
          <w:p>
            <w:pPr>
              <w:jc w:val="center"/>
              <w:ind w:right="120"/>
              <w:spacing w:after="0"/>
              <w:rPr>
                <w:sz w:val="20"/>
                <w:szCs w:val="20"/>
                <w:color w:val="auto"/>
              </w:rPr>
            </w:pPr>
            <w:r>
              <w:rPr>
                <w:rFonts w:ascii="Arial" w:cs="Arial" w:eastAsia="Arial" w:hAnsi="Arial"/>
                <w:sz w:val="18"/>
                <w:szCs w:val="18"/>
                <w:color w:val="auto"/>
                <w:w w:val="90"/>
              </w:rPr>
              <w:t>8.53% at March 31, 2019 and</w:t>
            </w:r>
          </w:p>
        </w:tc>
        <w:tc>
          <w:tcPr>
            <w:tcW w:w="2980" w:type="dxa"/>
            <w:vAlign w:val="bottom"/>
            <w:gridSpan w:val="4"/>
            <w:shd w:val="clear" w:color="auto" w:fill="EEEEEE"/>
          </w:tcPr>
          <w:p>
            <w:pPr>
              <w:jc w:val="center"/>
              <w:ind w:right="150"/>
              <w:spacing w:after="0"/>
              <w:rPr>
                <w:sz w:val="20"/>
                <w:szCs w:val="20"/>
                <w:color w:val="auto"/>
              </w:rPr>
            </w:pPr>
            <w:r>
              <w:rPr>
                <w:rFonts w:ascii="Arial" w:cs="Arial" w:eastAsia="Arial" w:hAnsi="Arial"/>
                <w:sz w:val="18"/>
                <w:szCs w:val="18"/>
                <w:color w:val="auto"/>
                <w:w w:val="89"/>
              </w:rPr>
              <w:t>2019 and December 31, 2018,</w:t>
            </w:r>
          </w:p>
        </w:tc>
        <w:tc>
          <w:tcPr>
            <w:tcW w:w="10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Subordinated renewable notes</w:t>
            </w:r>
          </w:p>
        </w:tc>
        <w:tc>
          <w:tcPr>
            <w:tcW w:w="2980" w:type="dxa"/>
            <w:vAlign w:val="bottom"/>
            <w:gridSpan w:val="2"/>
            <w:shd w:val="clear" w:color="auto" w:fill="EEEEEE"/>
          </w:tcPr>
          <w:p>
            <w:pPr>
              <w:jc w:val="center"/>
              <w:ind w:right="120"/>
              <w:spacing w:after="0"/>
              <w:rPr>
                <w:sz w:val="20"/>
                <w:szCs w:val="20"/>
                <w:color w:val="auto"/>
              </w:rPr>
            </w:pPr>
            <w:r>
              <w:rPr>
                <w:rFonts w:ascii="Arial" w:cs="Arial" w:eastAsia="Arial" w:hAnsi="Arial"/>
                <w:sz w:val="18"/>
                <w:szCs w:val="18"/>
                <w:color w:val="auto"/>
                <w:w w:val="90"/>
              </w:rPr>
              <w:t>December 31, 2018 , respectively</w:t>
            </w:r>
          </w:p>
        </w:tc>
        <w:tc>
          <w:tcPr>
            <w:tcW w:w="2280" w:type="dxa"/>
            <w:vAlign w:val="bottom"/>
            <w:shd w:val="clear" w:color="auto" w:fill="EEEEEE"/>
          </w:tcPr>
          <w:p>
            <w:pPr>
              <w:jc w:val="center"/>
              <w:ind w:left="370"/>
              <w:spacing w:after="0"/>
              <w:rPr>
                <w:sz w:val="20"/>
                <w:szCs w:val="20"/>
                <w:color w:val="auto"/>
              </w:rPr>
            </w:pPr>
            <w:r>
              <w:rPr>
                <w:rFonts w:ascii="Arial" w:cs="Arial" w:eastAsia="Arial" w:hAnsi="Arial"/>
                <w:sz w:val="18"/>
                <w:szCs w:val="18"/>
                <w:color w:val="auto"/>
                <w:w w:val="90"/>
              </w:rPr>
              <w:t>respectively</w:t>
            </w:r>
          </w:p>
        </w:tc>
        <w:tc>
          <w:tcPr>
            <w:tcW w:w="46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1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12,986</w:t>
            </w:r>
          </w:p>
        </w:tc>
        <w:tc>
          <w:tcPr>
            <w:tcW w:w="12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17,290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60" w:type="dxa"/>
            <w:vAlign w:val="bottom"/>
            <w:tcBorders>
              <w:bottom w:val="single" w:sz="8" w:color="EEEEEE"/>
            </w:tcBorders>
          </w:tcPr>
          <w:p>
            <w:pPr>
              <w:spacing w:after="0"/>
              <w:rPr>
                <w:sz w:val="19"/>
                <w:szCs w:val="19"/>
                <w:color w:val="auto"/>
              </w:rPr>
            </w:pPr>
          </w:p>
        </w:tc>
        <w:tc>
          <w:tcPr>
            <w:tcW w:w="120" w:type="dxa"/>
            <w:vAlign w:val="bottom"/>
            <w:tcBorders>
              <w:bottom w:val="single" w:sz="8" w:color="EEEEEE"/>
            </w:tcBorders>
          </w:tcPr>
          <w:p>
            <w:pPr>
              <w:spacing w:after="0"/>
              <w:rPr>
                <w:sz w:val="19"/>
                <w:szCs w:val="19"/>
                <w:color w:val="auto"/>
              </w:rPr>
            </w:pPr>
          </w:p>
        </w:tc>
        <w:tc>
          <w:tcPr>
            <w:tcW w:w="2860" w:type="dxa"/>
            <w:vAlign w:val="bottom"/>
            <w:tcBorders>
              <w:bottom w:val="single" w:sz="8" w:color="EEEEEE"/>
            </w:tcBorders>
          </w:tcPr>
          <w:p>
            <w:pPr>
              <w:spacing w:after="0"/>
              <w:rPr>
                <w:sz w:val="19"/>
                <w:szCs w:val="19"/>
                <w:color w:val="auto"/>
              </w:rPr>
            </w:pPr>
          </w:p>
        </w:tc>
        <w:tc>
          <w:tcPr>
            <w:tcW w:w="120" w:type="dxa"/>
            <w:vAlign w:val="bottom"/>
            <w:tcBorders>
              <w:bottom w:val="single" w:sz="8" w:color="EEEEEE"/>
            </w:tcBorders>
          </w:tcPr>
          <w:p>
            <w:pPr>
              <w:spacing w:after="0"/>
              <w:rPr>
                <w:sz w:val="19"/>
                <w:szCs w:val="19"/>
                <w:color w:val="auto"/>
              </w:rPr>
            </w:pPr>
          </w:p>
        </w:tc>
        <w:tc>
          <w:tcPr>
            <w:tcW w:w="2280" w:type="dxa"/>
            <w:vAlign w:val="bottom"/>
            <w:tcBorders>
              <w:bottom w:val="single" w:sz="8" w:color="EEEEEE"/>
            </w:tcBorders>
          </w:tcPr>
          <w:p>
            <w:pPr>
              <w:spacing w:after="0"/>
              <w:rPr>
                <w:sz w:val="19"/>
                <w:szCs w:val="19"/>
                <w:color w:val="auto"/>
              </w:rPr>
            </w:pPr>
          </w:p>
        </w:tc>
        <w:tc>
          <w:tcPr>
            <w:tcW w:w="460" w:type="dxa"/>
            <w:vAlign w:val="bottom"/>
            <w:tcBorders>
              <w:bottom w:val="single" w:sz="8" w:color="EEEEEE"/>
            </w:tcBorders>
          </w:tcPr>
          <w:p>
            <w:pPr>
              <w:spacing w:after="0"/>
              <w:rPr>
                <w:sz w:val="19"/>
                <w:szCs w:val="19"/>
                <w:color w:val="auto"/>
              </w:rPr>
            </w:pPr>
          </w:p>
        </w:tc>
        <w:tc>
          <w:tcPr>
            <w:tcW w:w="100" w:type="dxa"/>
            <w:vAlign w:val="bottom"/>
            <w:tcBorders>
              <w:bottom w:val="single" w:sz="8" w:color="EEEEEE"/>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Borders>
              <w:bottom w:val="single" w:sz="8" w:color="EEEEEE"/>
            </w:tcBorders>
          </w:tcPr>
          <w:p>
            <w:pPr>
              <w:spacing w:after="0"/>
              <w:rPr>
                <w:sz w:val="19"/>
                <w:szCs w:val="19"/>
                <w:color w:val="auto"/>
              </w:rPr>
            </w:pPr>
          </w:p>
        </w:tc>
        <w:tc>
          <w:tcPr>
            <w:tcW w:w="120" w:type="dxa"/>
            <w:vAlign w:val="bottom"/>
            <w:tcBorders>
              <w:bottom w:val="single" w:sz="8" w:color="EEEEEE"/>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60" w:type="dxa"/>
            <w:vAlign w:val="bottom"/>
            <w:tcBorders>
              <w:bottom w:val="single" w:sz="8" w:color="EEEEEE"/>
            </w:tcBorders>
            <w:shd w:val="clear" w:color="auto" w:fill="EEEEEE"/>
          </w:tcPr>
          <w:p>
            <w:pPr>
              <w:spacing w:after="0"/>
              <w:rPr>
                <w:sz w:val="19"/>
                <w:szCs w:val="19"/>
                <w:color w:val="auto"/>
              </w:rPr>
            </w:pPr>
          </w:p>
        </w:tc>
        <w:tc>
          <w:tcPr>
            <w:tcW w:w="120" w:type="dxa"/>
            <w:vAlign w:val="bottom"/>
            <w:tcBorders>
              <w:bottom w:val="single" w:sz="8" w:color="EEEEEE"/>
            </w:tcBorders>
            <w:shd w:val="clear" w:color="auto" w:fill="EEEEEE"/>
          </w:tcPr>
          <w:p>
            <w:pPr>
              <w:spacing w:after="0"/>
              <w:rPr>
                <w:sz w:val="19"/>
                <w:szCs w:val="19"/>
                <w:color w:val="auto"/>
              </w:rPr>
            </w:pPr>
          </w:p>
        </w:tc>
        <w:tc>
          <w:tcPr>
            <w:tcW w:w="2860" w:type="dxa"/>
            <w:vAlign w:val="bottom"/>
            <w:tcBorders>
              <w:bottom w:val="single" w:sz="8" w:color="EEEEEE"/>
            </w:tcBorders>
            <w:shd w:val="clear" w:color="auto" w:fill="EEEEEE"/>
          </w:tcPr>
          <w:p>
            <w:pPr>
              <w:spacing w:after="0"/>
              <w:rPr>
                <w:sz w:val="19"/>
                <w:szCs w:val="19"/>
                <w:color w:val="auto"/>
              </w:rPr>
            </w:pPr>
          </w:p>
        </w:tc>
        <w:tc>
          <w:tcPr>
            <w:tcW w:w="120" w:type="dxa"/>
            <w:vAlign w:val="bottom"/>
            <w:tcBorders>
              <w:bottom w:val="single" w:sz="8" w:color="EEEEEE"/>
            </w:tcBorders>
            <w:shd w:val="clear" w:color="auto" w:fill="EEEEEE"/>
          </w:tcPr>
          <w:p>
            <w:pPr>
              <w:spacing w:after="0"/>
              <w:rPr>
                <w:sz w:val="19"/>
                <w:szCs w:val="19"/>
                <w:color w:val="auto"/>
              </w:rPr>
            </w:pPr>
          </w:p>
        </w:tc>
        <w:tc>
          <w:tcPr>
            <w:tcW w:w="2280" w:type="dxa"/>
            <w:vAlign w:val="bottom"/>
            <w:tcBorders>
              <w:bottom w:val="single" w:sz="8" w:color="EEEEEE"/>
            </w:tcBorders>
            <w:shd w:val="clear" w:color="auto" w:fill="EEEEEE"/>
          </w:tcPr>
          <w:p>
            <w:pPr>
              <w:spacing w:after="0"/>
              <w:rPr>
                <w:sz w:val="19"/>
                <w:szCs w:val="19"/>
                <w:color w:val="auto"/>
              </w:rPr>
            </w:pPr>
          </w:p>
        </w:tc>
        <w:tc>
          <w:tcPr>
            <w:tcW w:w="460" w:type="dxa"/>
            <w:vAlign w:val="bottom"/>
            <w:tcBorders>
              <w:bottom w:val="single" w:sz="8" w:color="EEEEEE"/>
            </w:tcBorders>
            <w:shd w:val="clear" w:color="auto" w:fill="EEEEEE"/>
          </w:tcPr>
          <w:p>
            <w:pPr>
              <w:spacing w:after="0"/>
              <w:rPr>
                <w:sz w:val="19"/>
                <w:szCs w:val="19"/>
                <w:color w:val="auto"/>
              </w:rPr>
            </w:pPr>
          </w:p>
        </w:tc>
        <w:tc>
          <w:tcPr>
            <w:tcW w:w="100" w:type="dxa"/>
            <w:vAlign w:val="bottom"/>
            <w:tcBorders>
              <w:bottom w:val="single" w:sz="8" w:color="EEEEEE"/>
            </w:tcBorders>
            <w:shd w:val="clear" w:color="auto" w:fill="EEEEEE"/>
          </w:tcPr>
          <w:p>
            <w:pPr>
              <w:spacing w:after="0"/>
              <w:rPr>
                <w:sz w:val="19"/>
                <w:szCs w:val="19"/>
                <w:color w:val="auto"/>
              </w:rPr>
            </w:pPr>
          </w:p>
        </w:tc>
        <w:tc>
          <w:tcPr>
            <w:tcW w:w="1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171,977</w:t>
            </w:r>
          </w:p>
        </w:tc>
        <w:tc>
          <w:tcPr>
            <w:tcW w:w="100" w:type="dxa"/>
            <w:vAlign w:val="bottom"/>
            <w:tcBorders>
              <w:bottom w:val="single" w:sz="8" w:color="EEEEEE"/>
            </w:tcBorders>
            <w:shd w:val="clear" w:color="auto" w:fill="EEEEEE"/>
          </w:tcPr>
          <w:p>
            <w:pPr>
              <w:spacing w:after="0"/>
              <w:rPr>
                <w:sz w:val="19"/>
                <w:szCs w:val="19"/>
                <w:color w:val="auto"/>
              </w:rPr>
            </w:pPr>
          </w:p>
        </w:tc>
        <w:tc>
          <w:tcPr>
            <w:tcW w:w="120" w:type="dxa"/>
            <w:vAlign w:val="bottom"/>
            <w:tcBorders>
              <w:bottom w:val="single" w:sz="8" w:color="EEEEEE"/>
            </w:tcBorders>
            <w:shd w:val="clear" w:color="auto" w:fill="EEEEEE"/>
          </w:tcPr>
          <w:p>
            <w:pPr>
              <w:spacing w:after="0"/>
              <w:rPr>
                <w:sz w:val="19"/>
                <w:szCs w:val="19"/>
                <w:color w:val="auto"/>
              </w:rPr>
            </w:pPr>
          </w:p>
        </w:tc>
        <w:tc>
          <w:tcPr>
            <w:tcW w:w="240" w:type="dxa"/>
            <w:vAlign w:val="bottom"/>
            <w:tcBorders>
              <w:bottom w:val="single" w:sz="8" w:color="auto"/>
            </w:tcBorders>
            <w:shd w:val="clear" w:color="auto" w:fill="EEEEEE"/>
          </w:tcPr>
          <w:p>
            <w:pPr>
              <w:jc w:val="right"/>
              <w:ind w:right="7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195,373</w:t>
            </w:r>
          </w:p>
        </w:tc>
        <w:tc>
          <w:tcPr>
            <w:tcW w:w="100" w:type="dxa"/>
            <w:vAlign w:val="bottom"/>
            <w:tcBorders>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60" w:type="dxa"/>
            <w:vAlign w:val="bottom"/>
            <w:vMerge w:val="restart"/>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7"/>
        </w:trPr>
        <w:tc>
          <w:tcPr>
            <w:tcW w:w="20" w:type="dxa"/>
            <w:vAlign w:val="bottom"/>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96" w:right="239" w:bottom="113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2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February 22, 2019 we renewed our $100 million warehouse credit line that was first established in May 2012. There was $46.9 million outstanding under this facility at March 31, 2019. The revolving period for this facility was extended to February 2021 followed by an amortization period through February 2023 for any receivables pledged at the end of the revolving period.</w:t>
      </w:r>
    </w:p>
    <w:p>
      <w:pPr>
        <w:spacing w:after="0" w:line="18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Unamortized debt issuance costs of $801,000 and $894,000 as of March 31, 2019 and December 31, 2018, respectively, have been excluded from the amount reported above for residual interest financing. Similarly, unamortized debt issuance costs of $1.9 million and $1.2 million as of March 31, 2019 and December 31, 2018, respectively, have been excluded from the Warehouse lines of credit amounts in the table above. These debt issuance costs are presented as a direct deduction to the carrying amount of the debt on our Unaudited Condensed Consolidated Balance Sheets.</w:t>
      </w:r>
    </w:p>
    <w:p>
      <w:pPr>
        <w:sectPr>
          <w:pgSz w:w="11900" w:h="16838" w:orient="portrait"/>
          <w:cols w:equalWidth="0" w:num="1">
            <w:col w:w="11420"/>
          </w:cols>
          <w:pgMar w:left="240" w:top="796" w:right="239" w:bottom="1440" w:gutter="0" w:footer="0" w:header="0"/>
        </w:sectPr>
      </w:pPr>
    </w:p>
    <w:p>
      <w:pPr>
        <w:spacing w:after="0" w:line="171" w:lineRule="exact"/>
        <w:rPr>
          <w:sz w:val="20"/>
          <w:szCs w:val="20"/>
          <w:color w:val="auto"/>
        </w:rPr>
      </w:pPr>
    </w:p>
    <w:p>
      <w:pPr>
        <w:ind w:left="260" w:hanging="252"/>
        <w:spacing w:after="0"/>
        <w:tabs>
          <w:tab w:leader="none" w:pos="2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Interest Income and Interest Expense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the components of interest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Interest on finance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Interest on finance receivables at fair value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interest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Interest income</w:t>
      </w:r>
    </w:p>
    <w:p>
      <w:pPr>
        <w:spacing w:after="0" w:line="292" w:lineRule="exact"/>
        <w:rPr>
          <w:sz w:val="20"/>
          <w:szCs w:val="20"/>
          <w:color w:val="auto"/>
        </w:rPr>
      </w:pPr>
    </w:p>
    <w:p>
      <w:pPr>
        <w:jc w:val="right"/>
        <w:ind w:right="1720"/>
        <w:spacing w:after="0"/>
        <w:rPr>
          <w:sz w:val="20"/>
          <w:szCs w:val="20"/>
          <w:color w:val="auto"/>
        </w:rPr>
      </w:pPr>
      <w:r>
        <w:rPr>
          <w:rFonts w:ascii="Arial" w:cs="Arial" w:eastAsia="Arial" w:hAnsi="Arial"/>
          <w:sz w:val="18"/>
          <w:szCs w:val="18"/>
          <w:color w:val="auto"/>
        </w:rPr>
        <w:t>The following table presents the components of interest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Securitization trust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Warehouse lines of credit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Residual interest financing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Subordinated renewable notes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631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72" w:lineRule="exact"/>
        <w:rPr>
          <w:sz w:val="20"/>
          <w:szCs w:val="20"/>
          <w:color w:val="auto"/>
        </w:rPr>
      </w:pPr>
    </w:p>
    <w:p>
      <w:pPr>
        <w:ind w:left="260" w:hanging="252"/>
        <w:spacing w:after="0"/>
        <w:tabs>
          <w:tab w:leader="none" w:pos="2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Earnings Per Share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March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36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2018</w:t>
            </w:r>
          </w:p>
        </w:tc>
      </w:tr>
      <w:tr>
        <w:trPr>
          <w:trHeight w:val="195"/>
        </w:trPr>
        <w:tc>
          <w:tcPr>
            <w:tcW w:w="360" w:type="dxa"/>
            <w:vAlign w:val="bottom"/>
          </w:tcPr>
          <w:p>
            <w:pPr>
              <w:spacing w:after="0"/>
              <w:rPr>
                <w:sz w:val="16"/>
                <w:szCs w:val="16"/>
                <w:color w:val="auto"/>
              </w:rPr>
            </w:pPr>
          </w:p>
        </w:tc>
        <w:tc>
          <w:tcPr>
            <w:tcW w:w="2080" w:type="dxa"/>
            <w:vAlign w:val="bottom"/>
            <w:gridSpan w:val="4"/>
          </w:tcPr>
          <w:p>
            <w:pPr>
              <w:jc w:val="center"/>
              <w:ind w:left="630"/>
              <w:spacing w:after="0" w:line="195" w:lineRule="exact"/>
              <w:rPr>
                <w:sz w:val="20"/>
                <w:szCs w:val="20"/>
                <w:color w:val="auto"/>
              </w:rPr>
            </w:pPr>
            <w:r>
              <w:rPr>
                <w:rFonts w:ascii="Arial" w:cs="Arial" w:eastAsia="Arial" w:hAnsi="Arial"/>
                <w:sz w:val="18"/>
                <w:szCs w:val="18"/>
                <w:b w:val="1"/>
                <w:bCs w:val="1"/>
                <w:color w:val="auto"/>
                <w:w w:val="90"/>
              </w:rPr>
              <w:t>(In thousands)</w:t>
            </w:r>
          </w:p>
        </w:tc>
        <w:tc>
          <w:tcPr>
            <w:tcW w:w="1100" w:type="dxa"/>
            <w:vAlign w:val="bottom"/>
          </w:tcPr>
          <w:p>
            <w:pPr>
              <w:spacing w:after="0"/>
              <w:rPr>
                <w:sz w:val="16"/>
                <w:szCs w:val="16"/>
                <w:color w:val="auto"/>
              </w:rPr>
            </w:pPr>
          </w:p>
        </w:tc>
      </w:tr>
      <w:tr>
        <w:trPr>
          <w:trHeight w:val="216"/>
        </w:trPr>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600" w:type="dxa"/>
            <w:vAlign w:val="bottom"/>
            <w:gridSpan w:val="2"/>
          </w:tcPr>
          <w:p>
            <w:pPr>
              <w:jc w:val="right"/>
              <w:ind w:right="360"/>
              <w:spacing w:after="0"/>
              <w:rPr>
                <w:sz w:val="20"/>
                <w:szCs w:val="20"/>
                <w:color w:val="auto"/>
              </w:rPr>
            </w:pPr>
            <w:r>
              <w:rPr>
                <w:rFonts w:ascii="Arial" w:cs="Arial" w:eastAsia="Arial" w:hAnsi="Arial"/>
                <w:sz w:val="18"/>
                <w:szCs w:val="18"/>
                <w:color w:val="auto"/>
              </w:rPr>
              <w:t>62,290</w:t>
            </w:r>
          </w:p>
        </w:tc>
        <w:tc>
          <w:tcPr>
            <w:tcW w:w="480" w:type="dxa"/>
            <w:vAlign w:val="bottom"/>
            <w:gridSpan w:val="2"/>
          </w:tcPr>
          <w:p>
            <w:pPr>
              <w:jc w:val="right"/>
              <w:ind w:right="350"/>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97,188</w:t>
            </w:r>
          </w:p>
        </w:tc>
      </w:tr>
      <w:tr>
        <w:trPr>
          <w:trHeight w:val="230"/>
        </w:trPr>
        <w:tc>
          <w:tcPr>
            <w:tcW w:w="360" w:type="dxa"/>
            <w:vAlign w:val="bottom"/>
          </w:tcPr>
          <w:p>
            <w:pPr>
              <w:spacing w:after="0"/>
              <w:rPr>
                <w:sz w:val="19"/>
                <w:szCs w:val="19"/>
                <w:color w:val="auto"/>
              </w:rPr>
            </w:pPr>
          </w:p>
        </w:tc>
        <w:tc>
          <w:tcPr>
            <w:tcW w:w="1600" w:type="dxa"/>
            <w:vAlign w:val="bottom"/>
            <w:gridSpan w:val="2"/>
          </w:tcPr>
          <w:p>
            <w:pPr>
              <w:jc w:val="right"/>
              <w:ind w:right="360"/>
              <w:spacing w:after="0"/>
              <w:rPr>
                <w:sz w:val="20"/>
                <w:szCs w:val="20"/>
                <w:color w:val="auto"/>
              </w:rPr>
            </w:pPr>
            <w:r>
              <w:rPr>
                <w:rFonts w:ascii="Arial" w:cs="Arial" w:eastAsia="Arial" w:hAnsi="Arial"/>
                <w:sz w:val="18"/>
                <w:szCs w:val="18"/>
                <w:color w:val="auto"/>
              </w:rPr>
              <w:t>22,815</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3,508</w:t>
            </w:r>
          </w:p>
        </w:tc>
      </w:tr>
      <w:tr>
        <w:trPr>
          <w:trHeight w:val="230"/>
        </w:trPr>
        <w:tc>
          <w:tcPr>
            <w:tcW w:w="360" w:type="dxa"/>
            <w:vAlign w:val="bottom"/>
          </w:tcPr>
          <w:p>
            <w:pPr>
              <w:spacing w:after="0"/>
              <w:rPr>
                <w:sz w:val="20"/>
                <w:szCs w:val="20"/>
                <w:color w:val="auto"/>
              </w:rPr>
            </w:pPr>
          </w:p>
        </w:tc>
        <w:tc>
          <w:tcPr>
            <w:tcW w:w="1600" w:type="dxa"/>
            <w:vAlign w:val="bottom"/>
            <w:gridSpan w:val="2"/>
          </w:tcPr>
          <w:p>
            <w:pPr>
              <w:jc w:val="right"/>
              <w:ind w:right="360"/>
              <w:spacing w:after="0"/>
              <w:rPr>
                <w:sz w:val="20"/>
                <w:szCs w:val="20"/>
                <w:color w:val="auto"/>
              </w:rPr>
            </w:pPr>
            <w:r>
              <w:rPr>
                <w:rFonts w:ascii="Arial" w:cs="Arial" w:eastAsia="Arial" w:hAnsi="Arial"/>
                <w:sz w:val="18"/>
                <w:szCs w:val="18"/>
                <w:color w:val="auto"/>
              </w:rPr>
              <w:t>740</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210</w:t>
            </w:r>
          </w:p>
        </w:tc>
      </w:tr>
      <w:tr>
        <w:trPr>
          <w:trHeight w:val="223"/>
        </w:trPr>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85,845</w:t>
            </w:r>
          </w:p>
        </w:tc>
        <w:tc>
          <w:tcPr>
            <w:tcW w:w="3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100,906</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r>
      <w:tr>
        <w:trPr>
          <w:trHeight w:val="840"/>
        </w:trPr>
        <w:tc>
          <w:tcPr>
            <w:tcW w:w="360" w:type="dxa"/>
            <w:vAlign w:val="bottom"/>
          </w:tcPr>
          <w:p>
            <w:pPr>
              <w:spacing w:after="0"/>
              <w:rPr>
                <w:sz w:val="24"/>
                <w:szCs w:val="24"/>
                <w:color w:val="auto"/>
              </w:rPr>
            </w:pPr>
          </w:p>
        </w:tc>
        <w:tc>
          <w:tcPr>
            <w:tcW w:w="3180" w:type="dxa"/>
            <w:vAlign w:val="bottom"/>
            <w:gridSpan w:val="5"/>
          </w:tcPr>
          <w:p>
            <w:pPr>
              <w:jc w:val="center"/>
              <w:ind w:right="290"/>
              <w:spacing w:after="0"/>
              <w:rPr>
                <w:sz w:val="20"/>
                <w:szCs w:val="20"/>
                <w:color w:val="auto"/>
              </w:rPr>
            </w:pPr>
            <w:r>
              <w:rPr>
                <w:rFonts w:ascii="Arial" w:cs="Arial" w:eastAsia="Arial" w:hAnsi="Arial"/>
                <w:sz w:val="18"/>
                <w:szCs w:val="18"/>
                <w:b w:val="1"/>
                <w:bCs w:val="1"/>
                <w:color w:val="auto"/>
                <w:w w:val="92"/>
              </w:rPr>
              <w:t>Three Months Ended</w:t>
            </w:r>
          </w:p>
        </w:tc>
      </w:tr>
      <w:tr>
        <w:trPr>
          <w:trHeight w:val="234"/>
        </w:trPr>
        <w:tc>
          <w:tcPr>
            <w:tcW w:w="36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4"/>
          </w:tcPr>
          <w:p>
            <w:pPr>
              <w:jc w:val="center"/>
              <w:ind w:left="630"/>
              <w:spacing w:after="0"/>
              <w:rPr>
                <w:sz w:val="20"/>
                <w:szCs w:val="20"/>
                <w:color w:val="auto"/>
              </w:rPr>
            </w:pPr>
            <w:r>
              <w:rPr>
                <w:rFonts w:ascii="Arial" w:cs="Arial" w:eastAsia="Arial" w:hAnsi="Arial"/>
                <w:sz w:val="18"/>
                <w:szCs w:val="18"/>
                <w:b w:val="1"/>
                <w:bCs w:val="1"/>
                <w:color w:val="auto"/>
                <w:w w:val="96"/>
              </w:rPr>
              <w:t>March 31,</w:t>
            </w:r>
          </w:p>
        </w:tc>
        <w:tc>
          <w:tcPr>
            <w:tcW w:w="1100" w:type="dxa"/>
            <w:vAlign w:val="bottom"/>
            <w:tcBorders>
              <w:bottom w:val="single" w:sz="8" w:color="auto"/>
            </w:tcBorders>
          </w:tcPr>
          <w:p>
            <w:pPr>
              <w:spacing w:after="0"/>
              <w:rPr>
                <w:sz w:val="20"/>
                <w:szCs w:val="20"/>
                <w:color w:val="auto"/>
              </w:rPr>
            </w:pPr>
          </w:p>
        </w:tc>
      </w:tr>
      <w:tr>
        <w:trPr>
          <w:trHeight w:val="223"/>
        </w:trPr>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3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2018</w:t>
            </w:r>
          </w:p>
        </w:tc>
      </w:tr>
      <w:tr>
        <w:trPr>
          <w:trHeight w:val="195"/>
        </w:trPr>
        <w:tc>
          <w:tcPr>
            <w:tcW w:w="360" w:type="dxa"/>
            <w:vAlign w:val="bottom"/>
          </w:tcPr>
          <w:p>
            <w:pPr>
              <w:spacing w:after="0"/>
              <w:rPr>
                <w:sz w:val="16"/>
                <w:szCs w:val="16"/>
                <w:color w:val="auto"/>
              </w:rPr>
            </w:pPr>
          </w:p>
        </w:tc>
        <w:tc>
          <w:tcPr>
            <w:tcW w:w="2080" w:type="dxa"/>
            <w:vAlign w:val="bottom"/>
            <w:gridSpan w:val="4"/>
          </w:tcPr>
          <w:p>
            <w:pPr>
              <w:jc w:val="center"/>
              <w:ind w:left="630"/>
              <w:spacing w:after="0" w:line="195" w:lineRule="exact"/>
              <w:rPr>
                <w:sz w:val="20"/>
                <w:szCs w:val="20"/>
                <w:color w:val="auto"/>
              </w:rPr>
            </w:pPr>
            <w:r>
              <w:rPr>
                <w:rFonts w:ascii="Arial" w:cs="Arial" w:eastAsia="Arial" w:hAnsi="Arial"/>
                <w:sz w:val="18"/>
                <w:szCs w:val="18"/>
                <w:b w:val="1"/>
                <w:bCs w:val="1"/>
                <w:color w:val="auto"/>
                <w:w w:val="90"/>
              </w:rPr>
              <w:t>(In thousands)</w:t>
            </w:r>
          </w:p>
        </w:tc>
        <w:tc>
          <w:tcPr>
            <w:tcW w:w="1100" w:type="dxa"/>
            <w:vAlign w:val="bottom"/>
          </w:tcPr>
          <w:p>
            <w:pPr>
              <w:spacing w:after="0"/>
              <w:rPr>
                <w:sz w:val="16"/>
                <w:szCs w:val="16"/>
                <w:color w:val="auto"/>
              </w:rPr>
            </w:pPr>
          </w:p>
        </w:tc>
      </w:tr>
      <w:tr>
        <w:trPr>
          <w:trHeight w:val="216"/>
        </w:trPr>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600" w:type="dxa"/>
            <w:vAlign w:val="bottom"/>
            <w:gridSpan w:val="2"/>
          </w:tcPr>
          <w:p>
            <w:pPr>
              <w:jc w:val="right"/>
              <w:ind w:right="360"/>
              <w:spacing w:after="0"/>
              <w:rPr>
                <w:sz w:val="20"/>
                <w:szCs w:val="20"/>
                <w:color w:val="auto"/>
              </w:rPr>
            </w:pPr>
            <w:r>
              <w:rPr>
                <w:rFonts w:ascii="Arial" w:cs="Arial" w:eastAsia="Arial" w:hAnsi="Arial"/>
                <w:sz w:val="18"/>
                <w:szCs w:val="18"/>
                <w:color w:val="auto"/>
              </w:rPr>
              <w:t>23,988</w:t>
            </w:r>
          </w:p>
        </w:tc>
        <w:tc>
          <w:tcPr>
            <w:tcW w:w="480" w:type="dxa"/>
            <w:vAlign w:val="bottom"/>
            <w:gridSpan w:val="2"/>
          </w:tcPr>
          <w:p>
            <w:pPr>
              <w:jc w:val="right"/>
              <w:ind w:right="350"/>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21,829</w:t>
            </w:r>
          </w:p>
        </w:tc>
      </w:tr>
      <w:tr>
        <w:trPr>
          <w:trHeight w:val="216"/>
        </w:trPr>
        <w:tc>
          <w:tcPr>
            <w:tcW w:w="360" w:type="dxa"/>
            <w:vAlign w:val="bottom"/>
          </w:tcPr>
          <w:p>
            <w:pPr>
              <w:spacing w:after="0"/>
              <w:rPr>
                <w:sz w:val="18"/>
                <w:szCs w:val="18"/>
                <w:color w:val="auto"/>
              </w:rPr>
            </w:pPr>
          </w:p>
        </w:tc>
        <w:tc>
          <w:tcPr>
            <w:tcW w:w="1600" w:type="dxa"/>
            <w:vAlign w:val="bottom"/>
            <w:gridSpan w:val="2"/>
          </w:tcPr>
          <w:p>
            <w:pPr>
              <w:jc w:val="right"/>
              <w:ind w:right="360"/>
              <w:spacing w:after="0"/>
              <w:rPr>
                <w:sz w:val="20"/>
                <w:szCs w:val="20"/>
                <w:color w:val="auto"/>
              </w:rPr>
            </w:pPr>
            <w:r>
              <w:rPr>
                <w:rFonts w:ascii="Arial" w:cs="Arial" w:eastAsia="Arial" w:hAnsi="Arial"/>
                <w:sz w:val="18"/>
                <w:szCs w:val="18"/>
                <w:color w:val="auto"/>
              </w:rPr>
              <w:t>2,020</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1,887</w:t>
            </w:r>
          </w:p>
        </w:tc>
      </w:tr>
      <w:tr>
        <w:trPr>
          <w:trHeight w:val="230"/>
        </w:trPr>
        <w:tc>
          <w:tcPr>
            <w:tcW w:w="360" w:type="dxa"/>
            <w:vAlign w:val="bottom"/>
          </w:tcPr>
          <w:p>
            <w:pPr>
              <w:spacing w:after="0"/>
              <w:rPr>
                <w:sz w:val="19"/>
                <w:szCs w:val="19"/>
                <w:color w:val="auto"/>
              </w:rPr>
            </w:pPr>
          </w:p>
        </w:tc>
        <w:tc>
          <w:tcPr>
            <w:tcW w:w="1600" w:type="dxa"/>
            <w:vAlign w:val="bottom"/>
            <w:gridSpan w:val="2"/>
          </w:tcPr>
          <w:p>
            <w:pPr>
              <w:jc w:val="right"/>
              <w:ind w:right="360"/>
              <w:spacing w:after="0"/>
              <w:rPr>
                <w:sz w:val="20"/>
                <w:szCs w:val="20"/>
                <w:color w:val="auto"/>
              </w:rPr>
            </w:pPr>
            <w:r>
              <w:rPr>
                <w:rFonts w:ascii="Arial" w:cs="Arial" w:eastAsia="Arial" w:hAnsi="Arial"/>
                <w:sz w:val="18"/>
                <w:szCs w:val="18"/>
                <w:color w:val="auto"/>
              </w:rPr>
              <w:t>956</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60" w:type="dxa"/>
            <w:vAlign w:val="bottom"/>
          </w:tcPr>
          <w:p>
            <w:pPr>
              <w:spacing w:after="0"/>
              <w:rPr>
                <w:sz w:val="20"/>
                <w:szCs w:val="20"/>
                <w:color w:val="auto"/>
              </w:rPr>
            </w:pPr>
          </w:p>
        </w:tc>
        <w:tc>
          <w:tcPr>
            <w:tcW w:w="1600" w:type="dxa"/>
            <w:vAlign w:val="bottom"/>
            <w:gridSpan w:val="2"/>
          </w:tcPr>
          <w:p>
            <w:pPr>
              <w:jc w:val="right"/>
              <w:ind w:right="360"/>
              <w:spacing w:after="0"/>
              <w:rPr>
                <w:sz w:val="20"/>
                <w:szCs w:val="20"/>
                <w:color w:val="auto"/>
              </w:rPr>
            </w:pPr>
            <w:r>
              <w:rPr>
                <w:rFonts w:ascii="Arial" w:cs="Arial" w:eastAsia="Arial" w:hAnsi="Arial"/>
                <w:sz w:val="18"/>
                <w:szCs w:val="18"/>
                <w:color w:val="auto"/>
              </w:rPr>
              <w:t>326</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346</w:t>
            </w:r>
          </w:p>
        </w:tc>
      </w:tr>
      <w:tr>
        <w:trPr>
          <w:trHeight w:val="223"/>
        </w:trPr>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27,290</w:t>
            </w:r>
          </w:p>
        </w:tc>
        <w:tc>
          <w:tcPr>
            <w:tcW w:w="3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24,062</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608" w:lineRule="exact"/>
        <w:rPr>
          <w:sz w:val="20"/>
          <w:szCs w:val="20"/>
          <w:color w:val="auto"/>
        </w:rPr>
      </w:pPr>
    </w:p>
    <w:p>
      <w:pPr>
        <w:sectPr>
          <w:pgSz w:w="11900" w:h="16838" w:orient="portrait"/>
          <w:cols w:equalWidth="0" w:num="2">
            <w:col w:w="7060" w:space="720"/>
            <w:col w:w="3640"/>
          </w:cols>
          <w:pgMar w:left="240" w:top="796" w:right="239" w:bottom="1440" w:gutter="0" w:footer="0" w:header="0"/>
          <w:type w:val="continuous"/>
        </w:sectPr>
      </w:pPr>
    </w:p>
    <w:p>
      <w:pPr>
        <w:spacing w:after="0" w:line="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Earnings per share for the three-month periods ended March 31, 2019 and 2018 were calculated using the weighted average number of shares outstanding for the related period. The following table reconciles the number of shares used in the computations of basic and diluted earnings per share for the three-month periods ended March 31, 2019 and 2018:</w:t>
      </w:r>
    </w:p>
    <w:p>
      <w:pPr>
        <w:sectPr>
          <w:pgSz w:w="11900" w:h="16838" w:orient="portrait"/>
          <w:cols w:equalWidth="0" w:num="1">
            <w:col w:w="11420"/>
          </w:cols>
          <w:pgMar w:left="240" w:top="796"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80" w:hanging="179"/>
        <w:spacing w:after="0" w:line="258" w:lineRule="auto"/>
        <w:rPr>
          <w:sz w:val="20"/>
          <w:szCs w:val="20"/>
          <w:color w:val="auto"/>
        </w:rPr>
      </w:pPr>
      <w:r>
        <w:rPr>
          <w:rFonts w:ascii="Arial" w:cs="Arial" w:eastAsia="Arial" w:hAnsi="Arial"/>
          <w:sz w:val="18"/>
          <w:szCs w:val="18"/>
          <w:color w:val="auto"/>
        </w:rPr>
        <w:t>Weighted average number of common shares outstanding during the period used to compute basic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246620" cy="2743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ind w:right="680"/>
        <w:spacing w:after="0" w:line="341" w:lineRule="auto"/>
        <w:rPr>
          <w:sz w:val="20"/>
          <w:szCs w:val="20"/>
          <w:color w:val="auto"/>
        </w:rPr>
      </w:pPr>
      <w:r>
        <w:rPr>
          <w:rFonts w:ascii="Arial" w:cs="Arial" w:eastAsia="Arial" w:hAnsi="Arial"/>
          <w:sz w:val="16"/>
          <w:szCs w:val="16"/>
          <w:color w:val="auto"/>
        </w:rPr>
        <w:t>Incremental common shares attributable to exercise of outstanding options and warrants Weighted average number of common shares used to compute diluted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-185420</wp:posOffset>
            </wp:positionV>
            <wp:extent cx="7246620" cy="1631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March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60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36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2018</w:t>
            </w:r>
          </w:p>
        </w:tc>
      </w:tr>
      <w:tr>
        <w:trPr>
          <w:trHeight w:val="228"/>
        </w:trPr>
        <w:tc>
          <w:tcPr>
            <w:tcW w:w="2440" w:type="dxa"/>
            <w:vAlign w:val="bottom"/>
            <w:gridSpan w:val="3"/>
          </w:tcPr>
          <w:p>
            <w:pPr>
              <w:ind w:left="1200"/>
              <w:spacing w:after="0"/>
              <w:rPr>
                <w:sz w:val="20"/>
                <w:szCs w:val="20"/>
                <w:color w:val="auto"/>
              </w:rPr>
            </w:pPr>
            <w:r>
              <w:rPr>
                <w:rFonts w:ascii="Arial" w:cs="Arial" w:eastAsia="Arial" w:hAnsi="Arial"/>
                <w:sz w:val="18"/>
                <w:szCs w:val="18"/>
                <w:b w:val="1"/>
                <w:bCs w:val="1"/>
                <w:color w:val="auto"/>
                <w:w w:val="98"/>
              </w:rPr>
              <w:t>(In thousands)</w:t>
            </w:r>
          </w:p>
        </w:tc>
        <w:tc>
          <w:tcPr>
            <w:tcW w:w="1100" w:type="dxa"/>
            <w:vAlign w:val="bottom"/>
          </w:tcPr>
          <w:p>
            <w:pPr>
              <w:spacing w:after="0"/>
              <w:rPr>
                <w:sz w:val="19"/>
                <w:szCs w:val="19"/>
                <w:color w:val="auto"/>
              </w:rPr>
            </w:pPr>
          </w:p>
        </w:tc>
      </w:tr>
      <w:tr>
        <w:trPr>
          <w:trHeight w:val="413"/>
        </w:trPr>
        <w:tc>
          <w:tcPr>
            <w:tcW w:w="1960" w:type="dxa"/>
            <w:vAlign w:val="bottom"/>
            <w:gridSpan w:val="2"/>
          </w:tcPr>
          <w:p>
            <w:pPr>
              <w:jc w:val="right"/>
              <w:ind w:right="360"/>
              <w:spacing w:after="0"/>
              <w:rPr>
                <w:sz w:val="20"/>
                <w:szCs w:val="20"/>
                <w:color w:val="auto"/>
              </w:rPr>
            </w:pPr>
            <w:r>
              <w:rPr>
                <w:rFonts w:ascii="Arial" w:cs="Arial" w:eastAsia="Arial" w:hAnsi="Arial"/>
                <w:sz w:val="18"/>
                <w:szCs w:val="18"/>
                <w:color w:val="auto"/>
              </w:rPr>
              <w:t>22,242</w:t>
            </w:r>
          </w:p>
        </w:tc>
        <w:tc>
          <w:tcPr>
            <w:tcW w:w="4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21,576</w:t>
            </w:r>
          </w:p>
        </w:tc>
      </w:tr>
      <w:tr>
        <w:trPr>
          <w:trHeight w:val="230"/>
        </w:trPr>
        <w:tc>
          <w:tcPr>
            <w:tcW w:w="1960" w:type="dxa"/>
            <w:vAlign w:val="bottom"/>
            <w:gridSpan w:val="2"/>
          </w:tcPr>
          <w:p>
            <w:pPr>
              <w:jc w:val="right"/>
              <w:ind w:right="360"/>
              <w:spacing w:after="0"/>
              <w:rPr>
                <w:sz w:val="20"/>
                <w:szCs w:val="20"/>
                <w:color w:val="auto"/>
              </w:rPr>
            </w:pPr>
            <w:r>
              <w:rPr>
                <w:rFonts w:ascii="Arial" w:cs="Arial" w:eastAsia="Arial" w:hAnsi="Arial"/>
                <w:sz w:val="18"/>
                <w:szCs w:val="18"/>
                <w:color w:val="auto"/>
              </w:rPr>
              <w:t>2,017</w:t>
            </w:r>
          </w:p>
        </w:tc>
        <w:tc>
          <w:tcPr>
            <w:tcW w:w="4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4,088</w:t>
            </w:r>
          </w:p>
        </w:tc>
      </w:tr>
      <w:tr>
        <w:trPr>
          <w:trHeight w:val="223"/>
        </w:trPr>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24,259</w:t>
            </w:r>
          </w:p>
        </w:tc>
        <w:tc>
          <w:tcPr>
            <w:tcW w:w="360" w:type="dxa"/>
            <w:vAlign w:val="bottom"/>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25,664</w:t>
            </w:r>
          </w:p>
        </w:tc>
      </w:tr>
      <w:tr>
        <w:trPr>
          <w:trHeight w:val="20"/>
        </w:trPr>
        <w:tc>
          <w:tcPr>
            <w:tcW w:w="1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9" w:lineRule="exact"/>
        <w:rPr>
          <w:sz w:val="20"/>
          <w:szCs w:val="20"/>
          <w:color w:val="auto"/>
        </w:rPr>
      </w:pPr>
    </w:p>
    <w:p>
      <w:pPr>
        <w:sectPr>
          <w:pgSz w:w="11900" w:h="16838" w:orient="portrait"/>
          <w:cols w:equalWidth="0" w:num="2">
            <w:col w:w="7060" w:space="720"/>
            <w:col w:w="3640"/>
          </w:cols>
          <w:pgMar w:left="240" w:top="796" w:right="239" w:bottom="1440" w:gutter="0" w:footer="0" w:header="0"/>
          <w:type w:val="continuous"/>
        </w:sectPr>
      </w:pP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type w:val="continuous"/>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2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the anti-dilutive effects of common stock equivalents were considered, shares included in the diluted earnings per share calculation for the three-months ended March 31, 2019 and 2018 would have included an additional 10.5 million and 9.3 million shares, respectively, attributable to the exercise of outstanding options and warrants.</w:t>
      </w:r>
    </w:p>
    <w:p>
      <w:pPr>
        <w:spacing w:after="0" w:line="181" w:lineRule="exact"/>
        <w:rPr>
          <w:sz w:val="20"/>
          <w:szCs w:val="20"/>
          <w:color w:val="auto"/>
        </w:rPr>
      </w:pPr>
    </w:p>
    <w:p>
      <w:pPr>
        <w:ind w:left="260" w:hanging="252"/>
        <w:spacing w:after="0"/>
        <w:tabs>
          <w:tab w:leader="none" w:pos="2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file numerous consolidated and separate income tax returns with the United States and with many states. With few exceptions, we are no longer subject to U.S. federal, state, or local examinations by tax authorities for years before 2013.</w:t>
      </w:r>
    </w:p>
    <w:p>
      <w:pPr>
        <w:spacing w:after="0" w:line="170"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As of March 31, 2019 and December 31, 2018, we had no unrecognized tax benefits for uncertain tax positions. We do not anticipate that total unrecognized tax benefits will significantly change due to any settlements of audits or expirations of statutes of limitations over the next 12 months.</w:t>
      </w:r>
    </w:p>
    <w:p>
      <w:pPr>
        <w:spacing w:after="0" w:line="14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Company and its subsidiaries file a consolidated federal income tax return and combined or stand-alone state franchise tax returns for certain states. We utilize the asset and liability method of accounting for income taxes, under which deferred income taxes are recognized for the future tax consequences attributable to the differences between the financial statement values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taxes of a change in tax rates is recognized in income in the period that includes the enactment date.</w:t>
      </w:r>
    </w:p>
    <w:p>
      <w:pPr>
        <w:spacing w:after="0" w:line="15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Deferred tax assets are recognized subject to management’s judgment that realization is more likely than not. A valuation allowance is recognized for a deferred tax asset if, based on the weight of the available evidence, it is more likely than not that some portion of the deferred tax asset will not be realized. In making such judgments, significant weight is given to evidence that can be objectively verified. Although realization is not assured, we believe that the realization of the recognized net deferred tax asset of $18.3 million as of March 31, 2019 is more likely than not based on forecasted future net earnings. Our net deferred tax asset of $18.3 million consists of approximately $13.2 million of net U.S. federal deferred tax assets and $5.1 million of net state deferred tax assets.</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Income tax expense was $937,000 and $1.4 million for the three months ended March 31, 2019 and 2018, which represents an effective income tax rate of 35% and 31%, respectively.</w:t>
      </w:r>
    </w:p>
    <w:p>
      <w:pPr>
        <w:spacing w:after="0" w:line="170" w:lineRule="exact"/>
        <w:rPr>
          <w:sz w:val="20"/>
          <w:szCs w:val="20"/>
          <w:color w:val="auto"/>
        </w:rPr>
      </w:pPr>
    </w:p>
    <w:p>
      <w:pPr>
        <w:ind w:left="260" w:hanging="252"/>
        <w:spacing w:after="0"/>
        <w:tabs>
          <w:tab w:leader="none" w:pos="2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Consumer Litigation. </w:t>
      </w:r>
      <w:r>
        <w:rPr>
          <w:rFonts w:ascii="Arial" w:cs="Arial" w:eastAsia="Arial" w:hAnsi="Arial"/>
          <w:sz w:val="18"/>
          <w:szCs w:val="18"/>
          <w:color w:val="auto"/>
        </w:rPr>
        <w:t>We are routinely involved in various legal proceedings resulting from our consumer finance activities and practices, both</w:t>
      </w:r>
      <w:r>
        <w:rPr>
          <w:rFonts w:ascii="Arial" w:cs="Arial" w:eastAsia="Arial" w:hAnsi="Arial"/>
          <w:sz w:val="18"/>
          <w:szCs w:val="18"/>
          <w:i w:val="1"/>
          <w:iCs w:val="1"/>
          <w:color w:val="auto"/>
        </w:rPr>
        <w:t xml:space="preserve"> </w:t>
      </w:r>
      <w:r>
        <w:rPr>
          <w:rFonts w:ascii="Arial" w:cs="Arial" w:eastAsia="Arial" w:hAnsi="Arial"/>
          <w:sz w:val="18"/>
          <w:szCs w:val="18"/>
          <w:color w:val="auto"/>
        </w:rPr>
        <w:t>continuing and discontinued. Consumers can and do initiate lawsuits against us alleging violations of law applicable to collection of receivables, and such lawsuits sometimes allege that resolution as a class action is appropriate.</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the most part, we have legal and factual defenses to consumer claims, which we routinely contest or settle (for immaterial amounts) depending on the particular circumstances of each case.</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Wage and Hour Claim. </w:t>
      </w:r>
      <w:r>
        <w:rPr>
          <w:rFonts w:ascii="Arial" w:cs="Arial" w:eastAsia="Arial" w:hAnsi="Arial"/>
          <w:sz w:val="18"/>
          <w:szCs w:val="18"/>
          <w:color w:val="auto"/>
        </w:rPr>
        <w:t>On September 24, 2018, a former employee filed a lawsuit against us in the Superior Court of Orange County, California,</w:t>
      </w:r>
      <w:r>
        <w:rPr>
          <w:rFonts w:ascii="Arial" w:cs="Arial" w:eastAsia="Arial" w:hAnsi="Arial"/>
          <w:sz w:val="18"/>
          <w:szCs w:val="18"/>
          <w:i w:val="1"/>
          <w:iCs w:val="1"/>
          <w:color w:val="auto"/>
        </w:rPr>
        <w:t xml:space="preserve"> </w:t>
      </w:r>
      <w:r>
        <w:rPr>
          <w:rFonts w:ascii="Arial" w:cs="Arial" w:eastAsia="Arial" w:hAnsi="Arial"/>
          <w:sz w:val="18"/>
          <w:szCs w:val="18"/>
          <w:color w:val="auto"/>
        </w:rPr>
        <w:t>alleging that we incorrectly classified our sales and marketing representatives as outside salespersons exempt from overtime wages, mandatory break periods and certain other employee protective provisions of California and federal law. The complaint seeks injunctive relief, an award of unpaid wages, liquidated damages, and attorney fees and interest. The plaintiff purports to act on behalf of a class of similarly situated employees and ex-employees. As of the date of this report, no motion for class certification has been filed or granted.</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believe that our compensation practices with respect to our marketing representatives are compliant with applicable law. Accordingly, we have defended and intend to continue to defend this lawsuit. We have not recorded a liability with respect to this claim on the accompanying consolidated financial statements</w:t>
      </w:r>
      <w:r>
        <w:rPr>
          <w:rFonts w:ascii="Arial" w:cs="Arial" w:eastAsia="Arial" w:hAnsi="Arial"/>
          <w:sz w:val="18"/>
          <w:szCs w:val="18"/>
          <w:i w:val="1"/>
          <w:iCs w:val="1"/>
          <w:color w:val="auto"/>
        </w:rPr>
        <w:t>.</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2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i w:val="1"/>
          <w:iCs w:val="1"/>
          <w:color w:val="auto"/>
        </w:rPr>
        <w:t>In General</w:t>
      </w:r>
      <w:r>
        <w:rPr>
          <w:rFonts w:ascii="Arial" w:cs="Arial" w:eastAsia="Arial" w:hAnsi="Arial"/>
          <w:sz w:val="16"/>
          <w:szCs w:val="16"/>
          <w:color w:val="auto"/>
        </w:rPr>
        <w:t>. There can be no assurance as to the outcomes of the matters described or referenced above. We record at each measurement date, most</w:t>
      </w:r>
      <w:r>
        <w:rPr>
          <w:rFonts w:ascii="Arial" w:cs="Arial" w:eastAsia="Arial" w:hAnsi="Arial"/>
          <w:sz w:val="16"/>
          <w:szCs w:val="16"/>
          <w:i w:val="1"/>
          <w:iCs w:val="1"/>
          <w:color w:val="auto"/>
        </w:rPr>
        <w:t xml:space="preserve"> </w:t>
      </w:r>
      <w:r>
        <w:rPr>
          <w:rFonts w:ascii="Arial" w:cs="Arial" w:eastAsia="Arial" w:hAnsi="Arial"/>
          <w:sz w:val="16"/>
          <w:szCs w:val="16"/>
          <w:color w:val="auto"/>
        </w:rPr>
        <w:t>recently as of March 31, 2019, our best estimate of probable incurred losses for legal contingencies, including each of the matters described or referenced above. The amount of losses that may ultimately be incurred cannot be estimated with certainty. However, based on such information as is available to us, we believe that the total of probable incurred losses for legal contingencies as of March 31, 2019 is immaterial, and that the range of reasonably possible losses for the legal proceedings and contingencies we face, including those described or referenced above, as of March 31, 2019 does not exceed $3 million.</w:t>
      </w:r>
    </w:p>
    <w:p>
      <w:pPr>
        <w:spacing w:after="0" w:line="15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Accordingly, we believe that the ultimate resolution of such legal proceedings and contingencies should not have a material adverse effect on our consolidated financial condition. We note, however, that in light of the uncertainties inherent in contested proceedings there can be no assurance that the ultimate resolution of these matters will not be material to our operating results for a particular period, depending on, among other factors, the size of the loss or liability imposed and the level of our income for that period.</w:t>
      </w:r>
    </w:p>
    <w:p>
      <w:pPr>
        <w:spacing w:after="0" w:line="187" w:lineRule="exact"/>
        <w:rPr>
          <w:sz w:val="20"/>
          <w:szCs w:val="20"/>
          <w:color w:val="auto"/>
        </w:rPr>
      </w:pPr>
    </w:p>
    <w:p>
      <w:pPr>
        <w:ind w:left="260" w:hanging="252"/>
        <w:spacing w:after="0"/>
        <w:tabs>
          <w:tab w:leader="none" w:pos="2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Employee Benefits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March 8, 2002 we acquired MFN Financial Corporation and its subsidiaries in a merger. We sponsor the MFN Financial Corporation Benefit Plan (the “Plan”). Plan benefits were frozen June 30, 2001. The table below sets forth the Plan’s net periodic benefit cost the three-month periods ended March 31, 2019 and 2018.</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80" w:type="dxa"/>
            <w:vAlign w:val="bottom"/>
          </w:tcPr>
          <w:p>
            <w:pPr>
              <w:spacing w:after="0"/>
              <w:rPr>
                <w:sz w:val="19"/>
                <w:szCs w:val="19"/>
                <w:color w:val="auto"/>
              </w:rPr>
            </w:pPr>
          </w:p>
        </w:tc>
        <w:tc>
          <w:tcPr>
            <w:tcW w:w="3060" w:type="dxa"/>
            <w:vAlign w:val="bottom"/>
            <w:gridSpan w:val="5"/>
          </w:tcPr>
          <w:p>
            <w:pPr>
              <w:jc w:val="center"/>
              <w:ind w:left="377"/>
              <w:spacing w:after="0"/>
              <w:rPr>
                <w:sz w:val="20"/>
                <w:szCs w:val="20"/>
                <w:color w:val="auto"/>
              </w:rPr>
            </w:pPr>
            <w:r>
              <w:rPr>
                <w:rFonts w:ascii="Arial" w:cs="Arial" w:eastAsia="Arial" w:hAnsi="Arial"/>
                <w:sz w:val="18"/>
                <w:szCs w:val="18"/>
                <w:b w:val="1"/>
                <w:bCs w:val="1"/>
                <w:color w:val="auto"/>
                <w:w w:val="92"/>
              </w:rPr>
              <w:t>Three Months Ended</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78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4"/>
          </w:tcPr>
          <w:p>
            <w:pPr>
              <w:jc w:val="center"/>
              <w:ind w:right="590"/>
              <w:spacing w:after="0"/>
              <w:rPr>
                <w:sz w:val="20"/>
                <w:szCs w:val="20"/>
                <w:color w:val="auto"/>
              </w:rPr>
            </w:pPr>
            <w:r>
              <w:rPr>
                <w:rFonts w:ascii="Arial" w:cs="Arial" w:eastAsia="Arial" w:hAnsi="Arial"/>
                <w:sz w:val="18"/>
                <w:szCs w:val="18"/>
                <w:b w:val="1"/>
                <w:bCs w:val="1"/>
                <w:color w:val="auto"/>
                <w:w w:val="96"/>
              </w:rPr>
              <w:t>March 31,</w:t>
            </w:r>
          </w:p>
        </w:tc>
        <w:tc>
          <w:tcPr>
            <w:tcW w:w="4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780" w:type="dxa"/>
            <w:vAlign w:val="bottom"/>
          </w:tcPr>
          <w:p>
            <w:pPr>
              <w:spacing w:after="0"/>
              <w:rPr>
                <w:sz w:val="19"/>
                <w:szCs w:val="19"/>
                <w:color w:val="auto"/>
              </w:rPr>
            </w:pPr>
          </w:p>
        </w:tc>
        <w:tc>
          <w:tcPr>
            <w:tcW w:w="11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2019</w:t>
            </w:r>
          </w:p>
        </w:tc>
        <w:tc>
          <w:tcPr>
            <w:tcW w:w="5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b w:val="1"/>
                <w:bCs w:val="1"/>
                <w:color w:val="auto"/>
              </w:rPr>
              <w:t>2018</w:t>
            </w:r>
          </w:p>
        </w:tc>
        <w:tc>
          <w:tcPr>
            <w:tcW w:w="4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780" w:type="dxa"/>
            <w:vAlign w:val="bottom"/>
            <w:vMerge w:val="restart"/>
          </w:tcPr>
          <w:p>
            <w:pPr>
              <w:spacing w:after="0"/>
              <w:rPr>
                <w:sz w:val="20"/>
                <w:szCs w:val="20"/>
                <w:color w:val="auto"/>
              </w:rPr>
            </w:pPr>
            <w:r>
              <w:rPr>
                <w:rFonts w:ascii="Arial" w:cs="Arial" w:eastAsia="Arial" w:hAnsi="Arial"/>
                <w:sz w:val="18"/>
                <w:szCs w:val="18"/>
                <w:b w:val="1"/>
                <w:bCs w:val="1"/>
                <w:color w:val="auto"/>
              </w:rPr>
              <w:t>Components of net periodic cost (benefit)</w:t>
            </w:r>
          </w:p>
        </w:tc>
        <w:tc>
          <w:tcPr>
            <w:tcW w:w="1100" w:type="dxa"/>
            <w:vAlign w:val="bottom"/>
          </w:tcPr>
          <w:p>
            <w:pPr>
              <w:spacing w:after="0"/>
              <w:rPr>
                <w:sz w:val="19"/>
                <w:szCs w:val="19"/>
                <w:color w:val="auto"/>
              </w:rPr>
            </w:pPr>
          </w:p>
        </w:tc>
        <w:tc>
          <w:tcPr>
            <w:tcW w:w="1960" w:type="dxa"/>
            <w:vAlign w:val="bottom"/>
            <w:gridSpan w:val="4"/>
          </w:tcPr>
          <w:p>
            <w:pPr>
              <w:jc w:val="center"/>
              <w:ind w:right="590"/>
              <w:spacing w:after="0"/>
              <w:rPr>
                <w:sz w:val="20"/>
                <w:szCs w:val="20"/>
                <w:color w:val="auto"/>
              </w:rPr>
            </w:pPr>
            <w:r>
              <w:rPr>
                <w:rFonts w:ascii="Arial" w:cs="Arial" w:eastAsia="Arial" w:hAnsi="Arial"/>
                <w:sz w:val="18"/>
                <w:szCs w:val="18"/>
                <w:b w:val="1"/>
                <w:bCs w:val="1"/>
                <w:color w:val="auto"/>
                <w:w w:val="90"/>
              </w:rPr>
              <w:t>(In thousands)</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7780" w:type="dxa"/>
            <w:vAlign w:val="bottom"/>
            <w:vMerge w:val="continue"/>
          </w:tcPr>
          <w:p>
            <w:pPr>
              <w:spacing w:after="0"/>
              <w:rPr>
                <w:sz w:val="17"/>
                <w:szCs w:val="17"/>
                <w:color w:val="auto"/>
              </w:rPr>
            </w:pPr>
          </w:p>
        </w:tc>
        <w:tc>
          <w:tcPr>
            <w:tcW w:w="1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EEEEEE"/>
          </w:tcPr>
          <w:p>
            <w:pPr>
              <w:spacing w:after="0"/>
              <w:rPr>
                <w:sz w:val="20"/>
                <w:szCs w:val="20"/>
                <w:color w:val="auto"/>
              </w:rPr>
            </w:pPr>
            <w:r>
              <w:rPr>
                <w:rFonts w:ascii="Arial" w:cs="Arial" w:eastAsia="Arial" w:hAnsi="Arial"/>
                <w:sz w:val="18"/>
                <w:szCs w:val="18"/>
                <w:color w:val="auto"/>
              </w:rPr>
              <w:t>Service cost</w:t>
            </w:r>
          </w:p>
        </w:tc>
        <w:tc>
          <w:tcPr>
            <w:tcW w:w="1100" w:type="dxa"/>
            <w:vAlign w:val="bottom"/>
            <w:shd w:val="clear" w:color="auto" w:fill="EEEEEE"/>
          </w:tcPr>
          <w:p>
            <w:pPr>
              <w:jc w:val="right"/>
              <w:ind w:right="937"/>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EEEEEE"/>
          </w:tcPr>
          <w:p>
            <w:pPr>
              <w:jc w:val="right"/>
              <w:ind w:right="970"/>
              <w:spacing w:after="0"/>
              <w:rPr>
                <w:sz w:val="20"/>
                <w:szCs w:val="20"/>
                <w:color w:val="auto"/>
              </w:rPr>
            </w:pPr>
            <w:r>
              <w:rPr>
                <w:rFonts w:ascii="Arial" w:cs="Arial" w:eastAsia="Arial" w:hAnsi="Arial"/>
                <w:sz w:val="15"/>
                <w:szCs w:val="15"/>
                <w:color w:val="auto"/>
                <w:w w:val="71"/>
              </w:rPr>
              <w:t>$</w:t>
            </w:r>
          </w:p>
        </w:tc>
        <w:tc>
          <w:tcPr>
            <w:tcW w:w="58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Interest cost</w:t>
            </w:r>
          </w:p>
        </w:tc>
        <w:tc>
          <w:tcPr>
            <w:tcW w:w="110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202</w:t>
            </w: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194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EEEEEE"/>
          </w:tcPr>
          <w:p>
            <w:pPr>
              <w:spacing w:after="0"/>
              <w:rPr>
                <w:sz w:val="20"/>
                <w:szCs w:val="20"/>
                <w:color w:val="auto"/>
              </w:rPr>
            </w:pPr>
            <w:r>
              <w:rPr>
                <w:rFonts w:ascii="Arial" w:cs="Arial" w:eastAsia="Arial" w:hAnsi="Arial"/>
                <w:sz w:val="18"/>
                <w:szCs w:val="18"/>
                <w:color w:val="auto"/>
              </w:rPr>
              <w:t>Expected return on assets</w:t>
            </w:r>
          </w:p>
        </w:tc>
        <w:tc>
          <w:tcPr>
            <w:tcW w:w="1100" w:type="dxa"/>
            <w:vAlign w:val="bottom"/>
            <w:shd w:val="clear" w:color="auto" w:fill="EEEEEE"/>
          </w:tcPr>
          <w:p>
            <w:pPr>
              <w:spacing w:after="0"/>
              <w:rPr>
                <w:sz w:val="18"/>
                <w:szCs w:val="18"/>
                <w:color w:val="auto"/>
              </w:rPr>
            </w:pPr>
          </w:p>
        </w:tc>
        <w:tc>
          <w:tcPr>
            <w:tcW w:w="86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(253)</w:t>
            </w:r>
          </w:p>
        </w:tc>
        <w:tc>
          <w:tcPr>
            <w:tcW w:w="2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58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Amortization of transition (asset)/obligation</w:t>
            </w:r>
          </w:p>
        </w:tc>
        <w:tc>
          <w:tcPr>
            <w:tcW w:w="110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80" w:type="dxa"/>
            <w:vAlign w:val="bottom"/>
            <w:shd w:val="clear" w:color="auto" w:fill="EEEEEE"/>
          </w:tcPr>
          <w:p>
            <w:pPr>
              <w:spacing w:after="0"/>
              <w:rPr>
                <w:sz w:val="20"/>
                <w:szCs w:val="20"/>
                <w:color w:val="auto"/>
              </w:rPr>
            </w:pPr>
            <w:r>
              <w:rPr>
                <w:rFonts w:ascii="Arial" w:cs="Arial" w:eastAsia="Arial" w:hAnsi="Arial"/>
                <w:sz w:val="18"/>
                <w:szCs w:val="18"/>
                <w:color w:val="auto"/>
              </w:rPr>
              <w:t>Amortization of net (gain) / loss</w:t>
            </w:r>
          </w:p>
        </w:tc>
        <w:tc>
          <w:tcPr>
            <w:tcW w:w="1100" w:type="dxa"/>
            <w:vAlign w:val="bottom"/>
            <w:shd w:val="clear" w:color="auto" w:fill="EEEEEE"/>
          </w:tcPr>
          <w:p>
            <w:pPr>
              <w:spacing w:after="0"/>
              <w:rPr>
                <w:sz w:val="19"/>
                <w:szCs w:val="19"/>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94</w:t>
            </w:r>
          </w:p>
        </w:tc>
        <w:tc>
          <w:tcPr>
            <w:tcW w:w="36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1080" w:type="dxa"/>
            <w:vAlign w:val="bottom"/>
            <w:shd w:val="clear" w:color="auto" w:fill="EEEEEE"/>
          </w:tcPr>
          <w:p>
            <w:pPr>
              <w:spacing w:after="0"/>
              <w:rPr>
                <w:sz w:val="19"/>
                <w:szCs w:val="19"/>
                <w:color w:val="auto"/>
              </w:rPr>
            </w:pPr>
          </w:p>
        </w:tc>
        <w:tc>
          <w:tcPr>
            <w:tcW w:w="5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111</w:t>
            </w:r>
          </w:p>
        </w:tc>
        <w:tc>
          <w:tcPr>
            <w:tcW w:w="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80" w:type="dxa"/>
            <w:vAlign w:val="bottom"/>
          </w:tcPr>
          <w:p>
            <w:pPr>
              <w:ind w:left="180"/>
              <w:spacing w:after="0"/>
              <w:rPr>
                <w:sz w:val="20"/>
                <w:szCs w:val="20"/>
                <w:color w:val="auto"/>
              </w:rPr>
            </w:pPr>
            <w:r>
              <w:rPr>
                <w:rFonts w:ascii="Arial" w:cs="Arial" w:eastAsia="Arial" w:hAnsi="Arial"/>
                <w:sz w:val="18"/>
                <w:szCs w:val="18"/>
                <w:color w:val="auto"/>
              </w:rPr>
              <w:t>Net periodic cost (benefit)</w:t>
            </w:r>
          </w:p>
        </w:tc>
        <w:tc>
          <w:tcPr>
            <w:tcW w:w="1100" w:type="dxa"/>
            <w:vAlign w:val="bottom"/>
            <w:tcBorders>
              <w:top w:val="single" w:sz="8" w:color="auto"/>
              <w:bottom w:val="single" w:sz="8" w:color="auto"/>
            </w:tcBorders>
          </w:tcPr>
          <w:p>
            <w:pPr>
              <w:jc w:val="right"/>
              <w:ind w:right="93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3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970"/>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did not make any contributions to the Plan during the three-month periods ended March 31, 2019 and 2018. We do not anticipate making any contributions for the remainder of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 Fair Value Measurements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ASC 820, "Fair Value Measurements" clarifies the principle that fair value should be based on the assumptions market participants would use when pricing an asset or liability and establishes a fair value hierarchy that prioritizes the information used to develop those assumptions. Under the standard, fair value measurements would be separately disclosed by level within the fair value hierarchy.</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ASC 820 defines fair value, establishes a framework for measuring fair value, establishes a three-level valuation hierarchy for disclosure of fair value measurement and enhances disclosure requirements for fair value measurements. The three levels are defined as follows: level 1 - inputs to the valuation methodology are quoted prices (unadjusted) for identical assets or liabilities in active markets; level 2 – inputs to the valuation methodology include quoted prices for similar assets and liabilities in active markets, and inputs that are observable for the asset or liability, either directly or indirectly, for substantially the full term of the financial instrument; and level 3 – inputs to the valuation methodology are unobservable and significant to the fair value measurement.</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2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Effective January 2018 we have elected to use the fair value method to value our portfolio of finance receivables acquired in January 2018 and thereafter.</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valuation policies and procedures have been developed by our Accounting department in conjunction with our Risk department and with consultation with outside valuation experts. Our policies and procedures have been approved by our Chief Executive and our Board of Directors and include methodologies for valuation, internal reporting, calibration and back testing. Our periodic review of valuations includes an analysis of changes in fair value measurements and documentation of the reasons for such changes. There is little available third-party information such as broker quotes or pricing services available to assist us in our valuation process.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level 3, unobservable inputs reflect our own assumptions about the factors that market participants use in pricing similar receivables and are based on the best information available in the circumstances. They include such inputs as estimates for the magnitude and timing of net charge-offs and the rate of amortization of the portfolio of finance receivable. Significant changes in any of those inputs in isolation would have a significant impact on our fair value measurement.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table below presents a reconciliation of the finance receivables measured at fair value on a recurring basis using significant unobservable inputs: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80" w:type="dxa"/>
            <w:vAlign w:val="bottom"/>
          </w:tcPr>
          <w:p>
            <w:pPr>
              <w:spacing w:after="0"/>
              <w:rPr>
                <w:sz w:val="19"/>
                <w:szCs w:val="19"/>
                <w:color w:val="auto"/>
              </w:rPr>
            </w:pPr>
          </w:p>
        </w:tc>
        <w:tc>
          <w:tcPr>
            <w:tcW w:w="2940" w:type="dxa"/>
            <w:vAlign w:val="bottom"/>
            <w:gridSpan w:val="5"/>
          </w:tcPr>
          <w:p>
            <w:pPr>
              <w:jc w:val="center"/>
              <w:ind w:left="497"/>
              <w:spacing w:after="0"/>
              <w:rPr>
                <w:sz w:val="20"/>
                <w:szCs w:val="20"/>
                <w:color w:val="auto"/>
              </w:rPr>
            </w:pPr>
            <w:r>
              <w:rPr>
                <w:rFonts w:ascii="Arial" w:cs="Arial" w:eastAsia="Arial" w:hAnsi="Arial"/>
                <w:sz w:val="18"/>
                <w:szCs w:val="18"/>
                <w:b w:val="1"/>
                <w:bCs w:val="1"/>
                <w:color w:val="auto"/>
                <w:w w:val="92"/>
              </w:rPr>
              <w:t>Three Months Ended</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4"/>
        </w:trPr>
        <w:tc>
          <w:tcPr>
            <w:tcW w:w="778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4"/>
          </w:tcPr>
          <w:p>
            <w:pPr>
              <w:jc w:val="center"/>
              <w:ind w:right="370"/>
              <w:spacing w:after="0"/>
              <w:rPr>
                <w:sz w:val="20"/>
                <w:szCs w:val="20"/>
                <w:color w:val="auto"/>
              </w:rPr>
            </w:pPr>
            <w:r>
              <w:rPr>
                <w:rFonts w:ascii="Arial" w:cs="Arial" w:eastAsia="Arial" w:hAnsi="Arial"/>
                <w:sz w:val="18"/>
                <w:szCs w:val="18"/>
                <w:b w:val="1"/>
                <w:bCs w:val="1"/>
                <w:color w:val="auto"/>
                <w:w w:val="96"/>
              </w:rPr>
              <w:t>March 31,</w:t>
            </w:r>
          </w:p>
        </w:tc>
        <w:tc>
          <w:tcPr>
            <w:tcW w:w="6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778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6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2018</w:t>
            </w:r>
          </w:p>
        </w:tc>
        <w:tc>
          <w:tcPr>
            <w:tcW w:w="6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7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940" w:type="dxa"/>
            <w:vAlign w:val="bottom"/>
            <w:gridSpan w:val="4"/>
          </w:tcPr>
          <w:p>
            <w:pPr>
              <w:jc w:val="center"/>
              <w:ind w:right="370"/>
              <w:spacing w:after="0"/>
              <w:rPr>
                <w:sz w:val="20"/>
                <w:szCs w:val="20"/>
                <w:color w:val="auto"/>
              </w:rPr>
            </w:pPr>
            <w:r>
              <w:rPr>
                <w:rFonts w:ascii="Arial" w:cs="Arial" w:eastAsia="Arial" w:hAnsi="Arial"/>
                <w:sz w:val="18"/>
                <w:szCs w:val="18"/>
                <w:b w:val="1"/>
                <w:bCs w:val="1"/>
                <w:color w:val="auto"/>
                <w:w w:val="90"/>
              </w:rPr>
              <w:t>(In thousands)</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780" w:type="dxa"/>
            <w:vAlign w:val="bottom"/>
            <w:shd w:val="clear" w:color="auto" w:fill="EEEEEE"/>
          </w:tcPr>
          <w:p>
            <w:pPr>
              <w:spacing w:after="0"/>
              <w:rPr>
                <w:sz w:val="20"/>
                <w:szCs w:val="20"/>
                <w:color w:val="auto"/>
              </w:rPr>
            </w:pPr>
            <w:r>
              <w:rPr>
                <w:rFonts w:ascii="Arial" w:cs="Arial" w:eastAsia="Arial" w:hAnsi="Arial"/>
                <w:sz w:val="18"/>
                <w:szCs w:val="18"/>
                <w:color w:val="auto"/>
              </w:rPr>
              <w:t>Balance at beginning of period</w:t>
            </w:r>
          </w:p>
        </w:tc>
        <w:tc>
          <w:tcPr>
            <w:tcW w:w="1000" w:type="dxa"/>
            <w:vAlign w:val="bottom"/>
            <w:shd w:val="clear" w:color="auto" w:fill="EEEEEE"/>
          </w:tcPr>
          <w:p>
            <w:pPr>
              <w:jc w:val="right"/>
              <w:ind w:right="837"/>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w w:val="89"/>
              </w:rPr>
              <w:t>821,066</w:t>
            </w:r>
          </w:p>
        </w:tc>
        <w:tc>
          <w:tcPr>
            <w:tcW w:w="980" w:type="dxa"/>
            <w:vAlign w:val="bottom"/>
            <w:gridSpan w:val="2"/>
            <w:shd w:val="clear" w:color="auto" w:fill="EEEEEE"/>
          </w:tcPr>
          <w:p>
            <w:pPr>
              <w:jc w:val="right"/>
              <w:ind w:right="850"/>
              <w:spacing w:after="0"/>
              <w:rPr>
                <w:sz w:val="20"/>
                <w:szCs w:val="20"/>
                <w:color w:val="auto"/>
              </w:rPr>
            </w:pPr>
            <w:r>
              <w:rPr>
                <w:rFonts w:ascii="Arial" w:cs="Arial" w:eastAsia="Arial" w:hAnsi="Arial"/>
                <w:sz w:val="15"/>
                <w:szCs w:val="15"/>
                <w:color w:val="auto"/>
                <w:w w:val="71"/>
              </w:rPr>
              <w:t>$</w:t>
            </w:r>
          </w:p>
        </w:tc>
        <w:tc>
          <w:tcPr>
            <w:tcW w:w="70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Finance receivables at fair value acquired during period</w:t>
            </w:r>
          </w:p>
        </w:tc>
        <w:tc>
          <w:tcPr>
            <w:tcW w:w="10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244,753</w:t>
            </w: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212,610</w:t>
            </w:r>
          </w:p>
        </w:tc>
        <w:tc>
          <w:tcPr>
            <w:tcW w:w="80" w:type="dxa"/>
            <w:vAlign w:val="bottom"/>
          </w:tcPr>
          <w:p>
            <w:pPr>
              <w:spacing w:after="0"/>
              <w:rPr>
                <w:sz w:val="18"/>
                <w:szCs w:val="18"/>
                <w:color w:val="auto"/>
              </w:rPr>
            </w:pPr>
          </w:p>
        </w:tc>
      </w:tr>
      <w:tr>
        <w:trPr>
          <w:trHeight w:val="216"/>
        </w:trPr>
        <w:tc>
          <w:tcPr>
            <w:tcW w:w="7780" w:type="dxa"/>
            <w:vAlign w:val="bottom"/>
            <w:shd w:val="clear" w:color="auto" w:fill="EEEEEE"/>
          </w:tcPr>
          <w:p>
            <w:pPr>
              <w:spacing w:after="0"/>
              <w:rPr>
                <w:sz w:val="20"/>
                <w:szCs w:val="20"/>
                <w:color w:val="auto"/>
              </w:rPr>
            </w:pPr>
            <w:r>
              <w:rPr>
                <w:rFonts w:ascii="Arial" w:cs="Arial" w:eastAsia="Arial" w:hAnsi="Arial"/>
                <w:sz w:val="18"/>
                <w:szCs w:val="18"/>
                <w:color w:val="auto"/>
              </w:rPr>
              <w:t>Payments received on finance receivables at fair value</w:t>
            </w:r>
          </w:p>
        </w:tc>
        <w:tc>
          <w:tcPr>
            <w:tcW w:w="100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w w:val="95"/>
              </w:rPr>
              <w:t>(49,500)</w:t>
            </w:r>
          </w:p>
        </w:tc>
        <w:tc>
          <w:tcPr>
            <w:tcW w:w="2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70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(2,642)</w:t>
            </w: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Net interest income accretion on fair value receivables</w:t>
            </w:r>
          </w:p>
        </w:tc>
        <w:tc>
          <w:tcPr>
            <w:tcW w:w="10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(18,767)</w:t>
            </w: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(121)</w:t>
            </w:r>
          </w:p>
        </w:tc>
      </w:tr>
      <w:tr>
        <w:trPr>
          <w:trHeight w:val="230"/>
        </w:trPr>
        <w:tc>
          <w:tcPr>
            <w:tcW w:w="7780" w:type="dxa"/>
            <w:vAlign w:val="bottom"/>
            <w:shd w:val="clear" w:color="auto" w:fill="EEEEEE"/>
          </w:tcPr>
          <w:p>
            <w:pPr>
              <w:spacing w:after="0"/>
              <w:rPr>
                <w:sz w:val="20"/>
                <w:szCs w:val="20"/>
                <w:color w:val="auto"/>
              </w:rPr>
            </w:pPr>
            <w:r>
              <w:rPr>
                <w:rFonts w:ascii="Arial" w:cs="Arial" w:eastAsia="Arial" w:hAnsi="Arial"/>
                <w:sz w:val="18"/>
                <w:szCs w:val="18"/>
                <w:color w:val="auto"/>
              </w:rPr>
              <w:t>Mark to fair value</w:t>
            </w:r>
          </w:p>
        </w:tc>
        <w:tc>
          <w:tcPr>
            <w:tcW w:w="1000" w:type="dxa"/>
            <w:vAlign w:val="bottom"/>
            <w:shd w:val="clear" w:color="auto" w:fill="EEEEEE"/>
          </w:tcPr>
          <w:p>
            <w:pPr>
              <w:spacing w:after="0"/>
              <w:rPr>
                <w:sz w:val="19"/>
                <w:szCs w:val="19"/>
                <w:color w:val="auto"/>
              </w:rPr>
            </w:pPr>
          </w:p>
        </w:tc>
        <w:tc>
          <w:tcPr>
            <w:tcW w:w="9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w:t>
            </w:r>
          </w:p>
        </w:tc>
        <w:tc>
          <w:tcPr>
            <w:tcW w:w="20" w:type="dxa"/>
            <w:vAlign w:val="bottom"/>
            <w:shd w:val="clear" w:color="auto" w:fill="EEEEEE"/>
          </w:tcPr>
          <w:p>
            <w:pPr>
              <w:spacing w:after="0"/>
              <w:rPr>
                <w:sz w:val="19"/>
                <w:szCs w:val="19"/>
                <w:color w:val="auto"/>
              </w:rPr>
            </w:pPr>
          </w:p>
        </w:tc>
        <w:tc>
          <w:tcPr>
            <w:tcW w:w="960" w:type="dxa"/>
            <w:vAlign w:val="bottom"/>
            <w:shd w:val="clear" w:color="auto" w:fill="EEEEEE"/>
          </w:tcPr>
          <w:p>
            <w:pPr>
              <w:spacing w:after="0"/>
              <w:rPr>
                <w:sz w:val="19"/>
                <w:szCs w:val="19"/>
                <w:color w:val="auto"/>
              </w:rPr>
            </w:pPr>
          </w:p>
        </w:tc>
        <w:tc>
          <w:tcPr>
            <w:tcW w:w="70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778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1000" w:type="dxa"/>
            <w:vAlign w:val="bottom"/>
            <w:tcBorders>
              <w:top w:val="single" w:sz="8" w:color="auto"/>
              <w:bottom w:val="single" w:sz="8" w:color="auto"/>
            </w:tcBorders>
          </w:tcPr>
          <w:p>
            <w:pPr>
              <w:jc w:val="right"/>
              <w:ind w:right="83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997,552</w:t>
            </w:r>
          </w:p>
        </w:tc>
        <w:tc>
          <w:tcPr>
            <w:tcW w:w="3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850"/>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209,847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7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compares the fair values of these finance receivables to their contractual balances for the periods shown: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00" w:type="dxa"/>
            <w:vAlign w:val="bottom"/>
            <w:gridSpan w:val="4"/>
          </w:tcPr>
          <w:p>
            <w:pPr>
              <w:ind w:left="640"/>
              <w:spacing w:after="0"/>
              <w:rPr>
                <w:sz w:val="20"/>
                <w:szCs w:val="20"/>
                <w:color w:val="auto"/>
              </w:rPr>
            </w:pPr>
            <w:r>
              <w:rPr>
                <w:rFonts w:ascii="Arial" w:cs="Arial" w:eastAsia="Arial" w:hAnsi="Arial"/>
                <w:sz w:val="18"/>
                <w:szCs w:val="18"/>
                <w:b w:val="1"/>
                <w:bCs w:val="1"/>
                <w:color w:val="auto"/>
              </w:rPr>
              <w:t>March 31, 2019</w:t>
            </w:r>
          </w:p>
        </w:tc>
        <w:tc>
          <w:tcPr>
            <w:tcW w:w="100" w:type="dxa"/>
            <w:vAlign w:val="bottom"/>
          </w:tcPr>
          <w:p>
            <w:pPr>
              <w:spacing w:after="0"/>
              <w:rPr>
                <w:sz w:val="20"/>
                <w:szCs w:val="20"/>
                <w:color w:val="auto"/>
              </w:rPr>
            </w:pPr>
          </w:p>
        </w:tc>
        <w:tc>
          <w:tcPr>
            <w:tcW w:w="2600" w:type="dxa"/>
            <w:vAlign w:val="bottom"/>
            <w:gridSpan w:val="4"/>
          </w:tcPr>
          <w:p>
            <w:pPr>
              <w:ind w:left="460"/>
              <w:spacing w:after="0"/>
              <w:rPr>
                <w:sz w:val="20"/>
                <w:szCs w:val="20"/>
                <w:color w:val="auto"/>
              </w:rPr>
            </w:pPr>
            <w:r>
              <w:rPr>
                <w:rFonts w:ascii="Arial" w:cs="Arial" w:eastAsia="Arial" w:hAnsi="Arial"/>
                <w:sz w:val="18"/>
                <w:szCs w:val="18"/>
                <w:b w:val="1"/>
                <w:bCs w:val="1"/>
                <w:color w:val="auto"/>
              </w:rPr>
              <w:t>December 31, 2018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center"/>
              <w:ind w:right="190"/>
              <w:spacing w:after="0" w:line="205" w:lineRule="exact"/>
              <w:rPr>
                <w:sz w:val="20"/>
                <w:szCs w:val="20"/>
                <w:color w:val="auto"/>
              </w:rPr>
            </w:pPr>
            <w:r>
              <w:rPr>
                <w:rFonts w:ascii="Arial" w:cs="Arial" w:eastAsia="Arial" w:hAnsi="Arial"/>
                <w:sz w:val="18"/>
                <w:szCs w:val="18"/>
                <w:b w:val="1"/>
                <w:bCs w:val="1"/>
                <w:color w:val="auto"/>
                <w:w w:val="91"/>
              </w:rPr>
              <w:t>Contractual</w:t>
            </w:r>
          </w:p>
        </w:tc>
        <w:tc>
          <w:tcPr>
            <w:tcW w:w="4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center"/>
              <w:ind w:right="150"/>
              <w:spacing w:after="0" w:line="205" w:lineRule="exact"/>
              <w:rPr>
                <w:sz w:val="20"/>
                <w:szCs w:val="20"/>
                <w:color w:val="auto"/>
              </w:rPr>
            </w:pPr>
            <w:r>
              <w:rPr>
                <w:rFonts w:ascii="Arial" w:cs="Arial" w:eastAsia="Arial" w:hAnsi="Arial"/>
                <w:sz w:val="18"/>
                <w:szCs w:val="18"/>
                <w:b w:val="1"/>
                <w:bCs w:val="1"/>
                <w:color w:val="auto"/>
              </w:rPr>
              <w:t>Fair</w:t>
            </w:r>
          </w:p>
        </w:tc>
        <w:tc>
          <w:tcPr>
            <w:tcW w:w="3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center"/>
              <w:ind w:right="170"/>
              <w:spacing w:after="0" w:line="205" w:lineRule="exact"/>
              <w:rPr>
                <w:sz w:val="20"/>
                <w:szCs w:val="20"/>
                <w:color w:val="auto"/>
              </w:rPr>
            </w:pPr>
            <w:r>
              <w:rPr>
                <w:rFonts w:ascii="Arial" w:cs="Arial" w:eastAsia="Arial" w:hAnsi="Arial"/>
                <w:sz w:val="18"/>
                <w:szCs w:val="18"/>
                <w:b w:val="1"/>
                <w:bCs w:val="1"/>
                <w:color w:val="auto"/>
                <w:w w:val="93"/>
              </w:rPr>
              <w:t>Contractual</w:t>
            </w:r>
          </w:p>
        </w:tc>
        <w:tc>
          <w:tcPr>
            <w:tcW w:w="3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center"/>
              <w:ind w:right="150"/>
              <w:spacing w:after="0" w:line="205" w:lineRule="exact"/>
              <w:rPr>
                <w:sz w:val="20"/>
                <w:szCs w:val="20"/>
                <w:color w:val="auto"/>
              </w:rPr>
            </w:pPr>
            <w:r>
              <w:rPr>
                <w:rFonts w:ascii="Arial" w:cs="Arial" w:eastAsia="Arial" w:hAnsi="Arial"/>
                <w:sz w:val="18"/>
                <w:szCs w:val="18"/>
                <w:b w:val="1"/>
                <w:bCs w:val="1"/>
                <w:color w:val="auto"/>
                <w:w w:val="96"/>
              </w:rPr>
              <w:t>Fair</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center"/>
              <w:ind w:right="190"/>
              <w:spacing w:after="0"/>
              <w:rPr>
                <w:sz w:val="20"/>
                <w:szCs w:val="20"/>
                <w:color w:val="auto"/>
              </w:rPr>
            </w:pPr>
            <w:r>
              <w:rPr>
                <w:rFonts w:ascii="Arial" w:cs="Arial" w:eastAsia="Arial" w:hAnsi="Arial"/>
                <w:sz w:val="18"/>
                <w:szCs w:val="18"/>
                <w:b w:val="1"/>
                <w:bCs w:val="1"/>
                <w:color w:val="auto"/>
                <w:w w:val="86"/>
              </w:rPr>
              <w:t>Balance</w:t>
            </w:r>
          </w:p>
        </w:tc>
        <w:tc>
          <w:tcPr>
            <w:tcW w:w="400" w:type="dxa"/>
            <w:vAlign w:val="bottom"/>
          </w:tcPr>
          <w:p>
            <w:pPr>
              <w:spacing w:after="0"/>
              <w:rPr>
                <w:sz w:val="20"/>
                <w:szCs w:val="20"/>
                <w:color w:val="auto"/>
              </w:rPr>
            </w:pPr>
          </w:p>
        </w:tc>
        <w:tc>
          <w:tcPr>
            <w:tcW w:w="126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c>
          <w:tcPr>
            <w:tcW w:w="120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Balance</w:t>
            </w:r>
          </w:p>
        </w:tc>
        <w:tc>
          <w:tcPr>
            <w:tcW w:w="380" w:type="dxa"/>
            <w:vAlign w:val="bottom"/>
          </w:tcPr>
          <w:p>
            <w:pPr>
              <w:spacing w:after="0"/>
              <w:rPr>
                <w:sz w:val="20"/>
                <w:szCs w:val="20"/>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7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2560" w:type="dxa"/>
            <w:vAlign w:val="bottom"/>
            <w:tcBorders>
              <w:top w:val="single" w:sz="8" w:color="auto"/>
            </w:tcBorders>
            <w:gridSpan w:val="4"/>
          </w:tcPr>
          <w:p>
            <w:pPr>
              <w:ind w:left="500"/>
              <w:spacing w:after="0"/>
              <w:rPr>
                <w:sz w:val="20"/>
                <w:szCs w:val="20"/>
                <w:color w:val="auto"/>
              </w:rPr>
            </w:pPr>
            <w:r>
              <w:rPr>
                <w:rFonts w:ascii="Arial" w:cs="Arial" w:eastAsia="Arial" w:hAnsi="Arial"/>
                <w:sz w:val="18"/>
                <w:szCs w:val="18"/>
                <w:b w:val="1"/>
                <w:bCs w:val="1"/>
                <w:color w:val="auto"/>
              </w:rPr>
              <w:t>(In thousands)</w:t>
            </w:r>
          </w:p>
        </w:tc>
        <w:tc>
          <w:tcPr>
            <w:tcW w:w="3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5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EEEEEE"/>
          </w:tcPr>
          <w:p>
            <w:pPr>
              <w:spacing w:after="0"/>
              <w:rPr>
                <w:sz w:val="20"/>
                <w:szCs w:val="20"/>
                <w:color w:val="auto"/>
              </w:rPr>
            </w:pPr>
            <w:r>
              <w:rPr>
                <w:rFonts w:ascii="Arial" w:cs="Arial" w:eastAsia="Arial" w:hAnsi="Arial"/>
                <w:sz w:val="18"/>
                <w:szCs w:val="18"/>
                <w:color w:val="auto"/>
              </w:rPr>
              <w:t>Finance receivables measured at fair value</w:t>
            </w:r>
          </w:p>
        </w:tc>
        <w:tc>
          <w:tcPr>
            <w:tcW w:w="1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1,016,328</w:t>
            </w:r>
          </w:p>
        </w:tc>
        <w:tc>
          <w:tcPr>
            <w:tcW w:w="40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997,552</w:t>
            </w:r>
          </w:p>
        </w:tc>
        <w:tc>
          <w:tcPr>
            <w:tcW w:w="1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EEEEEE"/>
          </w:tcPr>
          <w:p>
            <w:pPr>
              <w:ind w:left="440"/>
              <w:spacing w:after="0"/>
              <w:rPr>
                <w:sz w:val="20"/>
                <w:szCs w:val="20"/>
                <w:color w:val="auto"/>
              </w:rPr>
            </w:pPr>
            <w:r>
              <w:rPr>
                <w:rFonts w:ascii="Arial" w:cs="Arial" w:eastAsia="Arial" w:hAnsi="Arial"/>
                <w:sz w:val="18"/>
                <w:szCs w:val="18"/>
                <w:color w:val="auto"/>
              </w:rPr>
              <w:t>829,039</w:t>
            </w:r>
          </w:p>
        </w:tc>
        <w:tc>
          <w:tcPr>
            <w:tcW w:w="38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821,066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certain qualitative information about our level 3 fair value measurements: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gridSpan w:val="2"/>
          </w:tcPr>
          <w:p>
            <w:pPr>
              <w:spacing w:after="0"/>
              <w:rPr>
                <w:sz w:val="20"/>
                <w:szCs w:val="20"/>
                <w:color w:val="auto"/>
              </w:rPr>
            </w:pPr>
            <w:r>
              <w:rPr>
                <w:rFonts w:ascii="Arial" w:cs="Arial" w:eastAsia="Arial" w:hAnsi="Arial"/>
                <w:sz w:val="18"/>
                <w:szCs w:val="18"/>
                <w:b w:val="1"/>
                <w:bCs w:val="1"/>
                <w:color w:val="auto"/>
              </w:rPr>
              <w:t>Financial Instrument</w:t>
            </w:r>
          </w:p>
        </w:tc>
        <w:tc>
          <w:tcPr>
            <w:tcW w:w="140" w:type="dxa"/>
            <w:vAlign w:val="bottom"/>
          </w:tcPr>
          <w:p>
            <w:pPr>
              <w:spacing w:after="0"/>
              <w:rPr>
                <w:sz w:val="20"/>
                <w:szCs w:val="20"/>
                <w:color w:val="auto"/>
              </w:rPr>
            </w:pPr>
          </w:p>
        </w:tc>
        <w:tc>
          <w:tcPr>
            <w:tcW w:w="2860" w:type="dxa"/>
            <w:vAlign w:val="bottom"/>
            <w:gridSpan w:val="4"/>
          </w:tcPr>
          <w:p>
            <w:pPr>
              <w:jc w:val="center"/>
              <w:ind w:right="460"/>
              <w:spacing w:after="0"/>
              <w:rPr>
                <w:sz w:val="20"/>
                <w:szCs w:val="20"/>
                <w:color w:val="auto"/>
              </w:rPr>
            </w:pPr>
            <w:r>
              <w:rPr>
                <w:rFonts w:ascii="Arial" w:cs="Arial" w:eastAsia="Arial" w:hAnsi="Arial"/>
                <w:sz w:val="18"/>
                <w:szCs w:val="18"/>
                <w:b w:val="1"/>
                <w:bCs w:val="1"/>
                <w:color w:val="auto"/>
                <w:w w:val="89"/>
              </w:rPr>
              <w:t>Fair Values as of</w:t>
            </w:r>
          </w:p>
        </w:tc>
        <w:tc>
          <w:tcPr>
            <w:tcW w:w="2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Inputs as of</w:t>
            </w:r>
          </w:p>
        </w:tc>
        <w:tc>
          <w:tcPr>
            <w:tcW w:w="560" w:type="dxa"/>
            <w:vAlign w:val="bottom"/>
          </w:tcPr>
          <w:p>
            <w:pPr>
              <w:spacing w:after="0"/>
              <w:rPr>
                <w:sz w:val="20"/>
                <w:szCs w:val="20"/>
                <w:color w:val="auto"/>
              </w:rPr>
            </w:pPr>
          </w:p>
        </w:tc>
      </w:tr>
      <w:tr>
        <w:trPr>
          <w:trHeight w:val="191"/>
        </w:trPr>
        <w:tc>
          <w:tcPr>
            <w:tcW w:w="34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2"/>
          </w:tcPr>
          <w:p>
            <w:pPr>
              <w:ind w:left="120"/>
              <w:spacing w:after="0" w:line="191" w:lineRule="exact"/>
              <w:rPr>
                <w:sz w:val="20"/>
                <w:szCs w:val="20"/>
                <w:color w:val="auto"/>
              </w:rPr>
            </w:pPr>
            <w:r>
              <w:rPr>
                <w:rFonts w:ascii="Arial" w:cs="Arial" w:eastAsia="Arial" w:hAnsi="Arial"/>
                <w:sz w:val="18"/>
                <w:szCs w:val="18"/>
                <w:b w:val="1"/>
                <w:bCs w:val="1"/>
                <w:color w:val="auto"/>
              </w:rPr>
              <w:t>December</w:t>
            </w:r>
          </w:p>
        </w:tc>
      </w:tr>
      <w:tr>
        <w:trPr>
          <w:trHeight w:val="230"/>
        </w:trPr>
        <w:tc>
          <w:tcPr>
            <w:tcW w:w="3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center"/>
              <w:ind w:right="210"/>
              <w:spacing w:after="0"/>
              <w:rPr>
                <w:sz w:val="20"/>
                <w:szCs w:val="20"/>
                <w:color w:val="auto"/>
              </w:rPr>
            </w:pPr>
            <w:r>
              <w:rPr>
                <w:rFonts w:ascii="Arial" w:cs="Arial" w:eastAsia="Arial" w:hAnsi="Arial"/>
                <w:sz w:val="18"/>
                <w:szCs w:val="18"/>
                <w:b w:val="1"/>
                <w:bCs w:val="1"/>
                <w:color w:val="auto"/>
                <w:w w:val="93"/>
              </w:rPr>
              <w:t>March 31,</w:t>
            </w:r>
          </w:p>
        </w:tc>
        <w:tc>
          <w:tcPr>
            <w:tcW w:w="166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0"/>
              </w:rPr>
              <w:t>December 31,</w:t>
            </w:r>
          </w:p>
        </w:tc>
        <w:tc>
          <w:tcPr>
            <w:tcW w:w="2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ind w:left="120"/>
              <w:spacing w:after="0"/>
              <w:rPr>
                <w:sz w:val="20"/>
                <w:szCs w:val="20"/>
                <w:color w:val="auto"/>
              </w:rPr>
            </w:pPr>
            <w:r>
              <w:rPr>
                <w:rFonts w:ascii="Arial" w:cs="Arial" w:eastAsia="Arial" w:hAnsi="Arial"/>
                <w:sz w:val="18"/>
                <w:szCs w:val="18"/>
                <w:b w:val="1"/>
                <w:bCs w:val="1"/>
                <w:color w:val="auto"/>
              </w:rPr>
              <w:t>March 31,</w:t>
            </w:r>
          </w:p>
        </w:tc>
        <w:tc>
          <w:tcPr>
            <w:tcW w:w="102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rPr>
              <w:t>31,</w:t>
            </w:r>
          </w:p>
        </w:tc>
      </w:tr>
      <w:tr>
        <w:trPr>
          <w:trHeight w:val="234"/>
        </w:trPr>
        <w:tc>
          <w:tcPr>
            <w:tcW w:w="3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560" w:type="dxa"/>
            <w:vAlign w:val="bottom"/>
          </w:tcPr>
          <w:p>
            <w:pPr>
              <w:spacing w:after="0"/>
              <w:rPr>
                <w:sz w:val="20"/>
                <w:szCs w:val="20"/>
                <w:color w:val="auto"/>
              </w:rPr>
            </w:pPr>
          </w:p>
        </w:tc>
        <w:tc>
          <w:tcPr>
            <w:tcW w:w="760" w:type="dxa"/>
            <w:vAlign w:val="bottom"/>
          </w:tcPr>
          <w:p>
            <w:pPr>
              <w:jc w:val="right"/>
              <w:ind w:right="290"/>
              <w:spacing w:after="0"/>
              <w:rPr>
                <w:sz w:val="20"/>
                <w:szCs w:val="20"/>
                <w:color w:val="auto"/>
              </w:rPr>
            </w:pPr>
            <w:r>
              <w:rPr>
                <w:rFonts w:ascii="Arial" w:cs="Arial" w:eastAsia="Arial" w:hAnsi="Arial"/>
                <w:sz w:val="18"/>
                <w:szCs w:val="18"/>
                <w:b w:val="1"/>
                <w:bCs w:val="1"/>
                <w:color w:val="auto"/>
                <w:w w:val="89"/>
              </w:rPr>
              <w:t>2018</w:t>
            </w:r>
          </w:p>
        </w:tc>
        <w:tc>
          <w:tcPr>
            <w:tcW w:w="340" w:type="dxa"/>
            <w:vAlign w:val="bottom"/>
          </w:tcPr>
          <w:p>
            <w:pPr>
              <w:spacing w:after="0"/>
              <w:rPr>
                <w:sz w:val="20"/>
                <w:szCs w:val="20"/>
                <w:color w:val="auto"/>
              </w:rPr>
            </w:pPr>
          </w:p>
        </w:tc>
        <w:tc>
          <w:tcPr>
            <w:tcW w:w="2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Unobservable Inputs</w:t>
            </w: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9"/>
              </w:rPr>
              <w:t>2019</w:t>
            </w:r>
          </w:p>
        </w:tc>
        <w:tc>
          <w:tcPr>
            <w:tcW w:w="220" w:type="dxa"/>
            <w:vAlign w:val="bottom"/>
          </w:tcPr>
          <w:p>
            <w:pPr>
              <w:spacing w:after="0"/>
              <w:rPr>
                <w:sz w:val="20"/>
                <w:szCs w:val="20"/>
                <w:color w:val="auto"/>
              </w:rPr>
            </w:pPr>
          </w:p>
        </w:tc>
        <w:tc>
          <w:tcPr>
            <w:tcW w:w="102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2018</w:t>
            </w:r>
          </w:p>
        </w:tc>
      </w:tr>
      <w:tr>
        <w:trPr>
          <w:trHeight w:val="210"/>
        </w:trPr>
        <w:tc>
          <w:tcPr>
            <w:tcW w:w="3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gridSpan w:val="2"/>
          </w:tcPr>
          <w:p>
            <w:pPr>
              <w:jc w:val="center"/>
              <w:ind w:left="550"/>
              <w:spacing w:after="0"/>
              <w:rPr>
                <w:sz w:val="20"/>
                <w:szCs w:val="20"/>
                <w:color w:val="auto"/>
              </w:rPr>
            </w:pPr>
            <w:r>
              <w:rPr>
                <w:rFonts w:ascii="Arial" w:cs="Arial" w:eastAsia="Arial" w:hAnsi="Arial"/>
                <w:sz w:val="18"/>
                <w:szCs w:val="18"/>
                <w:b w:val="1"/>
                <w:bCs w:val="1"/>
                <w:color w:val="auto"/>
                <w:w w:val="90"/>
              </w:rPr>
              <w:t>(In thousands)</w:t>
            </w:r>
          </w:p>
        </w:tc>
        <w:tc>
          <w:tcPr>
            <w:tcW w:w="7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2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r>
      <w:tr>
        <w:trPr>
          <w:trHeight w:val="216"/>
        </w:trPr>
        <w:tc>
          <w:tcPr>
            <w:tcW w:w="3660" w:type="dxa"/>
            <w:vAlign w:val="bottom"/>
            <w:gridSpan w:val="2"/>
            <w:shd w:val="clear" w:color="auto" w:fill="EEEEEE"/>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r>
      <w:tr>
        <w:trPr>
          <w:trHeight w:val="202"/>
        </w:trPr>
        <w:tc>
          <w:tcPr>
            <w:tcW w:w="3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center"/>
              <w:spacing w:after="0" w:line="201" w:lineRule="exact"/>
              <w:rPr>
                <w:sz w:val="20"/>
                <w:szCs w:val="20"/>
                <w:color w:val="auto"/>
              </w:rPr>
            </w:pPr>
            <w:r>
              <w:rPr>
                <w:rFonts w:ascii="Arial" w:cs="Arial" w:eastAsia="Arial" w:hAnsi="Arial"/>
                <w:sz w:val="18"/>
                <w:szCs w:val="18"/>
                <w:color w:val="auto"/>
                <w:w w:val="92"/>
              </w:rPr>
              <w:t>8.9% -</w:t>
            </w: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30"/>
        </w:trPr>
        <w:tc>
          <w:tcPr>
            <w:tcW w:w="3660" w:type="dxa"/>
            <w:vAlign w:val="bottom"/>
            <w:gridSpan w:val="2"/>
          </w:tcPr>
          <w:p>
            <w:pPr>
              <w:spacing w:after="0"/>
              <w:rPr>
                <w:sz w:val="20"/>
                <w:szCs w:val="20"/>
                <w:color w:val="auto"/>
              </w:rPr>
            </w:pPr>
            <w:r>
              <w:rPr>
                <w:rFonts w:ascii="Arial" w:cs="Arial" w:eastAsia="Arial" w:hAnsi="Arial"/>
                <w:sz w:val="18"/>
                <w:szCs w:val="18"/>
                <w:color w:val="auto"/>
              </w:rPr>
              <w:t>Finance receivables measured at fair value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997,552</w:t>
            </w:r>
          </w:p>
        </w:tc>
        <w:tc>
          <w:tcPr>
            <w:tcW w:w="5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821,066</w:t>
            </w:r>
          </w:p>
        </w:tc>
        <w:tc>
          <w:tcPr>
            <w:tcW w:w="250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Discount rate</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10.75%</w:t>
            </w:r>
          </w:p>
        </w:tc>
        <w:tc>
          <w:tcPr>
            <w:tcW w:w="2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8.9%</w:t>
            </w:r>
          </w:p>
        </w:tc>
        <w:tc>
          <w:tcPr>
            <w:tcW w:w="560" w:type="dxa"/>
            <w:vAlign w:val="bottom"/>
          </w:tcPr>
          <w:p>
            <w:pPr>
              <w:ind w:left="20"/>
              <w:spacing w:after="0"/>
              <w:rPr>
                <w:sz w:val="20"/>
                <w:szCs w:val="20"/>
                <w:color w:val="auto"/>
              </w:rPr>
            </w:pPr>
            <w:r>
              <w:rPr>
                <w:rFonts w:ascii="Arial" w:cs="Arial" w:eastAsia="Arial" w:hAnsi="Arial"/>
                <w:sz w:val="18"/>
                <w:szCs w:val="18"/>
                <w:color w:val="auto"/>
                <w:w w:val="99"/>
              </w:rPr>
              <w:t>- 9.9%</w:t>
            </w:r>
          </w:p>
        </w:tc>
      </w:tr>
      <w:tr>
        <w:trPr>
          <w:trHeight w:val="216"/>
        </w:trPr>
        <w:tc>
          <w:tcPr>
            <w:tcW w:w="34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500" w:type="dxa"/>
            <w:vAlign w:val="bottom"/>
            <w:gridSpan w:val="2"/>
            <w:shd w:val="clear" w:color="auto" w:fill="EEEEEE"/>
          </w:tcPr>
          <w:p>
            <w:pPr>
              <w:jc w:val="center"/>
              <w:ind w:right="240"/>
              <w:spacing w:after="0"/>
              <w:rPr>
                <w:sz w:val="20"/>
                <w:szCs w:val="20"/>
                <w:color w:val="auto"/>
              </w:rPr>
            </w:pPr>
            <w:r>
              <w:rPr>
                <w:rFonts w:ascii="Arial" w:cs="Arial" w:eastAsia="Arial" w:hAnsi="Arial"/>
                <w:sz w:val="18"/>
                <w:szCs w:val="18"/>
                <w:color w:val="auto"/>
                <w:w w:val="89"/>
              </w:rPr>
              <w:t>Cumulative net losses</w:t>
            </w:r>
          </w:p>
        </w:tc>
        <w:tc>
          <w:tcPr>
            <w:tcW w:w="10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15% - 16%</w:t>
            </w:r>
          </w:p>
        </w:tc>
        <w:tc>
          <w:tcPr>
            <w:tcW w:w="22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w:t>
            </w:r>
          </w:p>
        </w:tc>
        <w:tc>
          <w:tcPr>
            <w:tcW w:w="560" w:type="dxa"/>
            <w:vAlign w:val="bottom"/>
            <w:shd w:val="clear" w:color="auto" w:fill="EEEEEE"/>
          </w:tcPr>
          <w:p>
            <w:pPr>
              <w:ind w:left="20"/>
              <w:spacing w:after="0"/>
              <w:rPr>
                <w:sz w:val="20"/>
                <w:szCs w:val="20"/>
                <w:color w:val="auto"/>
              </w:rPr>
            </w:pPr>
            <w:r>
              <w:rPr>
                <w:rFonts w:ascii="Arial" w:cs="Arial" w:eastAsia="Arial" w:hAnsi="Arial"/>
                <w:sz w:val="18"/>
                <w:szCs w:val="18"/>
                <w:color w:val="auto"/>
              </w:rPr>
              <w:t>- 16%</w:t>
            </w: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delinquency status of these finance receivables measured at fair value as of March 31, 2019 and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2018:</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March 31,</w:t>
            </w:r>
          </w:p>
        </w:tc>
        <w:tc>
          <w:tcPr>
            <w:tcW w:w="180" w:type="dxa"/>
            <w:vAlign w:val="bottom"/>
          </w:tcPr>
          <w:p>
            <w:pPr>
              <w:spacing w:after="0"/>
              <w:rPr>
                <w:sz w:val="19"/>
                <w:szCs w:val="19"/>
                <w:color w:val="auto"/>
              </w:rPr>
            </w:pPr>
          </w:p>
        </w:tc>
        <w:tc>
          <w:tcPr>
            <w:tcW w:w="1560" w:type="dxa"/>
            <w:vAlign w:val="bottom"/>
            <w:gridSpan w:val="3"/>
          </w:tcPr>
          <w:p>
            <w:pPr>
              <w:ind w:left="10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22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3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22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80" w:type="dxa"/>
            <w:vAlign w:val="bottom"/>
            <w:gridSpan w:val="4"/>
          </w:tcPr>
          <w:p>
            <w:pPr>
              <w:jc w:val="right"/>
              <w:ind w:right="1110"/>
              <w:spacing w:after="0"/>
              <w:rPr>
                <w:sz w:val="20"/>
                <w:szCs w:val="20"/>
                <w:color w:val="auto"/>
              </w:rPr>
            </w:pPr>
            <w:r>
              <w:rPr>
                <w:rFonts w:ascii="Arial" w:cs="Arial" w:eastAsia="Arial" w:hAnsi="Arial"/>
                <w:sz w:val="18"/>
                <w:szCs w:val="18"/>
                <w:b w:val="1"/>
                <w:bCs w:val="1"/>
                <w:color w:val="auto"/>
              </w:rPr>
              <w:t>(In thousands)</w:t>
            </w:r>
          </w:p>
        </w:tc>
        <w:tc>
          <w:tcPr>
            <w:tcW w:w="120" w:type="dxa"/>
            <w:vAlign w:val="bottom"/>
            <w:gridSpan w:val="2"/>
          </w:tcPr>
          <w:p>
            <w:pPr>
              <w:spacing w:after="0"/>
              <w:rPr>
                <w:sz w:val="18"/>
                <w:szCs w:val="18"/>
                <w:color w:val="auto"/>
              </w:rPr>
            </w:pPr>
          </w:p>
        </w:tc>
      </w:tr>
      <w:tr>
        <w:trPr>
          <w:trHeight w:val="216"/>
        </w:trPr>
        <w:tc>
          <w:tcPr>
            <w:tcW w:w="55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Delinquency Status</w:t>
            </w:r>
          </w:p>
        </w:tc>
        <w:tc>
          <w:tcPr>
            <w:tcW w:w="240" w:type="dxa"/>
            <w:vAlign w:val="bottom"/>
            <w:shd w:val="clear" w:color="auto" w:fill="EEEEEE"/>
          </w:tcPr>
          <w:p>
            <w:pPr>
              <w:spacing w:after="0"/>
              <w:rPr>
                <w:sz w:val="18"/>
                <w:szCs w:val="18"/>
                <w:color w:val="auto"/>
              </w:rPr>
            </w:pPr>
          </w:p>
        </w:tc>
        <w:tc>
          <w:tcPr>
            <w:tcW w:w="13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Current</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971,950</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790,727</w:t>
            </w:r>
          </w:p>
        </w:tc>
        <w:tc>
          <w:tcPr>
            <w:tcW w:w="100" w:type="dxa"/>
            <w:vAlign w:val="bottom"/>
          </w:tcPr>
          <w:p>
            <w:pPr>
              <w:spacing w:after="0"/>
              <w:rPr>
                <w:sz w:val="18"/>
                <w:szCs w:val="18"/>
                <w:color w:val="auto"/>
              </w:rPr>
            </w:pPr>
          </w:p>
        </w:tc>
      </w:tr>
      <w:tr>
        <w:trPr>
          <w:trHeight w:val="216"/>
        </w:trPr>
        <w:tc>
          <w:tcPr>
            <w:tcW w:w="220" w:type="dxa"/>
            <w:vAlign w:val="bottom"/>
            <w:shd w:val="clear" w:color="auto" w:fill="EEEEEE"/>
          </w:tcPr>
          <w:p>
            <w:pPr>
              <w:spacing w:after="0"/>
              <w:rPr>
                <w:sz w:val="20"/>
                <w:szCs w:val="20"/>
                <w:color w:val="auto"/>
              </w:rPr>
            </w:pPr>
            <w:r>
              <w:rPr>
                <w:rFonts w:ascii="Arial" w:cs="Arial" w:eastAsia="Arial" w:hAnsi="Arial"/>
                <w:sz w:val="18"/>
                <w:szCs w:val="18"/>
                <w:color w:val="auto"/>
                <w:w w:val="99"/>
              </w:rPr>
              <w:t>31</w:t>
            </w:r>
          </w:p>
        </w:tc>
        <w:tc>
          <w:tcPr>
            <w:tcW w:w="5280" w:type="dxa"/>
            <w:vAlign w:val="bottom"/>
            <w:shd w:val="clear" w:color="auto" w:fill="EEEEEE"/>
          </w:tcPr>
          <w:p>
            <w:pPr>
              <w:ind w:left="20"/>
              <w:spacing w:after="0"/>
              <w:rPr>
                <w:sz w:val="20"/>
                <w:szCs w:val="20"/>
                <w:color w:val="auto"/>
              </w:rPr>
            </w:pPr>
            <w:r>
              <w:rPr>
                <w:rFonts w:ascii="Arial" w:cs="Arial" w:eastAsia="Arial" w:hAnsi="Arial"/>
                <w:sz w:val="18"/>
                <w:szCs w:val="18"/>
                <w:color w:val="auto"/>
              </w:rPr>
              <w:t>- 60 days</w:t>
            </w:r>
          </w:p>
        </w:tc>
        <w:tc>
          <w:tcPr>
            <w:tcW w:w="24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28,708</w:t>
            </w:r>
          </w:p>
        </w:tc>
        <w:tc>
          <w:tcPr>
            <w:tcW w:w="180" w:type="dxa"/>
            <w:vAlign w:val="bottom"/>
            <w:shd w:val="clear" w:color="auto" w:fill="EEEEEE"/>
          </w:tcPr>
          <w:p>
            <w:pPr>
              <w:spacing w:after="0"/>
              <w:rPr>
                <w:sz w:val="18"/>
                <w:szCs w:val="18"/>
                <w:color w:val="auto"/>
              </w:rPr>
            </w:pPr>
          </w:p>
        </w:tc>
        <w:tc>
          <w:tcPr>
            <w:tcW w:w="1560" w:type="dxa"/>
            <w:vAlign w:val="bottom"/>
            <w:gridSpan w:val="3"/>
            <w:shd w:val="clear" w:color="auto" w:fill="EEEEEE"/>
          </w:tcPr>
          <w:p>
            <w:pPr>
              <w:jc w:val="right"/>
              <w:ind w:right="120"/>
              <w:spacing w:after="0"/>
              <w:rPr>
                <w:sz w:val="20"/>
                <w:szCs w:val="20"/>
                <w:color w:val="auto"/>
              </w:rPr>
            </w:pPr>
            <w:r>
              <w:rPr>
                <w:rFonts w:ascii="Arial" w:cs="Arial" w:eastAsia="Arial" w:hAnsi="Arial"/>
                <w:sz w:val="18"/>
                <w:szCs w:val="18"/>
                <w:color w:val="auto"/>
              </w:rPr>
              <w:t>26,285</w:t>
            </w:r>
          </w:p>
        </w:tc>
      </w:tr>
      <w:tr>
        <w:trPr>
          <w:trHeight w:val="216"/>
        </w:trPr>
        <w:tc>
          <w:tcPr>
            <w:tcW w:w="220" w:type="dxa"/>
            <w:vAlign w:val="bottom"/>
          </w:tcPr>
          <w:p>
            <w:pPr>
              <w:spacing w:after="0"/>
              <w:rPr>
                <w:sz w:val="20"/>
                <w:szCs w:val="20"/>
                <w:color w:val="auto"/>
              </w:rPr>
            </w:pPr>
            <w:r>
              <w:rPr>
                <w:rFonts w:ascii="Arial" w:cs="Arial" w:eastAsia="Arial" w:hAnsi="Arial"/>
                <w:sz w:val="18"/>
                <w:szCs w:val="18"/>
                <w:color w:val="auto"/>
                <w:w w:val="99"/>
              </w:rPr>
              <w:t>61</w:t>
            </w:r>
          </w:p>
        </w:tc>
        <w:tc>
          <w:tcPr>
            <w:tcW w:w="5280" w:type="dxa"/>
            <w:vAlign w:val="bottom"/>
          </w:tcPr>
          <w:p>
            <w:pPr>
              <w:ind w:left="20"/>
              <w:spacing w:after="0"/>
              <w:rPr>
                <w:sz w:val="20"/>
                <w:szCs w:val="20"/>
                <w:color w:val="auto"/>
              </w:rPr>
            </w:pPr>
            <w:r>
              <w:rPr>
                <w:rFonts w:ascii="Arial" w:cs="Arial" w:eastAsia="Arial" w:hAnsi="Arial"/>
                <w:sz w:val="18"/>
                <w:szCs w:val="18"/>
                <w:color w:val="auto"/>
              </w:rPr>
              <w:t>- 90 days</w:t>
            </w:r>
          </w:p>
        </w:tc>
        <w:tc>
          <w:tcPr>
            <w:tcW w:w="24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10,126</w:t>
            </w:r>
          </w:p>
        </w:tc>
        <w:tc>
          <w:tcPr>
            <w:tcW w:w="18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8,350</w:t>
            </w:r>
          </w:p>
        </w:tc>
        <w:tc>
          <w:tcPr>
            <w:tcW w:w="100" w:type="dxa"/>
            <w:vAlign w:val="bottom"/>
          </w:tcPr>
          <w:p>
            <w:pPr>
              <w:spacing w:after="0"/>
              <w:rPr>
                <w:sz w:val="18"/>
                <w:szCs w:val="18"/>
                <w:color w:val="auto"/>
              </w:rPr>
            </w:pPr>
          </w:p>
        </w:tc>
      </w:tr>
      <w:tr>
        <w:trPr>
          <w:trHeight w:val="230"/>
        </w:trPr>
        <w:tc>
          <w:tcPr>
            <w:tcW w:w="220" w:type="dxa"/>
            <w:vAlign w:val="bottom"/>
            <w:shd w:val="clear" w:color="auto" w:fill="EEEEEE"/>
          </w:tcPr>
          <w:p>
            <w:pPr>
              <w:spacing w:after="0"/>
              <w:rPr>
                <w:sz w:val="20"/>
                <w:szCs w:val="20"/>
                <w:color w:val="auto"/>
              </w:rPr>
            </w:pPr>
            <w:r>
              <w:rPr>
                <w:rFonts w:ascii="Arial" w:cs="Arial" w:eastAsia="Arial" w:hAnsi="Arial"/>
                <w:sz w:val="18"/>
                <w:szCs w:val="18"/>
                <w:color w:val="auto"/>
                <w:w w:val="99"/>
              </w:rPr>
              <w:t>91</w:t>
            </w:r>
          </w:p>
        </w:tc>
        <w:tc>
          <w:tcPr>
            <w:tcW w:w="5280" w:type="dxa"/>
            <w:vAlign w:val="bottom"/>
            <w:shd w:val="clear" w:color="auto" w:fill="EEEEEE"/>
          </w:tcPr>
          <w:p>
            <w:pPr>
              <w:ind w:left="20"/>
              <w:spacing w:after="0"/>
              <w:rPr>
                <w:sz w:val="20"/>
                <w:szCs w:val="20"/>
                <w:color w:val="auto"/>
              </w:rPr>
            </w:pPr>
            <w:r>
              <w:rPr>
                <w:rFonts w:ascii="Arial" w:cs="Arial" w:eastAsia="Arial" w:hAnsi="Arial"/>
                <w:sz w:val="18"/>
                <w:szCs w:val="18"/>
                <w:color w:val="auto"/>
              </w:rPr>
              <w:t>+ days</w:t>
            </w:r>
          </w:p>
        </w:tc>
        <w:tc>
          <w:tcPr>
            <w:tcW w:w="240" w:type="dxa"/>
            <w:vAlign w:val="bottom"/>
            <w:shd w:val="clear" w:color="auto" w:fill="EEEEEE"/>
          </w:tcPr>
          <w:p>
            <w:pPr>
              <w:spacing w:after="0"/>
              <w:rPr>
                <w:sz w:val="19"/>
                <w:szCs w:val="19"/>
                <w:color w:val="auto"/>
              </w:rPr>
            </w:pPr>
          </w:p>
        </w:tc>
        <w:tc>
          <w:tcPr>
            <w:tcW w:w="16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5,544</w:t>
            </w:r>
          </w:p>
        </w:tc>
        <w:tc>
          <w:tcPr>
            <w:tcW w:w="180" w:type="dxa"/>
            <w:vAlign w:val="bottom"/>
            <w:shd w:val="clear" w:color="auto" w:fill="EEEEEE"/>
          </w:tcPr>
          <w:p>
            <w:pPr>
              <w:spacing w:after="0"/>
              <w:rPr>
                <w:sz w:val="19"/>
                <w:szCs w:val="19"/>
                <w:color w:val="auto"/>
              </w:rPr>
            </w:pPr>
          </w:p>
        </w:tc>
        <w:tc>
          <w:tcPr>
            <w:tcW w:w="14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3,677</w:t>
            </w:r>
          </w:p>
        </w:tc>
        <w:tc>
          <w:tcPr>
            <w:tcW w:w="100" w:type="dxa"/>
            <w:vAlign w:val="bottom"/>
            <w:shd w:val="clear" w:color="auto" w:fill="EEEEEE"/>
          </w:tcPr>
          <w:p>
            <w:pPr>
              <w:spacing w:after="0"/>
              <w:rPr>
                <w:sz w:val="19"/>
                <w:szCs w:val="19"/>
                <w:color w:val="auto"/>
              </w:rPr>
            </w:pPr>
          </w:p>
        </w:tc>
      </w:tr>
      <w:tr>
        <w:trPr>
          <w:trHeight w:val="223"/>
        </w:trPr>
        <w:tc>
          <w:tcPr>
            <w:tcW w:w="22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1,016,328</w:t>
            </w:r>
          </w:p>
        </w:tc>
        <w:tc>
          <w:tcPr>
            <w:tcW w:w="3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829,039</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2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Repossessed vehicle inventory, which is included in Other assets on our unaudited condensed consolidated balance sheet, is measured at fair value using level 2 assumptions based on our actual loss experience on sale of repossessed vehicles. At March 31, 2019 the finance receivables related to the repossessed vehicles in inventory totaled $36.2 million. We have applied a valuation adjustment, or loss allowance, of $26.4 million, which is based on a recovery rate of approximately 27%, resulting in an estimated fair value and carrying amount of $9.8 million. The fair value and carrying amount of the repossessed inventory at December 31, 2018 was $8.9 million after applying a valuation adjustment of $24.6 million.</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There were no transfers in or out of level 1, level 2 or level 3 assets and liabilities for the three months ended March 31, 2019 and 2018.</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estimated fair values of financial assets and liabilities at March 31, 2019 and December 31, 2018,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Financial Instrument</w:t>
            </w: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8"/>
                <w:szCs w:val="18"/>
                <w:b w:val="1"/>
                <w:bCs w:val="1"/>
                <w:color w:val="auto"/>
                <w:w w:val="90"/>
              </w:rPr>
              <w:t>As of March 31, 2019</w:t>
            </w: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2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8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0"/>
              </w:rPr>
              <w:t>(In thousands)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gridSpan w:val="2"/>
          </w:tcPr>
          <w:p>
            <w:pPr>
              <w:jc w:val="center"/>
              <w:ind w:right="500"/>
              <w:spacing w:after="0"/>
              <w:rPr>
                <w:sz w:val="20"/>
                <w:szCs w:val="20"/>
                <w:color w:val="auto"/>
              </w:rPr>
            </w:pPr>
            <w:r>
              <w:rPr>
                <w:rFonts w:ascii="Arial" w:cs="Arial" w:eastAsia="Arial" w:hAnsi="Arial"/>
                <w:sz w:val="18"/>
                <w:szCs w:val="18"/>
                <w:b w:val="1"/>
                <w:bCs w:val="1"/>
                <w:color w:val="auto"/>
                <w:w w:val="97"/>
              </w:rPr>
              <w:t>Carrying</w:t>
            </w:r>
          </w:p>
        </w:tc>
        <w:tc>
          <w:tcPr>
            <w:tcW w:w="200" w:type="dxa"/>
            <w:vAlign w:val="bottom"/>
            <w:tcBorders>
              <w:top w:val="single" w:sz="8" w:color="auto"/>
            </w:tcBorders>
          </w:tcPr>
          <w:p>
            <w:pPr>
              <w:spacing w:after="0"/>
              <w:rPr>
                <w:sz w:val="19"/>
                <w:szCs w:val="19"/>
                <w:color w:val="auto"/>
              </w:rPr>
            </w:pPr>
          </w:p>
        </w:tc>
        <w:tc>
          <w:tcPr>
            <w:tcW w:w="4080" w:type="dxa"/>
            <w:vAlign w:val="bottom"/>
            <w:tcBorders>
              <w:top w:val="single" w:sz="8" w:color="auto"/>
            </w:tcBorders>
            <w:gridSpan w:val="9"/>
          </w:tcPr>
          <w:p>
            <w:pPr>
              <w:ind w:left="600"/>
              <w:spacing w:after="0"/>
              <w:rPr>
                <w:sz w:val="20"/>
                <w:szCs w:val="20"/>
                <w:color w:val="auto"/>
              </w:rPr>
            </w:pPr>
            <w:r>
              <w:rPr>
                <w:rFonts w:ascii="Arial" w:cs="Arial" w:eastAsia="Arial" w:hAnsi="Arial"/>
                <w:sz w:val="18"/>
                <w:szCs w:val="18"/>
                <w:b w:val="1"/>
                <w:bCs w:val="1"/>
                <w:color w:val="auto"/>
              </w:rPr>
              <w:t>Fair Value Measurements Using:</w:t>
            </w:r>
          </w:p>
        </w:tc>
        <w:tc>
          <w:tcPr>
            <w:tcW w:w="1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19"/>
                <w:szCs w:val="19"/>
                <w:color w:val="auto"/>
              </w:rPr>
            </w:pPr>
          </w:p>
        </w:tc>
        <w:tc>
          <w:tcPr>
            <w:tcW w:w="134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1"/>
              </w:rPr>
              <w:t>Value</w:t>
            </w:r>
          </w:p>
        </w:tc>
        <w:tc>
          <w:tcPr>
            <w:tcW w:w="2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gridSpan w:val="2"/>
          </w:tcPr>
          <w:p>
            <w:pPr>
              <w:jc w:val="right"/>
              <w:ind w:right="340"/>
              <w:spacing w:after="0"/>
              <w:rPr>
                <w:sz w:val="20"/>
                <w:szCs w:val="20"/>
                <w:color w:val="auto"/>
              </w:rPr>
            </w:pPr>
            <w:r>
              <w:rPr>
                <w:rFonts w:ascii="Arial" w:cs="Arial" w:eastAsia="Arial" w:hAnsi="Arial"/>
                <w:sz w:val="18"/>
                <w:szCs w:val="18"/>
                <w:b w:val="1"/>
                <w:bCs w:val="1"/>
                <w:color w:val="auto"/>
              </w:rPr>
              <w:t>Level 1</w:t>
            </w:r>
          </w:p>
        </w:tc>
        <w:tc>
          <w:tcPr>
            <w:tcW w:w="3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Level 2</w:t>
            </w: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Level 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4240" w:type="dxa"/>
            <w:vAlign w:val="bottom"/>
            <w:gridSpan w:val="2"/>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EEEEEE"/>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8,914</w:t>
            </w: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8,914</w:t>
            </w:r>
          </w:p>
        </w:tc>
        <w:tc>
          <w:tcPr>
            <w:tcW w:w="40" w:type="dxa"/>
            <w:vAlign w:val="bottom"/>
            <w:shd w:val="clear" w:color="auto" w:fill="EEEEEE"/>
          </w:tcPr>
          <w:p>
            <w:pPr>
              <w:spacing w:after="0"/>
              <w:rPr>
                <w:sz w:val="18"/>
                <w:szCs w:val="18"/>
                <w:color w:val="auto"/>
              </w:rPr>
            </w:pPr>
          </w:p>
        </w:tc>
        <w:tc>
          <w:tcPr>
            <w:tcW w:w="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EEEEE"/>
          </w:tcPr>
          <w:p>
            <w:pPr>
              <w:ind w:left="84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8,914</w:t>
            </w: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Restricted cash and equivalents</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135,508</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135,508</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135,508</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Finance receivables, net</w:t>
            </w:r>
          </w:p>
        </w:tc>
        <w:tc>
          <w:tcPr>
            <w:tcW w:w="16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1,296,164</w:t>
            </w: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ind w:left="84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1,264,423</w:t>
            </w: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1,264,423</w:t>
            </w: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Accrued interest receivable</w:t>
            </w:r>
          </w:p>
        </w:tc>
        <w:tc>
          <w:tcPr>
            <w:tcW w:w="16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21,045</w:t>
            </w:r>
          </w:p>
        </w:tc>
        <w:tc>
          <w:tcPr>
            <w:tcW w:w="2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21,045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21,045</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EEEEEE"/>
          </w:tcPr>
          <w:p>
            <w:pPr>
              <w:spacing w:after="0"/>
              <w:rPr>
                <w:sz w:val="20"/>
                <w:szCs w:val="20"/>
                <w:color w:val="auto"/>
              </w:rPr>
            </w:pPr>
            <w:r>
              <w:rPr>
                <w:rFonts w:ascii="Arial" w:cs="Arial" w:eastAsia="Arial" w:hAnsi="Arial"/>
                <w:sz w:val="18"/>
                <w:szCs w:val="18"/>
                <w:b w:val="1"/>
                <w:bCs w:val="1"/>
                <w:color w:val="auto"/>
              </w:rPr>
              <w:t>Liabilities:</w:t>
            </w:r>
          </w:p>
        </w:tc>
        <w:tc>
          <w:tcPr>
            <w:tcW w:w="16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Warehouse lines of credit</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117,104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117,104</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117,104</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Accrued interest payable</w:t>
            </w:r>
          </w:p>
        </w:tc>
        <w:tc>
          <w:tcPr>
            <w:tcW w:w="16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5,144</w:t>
            </w: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ind w:left="84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5,144</w:t>
            </w: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5,144</w:t>
            </w: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Residual interest financing</w:t>
            </w:r>
          </w:p>
        </w:tc>
        <w:tc>
          <w:tcPr>
            <w:tcW w:w="16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39,199</w:t>
            </w:r>
          </w:p>
        </w:tc>
        <w:tc>
          <w:tcPr>
            <w:tcW w:w="2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39,199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39,199</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Securitization trust debt</w:t>
            </w:r>
          </w:p>
        </w:tc>
        <w:tc>
          <w:tcPr>
            <w:tcW w:w="16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2,109,024</w:t>
            </w: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ind w:left="84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2,110,165</w:t>
            </w: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2,110,165</w:t>
            </w:r>
          </w:p>
        </w:tc>
        <w:tc>
          <w:tcPr>
            <w:tcW w:w="0" w:type="dxa"/>
            <w:vAlign w:val="bottom"/>
          </w:tcPr>
          <w:p>
            <w:pPr>
              <w:spacing w:after="0"/>
              <w:rPr>
                <w:sz w:val="1"/>
                <w:szCs w:val="1"/>
                <w:color w:val="auto"/>
              </w:rPr>
            </w:pPr>
          </w:p>
        </w:tc>
      </w:tr>
      <w:tr>
        <w:trPr>
          <w:trHeight w:val="230"/>
        </w:trPr>
        <w:tc>
          <w:tcPr>
            <w:tcW w:w="4240" w:type="dxa"/>
            <w:vAlign w:val="bottom"/>
            <w:gridSpan w:val="2"/>
          </w:tcPr>
          <w:p>
            <w:pPr>
              <w:spacing w:after="0"/>
              <w:rPr>
                <w:sz w:val="20"/>
                <w:szCs w:val="20"/>
                <w:color w:val="auto"/>
              </w:rPr>
            </w:pPr>
            <w:r>
              <w:rPr>
                <w:rFonts w:ascii="Arial" w:cs="Arial" w:eastAsia="Arial" w:hAnsi="Arial"/>
                <w:sz w:val="18"/>
                <w:szCs w:val="18"/>
                <w:color w:val="auto"/>
              </w:rPr>
              <w:t>Subordinated renewable notes</w:t>
            </w:r>
          </w:p>
        </w:tc>
        <w:tc>
          <w:tcPr>
            <w:tcW w:w="160" w:type="dxa"/>
            <w:vAlign w:val="bottom"/>
          </w:tcPr>
          <w:p>
            <w:pPr>
              <w:spacing w:after="0"/>
              <w:rPr>
                <w:sz w:val="20"/>
                <w:szCs w:val="20"/>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12,986</w:t>
            </w:r>
          </w:p>
        </w:tc>
        <w:tc>
          <w:tcPr>
            <w:tcW w:w="20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12,986</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12,986</w:t>
            </w:r>
          </w:p>
        </w:tc>
        <w:tc>
          <w:tcPr>
            <w:tcW w:w="0" w:type="dxa"/>
            <w:vAlign w:val="bottom"/>
          </w:tcPr>
          <w:p>
            <w:pPr>
              <w:spacing w:after="0"/>
              <w:rPr>
                <w:sz w:val="1"/>
                <w:szCs w:val="1"/>
                <w:color w:val="auto"/>
              </w:rPr>
            </w:pPr>
          </w:p>
        </w:tc>
      </w:tr>
      <w:tr>
        <w:trPr>
          <w:trHeight w:val="647"/>
        </w:trPr>
        <w:tc>
          <w:tcPr>
            <w:tcW w:w="4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Financial Instrument</w:t>
            </w: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6"/>
          </w:tcPr>
          <w:p>
            <w:pPr>
              <w:jc w:val="center"/>
              <w:ind w:left="790"/>
              <w:spacing w:after="0"/>
              <w:rPr>
                <w:sz w:val="20"/>
                <w:szCs w:val="20"/>
                <w:color w:val="auto"/>
              </w:rPr>
            </w:pPr>
            <w:r>
              <w:rPr>
                <w:rFonts w:ascii="Arial" w:cs="Arial" w:eastAsia="Arial" w:hAnsi="Arial"/>
                <w:sz w:val="18"/>
                <w:szCs w:val="18"/>
                <w:b w:val="1"/>
                <w:bCs w:val="1"/>
                <w:color w:val="auto"/>
                <w:w w:val="89"/>
              </w:rPr>
              <w:t>As of December 31, 2018</w:t>
            </w: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2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8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0"/>
              </w:rPr>
              <w:t>(In thousands)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gridSpan w:val="2"/>
          </w:tcPr>
          <w:p>
            <w:pPr>
              <w:jc w:val="center"/>
              <w:ind w:right="500"/>
              <w:spacing w:after="0"/>
              <w:rPr>
                <w:sz w:val="20"/>
                <w:szCs w:val="20"/>
                <w:color w:val="auto"/>
              </w:rPr>
            </w:pPr>
            <w:r>
              <w:rPr>
                <w:rFonts w:ascii="Arial" w:cs="Arial" w:eastAsia="Arial" w:hAnsi="Arial"/>
                <w:sz w:val="18"/>
                <w:szCs w:val="18"/>
                <w:b w:val="1"/>
                <w:bCs w:val="1"/>
                <w:color w:val="auto"/>
                <w:w w:val="97"/>
              </w:rPr>
              <w:t>Carrying</w:t>
            </w:r>
          </w:p>
        </w:tc>
        <w:tc>
          <w:tcPr>
            <w:tcW w:w="200" w:type="dxa"/>
            <w:vAlign w:val="bottom"/>
            <w:tcBorders>
              <w:top w:val="single" w:sz="8" w:color="auto"/>
            </w:tcBorders>
          </w:tcPr>
          <w:p>
            <w:pPr>
              <w:spacing w:after="0"/>
              <w:rPr>
                <w:sz w:val="19"/>
                <w:szCs w:val="19"/>
                <w:color w:val="auto"/>
              </w:rPr>
            </w:pPr>
          </w:p>
        </w:tc>
        <w:tc>
          <w:tcPr>
            <w:tcW w:w="4080" w:type="dxa"/>
            <w:vAlign w:val="bottom"/>
            <w:tcBorders>
              <w:top w:val="single" w:sz="8" w:color="auto"/>
            </w:tcBorders>
            <w:gridSpan w:val="9"/>
          </w:tcPr>
          <w:p>
            <w:pPr>
              <w:ind w:left="600"/>
              <w:spacing w:after="0"/>
              <w:rPr>
                <w:sz w:val="20"/>
                <w:szCs w:val="20"/>
                <w:color w:val="auto"/>
              </w:rPr>
            </w:pPr>
            <w:r>
              <w:rPr>
                <w:rFonts w:ascii="Arial" w:cs="Arial" w:eastAsia="Arial" w:hAnsi="Arial"/>
                <w:sz w:val="18"/>
                <w:szCs w:val="18"/>
                <w:b w:val="1"/>
                <w:bCs w:val="1"/>
                <w:color w:val="auto"/>
              </w:rPr>
              <w:t>Fair Value Measurements Using:</w:t>
            </w:r>
          </w:p>
        </w:tc>
        <w:tc>
          <w:tcPr>
            <w:tcW w:w="1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19"/>
                <w:szCs w:val="19"/>
                <w:color w:val="auto"/>
              </w:rPr>
            </w:pPr>
          </w:p>
        </w:tc>
        <w:tc>
          <w:tcPr>
            <w:tcW w:w="134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1"/>
              </w:rPr>
              <w:t>Value</w:t>
            </w:r>
          </w:p>
        </w:tc>
        <w:tc>
          <w:tcPr>
            <w:tcW w:w="2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gridSpan w:val="2"/>
          </w:tcPr>
          <w:p>
            <w:pPr>
              <w:jc w:val="right"/>
              <w:ind w:right="340"/>
              <w:spacing w:after="0"/>
              <w:rPr>
                <w:sz w:val="20"/>
                <w:szCs w:val="20"/>
                <w:color w:val="auto"/>
              </w:rPr>
            </w:pPr>
            <w:r>
              <w:rPr>
                <w:rFonts w:ascii="Arial" w:cs="Arial" w:eastAsia="Arial" w:hAnsi="Arial"/>
                <w:sz w:val="18"/>
                <w:szCs w:val="18"/>
                <w:b w:val="1"/>
                <w:bCs w:val="1"/>
                <w:color w:val="auto"/>
              </w:rPr>
              <w:t>Level 1</w:t>
            </w:r>
          </w:p>
        </w:tc>
        <w:tc>
          <w:tcPr>
            <w:tcW w:w="3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Level 2</w:t>
            </w: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Level 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4240" w:type="dxa"/>
            <w:vAlign w:val="bottom"/>
            <w:gridSpan w:val="2"/>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EEEEEE"/>
          </w:tcPr>
          <w:p>
            <w:pPr>
              <w:jc w:val="right"/>
              <w:ind w:right="5"/>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12,787</w:t>
            </w:r>
          </w:p>
        </w:tc>
        <w:tc>
          <w:tcPr>
            <w:tcW w:w="20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12,787</w:t>
            </w:r>
          </w:p>
        </w:tc>
        <w:tc>
          <w:tcPr>
            <w:tcW w:w="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EEEEE"/>
          </w:tcPr>
          <w:p>
            <w:pPr>
              <w:ind w:left="84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12,787</w:t>
            </w: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Restricted cash and equivalents</w:t>
            </w:r>
          </w:p>
        </w:tc>
        <w:tc>
          <w:tcPr>
            <w:tcW w:w="16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117,323</w:t>
            </w:r>
          </w:p>
        </w:tc>
        <w:tc>
          <w:tcPr>
            <w:tcW w:w="2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117,323</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117,323</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Finance receivables, net</w:t>
            </w:r>
          </w:p>
        </w:tc>
        <w:tc>
          <w:tcPr>
            <w:tcW w:w="16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1,454,709</w:t>
            </w: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ind w:left="84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1,434,631</w:t>
            </w: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1,434,631</w:t>
            </w: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Accrued interest receivable</w:t>
            </w:r>
          </w:p>
        </w:tc>
        <w:tc>
          <w:tcPr>
            <w:tcW w:w="16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31,969</w:t>
            </w:r>
          </w:p>
        </w:tc>
        <w:tc>
          <w:tcPr>
            <w:tcW w:w="2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31,969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31,969</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EEEEEE"/>
          </w:tcPr>
          <w:p>
            <w:pPr>
              <w:spacing w:after="0"/>
              <w:rPr>
                <w:sz w:val="20"/>
                <w:szCs w:val="20"/>
                <w:color w:val="auto"/>
              </w:rPr>
            </w:pPr>
            <w:r>
              <w:rPr>
                <w:rFonts w:ascii="Arial" w:cs="Arial" w:eastAsia="Arial" w:hAnsi="Arial"/>
                <w:sz w:val="18"/>
                <w:szCs w:val="18"/>
                <w:b w:val="1"/>
                <w:bCs w:val="1"/>
                <w:color w:val="auto"/>
              </w:rPr>
              <w:t>Liabilities:</w:t>
            </w:r>
          </w:p>
        </w:tc>
        <w:tc>
          <w:tcPr>
            <w:tcW w:w="16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Warehouse lines of credit</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136,847</w:t>
            </w:r>
          </w:p>
        </w:tc>
        <w:tc>
          <w:tcPr>
            <w:tcW w:w="3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136,847</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136,847</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Accrued interest payable</w:t>
            </w:r>
          </w:p>
        </w:tc>
        <w:tc>
          <w:tcPr>
            <w:tcW w:w="16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4,819</w:t>
            </w: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ind w:left="84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4,819</w:t>
            </w: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4,819</w:t>
            </w: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Residual interest financing</w:t>
            </w:r>
          </w:p>
        </w:tc>
        <w:tc>
          <w:tcPr>
            <w:tcW w:w="16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39,106</w:t>
            </w:r>
          </w:p>
        </w:tc>
        <w:tc>
          <w:tcPr>
            <w:tcW w:w="2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39,106</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39,106</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Securitization trust debt</w:t>
            </w:r>
          </w:p>
        </w:tc>
        <w:tc>
          <w:tcPr>
            <w:tcW w:w="16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2,063,627</w:t>
            </w: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ind w:left="84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2,051,920</w:t>
            </w: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2,051,920</w:t>
            </w:r>
          </w:p>
        </w:tc>
        <w:tc>
          <w:tcPr>
            <w:tcW w:w="0" w:type="dxa"/>
            <w:vAlign w:val="bottom"/>
          </w:tcPr>
          <w:p>
            <w:pPr>
              <w:spacing w:after="0"/>
              <w:rPr>
                <w:sz w:val="1"/>
                <w:szCs w:val="1"/>
                <w:color w:val="auto"/>
              </w:rPr>
            </w:pPr>
          </w:p>
        </w:tc>
      </w:tr>
      <w:tr>
        <w:trPr>
          <w:trHeight w:val="230"/>
        </w:trPr>
        <w:tc>
          <w:tcPr>
            <w:tcW w:w="4240" w:type="dxa"/>
            <w:vAlign w:val="bottom"/>
            <w:gridSpan w:val="2"/>
          </w:tcPr>
          <w:p>
            <w:pPr>
              <w:spacing w:after="0"/>
              <w:rPr>
                <w:sz w:val="20"/>
                <w:szCs w:val="20"/>
                <w:color w:val="auto"/>
              </w:rPr>
            </w:pPr>
            <w:r>
              <w:rPr>
                <w:rFonts w:ascii="Arial" w:cs="Arial" w:eastAsia="Arial" w:hAnsi="Arial"/>
                <w:sz w:val="18"/>
                <w:szCs w:val="18"/>
                <w:color w:val="auto"/>
              </w:rPr>
              <w:t>Subordinated renewable notes</w:t>
            </w:r>
          </w:p>
        </w:tc>
        <w:tc>
          <w:tcPr>
            <w:tcW w:w="160" w:type="dxa"/>
            <w:vAlign w:val="bottom"/>
          </w:tcPr>
          <w:p>
            <w:pPr>
              <w:spacing w:after="0"/>
              <w:rPr>
                <w:sz w:val="20"/>
                <w:szCs w:val="20"/>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17,290</w:t>
            </w:r>
          </w:p>
        </w:tc>
        <w:tc>
          <w:tcPr>
            <w:tcW w:w="20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17,290</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17,290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2</w:t>
      </w:r>
      <w:r>
        <w:rPr>
          <w:rFonts w:ascii="Arial" w:cs="Arial" w:eastAsia="Arial" w:hAnsi="Arial"/>
          <w:sz w:val="18"/>
          <w:szCs w:val="18"/>
          <w:b w:val="1"/>
          <w:bCs w:val="1"/>
          <w:i w:val="1"/>
          <w:iCs w:val="1"/>
          <w:color w:val="auto"/>
        </w:rPr>
        <w:t>.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are a specialty finance company. Our business is to purchase and service retail automobile contracts originated primarily by franchised automobile dealers and, to a lesser extent, by select independent dealers in the United States in the sale of new and used automobiles, light trucks and passenger vans. Through our automobile contract purchases, we provide indirect financing to the customers of dealers who have limited credit histories, low incomes or past credit problems, who we refer to as sub-prime customers. We serve as an alternative source of financing for dealers, facilitating sales to customers who otherwise might not be able to obtain financing from traditional sources, such as commercial banks, credit unions and the captive finance companies affiliated with major automobile manufacturers. In addition to purchasing installment purchase contracts directly from dealers, we have also (i) acquired installment purchase contracts in four merger and acquisition transactions, (ii) purchased immaterial amounts of vehicle purchase money loans from non-affiliated lenders, and (iii) directly originated an immaterial amount of vehicle purchase money loans by lending money directly to consumers. In this report, we refer to all of such contracts and loans as "automobile contracts."</w:t>
      </w:r>
    </w:p>
    <w:p>
      <w:pPr>
        <w:spacing w:after="0" w:line="18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were incorporated and began our operations in March 1991. From inception through March 31, 2019, we have originated a total of approximately $15.5 billion of automobile contracts, primarily by purchasing retail installment sales contracts from dealers, and to a lesser degree, by originating loans secured by automobiles directly with consumers. In addition, we acquired a total of approximately $822.3 million of automobile contracts in mergers and acquisitions in 2002, 2003, 2004 and, most recently, in September 2011. The September 2011 acquisition consisted of approximately $217.8 million of automobile contracts that we purchased from Fireside Bank of Pleasanton, California. In 2004 and 2009, we were appointed as a third-party servicer for certain portfolios of automobile contracts originated and owned by non-affiliated entities. Recent contract purchase volumes and managed portfolio levels are shown in the table below:</w:t>
      </w:r>
    </w:p>
    <w:p>
      <w:pPr>
        <w:spacing w:after="0" w:line="185" w:lineRule="exact"/>
        <w:rPr>
          <w:sz w:val="20"/>
          <w:szCs w:val="20"/>
          <w:color w:val="auto"/>
        </w:rPr>
      </w:pPr>
    </w:p>
    <w:tbl>
      <w:tblPr>
        <w:tblLayout w:type="fixed"/>
        <w:tblInd w:w="1720" w:type="dxa"/>
        <w:tblCellMar>
          <w:top w:w="0" w:type="dxa"/>
          <w:left w:w="0" w:type="dxa"/>
          <w:bottom w:w="0" w:type="dxa"/>
          <w:right w:w="0" w:type="dxa"/>
        </w:tblCellMar>
      </w:tblPr>
      <w:tr>
        <w:trPr>
          <w:trHeight w:val="234"/>
        </w:trPr>
        <w:tc>
          <w:tcPr>
            <w:tcW w:w="6240" w:type="dxa"/>
            <w:vAlign w:val="bottom"/>
            <w:gridSpan w:val="5"/>
          </w:tcPr>
          <w:p>
            <w:pPr>
              <w:ind w:left="1820"/>
              <w:spacing w:after="0"/>
              <w:rPr>
                <w:sz w:val="20"/>
                <w:szCs w:val="20"/>
                <w:color w:val="auto"/>
              </w:rPr>
            </w:pPr>
            <w:r>
              <w:rPr>
                <w:rFonts w:ascii="Arial" w:cs="Arial" w:eastAsia="Arial" w:hAnsi="Arial"/>
                <w:sz w:val="18"/>
                <w:szCs w:val="18"/>
                <w:b w:val="1"/>
                <w:bCs w:val="1"/>
                <w:color w:val="auto"/>
                <w:w w:val="91"/>
              </w:rPr>
              <w:t>Contract Purchases and Outstanding Managed Portfolio</w:t>
            </w:r>
          </w:p>
        </w:tc>
        <w:tc>
          <w:tcPr>
            <w:tcW w:w="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0"/>
        </w:trPr>
        <w:tc>
          <w:tcPr>
            <w:tcW w:w="4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60" w:type="dxa"/>
            <w:vAlign w:val="bottom"/>
            <w:gridSpan w:val="5"/>
          </w:tcPr>
          <w:p>
            <w:pPr>
              <w:ind w:left="1060"/>
              <w:spacing w:after="0"/>
              <w:rPr>
                <w:sz w:val="20"/>
                <w:szCs w:val="20"/>
                <w:color w:val="auto"/>
              </w:rPr>
            </w:pPr>
            <w:r>
              <w:rPr>
                <w:rFonts w:ascii="Arial" w:cs="Arial" w:eastAsia="Arial" w:hAnsi="Arial"/>
                <w:sz w:val="18"/>
                <w:szCs w:val="18"/>
                <w:i w:val="1"/>
                <w:iCs w:val="1"/>
                <w:color w:val="auto"/>
              </w:rPr>
              <w:t>$ in thousands</w:t>
            </w:r>
          </w:p>
        </w:tc>
      </w:tr>
      <w:tr>
        <w:trPr>
          <w:trHeight w:val="191"/>
        </w:trPr>
        <w:tc>
          <w:tcPr>
            <w:tcW w:w="4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720" w:type="dxa"/>
            <w:vAlign w:val="bottom"/>
            <w:tcBorders>
              <w:top w:val="single" w:sz="8" w:color="auto"/>
            </w:tcBorders>
            <w:gridSpan w:val="2"/>
          </w:tcPr>
          <w:p>
            <w:pPr>
              <w:jc w:val="center"/>
              <w:ind w:right="480"/>
              <w:spacing w:after="0" w:line="191" w:lineRule="exact"/>
              <w:rPr>
                <w:sz w:val="20"/>
                <w:szCs w:val="20"/>
                <w:color w:val="auto"/>
              </w:rPr>
            </w:pPr>
            <w:r>
              <w:rPr>
                <w:rFonts w:ascii="Arial" w:cs="Arial" w:eastAsia="Arial" w:hAnsi="Arial"/>
                <w:sz w:val="18"/>
                <w:szCs w:val="18"/>
                <w:b w:val="1"/>
                <w:bCs w:val="1"/>
                <w:color w:val="auto"/>
                <w:w w:val="90"/>
              </w:rPr>
              <w:t>Contracts</w:t>
            </w:r>
          </w:p>
        </w:tc>
        <w:tc>
          <w:tcPr>
            <w:tcW w:w="24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ind w:right="390"/>
              <w:spacing w:after="0" w:line="191" w:lineRule="exact"/>
              <w:rPr>
                <w:sz w:val="20"/>
                <w:szCs w:val="20"/>
                <w:color w:val="auto"/>
              </w:rPr>
            </w:pPr>
            <w:r>
              <w:rPr>
                <w:rFonts w:ascii="Arial" w:cs="Arial" w:eastAsia="Arial" w:hAnsi="Arial"/>
                <w:sz w:val="18"/>
                <w:szCs w:val="18"/>
                <w:b w:val="1"/>
                <w:bCs w:val="1"/>
                <w:color w:val="auto"/>
              </w:rPr>
              <w:t>Managed</w:t>
            </w:r>
          </w:p>
        </w:tc>
        <w:tc>
          <w:tcPr>
            <w:tcW w:w="100" w:type="dxa"/>
            <w:vAlign w:val="bottom"/>
          </w:tcPr>
          <w:p>
            <w:pPr>
              <w:spacing w:after="0"/>
              <w:rPr>
                <w:sz w:val="16"/>
                <w:szCs w:val="16"/>
                <w:color w:val="auto"/>
              </w:rPr>
            </w:pPr>
          </w:p>
        </w:tc>
      </w:tr>
      <w:tr>
        <w:trPr>
          <w:trHeight w:val="216"/>
        </w:trPr>
        <w:tc>
          <w:tcPr>
            <w:tcW w:w="4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2"/>
          </w:tcPr>
          <w:p>
            <w:pPr>
              <w:ind w:left="100"/>
              <w:spacing w:after="0"/>
              <w:rPr>
                <w:sz w:val="20"/>
                <w:szCs w:val="20"/>
                <w:color w:val="auto"/>
              </w:rPr>
            </w:pPr>
            <w:r>
              <w:rPr>
                <w:rFonts w:ascii="Arial" w:cs="Arial" w:eastAsia="Arial" w:hAnsi="Arial"/>
                <w:sz w:val="18"/>
                <w:szCs w:val="18"/>
                <w:b w:val="1"/>
                <w:bCs w:val="1"/>
                <w:color w:val="auto"/>
              </w:rPr>
              <w:t>Purchased in</w:t>
            </w:r>
          </w:p>
        </w:tc>
        <w:tc>
          <w:tcPr>
            <w:tcW w:w="240" w:type="dxa"/>
            <w:vAlign w:val="bottom"/>
          </w:tcPr>
          <w:p>
            <w:pPr>
              <w:spacing w:after="0"/>
              <w:rPr>
                <w:sz w:val="18"/>
                <w:szCs w:val="18"/>
                <w:color w:val="auto"/>
              </w:rPr>
            </w:pPr>
          </w:p>
        </w:tc>
        <w:tc>
          <w:tcPr>
            <w:tcW w:w="1500" w:type="dxa"/>
            <w:vAlign w:val="bottom"/>
            <w:gridSpan w:val="2"/>
          </w:tcPr>
          <w:p>
            <w:pPr>
              <w:ind w:left="140"/>
              <w:spacing w:after="0"/>
              <w:rPr>
                <w:sz w:val="20"/>
                <w:szCs w:val="20"/>
                <w:color w:val="auto"/>
              </w:rPr>
            </w:pPr>
            <w:r>
              <w:rPr>
                <w:rFonts w:ascii="Arial" w:cs="Arial" w:eastAsia="Arial" w:hAnsi="Arial"/>
                <w:sz w:val="18"/>
                <w:szCs w:val="18"/>
                <w:b w:val="1"/>
                <w:bCs w:val="1"/>
                <w:color w:val="auto"/>
              </w:rPr>
              <w:t>Portfolio at</w:t>
            </w:r>
          </w:p>
        </w:tc>
      </w:tr>
      <w:tr>
        <w:trPr>
          <w:trHeight w:val="234"/>
        </w:trPr>
        <w:tc>
          <w:tcPr>
            <w:tcW w:w="4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Period</w:t>
            </w:r>
          </w:p>
        </w:tc>
        <w:tc>
          <w:tcPr>
            <w:tcW w:w="180" w:type="dxa"/>
            <w:vAlign w:val="bottom"/>
          </w:tcPr>
          <w:p>
            <w:pPr>
              <w:spacing w:after="0"/>
              <w:rPr>
                <w:sz w:val="20"/>
                <w:szCs w:val="20"/>
                <w:color w:val="auto"/>
              </w:rPr>
            </w:pPr>
          </w:p>
        </w:tc>
        <w:tc>
          <w:tcPr>
            <w:tcW w:w="17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2"/>
              </w:rPr>
              <w:t>Period</w:t>
            </w:r>
          </w:p>
        </w:tc>
        <w:tc>
          <w:tcPr>
            <w:tcW w:w="240" w:type="dxa"/>
            <w:vAlign w:val="bottom"/>
          </w:tcPr>
          <w:p>
            <w:pPr>
              <w:spacing w:after="0"/>
              <w:rPr>
                <w:sz w:val="20"/>
                <w:szCs w:val="20"/>
                <w:color w:val="auto"/>
              </w:rPr>
            </w:pPr>
          </w:p>
        </w:tc>
        <w:tc>
          <w:tcPr>
            <w:tcW w:w="1500" w:type="dxa"/>
            <w:vAlign w:val="bottom"/>
            <w:gridSpan w:val="2"/>
          </w:tcPr>
          <w:p>
            <w:pPr>
              <w:ind w:left="140"/>
              <w:spacing w:after="0"/>
              <w:rPr>
                <w:sz w:val="20"/>
                <w:szCs w:val="20"/>
                <w:color w:val="auto"/>
              </w:rPr>
            </w:pPr>
            <w:r>
              <w:rPr>
                <w:rFonts w:ascii="Arial" w:cs="Arial" w:eastAsia="Arial" w:hAnsi="Arial"/>
                <w:sz w:val="18"/>
                <w:szCs w:val="18"/>
                <w:b w:val="1"/>
                <w:bCs w:val="1"/>
                <w:color w:val="auto"/>
              </w:rPr>
              <w:t>Period End</w:t>
            </w:r>
          </w:p>
        </w:tc>
      </w:tr>
      <w:tr>
        <w:trPr>
          <w:trHeight w:val="210"/>
        </w:trPr>
        <w:tc>
          <w:tcPr>
            <w:tcW w:w="412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89"/>
              </w:rPr>
              <w:t>2013</w:t>
            </w:r>
          </w:p>
        </w:tc>
        <w:tc>
          <w:tcPr>
            <w:tcW w:w="2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764,087</w:t>
            </w:r>
          </w:p>
        </w:tc>
        <w:tc>
          <w:tcPr>
            <w:tcW w:w="30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auto"/>
            </w:tcBorders>
            <w:shd w:val="clear" w:color="auto" w:fill="EEEEEE"/>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1,231,422</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4120" w:type="dxa"/>
            <w:vAlign w:val="bottom"/>
          </w:tcPr>
          <w:p>
            <w:pPr>
              <w:jc w:val="center"/>
              <w:spacing w:after="0"/>
              <w:rPr>
                <w:sz w:val="20"/>
                <w:szCs w:val="20"/>
                <w:color w:val="auto"/>
              </w:rPr>
            </w:pPr>
            <w:r>
              <w:rPr>
                <w:rFonts w:ascii="Arial" w:cs="Arial" w:eastAsia="Arial" w:hAnsi="Arial"/>
                <w:sz w:val="18"/>
                <w:szCs w:val="18"/>
                <w:color w:val="auto"/>
                <w:w w:val="89"/>
              </w:rPr>
              <w:t>2014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2"/>
          </w:tcPr>
          <w:p>
            <w:pPr>
              <w:jc w:val="right"/>
              <w:ind w:right="300"/>
              <w:spacing w:after="0"/>
              <w:rPr>
                <w:sz w:val="20"/>
                <w:szCs w:val="20"/>
                <w:color w:val="auto"/>
              </w:rPr>
            </w:pPr>
            <w:r>
              <w:rPr>
                <w:rFonts w:ascii="Arial" w:cs="Arial" w:eastAsia="Arial" w:hAnsi="Arial"/>
                <w:sz w:val="18"/>
                <w:szCs w:val="18"/>
                <w:color w:val="auto"/>
              </w:rPr>
              <w:t>944,944</w:t>
            </w:r>
          </w:p>
        </w:tc>
        <w:tc>
          <w:tcPr>
            <w:tcW w:w="24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1,643,920</w:t>
            </w:r>
          </w:p>
        </w:tc>
      </w:tr>
      <w:tr>
        <w:trPr>
          <w:trHeight w:val="216"/>
        </w:trPr>
        <w:tc>
          <w:tcPr>
            <w:tcW w:w="41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2015</w:t>
            </w: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72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1,060,538</w:t>
            </w:r>
          </w:p>
        </w:tc>
        <w:tc>
          <w:tcPr>
            <w:tcW w:w="24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2,031,136</w:t>
            </w:r>
          </w:p>
        </w:tc>
      </w:tr>
      <w:tr>
        <w:trPr>
          <w:trHeight w:val="216"/>
        </w:trPr>
        <w:tc>
          <w:tcPr>
            <w:tcW w:w="4120" w:type="dxa"/>
            <w:vAlign w:val="bottom"/>
          </w:tcPr>
          <w:p>
            <w:pPr>
              <w:jc w:val="center"/>
              <w:spacing w:after="0"/>
              <w:rPr>
                <w:sz w:val="20"/>
                <w:szCs w:val="20"/>
                <w:color w:val="auto"/>
              </w:rPr>
            </w:pPr>
            <w:r>
              <w:rPr>
                <w:rFonts w:ascii="Arial" w:cs="Arial" w:eastAsia="Arial" w:hAnsi="Arial"/>
                <w:sz w:val="18"/>
                <w:szCs w:val="18"/>
                <w:color w:val="auto"/>
                <w:w w:val="89"/>
              </w:rPr>
              <w:t>2016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2"/>
          </w:tcPr>
          <w:p>
            <w:pPr>
              <w:jc w:val="right"/>
              <w:ind w:right="300"/>
              <w:spacing w:after="0"/>
              <w:rPr>
                <w:sz w:val="20"/>
                <w:szCs w:val="20"/>
                <w:color w:val="auto"/>
              </w:rPr>
            </w:pPr>
            <w:r>
              <w:rPr>
                <w:rFonts w:ascii="Arial" w:cs="Arial" w:eastAsia="Arial" w:hAnsi="Arial"/>
                <w:sz w:val="18"/>
                <w:szCs w:val="18"/>
                <w:color w:val="auto"/>
              </w:rPr>
              <w:t>1,088,785</w:t>
            </w:r>
          </w:p>
        </w:tc>
        <w:tc>
          <w:tcPr>
            <w:tcW w:w="24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2,308,070</w:t>
            </w:r>
          </w:p>
        </w:tc>
      </w:tr>
      <w:tr>
        <w:trPr>
          <w:trHeight w:val="216"/>
        </w:trPr>
        <w:tc>
          <w:tcPr>
            <w:tcW w:w="41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2017</w:t>
            </w: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72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859,069</w:t>
            </w:r>
          </w:p>
        </w:tc>
        <w:tc>
          <w:tcPr>
            <w:tcW w:w="24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2,333,530</w:t>
            </w:r>
          </w:p>
        </w:tc>
      </w:tr>
      <w:tr>
        <w:trPr>
          <w:trHeight w:val="216"/>
        </w:trPr>
        <w:tc>
          <w:tcPr>
            <w:tcW w:w="412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2"/>
          </w:tcPr>
          <w:p>
            <w:pPr>
              <w:jc w:val="right"/>
              <w:ind w:right="300"/>
              <w:spacing w:after="0"/>
              <w:rPr>
                <w:sz w:val="20"/>
                <w:szCs w:val="20"/>
                <w:color w:val="auto"/>
              </w:rPr>
            </w:pPr>
            <w:r>
              <w:rPr>
                <w:rFonts w:ascii="Arial" w:cs="Arial" w:eastAsia="Arial" w:hAnsi="Arial"/>
                <w:sz w:val="18"/>
                <w:szCs w:val="18"/>
                <w:color w:val="auto"/>
              </w:rPr>
              <w:t>902,416</w:t>
            </w:r>
          </w:p>
        </w:tc>
        <w:tc>
          <w:tcPr>
            <w:tcW w:w="24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2,380,847</w:t>
            </w:r>
          </w:p>
        </w:tc>
      </w:tr>
      <w:tr>
        <w:trPr>
          <w:trHeight w:val="216"/>
        </w:trPr>
        <w:tc>
          <w:tcPr>
            <w:tcW w:w="43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Three months ended March 31, 2019</w:t>
            </w:r>
          </w:p>
        </w:tc>
        <w:tc>
          <w:tcPr>
            <w:tcW w:w="180" w:type="dxa"/>
            <w:vAlign w:val="bottom"/>
            <w:shd w:val="clear" w:color="auto" w:fill="EEEEEE"/>
          </w:tcPr>
          <w:p>
            <w:pPr>
              <w:spacing w:after="0"/>
              <w:rPr>
                <w:sz w:val="18"/>
                <w:szCs w:val="18"/>
                <w:color w:val="auto"/>
              </w:rPr>
            </w:pPr>
          </w:p>
        </w:tc>
        <w:tc>
          <w:tcPr>
            <w:tcW w:w="172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243,033</w:t>
            </w:r>
          </w:p>
        </w:tc>
        <w:tc>
          <w:tcPr>
            <w:tcW w:w="24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2,393,165</w:t>
            </w: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principal executive offices are in Las Vegas, Nevada. Most of our operational and administrative functions take place in Irvine, California. Credit and underwriting functions are performed primarily in that California branch with certain of these functions also performed in our Florida and Nevada branches. We service our automobile contracts from our California, Nevada, Virginia, Florida and Illinois branches.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programs we offer to dealers and consumers are intended to serve a wide range of sub-prime customers, primarily through franchised new car dealers. We originate automobile contracts with the intention of financing them on a long-term basis through securitizations. Securitizations are transactions in which we sell a specified pool of contracts to a special purpose subsidiary of ours, which in turn issues asset-backed securities to fund the purchase of the pool of contracts from us.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Securitization and Warehouse Credit Facilities</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Throughout the period for which information is presented in this report, we have purchased automobile contracts with the intention of financing them on a long-term basis through securitizations, and on an interim basis through warehouse credit facilities. All such financings have involved identification of specific automobile contracts, sale of those automobile contracts (and associated rights) to one of our special-purpose subsidiaries, and issuance of asset-backed securities to be purchased by institutional investors. Depending on the structure, these transactions may be accounted for under generally accepted accounting principles as sales of the automobile contracts or as secured financings.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21" w:name="page22"/>
    <w:bookmarkEnd w:id="21"/>
    <w:p>
      <w:pPr>
        <w:jc w:val="both"/>
        <w:ind w:firstLine="648"/>
        <w:spacing w:after="0" w:line="276" w:lineRule="auto"/>
        <w:rPr>
          <w:sz w:val="20"/>
          <w:szCs w:val="20"/>
          <w:color w:val="auto"/>
        </w:rPr>
      </w:pPr>
      <w:r>
        <w:rPr>
          <w:rFonts w:ascii="Arial" w:cs="Arial" w:eastAsia="Arial" w:hAnsi="Arial"/>
          <w:sz w:val="17"/>
          <w:szCs w:val="17"/>
          <w:color w:val="auto"/>
        </w:rPr>
        <w:t>When structured to be treated as a secured financing for accounting purposes, the subsidiary is consolidated with us. Accordingly, the sold automobile contracts and the related debt appear as assets and liabilities, respectively, on our consolidated balance sheet. We then periodically (i) recognize interest and fee income on the contracts, and (ii) recognize interest expense on the securities issued in the transaction. For automobile contracts acquired before 2018, we also periodically record as expense a provision for credit losses on the contracts; for automobile contracts acquired after 2017 we take account of estimated credit losses in our computation of a level yield used to determine recognition of interest on the contracts.</w:t>
      </w:r>
    </w:p>
    <w:p>
      <w:pPr>
        <w:spacing w:after="0" w:line="17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Since 1994 we have conducted 81 term securitizations of automobile contracts that we originated. As of March 31, 2019, 20 of those securitizations are active and all are structured as secured financings. Since September 2010 we have utilized senior subordinated structures without any financial guarantees. We have generally conducted our securitizations on a quarterly basis, near the end of each calendar quarter, resulting in four securitizations per calendar year. However, in 2015, we elected to defer what would have been our December securitization in favor of a securitization in January 2016, and since that time have generally conducted our securitizations near the beginning of each calendar quarter.</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recent history of term securitizations is summarized in the table below:</w:t>
      </w:r>
    </w:p>
    <w:p>
      <w:pPr>
        <w:spacing w:after="0" w:line="221" w:lineRule="exact"/>
        <w:rPr>
          <w:sz w:val="20"/>
          <w:szCs w:val="20"/>
          <w:color w:val="auto"/>
        </w:rPr>
      </w:pPr>
    </w:p>
    <w:tbl>
      <w:tblPr>
        <w:tblLayout w:type="fixed"/>
        <w:tblInd w:w="20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280" w:type="dxa"/>
            <w:vAlign w:val="bottom"/>
            <w:gridSpan w:val="3"/>
          </w:tcPr>
          <w:p>
            <w:pPr>
              <w:jc w:val="right"/>
              <w:spacing w:after="0"/>
              <w:rPr>
                <w:sz w:val="20"/>
                <w:szCs w:val="20"/>
                <w:color w:val="auto"/>
              </w:rPr>
            </w:pPr>
            <w:r>
              <w:rPr>
                <w:rFonts w:ascii="Arial" w:cs="Arial" w:eastAsia="Arial" w:hAnsi="Arial"/>
                <w:sz w:val="18"/>
                <w:szCs w:val="18"/>
                <w:b w:val="1"/>
                <w:bCs w:val="1"/>
                <w:color w:val="auto"/>
              </w:rPr>
              <w:t>Recent Asset-Backed Term Securitizations</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0"/>
        </w:trPr>
        <w:tc>
          <w:tcPr>
            <w:tcW w:w="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360" w:type="dxa"/>
            <w:vAlign w:val="bottom"/>
            <w:gridSpan w:val="5"/>
          </w:tcPr>
          <w:p>
            <w:pPr>
              <w:ind w:left="1100"/>
              <w:spacing w:after="0"/>
              <w:rPr>
                <w:sz w:val="20"/>
                <w:szCs w:val="20"/>
                <w:color w:val="auto"/>
              </w:rPr>
            </w:pPr>
            <w:r>
              <w:rPr>
                <w:rFonts w:ascii="Arial" w:cs="Arial" w:eastAsia="Arial" w:hAnsi="Arial"/>
                <w:sz w:val="18"/>
                <w:szCs w:val="18"/>
                <w:i w:val="1"/>
                <w:iCs w:val="1"/>
                <w:color w:val="auto"/>
              </w:rPr>
              <w:t>$ in thousands</w:t>
            </w:r>
          </w:p>
        </w:tc>
      </w:tr>
      <w:tr>
        <w:trPr>
          <w:trHeight w:val="191"/>
        </w:trPr>
        <w:tc>
          <w:tcPr>
            <w:tcW w:w="2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center"/>
              <w:ind w:right="110"/>
              <w:spacing w:after="0" w:line="191" w:lineRule="exact"/>
              <w:rPr>
                <w:sz w:val="20"/>
                <w:szCs w:val="20"/>
                <w:color w:val="auto"/>
              </w:rPr>
            </w:pPr>
            <w:r>
              <w:rPr>
                <w:rFonts w:ascii="Arial" w:cs="Arial" w:eastAsia="Arial" w:hAnsi="Arial"/>
                <w:sz w:val="18"/>
                <w:szCs w:val="18"/>
                <w:b w:val="1"/>
                <w:bCs w:val="1"/>
                <w:color w:val="auto"/>
                <w:w w:val="86"/>
              </w:rPr>
              <w:t>Receivables</w:t>
            </w:r>
          </w:p>
        </w:tc>
        <w:tc>
          <w:tcPr>
            <w:tcW w:w="10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Pledged in</w:t>
            </w: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5"/>
              </w:rPr>
              <w:t>Term</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Term</w:t>
            </w:r>
          </w:p>
        </w:tc>
      </w:tr>
      <w:tr>
        <w:trPr>
          <w:trHeight w:val="234"/>
        </w:trPr>
        <w:tc>
          <w:tcPr>
            <w:tcW w:w="20" w:type="dxa"/>
            <w:vAlign w:val="bottom"/>
          </w:tcPr>
          <w:p>
            <w:pPr>
              <w:spacing w:after="0"/>
              <w:rPr>
                <w:sz w:val="20"/>
                <w:szCs w:val="20"/>
                <w:color w:val="auto"/>
              </w:rPr>
            </w:pPr>
          </w:p>
        </w:tc>
        <w:tc>
          <w:tcPr>
            <w:tcW w:w="39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Period</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8"/>
              </w:rPr>
              <w:t>Securitizations</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Securitizations</w:t>
            </w:r>
          </w:p>
        </w:tc>
      </w:tr>
      <w:tr>
        <w:trPr>
          <w:trHeight w:val="210"/>
        </w:trPr>
        <w:tc>
          <w:tcPr>
            <w:tcW w:w="20" w:type="dxa"/>
            <w:vAlign w:val="bottom"/>
          </w:tcPr>
          <w:p>
            <w:pPr>
              <w:spacing w:after="0"/>
              <w:rPr>
                <w:sz w:val="18"/>
                <w:szCs w:val="18"/>
                <w:color w:val="auto"/>
              </w:rPr>
            </w:pPr>
          </w:p>
        </w:tc>
        <w:tc>
          <w:tcPr>
            <w:tcW w:w="372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89"/>
              </w:rPr>
              <w:t>2013</w:t>
            </w:r>
          </w:p>
        </w:tc>
        <w:tc>
          <w:tcPr>
            <w:tcW w:w="200" w:type="dxa"/>
            <w:vAlign w:val="bottom"/>
            <w:tcBorders>
              <w:top w:val="single" w:sz="8" w:color="EEEEEE"/>
            </w:tcBorders>
            <w:shd w:val="clear" w:color="auto" w:fill="EEEEEE"/>
          </w:tcPr>
          <w:p>
            <w:pPr>
              <w:spacing w:after="0"/>
              <w:rPr>
                <w:sz w:val="18"/>
                <w:szCs w:val="18"/>
                <w:color w:val="auto"/>
              </w:rPr>
            </w:pPr>
          </w:p>
        </w:tc>
        <w:tc>
          <w:tcPr>
            <w:tcW w:w="13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w:t>
            </w:r>
          </w:p>
        </w:tc>
        <w:tc>
          <w:tcPr>
            <w:tcW w:w="3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778,000</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20" w:type="dxa"/>
            <w:vAlign w:val="bottom"/>
          </w:tcPr>
          <w:p>
            <w:pPr>
              <w:jc w:val="center"/>
              <w:spacing w:after="0"/>
              <w:rPr>
                <w:sz w:val="20"/>
                <w:szCs w:val="20"/>
                <w:color w:val="auto"/>
              </w:rPr>
            </w:pPr>
            <w:r>
              <w:rPr>
                <w:rFonts w:ascii="Arial" w:cs="Arial" w:eastAsia="Arial" w:hAnsi="Arial"/>
                <w:sz w:val="18"/>
                <w:szCs w:val="18"/>
                <w:color w:val="auto"/>
                <w:w w:val="89"/>
              </w:rPr>
              <w:t>2014</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923,000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2015</w:t>
            </w:r>
          </w:p>
        </w:tc>
        <w:tc>
          <w:tcPr>
            <w:tcW w:w="200" w:type="dxa"/>
            <w:vAlign w:val="bottom"/>
            <w:shd w:val="clear" w:color="auto" w:fill="EEEEEE"/>
          </w:tcPr>
          <w:p>
            <w:pPr>
              <w:spacing w:after="0"/>
              <w:rPr>
                <w:sz w:val="18"/>
                <w:szCs w:val="18"/>
                <w:color w:val="auto"/>
              </w:rPr>
            </w:pPr>
          </w:p>
        </w:tc>
        <w:tc>
          <w:tcPr>
            <w:tcW w:w="1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w:t>
            </w:r>
          </w:p>
        </w:tc>
        <w:tc>
          <w:tcPr>
            <w:tcW w:w="3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795,000</w:t>
            </w:r>
          </w:p>
        </w:tc>
        <w:tc>
          <w:tcPr>
            <w:tcW w:w="100" w:type="dxa"/>
            <w:vAlign w:val="bottom"/>
            <w:shd w:val="clear" w:color="auto" w:fill="EEEEEE"/>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20" w:type="dxa"/>
            <w:vAlign w:val="bottom"/>
          </w:tcPr>
          <w:p>
            <w:pPr>
              <w:jc w:val="center"/>
              <w:spacing w:after="0"/>
              <w:rPr>
                <w:sz w:val="20"/>
                <w:szCs w:val="20"/>
                <w:color w:val="auto"/>
              </w:rPr>
            </w:pPr>
            <w:r>
              <w:rPr>
                <w:rFonts w:ascii="Arial" w:cs="Arial" w:eastAsia="Arial" w:hAnsi="Arial"/>
                <w:sz w:val="18"/>
                <w:szCs w:val="18"/>
                <w:color w:val="auto"/>
                <w:w w:val="89"/>
              </w:rPr>
              <w:t>2016</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1,214,997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2017</w:t>
            </w:r>
          </w:p>
        </w:tc>
        <w:tc>
          <w:tcPr>
            <w:tcW w:w="200" w:type="dxa"/>
            <w:vAlign w:val="bottom"/>
            <w:shd w:val="clear" w:color="auto" w:fill="EEEEEE"/>
          </w:tcPr>
          <w:p>
            <w:pPr>
              <w:spacing w:after="0"/>
              <w:rPr>
                <w:sz w:val="18"/>
                <w:szCs w:val="18"/>
                <w:color w:val="auto"/>
              </w:rPr>
            </w:pPr>
          </w:p>
        </w:tc>
        <w:tc>
          <w:tcPr>
            <w:tcW w:w="1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w:t>
            </w:r>
          </w:p>
        </w:tc>
        <w:tc>
          <w:tcPr>
            <w:tcW w:w="3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870,000</w:t>
            </w:r>
          </w:p>
        </w:tc>
        <w:tc>
          <w:tcPr>
            <w:tcW w:w="100" w:type="dxa"/>
            <w:vAlign w:val="bottom"/>
            <w:shd w:val="clear" w:color="auto" w:fill="EEEEEE"/>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2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883,452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Three months ended March 31, 2019</w:t>
            </w:r>
          </w:p>
        </w:tc>
        <w:tc>
          <w:tcPr>
            <w:tcW w:w="1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265,000</w:t>
            </w:r>
          </w:p>
        </w:tc>
        <w:tc>
          <w:tcPr>
            <w:tcW w:w="100" w:type="dxa"/>
            <w:vAlign w:val="bottom"/>
            <w:shd w:val="clear" w:color="auto" w:fill="EEEEEE"/>
          </w:tcPr>
          <w:p>
            <w:pPr>
              <w:spacing w:after="0"/>
              <w:rPr>
                <w:sz w:val="18"/>
                <w:szCs w:val="18"/>
                <w:color w:val="auto"/>
              </w:rPr>
            </w:pPr>
          </w:p>
        </w:tc>
      </w:tr>
    </w:tbl>
    <w:p>
      <w:pPr>
        <w:spacing w:after="0" w:line="20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Generally, prior to a securitization transaction we fund our automobile contract purchases primarily with proceeds from warehouse credit facilities. Our current short-term funding capacity is $300 million, comprising three credit facilities. The first $100 million credit facility was established in May 2012. This facility was most recently renewed in September 2018, extending the revolving period to September 2020, with an optional amortization period through September 2021. In April 2015, we entered into a second $100 million facility. This facility was renewed in April 2017 and again in February 2019, extending the revolving period to February 2021, followed by an amortization period to February 2023. In November 2015, we entered into a third $100 million facility. This facility was renewed in November 2017, extending the revolving period to November 2019, followed by an amortization period to November 2021.</w:t>
      </w:r>
    </w:p>
    <w:p>
      <w:pPr>
        <w:spacing w:after="0" w:line="1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 securitization and in our warehouse credit facilities, we are required to make certain representations and warranties, which are generally similar to the representations and warranties made by dealers in connection with our purchase of the automobile contracts. If we breach any of our representations or warranties, we will be obligated to repurchase the automobile contract at a price equal to the principal balance plus accrued and unpaid interest. We may then be entitled under the terms of our dealer agreement to require the selling dealer to repurchase the contract at a price equal to our purchase price, less any principal payments made by the customer. Subject to any recourse against dealers, we will bear the risk of loss on repossession and resale of vehicles under automobile contracts that we repurchase.</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 securitization, the related special purpose subsidiary may be unable to release excess cash to us if the credit performance of the securitized automobile contracts falls short of pre-determined standards. Such releases represent a material portion of the cash that we use to fund our operations. An unexpected deterioration in the performance of securitized automobile contracts could therefore have a material adverse effect on both our liquidity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Financial Covenants</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Certain of our securitization transactions and our warehouse credit facilities contain various financial covenants requiring certain minimum financial ratios and results. Such covenants include maintaining minimum levels of liquidity and net worth and not exceeding maximum leverage levels. In addition, certain of our debt agreements other than our term securitizations contain cross-default provisions. Such cross-default provisions would allow the respective creditors to declare a default if an event of default occurred with respect to other indebtedness of ours, but only if such other event of default were to be accompanied by acceleration of such other indebtedness. As of March 31, 2019, we were in compliance with all such covenants.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Operating Results for the three months ended March 31, 2019 with the three months ended March 31, 2018</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Revenues</w:t>
      </w:r>
      <w:r>
        <w:rPr>
          <w:rFonts w:ascii="Arial" w:cs="Arial" w:eastAsia="Arial" w:hAnsi="Arial"/>
          <w:sz w:val="18"/>
          <w:szCs w:val="18"/>
          <w:color w:val="auto"/>
        </w:rPr>
        <w:t>. During the three months ended March 31, 2019, our revenues were $88.2 million, a decrease of $15.3 million, or 14.8%, from the prior year</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of $103.6 million. The primary reason for the decrease in revenues is a decrease in interest income. Interest income for the three months ended March 31, 2019 decreased $15.1 million, or 14.9%, to $85.8 million from $100.9 million in the prior year. The primary reason for the decrease in interest income is the lower interest yield on the receivables measured at fair value. The interest yield on receivables measured at fair value is reduced to take account of expected losses and is therefore less than the yield on other finance receivables. The table below shows the average balances and interest yields of our loan portfolio for the three months ended March 31, 2019 and 2018:</w:t>
      </w:r>
    </w:p>
    <w:p>
      <w:pPr>
        <w:sectPr>
          <w:pgSz w:w="11900" w:h="16838" w:orient="portrait"/>
          <w:cols w:equalWidth="0" w:num="1">
            <w:col w:w="11420"/>
          </w:cols>
          <w:pgMar w:left="240" w:top="79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540" w:firstLine="1046"/>
        <w:spacing w:after="0" w:line="261" w:lineRule="auto"/>
        <w:rPr>
          <w:sz w:val="20"/>
          <w:szCs w:val="20"/>
          <w:color w:val="auto"/>
        </w:rPr>
      </w:pPr>
      <w:r>
        <w:rPr>
          <w:rFonts w:ascii="Arial" w:cs="Arial" w:eastAsia="Arial" w:hAnsi="Arial"/>
          <w:sz w:val="18"/>
          <w:szCs w:val="18"/>
          <w:b w:val="1"/>
          <w:bCs w:val="1"/>
          <w:u w:val="single" w:color="auto"/>
          <w:color w:val="auto"/>
        </w:rPr>
        <w:t xml:space="preserve">Interest Earning Assets </w:t>
      </w:r>
      <w:r>
        <w:rPr>
          <w:rFonts w:ascii="Arial" w:cs="Arial" w:eastAsia="Arial" w:hAnsi="Arial"/>
          <w:sz w:val="18"/>
          <w:szCs w:val="18"/>
          <w:color w:val="auto"/>
        </w:rPr>
        <w:t>Finance receivables</w:t>
      </w:r>
    </w:p>
    <w:p>
      <w:pPr>
        <w:ind w:right="320"/>
        <w:spacing w:after="0" w:line="276" w:lineRule="auto"/>
        <w:rPr>
          <w:sz w:val="20"/>
          <w:szCs w:val="20"/>
          <w:color w:val="auto"/>
        </w:rPr>
      </w:pPr>
      <w:r>
        <w:rPr>
          <w:rFonts w:ascii="Arial" w:cs="Arial" w:eastAsia="Arial" w:hAnsi="Arial"/>
          <w:sz w:val="18"/>
          <w:szCs w:val="18"/>
          <w:color w:val="auto"/>
        </w:rPr>
        <w:t>Finance receivables measured at fair value Total</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Three Months Ended March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3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2018</w:t>
            </w:r>
          </w:p>
        </w:tc>
        <w:tc>
          <w:tcPr>
            <w:tcW w:w="3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spacing w:after="0"/>
              <w:rPr>
                <w:sz w:val="19"/>
                <w:szCs w:val="19"/>
                <w:color w:val="auto"/>
              </w:rPr>
            </w:pPr>
          </w:p>
        </w:tc>
      </w:tr>
      <w:tr>
        <w:trPr>
          <w:trHeight w:val="191"/>
        </w:trPr>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320" w:type="dxa"/>
            <w:vAlign w:val="bottom"/>
            <w:gridSpan w:val="5"/>
          </w:tcPr>
          <w:p>
            <w:pPr>
              <w:ind w:left="160"/>
              <w:spacing w:after="0" w:line="191" w:lineRule="exact"/>
              <w:rPr>
                <w:sz w:val="20"/>
                <w:szCs w:val="20"/>
                <w:color w:val="auto"/>
              </w:rPr>
            </w:pPr>
            <w:r>
              <w:rPr>
                <w:rFonts w:ascii="Arial" w:cs="Arial" w:eastAsia="Arial" w:hAnsi="Arial"/>
                <w:sz w:val="18"/>
                <w:szCs w:val="18"/>
                <w:b w:val="1"/>
                <w:bCs w:val="1"/>
                <w:color w:val="auto"/>
              </w:rPr>
              <w:t>(Dollars in thousands)</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30"/>
        </w:trPr>
        <w:tc>
          <w:tcPr>
            <w:tcW w:w="120" w:type="dxa"/>
            <w:vAlign w:val="bottom"/>
          </w:tcPr>
          <w:p>
            <w:pPr>
              <w:spacing w:after="0"/>
              <w:rPr>
                <w:sz w:val="19"/>
                <w:szCs w:val="19"/>
                <w:color w:val="auto"/>
              </w:rPr>
            </w:pPr>
          </w:p>
        </w:tc>
        <w:tc>
          <w:tcPr>
            <w:tcW w:w="1180" w:type="dxa"/>
            <w:vAlign w:val="bottom"/>
            <w:gridSpan w:val="2"/>
          </w:tcPr>
          <w:p>
            <w:pPr>
              <w:ind w:left="40"/>
              <w:spacing w:after="0"/>
              <w:rPr>
                <w:sz w:val="20"/>
                <w:szCs w:val="20"/>
                <w:color w:val="auto"/>
              </w:rPr>
            </w:pPr>
            <w:r>
              <w:rPr>
                <w:rFonts w:ascii="Arial" w:cs="Arial" w:eastAsia="Arial" w:hAnsi="Arial"/>
                <w:sz w:val="18"/>
                <w:szCs w:val="18"/>
                <w:b w:val="1"/>
                <w:bCs w:val="1"/>
                <w:color w:val="auto"/>
              </w:rPr>
              <w:t>Average</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Interest</w:t>
            </w:r>
          </w:p>
        </w:tc>
        <w:tc>
          <w:tcPr>
            <w:tcW w:w="120" w:type="dxa"/>
            <w:vAlign w:val="bottom"/>
          </w:tcPr>
          <w:p>
            <w:pPr>
              <w:spacing w:after="0"/>
              <w:rPr>
                <w:sz w:val="19"/>
                <w:szCs w:val="19"/>
                <w:color w:val="auto"/>
              </w:rPr>
            </w:pPr>
          </w:p>
        </w:tc>
        <w:tc>
          <w:tcPr>
            <w:tcW w:w="960" w:type="dxa"/>
            <w:vAlign w:val="bottom"/>
            <w:gridSpan w:val="2"/>
          </w:tcPr>
          <w:p>
            <w:pPr>
              <w:ind w:left="20"/>
              <w:spacing w:after="0"/>
              <w:rPr>
                <w:sz w:val="20"/>
                <w:szCs w:val="20"/>
                <w:color w:val="auto"/>
              </w:rPr>
            </w:pPr>
            <w:r>
              <w:rPr>
                <w:rFonts w:ascii="Arial" w:cs="Arial" w:eastAsia="Arial" w:hAnsi="Arial"/>
                <w:sz w:val="18"/>
                <w:szCs w:val="18"/>
                <w:b w:val="1"/>
                <w:bCs w:val="1"/>
                <w:color w:val="auto"/>
              </w:rPr>
              <w:t>Average</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b w:val="1"/>
                <w:bCs w:val="1"/>
                <w:color w:val="auto"/>
              </w:rPr>
              <w:t>Interest</w:t>
            </w:r>
          </w:p>
        </w:tc>
      </w:tr>
      <w:tr>
        <w:trPr>
          <w:trHeight w:val="234"/>
        </w:trPr>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2"/>
              </w:rPr>
              <w:t>Balance</w:t>
            </w:r>
          </w:p>
        </w:tc>
        <w:tc>
          <w:tcPr>
            <w:tcW w:w="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5"/>
              </w:rPr>
              <w:t>Interest</w:t>
            </w:r>
          </w:p>
        </w:tc>
        <w:tc>
          <w:tcPr>
            <w:tcW w:w="360" w:type="dxa"/>
            <w:vAlign w:val="bottom"/>
          </w:tcPr>
          <w:p>
            <w:pPr>
              <w:spacing w:after="0"/>
              <w:rPr>
                <w:sz w:val="20"/>
                <w:szCs w:val="20"/>
                <w:color w:val="auto"/>
              </w:rPr>
            </w:pPr>
          </w:p>
        </w:tc>
        <w:tc>
          <w:tcPr>
            <w:tcW w:w="9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Yield</w:t>
            </w: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89"/>
              </w:rPr>
              <w:t>Balance</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2"/>
              </w:rPr>
              <w:t>Interest</w:t>
            </w:r>
          </w:p>
        </w:tc>
        <w:tc>
          <w:tcPr>
            <w:tcW w:w="320" w:type="dxa"/>
            <w:vAlign w:val="bottom"/>
          </w:tcPr>
          <w:p>
            <w:pPr>
              <w:spacing w:after="0"/>
              <w:rPr>
                <w:sz w:val="20"/>
                <w:szCs w:val="20"/>
                <w:color w:val="auto"/>
              </w:rPr>
            </w:pPr>
          </w:p>
        </w:tc>
        <w:tc>
          <w:tcPr>
            <w:tcW w:w="9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Yield</w:t>
            </w:r>
          </w:p>
        </w:tc>
      </w:tr>
      <w:tr>
        <w:trPr>
          <w:trHeight w:val="425"/>
        </w:trPr>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w w:val="99"/>
              </w:rPr>
              <w:t>1,401,047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63,030</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18.0%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2,160,975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97,398</w:t>
            </w:r>
          </w:p>
        </w:tc>
        <w:tc>
          <w:tcPr>
            <w:tcW w:w="920" w:type="dxa"/>
            <w:vAlign w:val="bottom"/>
          </w:tcPr>
          <w:p>
            <w:pPr>
              <w:jc w:val="right"/>
              <w:spacing w:after="0"/>
              <w:rPr>
                <w:sz w:val="20"/>
                <w:szCs w:val="20"/>
                <w:color w:val="auto"/>
              </w:rPr>
            </w:pPr>
            <w:r>
              <w:rPr>
                <w:rFonts w:ascii="Arial" w:cs="Arial" w:eastAsia="Arial" w:hAnsi="Arial"/>
                <w:sz w:val="18"/>
                <w:szCs w:val="18"/>
                <w:color w:val="auto"/>
              </w:rPr>
              <w:t>18.0%</w:t>
            </w:r>
          </w:p>
        </w:tc>
      </w:tr>
      <w:tr>
        <w:trPr>
          <w:trHeight w:val="230"/>
        </w:trPr>
        <w:tc>
          <w:tcPr>
            <w:tcW w:w="120" w:type="dxa"/>
            <w:vAlign w:val="bottom"/>
          </w:tcPr>
          <w:p>
            <w:pPr>
              <w:spacing w:after="0"/>
              <w:rPr>
                <w:sz w:val="20"/>
                <w:szCs w:val="20"/>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955,566</w:t>
            </w:r>
          </w:p>
        </w:tc>
        <w:tc>
          <w:tcPr>
            <w:tcW w:w="120" w:type="dxa"/>
            <w:vAlign w:val="bottom"/>
          </w:tcPr>
          <w:p>
            <w:pPr>
              <w:spacing w:after="0"/>
              <w:rPr>
                <w:sz w:val="20"/>
                <w:szCs w:val="20"/>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22,815</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133,543</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3,508</w:t>
            </w:r>
          </w:p>
        </w:tc>
        <w:tc>
          <w:tcPr>
            <w:tcW w:w="92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23"/>
        </w:trPr>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2,356,613</w:t>
            </w:r>
          </w:p>
        </w:tc>
        <w:tc>
          <w:tcPr>
            <w:tcW w:w="3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85,845</w:t>
            </w:r>
          </w:p>
        </w:tc>
        <w:tc>
          <w:tcPr>
            <w:tcW w:w="36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2,294,518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100,906</w:t>
            </w:r>
          </w:p>
        </w:tc>
        <w:tc>
          <w:tcPr>
            <w:tcW w:w="32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w:t>
            </w: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-2610485</wp:posOffset>
            </wp:positionH>
            <wp:positionV relativeFrom="paragraph">
              <wp:posOffset>-608330</wp:posOffset>
            </wp:positionV>
            <wp:extent cx="7246620" cy="146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-325120</wp:posOffset>
            </wp:positionV>
            <wp:extent cx="7246620" cy="146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00" w:space="720"/>
            <w:col w:w="7300"/>
          </w:cols>
          <w:pgMar w:left="240" w:top="796" w:right="239" w:bottom="1440" w:gutter="0" w:footer="0" w:header="0"/>
          <w:type w:val="continuous"/>
        </w:sectPr>
      </w:pPr>
    </w:p>
    <w:p>
      <w:pPr>
        <w:spacing w:after="0" w:line="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the three months ended March 31, 2019, other income of $2.4 million decreased by $272,000, or 10.2% compared to the prior year. The three-month period ended March 31, 2019 includes a decrease of $461,000 in revenues associated with direct mail and other related products and services that we offer to our dealers and a decrease of $61,000 on payments to us for our interest in certain sold charge offs and acquired third-party portfolios. These were partially offset by an increase of $250,000 in payments from third-party providers of convenience fees paid by our customers for web based and other electronic payments</w:t>
      </w:r>
    </w:p>
    <w:p>
      <w:pPr>
        <w:spacing w:after="0" w:line="18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i w:val="1"/>
          <w:iCs w:val="1"/>
          <w:color w:val="auto"/>
        </w:rPr>
        <w:t>Expenses</w:t>
      </w:r>
      <w:r>
        <w:rPr>
          <w:rFonts w:ascii="Arial" w:cs="Arial" w:eastAsia="Arial" w:hAnsi="Arial"/>
          <w:sz w:val="16"/>
          <w:szCs w:val="16"/>
          <w:color w:val="auto"/>
        </w:rPr>
        <w:t>. Our operating expenses consist largely of interest expense, provision for credit losses, employee costs, marketing and general and</w:t>
      </w:r>
      <w:r>
        <w:rPr>
          <w:rFonts w:ascii="Arial" w:cs="Arial" w:eastAsia="Arial" w:hAnsi="Arial"/>
          <w:sz w:val="16"/>
          <w:szCs w:val="16"/>
          <w:i w:val="1"/>
          <w:iCs w:val="1"/>
          <w:color w:val="auto"/>
        </w:rPr>
        <w:t xml:space="preserve"> </w:t>
      </w:r>
      <w:r>
        <w:rPr>
          <w:rFonts w:ascii="Arial" w:cs="Arial" w:eastAsia="Arial" w:hAnsi="Arial"/>
          <w:sz w:val="16"/>
          <w:szCs w:val="16"/>
          <w:color w:val="auto"/>
        </w:rPr>
        <w:t>administrative expenses. Provision for credit losses is affected by the balance and credit performance of our portfolio of finance receivables (other than our portfolio of finance receivables measured at fair value, as to which expected credit losses have the effect of reducing the interest rate applicable to such receivables). Interest expense is significantly affected by the volume of automobile contracts we purchased during the trailing 12-month period and the use of our warehouse facilities and asset-backed securitizations to finance those contracts. Employee costs and general and administrative expenses are incurred as applications and automobile contracts are received, processed and serviced. Factors that affect margins and net income include changes in the automobile and automobile finance market environments, and macroeconomic factors such as interest rates and changes in the unemployment level.</w:t>
      </w:r>
    </w:p>
    <w:p>
      <w:pPr>
        <w:spacing w:after="0" w:line="16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Employee costs include base salaries, commissions and bonuses paid to employees, and certain expenses related to the accounting treatment of outstanding stock options, and are one of our most significant operating expenses. These costs (other than those relating to stock options) generally fluctuate with the level of applications and automobile contracts processed and serviced.</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type w:val="continuous"/>
        </w:sectPr>
      </w:pPr>
    </w:p>
    <w:bookmarkStart w:id="23" w:name="page24"/>
    <w:bookmarkEnd w:id="23"/>
    <w:p>
      <w:pPr>
        <w:jc w:val="both"/>
        <w:ind w:right="20" w:firstLine="648"/>
        <w:spacing w:after="0" w:line="277" w:lineRule="auto"/>
        <w:rPr>
          <w:sz w:val="20"/>
          <w:szCs w:val="20"/>
          <w:color w:val="auto"/>
        </w:rPr>
      </w:pPr>
      <w:r>
        <w:rPr>
          <w:rFonts w:ascii="Arial" w:cs="Arial" w:eastAsia="Arial" w:hAnsi="Arial"/>
          <w:sz w:val="18"/>
          <w:szCs w:val="18"/>
          <w:color w:val="auto"/>
        </w:rPr>
        <w:t>Other operating expenses consist largely of facilities expenses, telephone and other communication services, credit services, computer services, marketing and advertising expenses, and depreciation and amortization.</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Total operating expenses were $85.6 million for the three months ended March 31, 2019, compared to $99.0 million for the prior period, a decrease of $13.4 million, or 13.6%. The decrease is primarily due to a decrease in provision for credit losses and employee costs, offsetting increases in interest expense and general and administrative expenses.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Employee costs decreased by $1.6 million or 7.6%, to $19.1 million during the three months ended March 31, 2019, representing 22.3% of total operating expenses, from $20.6 million for the prior year, or 20.9% of total operating expenses. The decrease in employee costs were partially a result of a decrease of $547,000 in stock compensation expense. The table below summarizes our employees by category as well as contract purchases and units in our managed portfolio as of, and for the three-month periods ended, March 31, 2019 and 2018:</w:t>
      </w:r>
    </w:p>
    <w:p>
      <w:pPr>
        <w:spacing w:after="0" w:line="196"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right"/>
              <w:ind w:right="130"/>
              <w:spacing w:after="0"/>
              <w:rPr>
                <w:sz w:val="20"/>
                <w:szCs w:val="20"/>
                <w:color w:val="auto"/>
              </w:rPr>
            </w:pPr>
            <w:r>
              <w:rPr>
                <w:rFonts w:ascii="Arial" w:cs="Arial" w:eastAsia="Arial" w:hAnsi="Arial"/>
                <w:sz w:val="18"/>
                <w:szCs w:val="18"/>
                <w:b w:val="1"/>
                <w:bCs w:val="1"/>
                <w:color w:val="auto"/>
                <w:w w:val="95"/>
              </w:rPr>
              <w:t>March 31, 2019</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gridSpan w:val="2"/>
          </w:tcPr>
          <w:p>
            <w:pPr>
              <w:ind w:left="60"/>
              <w:spacing w:after="0"/>
              <w:rPr>
                <w:sz w:val="20"/>
                <w:szCs w:val="20"/>
                <w:color w:val="auto"/>
              </w:rPr>
            </w:pPr>
            <w:r>
              <w:rPr>
                <w:rFonts w:ascii="Arial" w:cs="Arial" w:eastAsia="Arial" w:hAnsi="Arial"/>
                <w:sz w:val="18"/>
                <w:szCs w:val="18"/>
                <w:b w:val="1"/>
                <w:bCs w:val="1"/>
                <w:color w:val="auto"/>
              </w:rPr>
              <w:t>March 31, 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Amount</w:t>
            </w:r>
          </w:p>
        </w:tc>
        <w:tc>
          <w:tcPr>
            <w:tcW w:w="30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0" w:type="dxa"/>
            <w:vAlign w:val="bottom"/>
            <w:gridSpan w:val="4"/>
          </w:tcPr>
          <w:p>
            <w:pPr>
              <w:jc w:val="right"/>
              <w:ind w:right="1150"/>
              <w:spacing w:after="0"/>
              <w:rPr>
                <w:sz w:val="20"/>
                <w:szCs w:val="20"/>
                <w:color w:val="auto"/>
              </w:rPr>
            </w:pPr>
            <w:r>
              <w:rPr>
                <w:rFonts w:ascii="Arial" w:cs="Arial" w:eastAsia="Arial" w:hAnsi="Arial"/>
                <w:sz w:val="18"/>
                <w:szCs w:val="18"/>
                <w:b w:val="1"/>
                <w:bCs w:val="1"/>
                <w:color w:val="auto"/>
              </w:rPr>
              <w:t>($ in millions)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EEEEEE"/>
          </w:tcPr>
          <w:p>
            <w:pPr>
              <w:spacing w:after="0"/>
              <w:rPr>
                <w:sz w:val="20"/>
                <w:szCs w:val="20"/>
                <w:color w:val="auto"/>
              </w:rPr>
            </w:pPr>
            <w:r>
              <w:rPr>
                <w:rFonts w:ascii="Arial" w:cs="Arial" w:eastAsia="Arial" w:hAnsi="Arial"/>
                <w:sz w:val="18"/>
                <w:szCs w:val="18"/>
                <w:color w:val="auto"/>
              </w:rPr>
              <w:t>Contracts purchased (dollars)</w:t>
            </w:r>
          </w:p>
        </w:tc>
        <w:tc>
          <w:tcPr>
            <w:tcW w:w="14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243.0</w:t>
            </w:r>
          </w:p>
        </w:tc>
        <w:tc>
          <w:tcPr>
            <w:tcW w:w="46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1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210.6</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Contracts purchased (units)</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13,942</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13,067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EEEEEE"/>
          </w:tcPr>
          <w:p>
            <w:pPr>
              <w:spacing w:after="0"/>
              <w:rPr>
                <w:sz w:val="20"/>
                <w:szCs w:val="20"/>
                <w:color w:val="auto"/>
              </w:rPr>
            </w:pPr>
            <w:r>
              <w:rPr>
                <w:rFonts w:ascii="Arial" w:cs="Arial" w:eastAsia="Arial" w:hAnsi="Arial"/>
                <w:sz w:val="18"/>
                <w:szCs w:val="18"/>
                <w:color w:val="auto"/>
              </w:rPr>
              <w:t>Managed portfolio outstanding (dollars)</w:t>
            </w:r>
          </w:p>
        </w:tc>
        <w:tc>
          <w:tcPr>
            <w:tcW w:w="14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2,393.2</w:t>
            </w:r>
          </w:p>
        </w:tc>
        <w:tc>
          <w:tcPr>
            <w:tcW w:w="46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1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2,332.3</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Managed portfolio outstanding (units)</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176,916</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174,627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8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Number of Originations staff</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209</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EEEEEE"/>
          </w:tcPr>
          <w:p>
            <w:pPr>
              <w:spacing w:after="0"/>
              <w:rPr>
                <w:sz w:val="20"/>
                <w:szCs w:val="20"/>
                <w:color w:val="auto"/>
              </w:rPr>
            </w:pPr>
            <w:r>
              <w:rPr>
                <w:rFonts w:ascii="Arial" w:cs="Arial" w:eastAsia="Arial" w:hAnsi="Arial"/>
                <w:sz w:val="18"/>
                <w:szCs w:val="18"/>
                <w:color w:val="auto"/>
              </w:rPr>
              <w:t>Number of Marketing staff</w:t>
            </w:r>
          </w:p>
        </w:tc>
        <w:tc>
          <w:tcPr>
            <w:tcW w:w="13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129</w:t>
            </w:r>
          </w:p>
        </w:tc>
        <w:tc>
          <w:tcPr>
            <w:tcW w:w="3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Number of Servicing staff</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625</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shd w:val="clear" w:color="auto" w:fill="EEEEEE"/>
          </w:tcPr>
          <w:p>
            <w:pPr>
              <w:spacing w:after="0"/>
              <w:rPr>
                <w:sz w:val="20"/>
                <w:szCs w:val="20"/>
                <w:color w:val="auto"/>
              </w:rPr>
            </w:pPr>
            <w:r>
              <w:rPr>
                <w:rFonts w:ascii="Arial" w:cs="Arial" w:eastAsia="Arial" w:hAnsi="Arial"/>
                <w:sz w:val="18"/>
                <w:szCs w:val="18"/>
                <w:color w:val="auto"/>
              </w:rPr>
              <w:t>Number of other staff</w:t>
            </w:r>
          </w:p>
        </w:tc>
        <w:tc>
          <w:tcPr>
            <w:tcW w:w="1300" w:type="dxa"/>
            <w:vAlign w:val="bottom"/>
            <w:shd w:val="clear" w:color="auto" w:fill="EEEEEE"/>
          </w:tcPr>
          <w:p>
            <w:pPr>
              <w:spacing w:after="0"/>
              <w:rPr>
                <w:sz w:val="19"/>
                <w:szCs w:val="19"/>
                <w:color w:val="auto"/>
              </w:rPr>
            </w:pPr>
          </w:p>
        </w:tc>
        <w:tc>
          <w:tcPr>
            <w:tcW w:w="140" w:type="dxa"/>
            <w:vAlign w:val="bottom"/>
            <w:tcBorders>
              <w:bottom w:val="single" w:sz="8" w:color="auto"/>
            </w:tcBorders>
            <w:shd w:val="clear" w:color="auto" w:fill="EEEEEE"/>
          </w:tcPr>
          <w:p>
            <w:pPr>
              <w:spacing w:after="0"/>
              <w:rPr>
                <w:sz w:val="19"/>
                <w:szCs w:val="19"/>
                <w:color w:val="auto"/>
              </w:rPr>
            </w:pPr>
          </w:p>
        </w:tc>
        <w:tc>
          <w:tcPr>
            <w:tcW w:w="14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77</w:t>
            </w:r>
          </w:p>
        </w:tc>
        <w:tc>
          <w:tcPr>
            <w:tcW w:w="300" w:type="dxa"/>
            <w:vAlign w:val="bottom"/>
            <w:shd w:val="clear" w:color="auto" w:fill="EEEEEE"/>
          </w:tcPr>
          <w:p>
            <w:pPr>
              <w:spacing w:after="0"/>
              <w:rPr>
                <w:sz w:val="19"/>
                <w:szCs w:val="19"/>
                <w:color w:val="auto"/>
              </w:rPr>
            </w:pPr>
          </w:p>
        </w:tc>
        <w:tc>
          <w:tcPr>
            <w:tcW w:w="160" w:type="dxa"/>
            <w:vAlign w:val="bottom"/>
            <w:tcBorders>
              <w:bottom w:val="single" w:sz="8" w:color="auto"/>
            </w:tcBorders>
            <w:shd w:val="clear" w:color="auto" w:fill="EEEEEE"/>
          </w:tcPr>
          <w:p>
            <w:pPr>
              <w:spacing w:after="0"/>
              <w:rPr>
                <w:sz w:val="19"/>
                <w:szCs w:val="19"/>
                <w:color w:val="auto"/>
              </w:rPr>
            </w:pPr>
          </w:p>
        </w:tc>
        <w:tc>
          <w:tcPr>
            <w:tcW w:w="14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Total number of employees</w:t>
            </w:r>
          </w:p>
        </w:tc>
        <w:tc>
          <w:tcPr>
            <w:tcW w:w="1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1,040</w:t>
            </w: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General and administrative expenses include costs associated with purchasing and servicing our portfolio of finance receivables, including expenses for facilities, credit services, and telecommunications. General and administrative expenses were $8.2 million, an increase of $679,000 or 9.1% compared to the previous year and represented 9.6% of total operating expenses.</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Interest expense for the three months ended March 31, 2019 increased by $3.2 million to $27.3 million, or 13.4% and represented 31.9% of total operating expenses, compared to $24.1 million in the previous year, when it was 24.3% of total operating expenses.</w:t>
      </w:r>
    </w:p>
    <w:p>
      <w:pPr>
        <w:spacing w:after="0" w:line="17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Interest on securitization trust debt increased by $2.2 million, or 9.9%, for the three months ended March 31, 2019 compared to the prior period. The average balance of securitization trust debt increased 1.6% to $2,193.5 million for the three months ended March 31, 2019 compared to $2,158.2 million for the three months ended March 31, 2018. In addition, the blended interest rates on new term securitizations have generally increased since June 2014. As a result, the cost of securitization debt during the three-month period ended March 31, 2019 was 4.4%, compared to 4.0% in the prior year period. For any particular quarterly securitization transaction, the blended cost of funds is ultimately the result of many factors including the market interest rates for benchmark swaps of various maturities against which our bonds are priced and the margin over those benchmarks that investors are willing to accept, which in turn, is influenced by investor demand for our bonds at the time of the securitization. These and other factors have resulted in a general trend toward higher securitization trust debt interest costs in 2019. The blended interest rates of our recent securitizations are summarized in the table below:</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Blended Cost of Funds on Recent Asset-Backed Term Securitizations</w:t>
      </w:r>
    </w:p>
    <w:p>
      <w:pPr>
        <w:spacing w:after="0" w:line="225" w:lineRule="exact"/>
        <w:rPr>
          <w:sz w:val="20"/>
          <w:szCs w:val="20"/>
          <w:color w:val="auto"/>
        </w:rPr>
      </w:pPr>
    </w:p>
    <w:tbl>
      <w:tblPr>
        <w:tblLayout w:type="fixed"/>
        <w:tblInd w:w="2300" w:type="dxa"/>
        <w:tblCellMar>
          <w:top w:w="0" w:type="dxa"/>
          <w:left w:w="0" w:type="dxa"/>
          <w:bottom w:w="0" w:type="dxa"/>
          <w:right w:w="0" w:type="dxa"/>
        </w:tblCellMar>
      </w:tblPr>
      <w:tr>
        <w:trPr>
          <w:trHeight w:val="234"/>
        </w:trPr>
        <w:tc>
          <w:tcPr>
            <w:tcW w:w="3980" w:type="dxa"/>
            <w:vAlign w:val="bottom"/>
            <w:gridSpan w:val="2"/>
          </w:tcPr>
          <w:p>
            <w:pPr>
              <w:jc w:val="center"/>
              <w:ind w:right="1140"/>
              <w:spacing w:after="0"/>
              <w:rPr>
                <w:sz w:val="20"/>
                <w:szCs w:val="20"/>
                <w:color w:val="auto"/>
              </w:rPr>
            </w:pPr>
            <w:r>
              <w:rPr>
                <w:rFonts w:ascii="Arial" w:cs="Arial" w:eastAsia="Arial" w:hAnsi="Arial"/>
                <w:sz w:val="18"/>
                <w:szCs w:val="18"/>
                <w:b w:val="1"/>
                <w:bCs w:val="1"/>
                <w:color w:val="auto"/>
                <w:w w:val="92"/>
              </w:rPr>
              <w:t>Period</w:t>
            </w:r>
          </w:p>
        </w:tc>
        <w:tc>
          <w:tcPr>
            <w:tcW w:w="2860" w:type="dxa"/>
            <w:vAlign w:val="bottom"/>
          </w:tcPr>
          <w:p>
            <w:pPr>
              <w:jc w:val="center"/>
              <w:spacing w:after="0"/>
              <w:rPr>
                <w:sz w:val="20"/>
                <w:szCs w:val="20"/>
                <w:color w:val="auto"/>
              </w:rPr>
            </w:pPr>
            <w:r>
              <w:rPr>
                <w:rFonts w:ascii="Arial" w:cs="Arial" w:eastAsia="Arial" w:hAnsi="Arial"/>
                <w:sz w:val="18"/>
                <w:szCs w:val="18"/>
                <w:b w:val="1"/>
                <w:bCs w:val="1"/>
                <w:color w:val="auto"/>
                <w:w w:val="88"/>
              </w:rPr>
              <w:t>Blended Cost of Funds</w:t>
            </w:r>
          </w:p>
        </w:tc>
      </w:tr>
      <w:tr>
        <w:trPr>
          <w:trHeight w:val="210"/>
        </w:trPr>
        <w:tc>
          <w:tcPr>
            <w:tcW w:w="284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87"/>
              </w:rPr>
              <w:t>January 2017</w:t>
            </w:r>
          </w:p>
        </w:tc>
        <w:tc>
          <w:tcPr>
            <w:tcW w:w="1140" w:type="dxa"/>
            <w:vAlign w:val="bottom"/>
            <w:tcBorders>
              <w:top w:val="single" w:sz="8" w:color="EEEEEE"/>
            </w:tcBorders>
            <w:shd w:val="clear" w:color="auto" w:fill="EEEEEE"/>
          </w:tcPr>
          <w:p>
            <w:pPr>
              <w:spacing w:after="0"/>
              <w:rPr>
                <w:sz w:val="18"/>
                <w:szCs w:val="18"/>
                <w:color w:val="auto"/>
              </w:rPr>
            </w:pPr>
          </w:p>
        </w:tc>
        <w:tc>
          <w:tcPr>
            <w:tcW w:w="286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90"/>
              </w:rPr>
              <w:t>3.91%</w:t>
            </w:r>
          </w:p>
        </w:tc>
      </w:tr>
      <w:tr>
        <w:trPr>
          <w:trHeight w:val="216"/>
        </w:trPr>
        <w:tc>
          <w:tcPr>
            <w:tcW w:w="3980" w:type="dxa"/>
            <w:vAlign w:val="bottom"/>
            <w:gridSpan w:val="2"/>
          </w:tcPr>
          <w:p>
            <w:pPr>
              <w:jc w:val="center"/>
              <w:ind w:right="1160"/>
              <w:spacing w:after="0"/>
              <w:rPr>
                <w:sz w:val="20"/>
                <w:szCs w:val="20"/>
                <w:color w:val="auto"/>
              </w:rPr>
            </w:pPr>
            <w:r>
              <w:rPr>
                <w:rFonts w:ascii="Arial" w:cs="Arial" w:eastAsia="Arial" w:hAnsi="Arial"/>
                <w:sz w:val="18"/>
                <w:szCs w:val="18"/>
                <w:color w:val="auto"/>
                <w:w w:val="96"/>
              </w:rPr>
              <w:t>April 2017</w:t>
            </w:r>
          </w:p>
        </w:tc>
        <w:tc>
          <w:tcPr>
            <w:tcW w:w="2860" w:type="dxa"/>
            <w:vAlign w:val="bottom"/>
          </w:tcPr>
          <w:p>
            <w:pPr>
              <w:jc w:val="center"/>
              <w:spacing w:after="0"/>
              <w:rPr>
                <w:sz w:val="20"/>
                <w:szCs w:val="20"/>
                <w:color w:val="auto"/>
              </w:rPr>
            </w:pPr>
            <w:r>
              <w:rPr>
                <w:rFonts w:ascii="Arial" w:cs="Arial" w:eastAsia="Arial" w:hAnsi="Arial"/>
                <w:sz w:val="18"/>
                <w:szCs w:val="18"/>
                <w:color w:val="auto"/>
                <w:w w:val="90"/>
              </w:rPr>
              <w:t>3.45%</w:t>
            </w:r>
          </w:p>
        </w:tc>
      </w:tr>
      <w:tr>
        <w:trPr>
          <w:trHeight w:val="216"/>
        </w:trPr>
        <w:tc>
          <w:tcPr>
            <w:tcW w:w="3980" w:type="dxa"/>
            <w:vAlign w:val="bottom"/>
            <w:gridSpan w:val="2"/>
            <w:shd w:val="clear" w:color="auto" w:fill="EEEEEE"/>
          </w:tcPr>
          <w:p>
            <w:pPr>
              <w:jc w:val="center"/>
              <w:ind w:right="1160"/>
              <w:spacing w:after="0"/>
              <w:rPr>
                <w:sz w:val="20"/>
                <w:szCs w:val="20"/>
                <w:color w:val="auto"/>
              </w:rPr>
            </w:pPr>
            <w:r>
              <w:rPr>
                <w:rFonts w:ascii="Arial" w:cs="Arial" w:eastAsia="Arial" w:hAnsi="Arial"/>
                <w:sz w:val="18"/>
                <w:szCs w:val="18"/>
                <w:color w:val="auto"/>
                <w:w w:val="90"/>
              </w:rPr>
              <w:t>July 2017</w:t>
            </w:r>
          </w:p>
        </w:tc>
        <w:tc>
          <w:tcPr>
            <w:tcW w:w="28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3.52%</w:t>
            </w:r>
          </w:p>
        </w:tc>
      </w:tr>
      <w:tr>
        <w:trPr>
          <w:trHeight w:val="216"/>
        </w:trPr>
        <w:tc>
          <w:tcPr>
            <w:tcW w:w="3980" w:type="dxa"/>
            <w:vAlign w:val="bottom"/>
            <w:gridSpan w:val="2"/>
          </w:tcPr>
          <w:p>
            <w:pPr>
              <w:jc w:val="center"/>
              <w:ind w:right="1160"/>
              <w:spacing w:after="0"/>
              <w:rPr>
                <w:sz w:val="20"/>
                <w:szCs w:val="20"/>
                <w:color w:val="auto"/>
              </w:rPr>
            </w:pPr>
            <w:r>
              <w:rPr>
                <w:rFonts w:ascii="Arial" w:cs="Arial" w:eastAsia="Arial" w:hAnsi="Arial"/>
                <w:sz w:val="18"/>
                <w:szCs w:val="18"/>
                <w:color w:val="auto"/>
                <w:w w:val="89"/>
              </w:rPr>
              <w:t>October 2017</w:t>
            </w:r>
          </w:p>
        </w:tc>
        <w:tc>
          <w:tcPr>
            <w:tcW w:w="2860" w:type="dxa"/>
            <w:vAlign w:val="bottom"/>
          </w:tcPr>
          <w:p>
            <w:pPr>
              <w:jc w:val="center"/>
              <w:spacing w:after="0"/>
              <w:rPr>
                <w:sz w:val="20"/>
                <w:szCs w:val="20"/>
                <w:color w:val="auto"/>
              </w:rPr>
            </w:pPr>
            <w:r>
              <w:rPr>
                <w:rFonts w:ascii="Arial" w:cs="Arial" w:eastAsia="Arial" w:hAnsi="Arial"/>
                <w:sz w:val="18"/>
                <w:szCs w:val="18"/>
                <w:color w:val="auto"/>
                <w:w w:val="90"/>
              </w:rPr>
              <w:t>3.39%</w:t>
            </w:r>
          </w:p>
        </w:tc>
      </w:tr>
      <w:tr>
        <w:trPr>
          <w:trHeight w:val="216"/>
        </w:trPr>
        <w:tc>
          <w:tcPr>
            <w:tcW w:w="3980" w:type="dxa"/>
            <w:vAlign w:val="bottom"/>
            <w:gridSpan w:val="2"/>
            <w:shd w:val="clear" w:color="auto" w:fill="EEEEEE"/>
          </w:tcPr>
          <w:p>
            <w:pPr>
              <w:jc w:val="center"/>
              <w:ind w:right="1140"/>
              <w:spacing w:after="0"/>
              <w:rPr>
                <w:sz w:val="20"/>
                <w:szCs w:val="20"/>
                <w:color w:val="auto"/>
              </w:rPr>
            </w:pPr>
            <w:r>
              <w:rPr>
                <w:rFonts w:ascii="Arial" w:cs="Arial" w:eastAsia="Arial" w:hAnsi="Arial"/>
                <w:sz w:val="18"/>
                <w:szCs w:val="18"/>
                <w:color w:val="auto"/>
                <w:w w:val="87"/>
              </w:rPr>
              <w:t>January 2018</w:t>
            </w:r>
          </w:p>
        </w:tc>
        <w:tc>
          <w:tcPr>
            <w:tcW w:w="28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3.46%</w:t>
            </w:r>
          </w:p>
        </w:tc>
      </w:tr>
      <w:tr>
        <w:trPr>
          <w:trHeight w:val="216"/>
        </w:trPr>
        <w:tc>
          <w:tcPr>
            <w:tcW w:w="3980" w:type="dxa"/>
            <w:vAlign w:val="bottom"/>
            <w:gridSpan w:val="2"/>
          </w:tcPr>
          <w:p>
            <w:pPr>
              <w:jc w:val="center"/>
              <w:ind w:right="1160"/>
              <w:spacing w:after="0"/>
              <w:rPr>
                <w:sz w:val="20"/>
                <w:szCs w:val="20"/>
                <w:color w:val="auto"/>
              </w:rPr>
            </w:pPr>
            <w:r>
              <w:rPr>
                <w:rFonts w:ascii="Arial" w:cs="Arial" w:eastAsia="Arial" w:hAnsi="Arial"/>
                <w:sz w:val="18"/>
                <w:szCs w:val="18"/>
                <w:color w:val="auto"/>
                <w:w w:val="96"/>
              </w:rPr>
              <w:t>April 2018</w:t>
            </w:r>
          </w:p>
        </w:tc>
        <w:tc>
          <w:tcPr>
            <w:tcW w:w="2860" w:type="dxa"/>
            <w:vAlign w:val="bottom"/>
          </w:tcPr>
          <w:p>
            <w:pPr>
              <w:jc w:val="center"/>
              <w:spacing w:after="0"/>
              <w:rPr>
                <w:sz w:val="20"/>
                <w:szCs w:val="20"/>
                <w:color w:val="auto"/>
              </w:rPr>
            </w:pPr>
            <w:r>
              <w:rPr>
                <w:rFonts w:ascii="Arial" w:cs="Arial" w:eastAsia="Arial" w:hAnsi="Arial"/>
                <w:sz w:val="18"/>
                <w:szCs w:val="18"/>
                <w:color w:val="auto"/>
                <w:w w:val="90"/>
              </w:rPr>
              <w:t>3.98%</w:t>
            </w:r>
          </w:p>
        </w:tc>
      </w:tr>
      <w:tr>
        <w:trPr>
          <w:trHeight w:val="216"/>
        </w:trPr>
        <w:tc>
          <w:tcPr>
            <w:tcW w:w="3980" w:type="dxa"/>
            <w:vAlign w:val="bottom"/>
            <w:gridSpan w:val="2"/>
            <w:shd w:val="clear" w:color="auto" w:fill="EEEEEE"/>
          </w:tcPr>
          <w:p>
            <w:pPr>
              <w:jc w:val="center"/>
              <w:ind w:right="1160"/>
              <w:spacing w:after="0"/>
              <w:rPr>
                <w:sz w:val="20"/>
                <w:szCs w:val="20"/>
                <w:color w:val="auto"/>
              </w:rPr>
            </w:pPr>
            <w:r>
              <w:rPr>
                <w:rFonts w:ascii="Arial" w:cs="Arial" w:eastAsia="Arial" w:hAnsi="Arial"/>
                <w:sz w:val="18"/>
                <w:szCs w:val="18"/>
                <w:color w:val="auto"/>
                <w:w w:val="90"/>
              </w:rPr>
              <w:t>July 2018</w:t>
            </w:r>
          </w:p>
        </w:tc>
        <w:tc>
          <w:tcPr>
            <w:tcW w:w="28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4.18%</w:t>
            </w:r>
          </w:p>
        </w:tc>
      </w:tr>
      <w:tr>
        <w:trPr>
          <w:trHeight w:val="216"/>
        </w:trPr>
        <w:tc>
          <w:tcPr>
            <w:tcW w:w="3980" w:type="dxa"/>
            <w:vAlign w:val="bottom"/>
            <w:gridSpan w:val="2"/>
          </w:tcPr>
          <w:p>
            <w:pPr>
              <w:jc w:val="center"/>
              <w:ind w:right="1160"/>
              <w:spacing w:after="0"/>
              <w:rPr>
                <w:sz w:val="20"/>
                <w:szCs w:val="20"/>
                <w:color w:val="auto"/>
              </w:rPr>
            </w:pPr>
            <w:r>
              <w:rPr>
                <w:rFonts w:ascii="Arial" w:cs="Arial" w:eastAsia="Arial" w:hAnsi="Arial"/>
                <w:sz w:val="18"/>
                <w:szCs w:val="18"/>
                <w:color w:val="auto"/>
                <w:w w:val="89"/>
              </w:rPr>
              <w:t>October 2018</w:t>
            </w:r>
          </w:p>
        </w:tc>
        <w:tc>
          <w:tcPr>
            <w:tcW w:w="2860" w:type="dxa"/>
            <w:vAlign w:val="bottom"/>
          </w:tcPr>
          <w:p>
            <w:pPr>
              <w:jc w:val="center"/>
              <w:spacing w:after="0"/>
              <w:rPr>
                <w:sz w:val="20"/>
                <w:szCs w:val="20"/>
                <w:color w:val="auto"/>
              </w:rPr>
            </w:pPr>
            <w:r>
              <w:rPr>
                <w:rFonts w:ascii="Arial" w:cs="Arial" w:eastAsia="Arial" w:hAnsi="Arial"/>
                <w:sz w:val="18"/>
                <w:szCs w:val="18"/>
                <w:color w:val="auto"/>
                <w:w w:val="90"/>
              </w:rPr>
              <w:t>4.25%</w:t>
            </w:r>
          </w:p>
        </w:tc>
      </w:tr>
      <w:tr>
        <w:trPr>
          <w:trHeight w:val="216"/>
        </w:trPr>
        <w:tc>
          <w:tcPr>
            <w:tcW w:w="3980" w:type="dxa"/>
            <w:vAlign w:val="bottom"/>
            <w:gridSpan w:val="2"/>
            <w:shd w:val="clear" w:color="auto" w:fill="EEEEEE"/>
          </w:tcPr>
          <w:p>
            <w:pPr>
              <w:jc w:val="center"/>
              <w:ind w:right="1140"/>
              <w:spacing w:after="0"/>
              <w:rPr>
                <w:sz w:val="20"/>
                <w:szCs w:val="20"/>
                <w:color w:val="auto"/>
              </w:rPr>
            </w:pPr>
            <w:r>
              <w:rPr>
                <w:rFonts w:ascii="Arial" w:cs="Arial" w:eastAsia="Arial" w:hAnsi="Arial"/>
                <w:sz w:val="18"/>
                <w:szCs w:val="18"/>
                <w:color w:val="auto"/>
                <w:w w:val="87"/>
              </w:rPr>
              <w:t>January 2019</w:t>
            </w:r>
          </w:p>
        </w:tc>
        <w:tc>
          <w:tcPr>
            <w:tcW w:w="28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4.22%</w:t>
            </w:r>
          </w:p>
        </w:tc>
      </w:tr>
    </w:tbl>
    <w:p>
      <w:pPr>
        <w:spacing w:after="0" w:line="20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Interest expense on subordinated renewable notes decreased by $20,000, or 5.8%. The average balance of the outstanding subordinated debt decreased 12.9% to $14.4 million for the three months ended March 31, 2019 compared to $16.5 million for the three months ended March 31, 2018. However, the average yield of subordinated notes increased to 9.1% in the three-month period ended March 31, 2019 compared to 8.4% in the prior period.</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Interest expense on warehouse debt increased by $133,000, or 7.1%, for the three months ended March 31, 2019 compared to the prior period. The average rate on the debt decreased to 10.3% in the three-month period ended March 31, 2019 compared to 12.3% in the prior period. However, the decrease was offset by higher outstanding warehouse debt balance in the current period.</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Interest expense on residual interest financing was $956,000 for the three months ended March 31, 2019. There was no residual interest financing debt outstanding in the prior year period.</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presents the components of interest income and interest expense and a net interest yield analysis for the three-month periods ended March 31, 2019 and 2018:</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7"/>
          </w:tcPr>
          <w:p>
            <w:pPr>
              <w:jc w:val="center"/>
              <w:ind w:right="60"/>
              <w:spacing w:after="0"/>
              <w:rPr>
                <w:sz w:val="20"/>
                <w:szCs w:val="20"/>
                <w:color w:val="auto"/>
              </w:rPr>
            </w:pPr>
            <w:r>
              <w:rPr>
                <w:rFonts w:ascii="Arial" w:cs="Arial" w:eastAsia="Arial" w:hAnsi="Arial"/>
                <w:sz w:val="18"/>
                <w:szCs w:val="18"/>
                <w:b w:val="1"/>
                <w:bCs w:val="1"/>
                <w:color w:val="auto"/>
                <w:w w:val="92"/>
              </w:rPr>
              <w:t>Three Months Ended March 31,</w:t>
            </w: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80" w:type="dxa"/>
            <w:vAlign w:val="bottom"/>
            <w:gridSpan w:val="6"/>
          </w:tcPr>
          <w:p>
            <w:pPr>
              <w:jc w:val="center"/>
              <w:ind w:right="280"/>
              <w:spacing w:after="0" w:line="191" w:lineRule="exact"/>
              <w:rPr>
                <w:sz w:val="20"/>
                <w:szCs w:val="20"/>
                <w:color w:val="auto"/>
              </w:rPr>
            </w:pPr>
            <w:r>
              <w:rPr>
                <w:rFonts w:ascii="Arial" w:cs="Arial" w:eastAsia="Arial" w:hAnsi="Arial"/>
                <w:sz w:val="18"/>
                <w:szCs w:val="18"/>
                <w:b w:val="1"/>
                <w:bCs w:val="1"/>
                <w:color w:val="auto"/>
                <w:w w:val="89"/>
              </w:rPr>
              <w:t>(Dollars in thousands)</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Annualized</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Annualized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Average</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Average</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Average</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2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1"/>
              </w:rPr>
              <w:t>Balance (1)</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8"/>
              </w:rPr>
              <w:t>Interest</w:t>
            </w:r>
          </w:p>
        </w:tc>
        <w:tc>
          <w:tcPr>
            <w:tcW w:w="220" w:type="dxa"/>
            <w:vAlign w:val="bottom"/>
          </w:tcPr>
          <w:p>
            <w:pPr>
              <w:spacing w:after="0"/>
              <w:rPr>
                <w:sz w:val="20"/>
                <w:szCs w:val="20"/>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Yield/Rate</w:t>
            </w:r>
          </w:p>
        </w:tc>
        <w:tc>
          <w:tcPr>
            <w:tcW w:w="180" w:type="dxa"/>
            <w:vAlign w:val="bottom"/>
          </w:tcPr>
          <w:p>
            <w:pPr>
              <w:spacing w:after="0"/>
              <w:rPr>
                <w:sz w:val="20"/>
                <w:szCs w:val="20"/>
                <w:color w:val="auto"/>
              </w:rPr>
            </w:pPr>
          </w:p>
        </w:tc>
        <w:tc>
          <w:tcPr>
            <w:tcW w:w="118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9"/>
              </w:rPr>
              <w:t>Balance (1)</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ind w:left="60"/>
              <w:spacing w:after="0"/>
              <w:rPr>
                <w:sz w:val="20"/>
                <w:szCs w:val="20"/>
                <w:color w:val="auto"/>
              </w:rPr>
            </w:pPr>
            <w:r>
              <w:rPr>
                <w:rFonts w:ascii="Arial" w:cs="Arial" w:eastAsia="Arial" w:hAnsi="Arial"/>
                <w:sz w:val="18"/>
                <w:szCs w:val="18"/>
                <w:b w:val="1"/>
                <w:bCs w:val="1"/>
                <w:color w:val="auto"/>
              </w:rPr>
              <w:t>Interest</w:t>
            </w: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Yield/Rate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60" w:type="dxa"/>
            <w:vAlign w:val="bottom"/>
            <w:tcBorders>
              <w:top w:val="single" w:sz="8" w:color="EEEEEE"/>
            </w:tcBorders>
            <w:shd w:val="clear" w:color="auto" w:fill="EEEEEE"/>
          </w:tcPr>
          <w:p>
            <w:pPr>
              <w:spacing w:after="0"/>
              <w:rPr>
                <w:sz w:val="14"/>
                <w:szCs w:val="14"/>
                <w:color w:val="auto"/>
              </w:rPr>
            </w:pPr>
          </w:p>
        </w:tc>
        <w:tc>
          <w:tcPr>
            <w:tcW w:w="140" w:type="dxa"/>
            <w:vAlign w:val="bottom"/>
            <w:tcBorders>
              <w:top w:val="single" w:sz="8" w:color="EEEEEE"/>
            </w:tcBorders>
            <w:shd w:val="clear" w:color="auto" w:fill="EEEEEE"/>
          </w:tcPr>
          <w:p>
            <w:pPr>
              <w:spacing w:after="0"/>
              <w:rPr>
                <w:sz w:val="14"/>
                <w:szCs w:val="14"/>
                <w:color w:val="auto"/>
              </w:rPr>
            </w:pPr>
          </w:p>
        </w:tc>
        <w:tc>
          <w:tcPr>
            <w:tcW w:w="2720" w:type="dxa"/>
            <w:vAlign w:val="bottom"/>
            <w:tcBorders>
              <w:top w:val="single" w:sz="8" w:color="EEEEEE"/>
            </w:tcBorders>
            <w:gridSpan w:val="3"/>
            <w:shd w:val="clear" w:color="auto" w:fill="EEEEEE"/>
          </w:tcPr>
          <w:p>
            <w:pPr>
              <w:jc w:val="center"/>
              <w:ind w:right="940"/>
              <w:spacing w:after="0" w:line="170" w:lineRule="exact"/>
              <w:rPr>
                <w:sz w:val="20"/>
                <w:szCs w:val="20"/>
                <w:color w:val="auto"/>
              </w:rPr>
            </w:pPr>
            <w:r>
              <w:rPr>
                <w:rFonts w:ascii="Arial" w:cs="Arial" w:eastAsia="Arial" w:hAnsi="Arial"/>
                <w:sz w:val="18"/>
                <w:szCs w:val="18"/>
                <w:b w:val="1"/>
                <w:bCs w:val="1"/>
                <w:color w:val="auto"/>
                <w:w w:val="88"/>
              </w:rPr>
              <w:t>Interest Earning Assets</w:t>
            </w:r>
          </w:p>
        </w:tc>
        <w:tc>
          <w:tcPr>
            <w:tcW w:w="140" w:type="dxa"/>
            <w:vAlign w:val="bottom"/>
            <w:tcBorders>
              <w:top w:val="single" w:sz="8" w:color="auto"/>
            </w:tcBorders>
            <w:shd w:val="clear" w:color="auto" w:fill="EEEEEE"/>
          </w:tcPr>
          <w:p>
            <w:pPr>
              <w:spacing w:after="0"/>
              <w:rPr>
                <w:sz w:val="14"/>
                <w:szCs w:val="14"/>
                <w:color w:val="auto"/>
              </w:rPr>
            </w:pPr>
          </w:p>
        </w:tc>
        <w:tc>
          <w:tcPr>
            <w:tcW w:w="900" w:type="dxa"/>
            <w:vAlign w:val="bottom"/>
            <w:tcBorders>
              <w:top w:val="single" w:sz="8" w:color="auto"/>
            </w:tcBorders>
            <w:shd w:val="clear" w:color="auto" w:fill="EEEEEE"/>
          </w:tcPr>
          <w:p>
            <w:pPr>
              <w:spacing w:after="0"/>
              <w:rPr>
                <w:sz w:val="14"/>
                <w:szCs w:val="14"/>
                <w:color w:val="auto"/>
              </w:rPr>
            </w:pPr>
          </w:p>
        </w:tc>
        <w:tc>
          <w:tcPr>
            <w:tcW w:w="180" w:type="dxa"/>
            <w:vAlign w:val="bottom"/>
            <w:tcBorders>
              <w:top w:val="single" w:sz="8" w:color="EEEEEE"/>
            </w:tcBorders>
            <w:shd w:val="clear" w:color="auto" w:fill="EEEEEE"/>
          </w:tcPr>
          <w:p>
            <w:pPr>
              <w:spacing w:after="0"/>
              <w:rPr>
                <w:sz w:val="14"/>
                <w:szCs w:val="14"/>
                <w:color w:val="auto"/>
              </w:rPr>
            </w:pPr>
          </w:p>
        </w:tc>
        <w:tc>
          <w:tcPr>
            <w:tcW w:w="160" w:type="dxa"/>
            <w:vAlign w:val="bottom"/>
            <w:tcBorders>
              <w:top w:val="single" w:sz="8" w:color="EEEEEE"/>
            </w:tcBorders>
            <w:shd w:val="clear" w:color="auto" w:fill="EEEEEE"/>
          </w:tcPr>
          <w:p>
            <w:pPr>
              <w:spacing w:after="0"/>
              <w:rPr>
                <w:sz w:val="14"/>
                <w:szCs w:val="14"/>
                <w:color w:val="auto"/>
              </w:rPr>
            </w:pPr>
          </w:p>
        </w:tc>
        <w:tc>
          <w:tcPr>
            <w:tcW w:w="160" w:type="dxa"/>
            <w:vAlign w:val="bottom"/>
            <w:tcBorders>
              <w:top w:val="single" w:sz="8" w:color="auto"/>
            </w:tcBorders>
            <w:shd w:val="clear" w:color="auto" w:fill="EEEEEE"/>
          </w:tcPr>
          <w:p>
            <w:pPr>
              <w:spacing w:after="0"/>
              <w:rPr>
                <w:sz w:val="14"/>
                <w:szCs w:val="14"/>
                <w:color w:val="auto"/>
              </w:rPr>
            </w:pPr>
          </w:p>
        </w:tc>
        <w:tc>
          <w:tcPr>
            <w:tcW w:w="880" w:type="dxa"/>
            <w:vAlign w:val="bottom"/>
            <w:tcBorders>
              <w:top w:val="single" w:sz="8" w:color="auto"/>
            </w:tcBorders>
            <w:shd w:val="clear" w:color="auto" w:fill="EEEEEE"/>
          </w:tcPr>
          <w:p>
            <w:pPr>
              <w:spacing w:after="0"/>
              <w:rPr>
                <w:sz w:val="14"/>
                <w:szCs w:val="14"/>
                <w:color w:val="auto"/>
              </w:rPr>
            </w:pPr>
          </w:p>
        </w:tc>
        <w:tc>
          <w:tcPr>
            <w:tcW w:w="140" w:type="dxa"/>
            <w:vAlign w:val="bottom"/>
            <w:tcBorders>
              <w:top w:val="single" w:sz="8" w:color="EEEEEE"/>
            </w:tcBorders>
            <w:shd w:val="clear" w:color="auto" w:fill="EEEEEE"/>
          </w:tcPr>
          <w:p>
            <w:pPr>
              <w:spacing w:after="0"/>
              <w:rPr>
                <w:sz w:val="14"/>
                <w:szCs w:val="14"/>
                <w:color w:val="auto"/>
              </w:rPr>
            </w:pPr>
          </w:p>
        </w:tc>
        <w:tc>
          <w:tcPr>
            <w:tcW w:w="220" w:type="dxa"/>
            <w:vAlign w:val="bottom"/>
            <w:tcBorders>
              <w:top w:val="single" w:sz="8" w:color="EEEEEE"/>
            </w:tcBorders>
            <w:shd w:val="clear" w:color="auto" w:fill="EEEEEE"/>
          </w:tcPr>
          <w:p>
            <w:pPr>
              <w:spacing w:after="0"/>
              <w:rPr>
                <w:sz w:val="14"/>
                <w:szCs w:val="14"/>
                <w:color w:val="auto"/>
              </w:rPr>
            </w:pPr>
          </w:p>
        </w:tc>
        <w:tc>
          <w:tcPr>
            <w:tcW w:w="1040" w:type="dxa"/>
            <w:vAlign w:val="bottom"/>
            <w:tcBorders>
              <w:top w:val="single" w:sz="8" w:color="auto"/>
            </w:tcBorders>
            <w:shd w:val="clear" w:color="auto" w:fill="EEEEEE"/>
          </w:tcPr>
          <w:p>
            <w:pPr>
              <w:spacing w:after="0"/>
              <w:rPr>
                <w:sz w:val="14"/>
                <w:szCs w:val="14"/>
                <w:color w:val="auto"/>
              </w:rPr>
            </w:pPr>
          </w:p>
        </w:tc>
        <w:tc>
          <w:tcPr>
            <w:tcW w:w="180" w:type="dxa"/>
            <w:vAlign w:val="bottom"/>
            <w:tcBorders>
              <w:top w:val="single" w:sz="8" w:color="EEEEEE"/>
            </w:tcBorders>
            <w:shd w:val="clear" w:color="auto" w:fill="EEEEEE"/>
          </w:tcPr>
          <w:p>
            <w:pPr>
              <w:spacing w:after="0"/>
              <w:rPr>
                <w:sz w:val="14"/>
                <w:szCs w:val="14"/>
                <w:color w:val="auto"/>
              </w:rPr>
            </w:pPr>
          </w:p>
        </w:tc>
        <w:tc>
          <w:tcPr>
            <w:tcW w:w="180" w:type="dxa"/>
            <w:vAlign w:val="bottom"/>
            <w:tcBorders>
              <w:top w:val="single" w:sz="8" w:color="EEEEEE"/>
            </w:tcBorders>
            <w:shd w:val="clear" w:color="auto" w:fill="EEEEEE"/>
          </w:tcPr>
          <w:p>
            <w:pPr>
              <w:spacing w:after="0"/>
              <w:rPr>
                <w:sz w:val="14"/>
                <w:szCs w:val="14"/>
                <w:color w:val="auto"/>
              </w:rPr>
            </w:pPr>
          </w:p>
        </w:tc>
        <w:tc>
          <w:tcPr>
            <w:tcW w:w="140" w:type="dxa"/>
            <w:vAlign w:val="bottom"/>
            <w:tcBorders>
              <w:top w:val="single" w:sz="8" w:color="auto"/>
            </w:tcBorders>
            <w:shd w:val="clear" w:color="auto" w:fill="EEEEEE"/>
          </w:tcPr>
          <w:p>
            <w:pPr>
              <w:spacing w:after="0"/>
              <w:rPr>
                <w:sz w:val="14"/>
                <w:szCs w:val="14"/>
                <w:color w:val="auto"/>
              </w:rPr>
            </w:pPr>
          </w:p>
        </w:tc>
        <w:tc>
          <w:tcPr>
            <w:tcW w:w="880" w:type="dxa"/>
            <w:vAlign w:val="bottom"/>
            <w:tcBorders>
              <w:top w:val="single" w:sz="8" w:color="auto"/>
            </w:tcBorders>
            <w:shd w:val="clear" w:color="auto" w:fill="EEEEEE"/>
          </w:tcPr>
          <w:p>
            <w:pPr>
              <w:spacing w:after="0"/>
              <w:rPr>
                <w:sz w:val="14"/>
                <w:szCs w:val="14"/>
                <w:color w:val="auto"/>
              </w:rPr>
            </w:pPr>
          </w:p>
        </w:tc>
        <w:tc>
          <w:tcPr>
            <w:tcW w:w="160" w:type="dxa"/>
            <w:vAlign w:val="bottom"/>
            <w:tcBorders>
              <w:top w:val="single" w:sz="8" w:color="EEEEEE"/>
            </w:tcBorders>
            <w:shd w:val="clear" w:color="auto" w:fill="EEEEEE"/>
          </w:tcPr>
          <w:p>
            <w:pPr>
              <w:spacing w:after="0"/>
              <w:rPr>
                <w:sz w:val="14"/>
                <w:szCs w:val="14"/>
                <w:color w:val="auto"/>
              </w:rPr>
            </w:pPr>
          </w:p>
        </w:tc>
        <w:tc>
          <w:tcPr>
            <w:tcW w:w="160" w:type="dxa"/>
            <w:vAlign w:val="bottom"/>
            <w:tcBorders>
              <w:top w:val="single" w:sz="8" w:color="EEEEEE"/>
            </w:tcBorders>
            <w:shd w:val="clear" w:color="auto" w:fill="EEEEEE"/>
          </w:tcPr>
          <w:p>
            <w:pPr>
              <w:spacing w:after="0"/>
              <w:rPr>
                <w:sz w:val="14"/>
                <w:szCs w:val="14"/>
                <w:color w:val="auto"/>
              </w:rPr>
            </w:pPr>
          </w:p>
        </w:tc>
        <w:tc>
          <w:tcPr>
            <w:tcW w:w="160" w:type="dxa"/>
            <w:vAlign w:val="bottom"/>
            <w:tcBorders>
              <w:top w:val="single" w:sz="8" w:color="auto"/>
            </w:tcBorders>
            <w:shd w:val="clear" w:color="auto" w:fill="EEEEEE"/>
          </w:tcPr>
          <w:p>
            <w:pPr>
              <w:spacing w:after="0"/>
              <w:rPr>
                <w:sz w:val="14"/>
                <w:szCs w:val="14"/>
                <w:color w:val="auto"/>
              </w:rPr>
            </w:pPr>
          </w:p>
        </w:tc>
        <w:tc>
          <w:tcPr>
            <w:tcW w:w="860" w:type="dxa"/>
            <w:vAlign w:val="bottom"/>
            <w:tcBorders>
              <w:top w:val="single" w:sz="8" w:color="auto"/>
            </w:tcBorders>
            <w:shd w:val="clear" w:color="auto" w:fill="EEEEEE"/>
          </w:tcPr>
          <w:p>
            <w:pPr>
              <w:spacing w:after="0"/>
              <w:rPr>
                <w:sz w:val="14"/>
                <w:szCs w:val="14"/>
                <w:color w:val="auto"/>
              </w:rPr>
            </w:pPr>
          </w:p>
        </w:tc>
        <w:tc>
          <w:tcPr>
            <w:tcW w:w="320" w:type="dxa"/>
            <w:vAlign w:val="bottom"/>
            <w:tcBorders>
              <w:top w:val="single" w:sz="8" w:color="EEEEEE"/>
            </w:tcBorders>
            <w:shd w:val="clear" w:color="auto" w:fill="EEEEEE"/>
          </w:tcPr>
          <w:p>
            <w:pPr>
              <w:spacing w:after="0"/>
              <w:rPr>
                <w:sz w:val="14"/>
                <w:szCs w:val="14"/>
                <w:color w:val="auto"/>
              </w:rPr>
            </w:pPr>
          </w:p>
        </w:tc>
        <w:tc>
          <w:tcPr>
            <w:tcW w:w="1020" w:type="dxa"/>
            <w:vAlign w:val="bottom"/>
            <w:tcBorders>
              <w:top w:val="single" w:sz="8" w:color="auto"/>
            </w:tcBorders>
            <w:shd w:val="clear" w:color="auto" w:fill="EEEEEE"/>
          </w:tcPr>
          <w:p>
            <w:pPr>
              <w:spacing w:after="0"/>
              <w:rPr>
                <w:sz w:val="14"/>
                <w:szCs w:val="14"/>
                <w:color w:val="auto"/>
              </w:rPr>
            </w:pPr>
          </w:p>
        </w:tc>
        <w:tc>
          <w:tcPr>
            <w:tcW w:w="100" w:type="dxa"/>
            <w:vAlign w:val="bottom"/>
            <w:tcBorders>
              <w:top w:val="single" w:sz="8" w:color="EEEEEE"/>
            </w:tcBorders>
            <w:shd w:val="clear" w:color="auto" w:fill="EEEEEE"/>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6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1780" w:type="dxa"/>
            <w:vAlign w:val="bottom"/>
            <w:tcBorders>
              <w:top w:val="single" w:sz="8" w:color="auto"/>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80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90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160" w:type="dxa"/>
            <w:vAlign w:val="bottom"/>
            <w:tcBorders>
              <w:top w:val="single" w:sz="8" w:color="EEEEEE"/>
            </w:tcBorders>
            <w:shd w:val="clear" w:color="auto" w:fill="EEEEEE"/>
          </w:tcPr>
          <w:p>
            <w:pPr>
              <w:spacing w:after="0" w:line="20" w:lineRule="exact"/>
              <w:rPr>
                <w:sz w:val="1"/>
                <w:szCs w:val="1"/>
                <w:color w:val="auto"/>
              </w:rPr>
            </w:pPr>
          </w:p>
        </w:tc>
        <w:tc>
          <w:tcPr>
            <w:tcW w:w="160" w:type="dxa"/>
            <w:vAlign w:val="bottom"/>
            <w:tcBorders>
              <w:top w:val="single" w:sz="8" w:color="EEEEEE"/>
            </w:tcBorders>
            <w:shd w:val="clear" w:color="auto" w:fill="EEEEEE"/>
          </w:tcPr>
          <w:p>
            <w:pPr>
              <w:spacing w:after="0" w:line="20" w:lineRule="exact"/>
              <w:rPr>
                <w:sz w:val="1"/>
                <w:szCs w:val="1"/>
                <w:color w:val="auto"/>
              </w:rPr>
            </w:pPr>
          </w:p>
        </w:tc>
        <w:tc>
          <w:tcPr>
            <w:tcW w:w="88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104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880" w:type="dxa"/>
            <w:vAlign w:val="bottom"/>
            <w:tcBorders>
              <w:top w:val="single" w:sz="8" w:color="EEEEEE"/>
            </w:tcBorders>
            <w:shd w:val="clear" w:color="auto" w:fill="EEEEEE"/>
          </w:tcPr>
          <w:p>
            <w:pPr>
              <w:spacing w:after="0" w:line="20" w:lineRule="exact"/>
              <w:rPr>
                <w:sz w:val="1"/>
                <w:szCs w:val="1"/>
                <w:color w:val="auto"/>
              </w:rPr>
            </w:pPr>
          </w:p>
        </w:tc>
        <w:tc>
          <w:tcPr>
            <w:tcW w:w="160" w:type="dxa"/>
            <w:vAlign w:val="bottom"/>
            <w:tcBorders>
              <w:top w:val="single" w:sz="8" w:color="EEEEEE"/>
            </w:tcBorders>
            <w:shd w:val="clear" w:color="auto" w:fill="EEEEEE"/>
          </w:tcPr>
          <w:p>
            <w:pPr>
              <w:spacing w:after="0" w:line="20" w:lineRule="exact"/>
              <w:rPr>
                <w:sz w:val="1"/>
                <w:szCs w:val="1"/>
                <w:color w:val="auto"/>
              </w:rPr>
            </w:pPr>
          </w:p>
        </w:tc>
        <w:tc>
          <w:tcPr>
            <w:tcW w:w="160" w:type="dxa"/>
            <w:vAlign w:val="bottom"/>
            <w:tcBorders>
              <w:top w:val="single" w:sz="8" w:color="EEEEEE"/>
            </w:tcBorders>
            <w:shd w:val="clear" w:color="auto" w:fill="EEEEEE"/>
          </w:tcPr>
          <w:p>
            <w:pPr>
              <w:spacing w:after="0" w:line="20" w:lineRule="exact"/>
              <w:rPr>
                <w:sz w:val="1"/>
                <w:szCs w:val="1"/>
                <w:color w:val="auto"/>
              </w:rPr>
            </w:pPr>
          </w:p>
        </w:tc>
        <w:tc>
          <w:tcPr>
            <w:tcW w:w="160" w:type="dxa"/>
            <w:vAlign w:val="bottom"/>
            <w:tcBorders>
              <w:top w:val="single" w:sz="8" w:color="EEEEEE"/>
            </w:tcBorders>
            <w:shd w:val="clear" w:color="auto" w:fill="EEEEEE"/>
          </w:tcPr>
          <w:p>
            <w:pPr>
              <w:spacing w:after="0" w:line="20" w:lineRule="exact"/>
              <w:rPr>
                <w:sz w:val="1"/>
                <w:szCs w:val="1"/>
                <w:color w:val="auto"/>
              </w:rPr>
            </w:pPr>
          </w:p>
        </w:tc>
        <w:tc>
          <w:tcPr>
            <w:tcW w:w="860" w:type="dxa"/>
            <w:vAlign w:val="bottom"/>
            <w:tcBorders>
              <w:top w:val="single" w:sz="8" w:color="EEEEEE"/>
            </w:tcBorders>
            <w:shd w:val="clear" w:color="auto" w:fill="EEEEEE"/>
          </w:tcPr>
          <w:p>
            <w:pPr>
              <w:spacing w:after="0" w:line="20" w:lineRule="exact"/>
              <w:rPr>
                <w:sz w:val="1"/>
                <w:szCs w:val="1"/>
                <w:color w:val="auto"/>
              </w:rPr>
            </w:pPr>
          </w:p>
        </w:tc>
        <w:tc>
          <w:tcPr>
            <w:tcW w:w="320" w:type="dxa"/>
            <w:vAlign w:val="bottom"/>
            <w:tcBorders>
              <w:top w:val="single" w:sz="8" w:color="EEEEEE"/>
            </w:tcBorders>
            <w:shd w:val="clear" w:color="auto" w:fill="EEEEEE"/>
          </w:tcPr>
          <w:p>
            <w:pPr>
              <w:spacing w:after="0" w:line="20" w:lineRule="exact"/>
              <w:rPr>
                <w:sz w:val="1"/>
                <w:szCs w:val="1"/>
                <w:color w:val="auto"/>
              </w:rPr>
            </w:pPr>
          </w:p>
        </w:tc>
        <w:tc>
          <w:tcPr>
            <w:tcW w:w="102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gridSpan w:val="5"/>
          </w:tcPr>
          <w:p>
            <w:pPr>
              <w:spacing w:after="0"/>
              <w:rPr>
                <w:sz w:val="20"/>
                <w:szCs w:val="20"/>
                <w:color w:val="auto"/>
              </w:rPr>
            </w:pPr>
            <w:r>
              <w:rPr>
                <w:rFonts w:ascii="Arial" w:cs="Arial" w:eastAsia="Arial" w:hAnsi="Arial"/>
                <w:sz w:val="18"/>
                <w:szCs w:val="18"/>
                <w:color w:val="auto"/>
              </w:rPr>
              <w:t>Finance receivables gross (2)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1,401,047</w:t>
            </w:r>
          </w:p>
        </w:tc>
        <w:tc>
          <w:tcPr>
            <w:tcW w:w="1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63,030</w:t>
            </w:r>
          </w:p>
        </w:tc>
        <w:tc>
          <w:tcPr>
            <w:tcW w:w="1440" w:type="dxa"/>
            <w:vAlign w:val="bottom"/>
            <w:gridSpan w:val="3"/>
          </w:tcPr>
          <w:p>
            <w:pPr>
              <w:jc w:val="right"/>
              <w:ind w:right="180"/>
              <w:spacing w:after="0"/>
              <w:rPr>
                <w:sz w:val="20"/>
                <w:szCs w:val="20"/>
                <w:color w:val="auto"/>
              </w:rPr>
            </w:pPr>
            <w:r>
              <w:rPr>
                <w:rFonts w:ascii="Arial" w:cs="Arial" w:eastAsia="Arial" w:hAnsi="Arial"/>
                <w:sz w:val="18"/>
                <w:szCs w:val="18"/>
                <w:color w:val="auto"/>
              </w:rPr>
              <w:t>18.0%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2,160,975</w:t>
            </w:r>
          </w:p>
        </w:tc>
        <w:tc>
          <w:tcPr>
            <w:tcW w:w="160" w:type="dxa"/>
            <w:vAlign w:val="bottom"/>
          </w:tcPr>
          <w:p>
            <w:pPr>
              <w:spacing w:after="0"/>
              <w:rPr>
                <w:sz w:val="18"/>
                <w:szCs w:val="18"/>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97,398</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Finance receivables at fair value</w:t>
            </w:r>
          </w:p>
        </w:tc>
        <w:tc>
          <w:tcPr>
            <w:tcW w:w="140" w:type="dxa"/>
            <w:vAlign w:val="bottom"/>
            <w:shd w:val="clear" w:color="auto" w:fill="EEEEEE"/>
          </w:tcPr>
          <w:p>
            <w:pPr>
              <w:spacing w:after="0"/>
              <w:rPr>
                <w:sz w:val="19"/>
                <w:szCs w:val="19"/>
                <w:color w:val="auto"/>
              </w:rPr>
            </w:pPr>
          </w:p>
        </w:tc>
        <w:tc>
          <w:tcPr>
            <w:tcW w:w="10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955,566</w:t>
            </w:r>
          </w:p>
        </w:tc>
        <w:tc>
          <w:tcPr>
            <w:tcW w:w="16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02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22,815</w:t>
            </w:r>
          </w:p>
        </w:tc>
        <w:tc>
          <w:tcPr>
            <w:tcW w:w="1440" w:type="dxa"/>
            <w:vAlign w:val="bottom"/>
            <w:gridSpan w:val="3"/>
            <w:shd w:val="clear" w:color="auto" w:fill="EEEEEE"/>
          </w:tcPr>
          <w:p>
            <w:pPr>
              <w:jc w:val="right"/>
              <w:ind w:right="180"/>
              <w:spacing w:after="0"/>
              <w:rPr>
                <w:sz w:val="20"/>
                <w:szCs w:val="20"/>
                <w:color w:val="auto"/>
              </w:rPr>
            </w:pPr>
            <w:r>
              <w:rPr>
                <w:rFonts w:ascii="Arial" w:cs="Arial" w:eastAsia="Arial" w:hAnsi="Arial"/>
                <w:sz w:val="18"/>
                <w:szCs w:val="18"/>
                <w:color w:val="auto"/>
              </w:rPr>
              <w:t>9.6%</w:t>
            </w:r>
          </w:p>
        </w:tc>
        <w:tc>
          <w:tcPr>
            <w:tcW w:w="18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0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133,543</w:t>
            </w:r>
          </w:p>
        </w:tc>
        <w:tc>
          <w:tcPr>
            <w:tcW w:w="16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1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3,508</w:t>
            </w: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2,356,613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85,845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2,294,518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100,906</w:t>
            </w:r>
          </w:p>
        </w:tc>
        <w:tc>
          <w:tcPr>
            <w:tcW w:w="32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7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20" w:type="dxa"/>
            <w:vAlign w:val="bottom"/>
            <w:gridSpan w:val="5"/>
          </w:tcPr>
          <w:p>
            <w:pPr>
              <w:jc w:val="center"/>
              <w:ind w:right="240"/>
              <w:spacing w:after="0" w:line="176" w:lineRule="exact"/>
              <w:rPr>
                <w:sz w:val="20"/>
                <w:szCs w:val="20"/>
                <w:color w:val="auto"/>
              </w:rPr>
            </w:pPr>
            <w:r>
              <w:rPr>
                <w:rFonts w:ascii="Arial" w:cs="Arial" w:eastAsia="Arial" w:hAnsi="Arial"/>
                <w:sz w:val="18"/>
                <w:szCs w:val="18"/>
                <w:b w:val="1"/>
                <w:bCs w:val="1"/>
                <w:color w:val="auto"/>
                <w:w w:val="91"/>
              </w:rPr>
              <w:t>Interest Bearing Liabilities</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7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Warehouse lines of credit (3)</w:t>
            </w:r>
          </w:p>
        </w:tc>
        <w:tc>
          <w:tcPr>
            <w:tcW w:w="14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79,819</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2,020</w:t>
            </w:r>
          </w:p>
        </w:tc>
        <w:tc>
          <w:tcPr>
            <w:tcW w:w="1440" w:type="dxa"/>
            <w:vAlign w:val="bottom"/>
            <w:gridSpan w:val="3"/>
            <w:shd w:val="clear" w:color="auto" w:fill="EEEEEE"/>
          </w:tcPr>
          <w:p>
            <w:pPr>
              <w:jc w:val="right"/>
              <w:ind w:right="180"/>
              <w:spacing w:after="0"/>
              <w:rPr>
                <w:sz w:val="20"/>
                <w:szCs w:val="20"/>
                <w:color w:val="auto"/>
              </w:rPr>
            </w:pPr>
            <w:r>
              <w:rPr>
                <w:rFonts w:ascii="Arial" w:cs="Arial" w:eastAsia="Arial" w:hAnsi="Arial"/>
                <w:sz w:val="18"/>
                <w:szCs w:val="18"/>
                <w:color w:val="auto"/>
              </w:rPr>
              <w:t>10.3%</w:t>
            </w:r>
          </w:p>
        </w:tc>
        <w:tc>
          <w:tcPr>
            <w:tcW w:w="3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62,258</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1,887</w:t>
            </w: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5"/>
          </w:tcPr>
          <w:p>
            <w:pPr>
              <w:spacing w:after="0"/>
              <w:rPr>
                <w:sz w:val="20"/>
                <w:szCs w:val="20"/>
                <w:color w:val="auto"/>
              </w:rPr>
            </w:pPr>
            <w:r>
              <w:rPr>
                <w:rFonts w:ascii="Arial" w:cs="Arial" w:eastAsia="Arial" w:hAnsi="Arial"/>
                <w:sz w:val="18"/>
                <w:szCs w:val="18"/>
                <w:color w:val="auto"/>
              </w:rPr>
              <w:t>Residual interest financing</w:t>
            </w: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40,000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956</w:t>
            </w:r>
          </w:p>
        </w:tc>
        <w:tc>
          <w:tcPr>
            <w:tcW w:w="1440" w:type="dxa"/>
            <w:vAlign w:val="bottom"/>
            <w:gridSpan w:val="3"/>
          </w:tcPr>
          <w:p>
            <w:pPr>
              <w:jc w:val="right"/>
              <w:ind w:right="180"/>
              <w:spacing w:after="0"/>
              <w:rPr>
                <w:sz w:val="20"/>
                <w:szCs w:val="20"/>
                <w:color w:val="auto"/>
              </w:rPr>
            </w:pPr>
            <w:r>
              <w:rPr>
                <w:rFonts w:ascii="Arial" w:cs="Arial" w:eastAsia="Arial" w:hAnsi="Arial"/>
                <w:sz w:val="18"/>
                <w:szCs w:val="18"/>
                <w:color w:val="auto"/>
              </w:rPr>
              <w:t>9.6%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Securitization trust debt</w:t>
            </w:r>
          </w:p>
        </w:tc>
        <w:tc>
          <w:tcPr>
            <w:tcW w:w="140" w:type="dxa"/>
            <w:vAlign w:val="bottom"/>
            <w:shd w:val="clear" w:color="auto" w:fill="EEEEEE"/>
          </w:tcPr>
          <w:p>
            <w:pPr>
              <w:spacing w:after="0"/>
              <w:rPr>
                <w:sz w:val="18"/>
                <w:szCs w:val="18"/>
                <w:color w:val="auto"/>
              </w:rPr>
            </w:pP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2,193,486</w:t>
            </w:r>
          </w:p>
        </w:tc>
        <w:tc>
          <w:tcPr>
            <w:tcW w:w="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23,988</w:t>
            </w:r>
          </w:p>
        </w:tc>
        <w:tc>
          <w:tcPr>
            <w:tcW w:w="1440" w:type="dxa"/>
            <w:vAlign w:val="bottom"/>
            <w:gridSpan w:val="3"/>
            <w:shd w:val="clear" w:color="auto" w:fill="EEEEEE"/>
          </w:tcPr>
          <w:p>
            <w:pPr>
              <w:jc w:val="right"/>
              <w:ind w:right="180"/>
              <w:spacing w:after="0"/>
              <w:rPr>
                <w:sz w:val="20"/>
                <w:szCs w:val="20"/>
                <w:color w:val="auto"/>
              </w:rPr>
            </w:pPr>
            <w:r>
              <w:rPr>
                <w:rFonts w:ascii="Arial" w:cs="Arial" w:eastAsia="Arial" w:hAnsi="Arial"/>
                <w:sz w:val="18"/>
                <w:szCs w:val="18"/>
                <w:color w:val="auto"/>
              </w:rPr>
              <w:t>4.4%</w:t>
            </w: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2,158,224</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21,829</w:t>
            </w: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gridSpan w:val="5"/>
          </w:tcPr>
          <w:p>
            <w:pPr>
              <w:spacing w:after="0"/>
              <w:rPr>
                <w:sz w:val="20"/>
                <w:szCs w:val="20"/>
                <w:color w:val="auto"/>
              </w:rPr>
            </w:pPr>
            <w:r>
              <w:rPr>
                <w:rFonts w:ascii="Arial" w:cs="Arial" w:eastAsia="Arial" w:hAnsi="Arial"/>
                <w:sz w:val="18"/>
                <w:szCs w:val="18"/>
                <w:color w:val="auto"/>
              </w:rPr>
              <w:t>Subordinated renewable notes</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14,384</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326</w:t>
            </w:r>
          </w:p>
        </w:tc>
        <w:tc>
          <w:tcPr>
            <w:tcW w:w="1440" w:type="dxa"/>
            <w:vAlign w:val="bottom"/>
            <w:gridSpan w:val="3"/>
          </w:tcPr>
          <w:p>
            <w:pPr>
              <w:jc w:val="right"/>
              <w:ind w:right="180"/>
              <w:spacing w:after="0"/>
              <w:rPr>
                <w:sz w:val="20"/>
                <w:szCs w:val="20"/>
                <w:color w:val="auto"/>
              </w:rPr>
            </w:pPr>
            <w:r>
              <w:rPr>
                <w:rFonts w:ascii="Arial" w:cs="Arial" w:eastAsia="Arial" w:hAnsi="Arial"/>
                <w:sz w:val="18"/>
                <w:szCs w:val="18"/>
                <w:color w:val="auto"/>
              </w:rPr>
              <w:t>9.1%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16,510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346</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EEEEEE"/>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1780" w:type="dxa"/>
            <w:vAlign w:val="bottom"/>
            <w:shd w:val="clear" w:color="auto" w:fill="EEEEEE"/>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800" w:type="dxa"/>
            <w:vAlign w:val="bottom"/>
            <w:shd w:val="clear" w:color="auto" w:fill="EEEEEE"/>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shd w:val="clear" w:color="auto" w:fill="EEEEEE"/>
          </w:tcPr>
          <w:p>
            <w:pPr>
              <w:spacing w:after="0" w:line="20" w:lineRule="exact"/>
              <w:rPr>
                <w:sz w:val="1"/>
                <w:szCs w:val="1"/>
                <w:color w:val="auto"/>
              </w:rPr>
            </w:pPr>
          </w:p>
        </w:tc>
        <w:tc>
          <w:tcPr>
            <w:tcW w:w="160" w:type="dxa"/>
            <w:vAlign w:val="bottom"/>
            <w:shd w:val="clear" w:color="auto" w:fill="EEEEEE"/>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EEEEEE"/>
          </w:tcPr>
          <w:p>
            <w:pPr>
              <w:spacing w:after="0" w:line="20" w:lineRule="exact"/>
              <w:rPr>
                <w:sz w:val="1"/>
                <w:szCs w:val="1"/>
                <w:color w:val="auto"/>
              </w:rPr>
            </w:pPr>
          </w:p>
        </w:tc>
        <w:tc>
          <w:tcPr>
            <w:tcW w:w="220" w:type="dxa"/>
            <w:vAlign w:val="bottom"/>
            <w:vMerge w:val="restart"/>
            <w:shd w:val="clear" w:color="auto" w:fill="EEEEEE"/>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EEEEEE"/>
          </w:tcPr>
          <w:p>
            <w:pPr>
              <w:spacing w:after="0" w:line="20" w:lineRule="exact"/>
              <w:rPr>
                <w:sz w:val="1"/>
                <w:szCs w:val="1"/>
                <w:color w:val="auto"/>
              </w:rPr>
            </w:pPr>
          </w:p>
        </w:tc>
        <w:tc>
          <w:tcPr>
            <w:tcW w:w="180" w:type="dxa"/>
            <w:vAlign w:val="bottom"/>
            <w:shd w:val="clear" w:color="auto" w:fill="EEEEEE"/>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EEEEEE"/>
          </w:tcPr>
          <w:p>
            <w:pPr>
              <w:spacing w:after="0" w:line="20" w:lineRule="exact"/>
              <w:rPr>
                <w:sz w:val="1"/>
                <w:szCs w:val="1"/>
                <w:color w:val="auto"/>
              </w:rPr>
            </w:pPr>
          </w:p>
        </w:tc>
        <w:tc>
          <w:tcPr>
            <w:tcW w:w="160" w:type="dxa"/>
            <w:vAlign w:val="bottom"/>
            <w:shd w:val="clear" w:color="auto" w:fill="EEEEEE"/>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EEEEEE"/>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EEEE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6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78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800" w:type="dxa"/>
            <w:vAlign w:val="bottom"/>
            <w:shd w:val="clear" w:color="auto" w:fill="EEEEEE"/>
          </w:tcPr>
          <w:p>
            <w:pPr>
              <w:spacing w:after="0"/>
              <w:rPr>
                <w:sz w:val="20"/>
                <w:szCs w:val="20"/>
                <w:color w:val="auto"/>
              </w:rPr>
            </w:pPr>
          </w:p>
        </w:tc>
        <w:tc>
          <w:tcPr>
            <w:tcW w:w="14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2,327,689</w:t>
            </w:r>
          </w:p>
        </w:tc>
        <w:tc>
          <w:tcPr>
            <w:tcW w:w="18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27,290</w:t>
            </w:r>
          </w:p>
        </w:tc>
        <w:tc>
          <w:tcPr>
            <w:tcW w:w="140" w:type="dxa"/>
            <w:vAlign w:val="bottom"/>
            <w:vMerge w:val="continue"/>
            <w:shd w:val="clear" w:color="auto" w:fill="EEEEEE"/>
          </w:tcPr>
          <w:p>
            <w:pPr>
              <w:spacing w:after="0"/>
              <w:rPr>
                <w:sz w:val="20"/>
                <w:szCs w:val="20"/>
                <w:color w:val="auto"/>
              </w:rPr>
            </w:pPr>
          </w:p>
        </w:tc>
        <w:tc>
          <w:tcPr>
            <w:tcW w:w="220" w:type="dxa"/>
            <w:vAlign w:val="bottom"/>
            <w:vMerge w:val="continue"/>
            <w:shd w:val="clear" w:color="auto" w:fill="EEEEEE"/>
          </w:tcPr>
          <w:p>
            <w:pPr>
              <w:spacing w:after="0"/>
              <w:rPr>
                <w:sz w:val="20"/>
                <w:szCs w:val="20"/>
                <w:color w:val="auto"/>
              </w:rPr>
            </w:pPr>
          </w:p>
        </w:tc>
        <w:tc>
          <w:tcPr>
            <w:tcW w:w="10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4.7%</w:t>
            </w:r>
          </w:p>
        </w:tc>
        <w:tc>
          <w:tcPr>
            <w:tcW w:w="180" w:type="dxa"/>
            <w:vAlign w:val="bottom"/>
            <w:vMerge w:val="continue"/>
            <w:shd w:val="clear" w:color="auto" w:fill="EEEEEE"/>
          </w:tcPr>
          <w:p>
            <w:pPr>
              <w:spacing w:after="0"/>
              <w:rPr>
                <w:sz w:val="20"/>
                <w:szCs w:val="20"/>
                <w:color w:val="auto"/>
              </w:rPr>
            </w:pPr>
          </w:p>
        </w:tc>
        <w:tc>
          <w:tcPr>
            <w:tcW w:w="3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2,236,992</w:t>
            </w:r>
          </w:p>
        </w:tc>
        <w:tc>
          <w:tcPr>
            <w:tcW w:w="16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8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24,062</w:t>
            </w:r>
          </w:p>
        </w:tc>
        <w:tc>
          <w:tcPr>
            <w:tcW w:w="320" w:type="dxa"/>
            <w:vAlign w:val="bottom"/>
            <w:vMerge w:val="continue"/>
            <w:shd w:val="clear" w:color="auto" w:fill="EEEEEE"/>
          </w:tcPr>
          <w:p>
            <w:pPr>
              <w:spacing w:after="0"/>
              <w:rPr>
                <w:sz w:val="20"/>
                <w:szCs w:val="20"/>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4.3%</w:t>
            </w:r>
          </w:p>
        </w:tc>
        <w:tc>
          <w:tcPr>
            <w:tcW w:w="100" w:type="dxa"/>
            <w:vAlign w:val="bottom"/>
            <w:vMerge w:val="continue"/>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78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80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88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04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102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42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Net interest income/spread</w:t>
            </w:r>
          </w:p>
        </w:tc>
        <w:tc>
          <w:tcPr>
            <w:tcW w:w="140" w:type="dxa"/>
            <w:vAlign w:val="bottom"/>
            <w:shd w:val="clear" w:color="auto" w:fill="EEEEEE"/>
          </w:tcPr>
          <w:p>
            <w:pPr>
              <w:spacing w:after="0"/>
              <w:rPr>
                <w:sz w:val="21"/>
                <w:szCs w:val="21"/>
                <w:color w:val="auto"/>
              </w:rPr>
            </w:pPr>
          </w:p>
        </w:tc>
        <w:tc>
          <w:tcPr>
            <w:tcW w:w="900" w:type="dxa"/>
            <w:vAlign w:val="bottom"/>
            <w:shd w:val="clear" w:color="auto" w:fill="EEEEEE"/>
          </w:tcPr>
          <w:p>
            <w:pPr>
              <w:spacing w:after="0"/>
              <w:rPr>
                <w:sz w:val="21"/>
                <w:szCs w:val="21"/>
                <w:color w:val="auto"/>
              </w:rPr>
            </w:pPr>
          </w:p>
        </w:tc>
        <w:tc>
          <w:tcPr>
            <w:tcW w:w="180" w:type="dxa"/>
            <w:vAlign w:val="bottom"/>
            <w:shd w:val="clear" w:color="auto" w:fill="EEEEEE"/>
          </w:tcPr>
          <w:p>
            <w:pPr>
              <w:spacing w:after="0"/>
              <w:rPr>
                <w:sz w:val="21"/>
                <w:szCs w:val="21"/>
                <w:color w:val="auto"/>
              </w:rPr>
            </w:pPr>
          </w:p>
        </w:tc>
        <w:tc>
          <w:tcPr>
            <w:tcW w:w="160" w:type="dxa"/>
            <w:vAlign w:val="bottom"/>
            <w:shd w:val="clear" w:color="auto" w:fill="EEEEEE"/>
          </w:tcPr>
          <w:p>
            <w:pPr>
              <w:spacing w:after="0"/>
              <w:rPr>
                <w:sz w:val="21"/>
                <w:szCs w:val="21"/>
                <w:color w:val="auto"/>
              </w:rPr>
            </w:pPr>
          </w:p>
        </w:tc>
        <w:tc>
          <w:tcPr>
            <w:tcW w:w="1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58,555</w:t>
            </w:r>
          </w:p>
        </w:tc>
        <w:tc>
          <w:tcPr>
            <w:tcW w:w="220" w:type="dxa"/>
            <w:vAlign w:val="bottom"/>
            <w:shd w:val="clear" w:color="auto" w:fill="EEEEEE"/>
          </w:tcPr>
          <w:p>
            <w:pPr>
              <w:spacing w:after="0"/>
              <w:rPr>
                <w:sz w:val="21"/>
                <w:szCs w:val="21"/>
                <w:color w:val="auto"/>
              </w:rPr>
            </w:pPr>
          </w:p>
        </w:tc>
        <w:tc>
          <w:tcPr>
            <w:tcW w:w="1040" w:type="dxa"/>
            <w:vAlign w:val="bottom"/>
            <w:shd w:val="clear" w:color="auto" w:fill="EEEEEE"/>
          </w:tcPr>
          <w:p>
            <w:pPr>
              <w:spacing w:after="0"/>
              <w:rPr>
                <w:sz w:val="21"/>
                <w:szCs w:val="21"/>
                <w:color w:val="auto"/>
              </w:rPr>
            </w:pPr>
          </w:p>
        </w:tc>
        <w:tc>
          <w:tcPr>
            <w:tcW w:w="180" w:type="dxa"/>
            <w:vAlign w:val="bottom"/>
            <w:shd w:val="clear" w:color="auto" w:fill="EEEEEE"/>
          </w:tcPr>
          <w:p>
            <w:pPr>
              <w:spacing w:after="0"/>
              <w:rPr>
                <w:sz w:val="21"/>
                <w:szCs w:val="21"/>
                <w:color w:val="auto"/>
              </w:rPr>
            </w:pPr>
          </w:p>
        </w:tc>
        <w:tc>
          <w:tcPr>
            <w:tcW w:w="180" w:type="dxa"/>
            <w:vAlign w:val="bottom"/>
            <w:shd w:val="clear" w:color="auto" w:fill="EEEEEE"/>
          </w:tcPr>
          <w:p>
            <w:pPr>
              <w:spacing w:after="0"/>
              <w:rPr>
                <w:sz w:val="21"/>
                <w:szCs w:val="21"/>
                <w:color w:val="auto"/>
              </w:rPr>
            </w:pPr>
          </w:p>
        </w:tc>
        <w:tc>
          <w:tcPr>
            <w:tcW w:w="140" w:type="dxa"/>
            <w:vAlign w:val="bottom"/>
            <w:shd w:val="clear" w:color="auto" w:fill="EEEEEE"/>
          </w:tcPr>
          <w:p>
            <w:pPr>
              <w:spacing w:after="0"/>
              <w:rPr>
                <w:sz w:val="21"/>
                <w:szCs w:val="21"/>
                <w:color w:val="auto"/>
              </w:rPr>
            </w:pPr>
          </w:p>
        </w:tc>
        <w:tc>
          <w:tcPr>
            <w:tcW w:w="880" w:type="dxa"/>
            <w:vAlign w:val="bottom"/>
            <w:shd w:val="clear" w:color="auto" w:fill="EEEEEE"/>
          </w:tcPr>
          <w:p>
            <w:pPr>
              <w:spacing w:after="0"/>
              <w:rPr>
                <w:sz w:val="21"/>
                <w:szCs w:val="21"/>
                <w:color w:val="auto"/>
              </w:rPr>
            </w:pPr>
          </w:p>
        </w:tc>
        <w:tc>
          <w:tcPr>
            <w:tcW w:w="160" w:type="dxa"/>
            <w:vAlign w:val="bottom"/>
            <w:shd w:val="clear" w:color="auto" w:fill="EEEEEE"/>
          </w:tcPr>
          <w:p>
            <w:pPr>
              <w:spacing w:after="0"/>
              <w:rPr>
                <w:sz w:val="21"/>
                <w:szCs w:val="21"/>
                <w:color w:val="auto"/>
              </w:rPr>
            </w:pPr>
          </w:p>
        </w:tc>
        <w:tc>
          <w:tcPr>
            <w:tcW w:w="32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73,336</w:t>
            </w:r>
          </w:p>
        </w:tc>
        <w:tc>
          <w:tcPr>
            <w:tcW w:w="1020" w:type="dxa"/>
            <w:vAlign w:val="bottom"/>
            <w:shd w:val="clear" w:color="auto" w:fill="EEEEEE"/>
          </w:tcPr>
          <w:p>
            <w:pPr>
              <w:spacing w:after="0"/>
              <w:rPr>
                <w:sz w:val="21"/>
                <w:szCs w:val="21"/>
                <w:color w:val="auto"/>
              </w:rPr>
            </w:pPr>
          </w:p>
        </w:tc>
        <w:tc>
          <w:tcPr>
            <w:tcW w:w="100" w:type="dxa"/>
            <w:vAlign w:val="bottom"/>
            <w:shd w:val="clear" w:color="auto" w:fill="EEEEE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EEEEEE"/>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1780" w:type="dxa"/>
            <w:vAlign w:val="bottom"/>
            <w:shd w:val="clear" w:color="auto" w:fill="EEEEEE"/>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800" w:type="dxa"/>
            <w:vAlign w:val="bottom"/>
            <w:shd w:val="clear" w:color="auto" w:fill="EEEEEE"/>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900" w:type="dxa"/>
            <w:vAlign w:val="bottom"/>
            <w:shd w:val="clear" w:color="auto" w:fill="EEEEEE"/>
          </w:tcPr>
          <w:p>
            <w:pPr>
              <w:spacing w:after="0" w:line="20" w:lineRule="exact"/>
              <w:rPr>
                <w:sz w:val="1"/>
                <w:szCs w:val="1"/>
                <w:color w:val="auto"/>
              </w:rPr>
            </w:pPr>
          </w:p>
        </w:tc>
        <w:tc>
          <w:tcPr>
            <w:tcW w:w="180" w:type="dxa"/>
            <w:vAlign w:val="bottom"/>
            <w:shd w:val="clear" w:color="auto" w:fill="EEEEEE"/>
          </w:tcPr>
          <w:p>
            <w:pPr>
              <w:spacing w:after="0" w:line="20" w:lineRule="exact"/>
              <w:rPr>
                <w:sz w:val="1"/>
                <w:szCs w:val="1"/>
                <w:color w:val="auto"/>
              </w:rPr>
            </w:pPr>
          </w:p>
        </w:tc>
        <w:tc>
          <w:tcPr>
            <w:tcW w:w="160" w:type="dxa"/>
            <w:vAlign w:val="bottom"/>
            <w:shd w:val="clear" w:color="auto" w:fill="EEEEEE"/>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220" w:type="dxa"/>
            <w:vAlign w:val="bottom"/>
            <w:shd w:val="clear" w:color="auto" w:fill="EEEEEE"/>
          </w:tcPr>
          <w:p>
            <w:pPr>
              <w:spacing w:after="0" w:line="20" w:lineRule="exact"/>
              <w:rPr>
                <w:sz w:val="1"/>
                <w:szCs w:val="1"/>
                <w:color w:val="auto"/>
              </w:rPr>
            </w:pPr>
          </w:p>
        </w:tc>
        <w:tc>
          <w:tcPr>
            <w:tcW w:w="1040" w:type="dxa"/>
            <w:vAlign w:val="bottom"/>
            <w:shd w:val="clear" w:color="auto" w:fill="EEEEEE"/>
          </w:tcPr>
          <w:p>
            <w:pPr>
              <w:spacing w:after="0" w:line="20" w:lineRule="exact"/>
              <w:rPr>
                <w:sz w:val="1"/>
                <w:szCs w:val="1"/>
                <w:color w:val="auto"/>
              </w:rPr>
            </w:pPr>
          </w:p>
        </w:tc>
        <w:tc>
          <w:tcPr>
            <w:tcW w:w="180" w:type="dxa"/>
            <w:vAlign w:val="bottom"/>
            <w:shd w:val="clear" w:color="auto" w:fill="EEEEEE"/>
          </w:tcPr>
          <w:p>
            <w:pPr>
              <w:spacing w:after="0" w:line="20" w:lineRule="exact"/>
              <w:rPr>
                <w:sz w:val="1"/>
                <w:szCs w:val="1"/>
                <w:color w:val="auto"/>
              </w:rPr>
            </w:pPr>
          </w:p>
        </w:tc>
        <w:tc>
          <w:tcPr>
            <w:tcW w:w="180" w:type="dxa"/>
            <w:vAlign w:val="bottom"/>
            <w:shd w:val="clear" w:color="auto" w:fill="EEEEEE"/>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880" w:type="dxa"/>
            <w:vAlign w:val="bottom"/>
            <w:shd w:val="clear" w:color="auto" w:fill="EEEEEE"/>
          </w:tcPr>
          <w:p>
            <w:pPr>
              <w:spacing w:after="0" w:line="20" w:lineRule="exact"/>
              <w:rPr>
                <w:sz w:val="1"/>
                <w:szCs w:val="1"/>
                <w:color w:val="auto"/>
              </w:rPr>
            </w:pPr>
          </w:p>
        </w:tc>
        <w:tc>
          <w:tcPr>
            <w:tcW w:w="160" w:type="dxa"/>
            <w:vAlign w:val="bottom"/>
            <w:shd w:val="clear" w:color="auto" w:fill="EEEEEE"/>
          </w:tcPr>
          <w:p>
            <w:pPr>
              <w:spacing w:after="0" w:line="20" w:lineRule="exact"/>
              <w:rPr>
                <w:sz w:val="1"/>
                <w:szCs w:val="1"/>
                <w:color w:val="auto"/>
              </w:rPr>
            </w:pPr>
          </w:p>
        </w:tc>
        <w:tc>
          <w:tcPr>
            <w:tcW w:w="160" w:type="dxa"/>
            <w:vAlign w:val="bottom"/>
            <w:shd w:val="clear" w:color="auto" w:fill="EEEEEE"/>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shd w:val="clear" w:color="auto" w:fill="EEEEEE"/>
          </w:tcPr>
          <w:p>
            <w:pPr>
              <w:spacing w:after="0" w:line="20" w:lineRule="exact"/>
              <w:rPr>
                <w:sz w:val="1"/>
                <w:szCs w:val="1"/>
                <w:color w:val="auto"/>
              </w:rPr>
            </w:pPr>
          </w:p>
        </w:tc>
        <w:tc>
          <w:tcPr>
            <w:tcW w:w="1020" w:type="dxa"/>
            <w:vAlign w:val="bottom"/>
            <w:shd w:val="clear" w:color="auto" w:fill="EEEEEE"/>
          </w:tcPr>
          <w:p>
            <w:pPr>
              <w:spacing w:after="0" w:line="20" w:lineRule="exact"/>
              <w:rPr>
                <w:sz w:val="1"/>
                <w:szCs w:val="1"/>
                <w:color w:val="auto"/>
              </w:rPr>
            </w:pPr>
          </w:p>
        </w:tc>
        <w:tc>
          <w:tcPr>
            <w:tcW w:w="100" w:type="dxa"/>
            <w:vAlign w:val="bottom"/>
            <w:shd w:val="clear" w:color="auto" w:fill="EEEE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440" w:type="dxa"/>
            <w:vAlign w:val="bottom"/>
            <w:gridSpan w:val="6"/>
            <w:vMerge w:val="restart"/>
          </w:tcPr>
          <w:p>
            <w:pPr>
              <w:spacing w:after="0"/>
              <w:rPr>
                <w:sz w:val="20"/>
                <w:szCs w:val="20"/>
                <w:color w:val="auto"/>
              </w:rPr>
            </w:pPr>
            <w:r>
              <w:rPr>
                <w:rFonts w:ascii="Arial" w:cs="Arial" w:eastAsia="Arial" w:hAnsi="Arial"/>
                <w:sz w:val="18"/>
                <w:szCs w:val="18"/>
                <w:color w:val="auto"/>
              </w:rPr>
              <w:t>Net interest yield (3)</w:t>
            </w: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gridSpan w:val="3"/>
            <w:vMerge w:val="restart"/>
          </w:tcPr>
          <w:p>
            <w:pPr>
              <w:jc w:val="right"/>
              <w:ind w:right="180"/>
              <w:spacing w:after="0"/>
              <w:rPr>
                <w:sz w:val="20"/>
                <w:szCs w:val="20"/>
                <w:color w:val="auto"/>
              </w:rPr>
            </w:pPr>
            <w:r>
              <w:rPr>
                <w:rFonts w:ascii="Arial" w:cs="Arial" w:eastAsia="Arial" w:hAnsi="Arial"/>
                <w:sz w:val="18"/>
                <w:szCs w:val="18"/>
                <w:color w:val="auto"/>
              </w:rPr>
              <w:t>9.9%</w:t>
            </w: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line="20" w:lineRule="exact"/>
              <w:rPr>
                <w:sz w:val="1"/>
                <w:szCs w:val="1"/>
                <w:color w:val="auto"/>
              </w:rPr>
            </w:pPr>
          </w:p>
        </w:tc>
      </w:tr>
      <w:tr>
        <w:trPr>
          <w:trHeight w:val="197"/>
        </w:trPr>
        <w:tc>
          <w:tcPr>
            <w:tcW w:w="3440" w:type="dxa"/>
            <w:vAlign w:val="bottom"/>
            <w:gridSpan w:val="6"/>
            <w:vMerge w:val="continue"/>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3"/>
            <w:vMerge w:val="continue"/>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20" w:type="dxa"/>
            <w:vAlign w:val="bottom"/>
            <w:gridSpan w:val="5"/>
            <w:shd w:val="clear" w:color="auto" w:fill="EEEEEE"/>
          </w:tcPr>
          <w:p>
            <w:pPr>
              <w:spacing w:after="0" w:line="201" w:lineRule="exact"/>
              <w:rPr>
                <w:sz w:val="20"/>
                <w:szCs w:val="20"/>
                <w:color w:val="auto"/>
              </w:rPr>
            </w:pPr>
            <w:r>
              <w:rPr>
                <w:rFonts w:ascii="Arial" w:cs="Arial" w:eastAsia="Arial" w:hAnsi="Arial"/>
                <w:sz w:val="18"/>
                <w:szCs w:val="18"/>
                <w:color w:val="auto"/>
              </w:rPr>
              <w:t>Ratio of average interest earning assets to</w:t>
            </w:r>
          </w:p>
        </w:tc>
        <w:tc>
          <w:tcPr>
            <w:tcW w:w="140" w:type="dxa"/>
            <w:vAlign w:val="bottom"/>
            <w:shd w:val="clear" w:color="auto" w:fill="EEEEEE"/>
          </w:tcPr>
          <w:p>
            <w:pPr>
              <w:spacing w:after="0"/>
              <w:rPr>
                <w:sz w:val="17"/>
                <w:szCs w:val="17"/>
                <w:color w:val="auto"/>
              </w:rPr>
            </w:pPr>
          </w:p>
        </w:tc>
        <w:tc>
          <w:tcPr>
            <w:tcW w:w="90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8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gridSpan w:val="5"/>
            <w:shd w:val="clear" w:color="auto" w:fill="EEEEEE"/>
          </w:tcPr>
          <w:p>
            <w:pPr>
              <w:ind w:left="160"/>
              <w:spacing w:after="0"/>
              <w:rPr>
                <w:sz w:val="20"/>
                <w:szCs w:val="20"/>
                <w:color w:val="auto"/>
              </w:rPr>
            </w:pPr>
            <w:r>
              <w:rPr>
                <w:rFonts w:ascii="Arial" w:cs="Arial" w:eastAsia="Arial" w:hAnsi="Arial"/>
                <w:sz w:val="18"/>
                <w:szCs w:val="18"/>
                <w:color w:val="auto"/>
              </w:rPr>
              <w:t>average interest bearing liabilities</w:t>
            </w:r>
          </w:p>
        </w:tc>
        <w:tc>
          <w:tcPr>
            <w:tcW w:w="140" w:type="dxa"/>
            <w:vAlign w:val="bottom"/>
            <w:shd w:val="clear" w:color="auto" w:fill="EEEEEE"/>
          </w:tcPr>
          <w:p>
            <w:pPr>
              <w:spacing w:after="0"/>
              <w:rPr>
                <w:sz w:val="20"/>
                <w:szCs w:val="20"/>
                <w:color w:val="auto"/>
              </w:rPr>
            </w:pPr>
          </w:p>
        </w:tc>
        <w:tc>
          <w:tcPr>
            <w:tcW w:w="90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88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440" w:type="dxa"/>
            <w:vAlign w:val="bottom"/>
            <w:gridSpan w:val="3"/>
            <w:shd w:val="clear" w:color="auto" w:fill="EEEEEE"/>
          </w:tcPr>
          <w:p>
            <w:pPr>
              <w:jc w:val="right"/>
              <w:ind w:right="180"/>
              <w:spacing w:after="0"/>
              <w:rPr>
                <w:sz w:val="20"/>
                <w:szCs w:val="20"/>
                <w:color w:val="auto"/>
              </w:rPr>
            </w:pPr>
            <w:r>
              <w:rPr>
                <w:rFonts w:ascii="Arial" w:cs="Arial" w:eastAsia="Arial" w:hAnsi="Arial"/>
                <w:sz w:val="18"/>
                <w:szCs w:val="18"/>
                <w:color w:val="auto"/>
              </w:rPr>
              <w:t>101%</w:t>
            </w:r>
          </w:p>
        </w:tc>
        <w:tc>
          <w:tcPr>
            <w:tcW w:w="18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88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860" w:type="dxa"/>
            <w:vAlign w:val="bottom"/>
            <w:shd w:val="clear" w:color="auto" w:fill="EEEEEE"/>
          </w:tcPr>
          <w:p>
            <w:pPr>
              <w:spacing w:after="0"/>
              <w:rPr>
                <w:sz w:val="20"/>
                <w:szCs w:val="20"/>
                <w:color w:val="auto"/>
              </w:rPr>
            </w:pPr>
          </w:p>
        </w:tc>
        <w:tc>
          <w:tcPr>
            <w:tcW w:w="320" w:type="dxa"/>
            <w:vAlign w:val="bottom"/>
            <w:shd w:val="clear" w:color="auto" w:fill="EEEEEE"/>
          </w:tcPr>
          <w:p>
            <w:pPr>
              <w:spacing w:after="0"/>
              <w:rPr>
                <w:sz w:val="20"/>
                <w:szCs w:val="20"/>
                <w:color w:val="auto"/>
              </w:rPr>
            </w:pP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Average balances are based on month end balances except for warehouse lines of credit, which are based on daily balances.</w:t>
      </w:r>
    </w:p>
    <w:p>
      <w:pPr>
        <w:spacing w:after="0" w:line="23" w:lineRule="exact"/>
        <w:rPr>
          <w:rFonts w:ascii="Arial" w:cs="Arial" w:eastAsia="Arial" w:hAnsi="Arial"/>
          <w:sz w:val="18"/>
          <w:szCs w:val="18"/>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Net of deferred fees and direct costs.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Annualized net interest income divided by average interest earning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60" w:type="dxa"/>
            <w:vAlign w:val="bottom"/>
            <w:gridSpan w:val="10"/>
          </w:tcPr>
          <w:p>
            <w:pPr>
              <w:jc w:val="center"/>
              <w:ind w:right="340"/>
              <w:spacing w:after="0"/>
              <w:rPr>
                <w:sz w:val="20"/>
                <w:szCs w:val="20"/>
                <w:color w:val="auto"/>
              </w:rPr>
            </w:pPr>
            <w:r>
              <w:rPr>
                <w:rFonts w:ascii="Arial" w:cs="Arial" w:eastAsia="Arial" w:hAnsi="Arial"/>
                <w:sz w:val="18"/>
                <w:szCs w:val="18"/>
                <w:b w:val="1"/>
                <w:bCs w:val="1"/>
                <w:color w:val="auto"/>
                <w:w w:val="92"/>
              </w:rPr>
              <w:t>Three Months Ended March 31, 2019</w:t>
            </w:r>
          </w:p>
        </w:tc>
      </w:tr>
      <w:tr>
        <w:trPr>
          <w:trHeight w:val="234"/>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7"/>
          </w:tcPr>
          <w:p>
            <w:pPr>
              <w:jc w:val="center"/>
              <w:ind w:left="890"/>
              <w:spacing w:after="0"/>
              <w:rPr>
                <w:sz w:val="20"/>
                <w:szCs w:val="20"/>
                <w:color w:val="auto"/>
              </w:rPr>
            </w:pPr>
            <w:r>
              <w:rPr>
                <w:rFonts w:ascii="Arial" w:cs="Arial" w:eastAsia="Arial" w:hAnsi="Arial"/>
                <w:sz w:val="18"/>
                <w:szCs w:val="18"/>
                <w:b w:val="1"/>
                <w:bCs w:val="1"/>
                <w:color w:val="auto"/>
                <w:w w:val="91"/>
              </w:rPr>
              <w:t>Compared to March 31, 2018</w:t>
            </w:r>
          </w:p>
        </w:tc>
        <w:tc>
          <w:tcPr>
            <w:tcW w:w="12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5"/>
        </w:trPr>
        <w:tc>
          <w:tcPr>
            <w:tcW w:w="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jc w:val="right"/>
              <w:ind w:right="620"/>
              <w:spacing w:after="0" w:line="205" w:lineRule="exact"/>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gridSpan w:val="2"/>
          </w:tcPr>
          <w:p>
            <w:pPr>
              <w:jc w:val="center"/>
              <w:ind w:right="360"/>
              <w:spacing w:after="0" w:line="205" w:lineRule="exact"/>
              <w:rPr>
                <w:sz w:val="20"/>
                <w:szCs w:val="20"/>
                <w:color w:val="auto"/>
              </w:rPr>
            </w:pPr>
            <w:r>
              <w:rPr>
                <w:rFonts w:ascii="Arial" w:cs="Arial" w:eastAsia="Arial" w:hAnsi="Arial"/>
                <w:sz w:val="18"/>
                <w:szCs w:val="18"/>
                <w:b w:val="1"/>
                <w:bCs w:val="1"/>
                <w:color w:val="auto"/>
                <w:w w:val="89"/>
              </w:rPr>
              <w:t>Change Due</w:t>
            </w:r>
          </w:p>
        </w:tc>
        <w:tc>
          <w:tcPr>
            <w:tcW w:w="140" w:type="dxa"/>
            <w:vAlign w:val="bottom"/>
          </w:tcPr>
          <w:p>
            <w:pPr>
              <w:spacing w:after="0"/>
              <w:rPr>
                <w:sz w:val="17"/>
                <w:szCs w:val="17"/>
                <w:color w:val="auto"/>
              </w:rPr>
            </w:pPr>
          </w:p>
        </w:tc>
        <w:tc>
          <w:tcPr>
            <w:tcW w:w="1220" w:type="dxa"/>
            <w:vAlign w:val="bottom"/>
          </w:tcPr>
          <w:p>
            <w:pPr>
              <w:jc w:val="right"/>
              <w:ind w:right="130"/>
              <w:spacing w:after="0" w:line="205" w:lineRule="exact"/>
              <w:rPr>
                <w:sz w:val="20"/>
                <w:szCs w:val="20"/>
                <w:color w:val="auto"/>
              </w:rPr>
            </w:pPr>
            <w:r>
              <w:rPr>
                <w:rFonts w:ascii="Arial" w:cs="Arial" w:eastAsia="Arial" w:hAnsi="Arial"/>
                <w:sz w:val="18"/>
                <w:szCs w:val="18"/>
                <w:b w:val="1"/>
                <w:bCs w:val="1"/>
                <w:color w:val="auto"/>
                <w:w w:val="93"/>
              </w:rPr>
              <w:t>Change Due</w:t>
            </w:r>
          </w:p>
        </w:tc>
        <w:tc>
          <w:tcPr>
            <w:tcW w:w="100" w:type="dxa"/>
            <w:vAlign w:val="bottom"/>
            <w:gridSpan w:val="2"/>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Change</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to Volume</w:t>
            </w:r>
          </w:p>
        </w:tc>
        <w:tc>
          <w:tcPr>
            <w:tcW w:w="140" w:type="dxa"/>
            <w:vAlign w:val="bottom"/>
          </w:tcPr>
          <w:p>
            <w:pPr>
              <w:spacing w:after="0"/>
              <w:rPr>
                <w:sz w:val="20"/>
                <w:szCs w:val="20"/>
                <w:color w:val="auto"/>
              </w:rPr>
            </w:pPr>
          </w:p>
        </w:tc>
        <w:tc>
          <w:tcPr>
            <w:tcW w:w="1320" w:type="dxa"/>
            <w:vAlign w:val="bottom"/>
            <w:gridSpan w:val="3"/>
          </w:tcPr>
          <w:p>
            <w:pPr>
              <w:jc w:val="right"/>
              <w:ind w:right="500"/>
              <w:spacing w:after="0"/>
              <w:rPr>
                <w:sz w:val="20"/>
                <w:szCs w:val="20"/>
                <w:color w:val="auto"/>
              </w:rPr>
            </w:pPr>
            <w:r>
              <w:rPr>
                <w:rFonts w:ascii="Arial" w:cs="Arial" w:eastAsia="Arial" w:hAnsi="Arial"/>
                <w:sz w:val="18"/>
                <w:szCs w:val="18"/>
                <w:b w:val="1"/>
                <w:bCs w:val="1"/>
                <w:color w:val="auto"/>
              </w:rPr>
              <w:t>to Rate</w:t>
            </w:r>
          </w:p>
        </w:tc>
      </w:tr>
      <w:tr>
        <w:trPr>
          <w:trHeight w:val="210"/>
        </w:trPr>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gridSpan w:val="2"/>
          </w:tcPr>
          <w:p>
            <w:pPr>
              <w:jc w:val="center"/>
              <w:ind w:right="380"/>
              <w:spacing w:after="0"/>
              <w:rPr>
                <w:sz w:val="20"/>
                <w:szCs w:val="20"/>
                <w:color w:val="auto"/>
              </w:rPr>
            </w:pPr>
            <w:r>
              <w:rPr>
                <w:rFonts w:ascii="Arial" w:cs="Arial" w:eastAsia="Arial" w:hAnsi="Arial"/>
                <w:sz w:val="18"/>
                <w:szCs w:val="18"/>
                <w:b w:val="1"/>
                <w:bCs w:val="1"/>
                <w:color w:val="auto"/>
                <w:w w:val="90"/>
              </w:rPr>
              <w:t>(In thousands)</w:t>
            </w: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21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4280" w:type="dxa"/>
            <w:vAlign w:val="bottom"/>
            <w:gridSpan w:val="3"/>
            <w:shd w:val="clear" w:color="auto" w:fill="EEEEEE"/>
          </w:tcPr>
          <w:p>
            <w:pPr>
              <w:jc w:val="center"/>
              <w:ind w:right="2480"/>
              <w:spacing w:after="0" w:line="176" w:lineRule="exact"/>
              <w:rPr>
                <w:sz w:val="20"/>
                <w:szCs w:val="20"/>
                <w:color w:val="auto"/>
              </w:rPr>
            </w:pPr>
            <w:r>
              <w:rPr>
                <w:rFonts w:ascii="Arial" w:cs="Arial" w:eastAsia="Arial" w:hAnsi="Arial"/>
                <w:sz w:val="18"/>
                <w:szCs w:val="18"/>
                <w:b w:val="1"/>
                <w:bCs w:val="1"/>
                <w:color w:val="auto"/>
                <w:w w:val="89"/>
              </w:rPr>
              <w:t>Interest Earning Assets</w:t>
            </w:r>
          </w:p>
        </w:tc>
        <w:tc>
          <w:tcPr>
            <w:tcW w:w="24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28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2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220" w:type="dxa"/>
            <w:vAlign w:val="bottom"/>
            <w:tcBorders>
              <w:top w:val="single" w:sz="8" w:color="EEEEEE"/>
            </w:tcBorders>
            <w:gridSpan w:val="2"/>
          </w:tcPr>
          <w:p>
            <w:pPr>
              <w:spacing w:after="0"/>
              <w:rPr>
                <w:sz w:val="20"/>
                <w:szCs w:val="20"/>
                <w:color w:val="auto"/>
              </w:rPr>
            </w:pPr>
            <w:r>
              <w:rPr>
                <w:rFonts w:ascii="Arial" w:cs="Arial" w:eastAsia="Arial" w:hAnsi="Arial"/>
                <w:sz w:val="18"/>
                <w:szCs w:val="18"/>
                <w:color w:val="auto"/>
              </w:rPr>
              <w:t>Finance receivables gross</w:t>
            </w:r>
          </w:p>
        </w:tc>
        <w:tc>
          <w:tcPr>
            <w:tcW w:w="1800" w:type="dxa"/>
            <w:vAlign w:val="bottom"/>
            <w:tcBorders>
              <w:top w:val="single" w:sz="8" w:color="auto"/>
            </w:tcBorders>
          </w:tcPr>
          <w:p>
            <w:pPr>
              <w:spacing w:after="0"/>
              <w:rPr>
                <w:sz w:val="18"/>
                <w:szCs w:val="18"/>
                <w:color w:val="auto"/>
              </w:rPr>
            </w:pPr>
          </w:p>
        </w:tc>
        <w:tc>
          <w:tcPr>
            <w:tcW w:w="2480" w:type="dxa"/>
            <w:vAlign w:val="bottom"/>
            <w:tcBorders>
              <w:top w:val="single" w:sz="8" w:color="EEEEEE"/>
            </w:tcBorders>
            <w:gridSpan w:val="2"/>
          </w:tcPr>
          <w:p>
            <w:pPr>
              <w:spacing w:after="0"/>
              <w:rPr>
                <w:sz w:val="18"/>
                <w:szCs w:val="18"/>
                <w:color w:val="auto"/>
              </w:rPr>
            </w:pPr>
          </w:p>
        </w:tc>
        <w:tc>
          <w:tcPr>
            <w:tcW w:w="240" w:type="dxa"/>
            <w:vAlign w:val="bottom"/>
            <w:tcBorders>
              <w:top w:val="single" w:sz="8" w:color="EEEEEE"/>
            </w:tcBorders>
          </w:tcPr>
          <w:p>
            <w:pPr>
              <w:jc w:val="right"/>
              <w:ind w:right="8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EEEEEE"/>
            </w:tcBorders>
            <w:gridSpan w:val="2"/>
          </w:tcPr>
          <w:p>
            <w:pPr>
              <w:jc w:val="right"/>
              <w:ind w:right="60"/>
              <w:spacing w:after="0"/>
              <w:rPr>
                <w:sz w:val="20"/>
                <w:szCs w:val="20"/>
                <w:color w:val="auto"/>
              </w:rPr>
            </w:pPr>
            <w:r>
              <w:rPr>
                <w:rFonts w:ascii="Arial" w:cs="Arial" w:eastAsia="Arial" w:hAnsi="Arial"/>
                <w:sz w:val="18"/>
                <w:szCs w:val="18"/>
                <w:color w:val="auto"/>
              </w:rPr>
              <w:t>(34,368)</w:t>
            </w:r>
          </w:p>
        </w:tc>
        <w:tc>
          <w:tcPr>
            <w:tcW w:w="240" w:type="dxa"/>
            <w:vAlign w:val="bottom"/>
            <w:tcBorders>
              <w:top w:val="single" w:sz="8" w:color="EEEEEE"/>
            </w:tcBorders>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top w:val="single" w:sz="8" w:color="EEEEEE"/>
            </w:tcBorders>
            <w:gridSpan w:val="2"/>
          </w:tcPr>
          <w:p>
            <w:pPr>
              <w:jc w:val="right"/>
              <w:ind w:right="200"/>
              <w:spacing w:after="0"/>
              <w:rPr>
                <w:sz w:val="20"/>
                <w:szCs w:val="20"/>
                <w:color w:val="auto"/>
              </w:rPr>
            </w:pPr>
            <w:r>
              <w:rPr>
                <w:rFonts w:ascii="Arial" w:cs="Arial" w:eastAsia="Arial" w:hAnsi="Arial"/>
                <w:sz w:val="18"/>
                <w:szCs w:val="18"/>
                <w:color w:val="auto"/>
              </w:rPr>
              <w:t>(34,368)</w:t>
            </w:r>
          </w:p>
        </w:tc>
        <w:tc>
          <w:tcPr>
            <w:tcW w:w="140" w:type="dxa"/>
            <w:vAlign w:val="bottom"/>
            <w:tcBorders>
              <w:top w:val="single" w:sz="8" w:color="EEEEEE"/>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EEEEEE"/>
            </w:tcBorders>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650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Finance receivables at fair value</w:t>
            </w:r>
          </w:p>
        </w:tc>
        <w:tc>
          <w:tcPr>
            <w:tcW w:w="240" w:type="dxa"/>
            <w:vAlign w:val="bottom"/>
            <w:shd w:val="clear" w:color="auto" w:fill="EEEEEE"/>
          </w:tcPr>
          <w:p>
            <w:pPr>
              <w:spacing w:after="0"/>
              <w:rPr>
                <w:sz w:val="19"/>
                <w:szCs w:val="19"/>
                <w:color w:val="auto"/>
              </w:rPr>
            </w:pPr>
          </w:p>
        </w:tc>
        <w:tc>
          <w:tcPr>
            <w:tcW w:w="13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19,307</w:t>
            </w:r>
          </w:p>
        </w:tc>
        <w:tc>
          <w:tcPr>
            <w:tcW w:w="14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6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21,457</w:t>
            </w:r>
          </w:p>
        </w:tc>
        <w:tc>
          <w:tcPr>
            <w:tcW w:w="140" w:type="dxa"/>
            <w:vAlign w:val="bottom"/>
            <w:shd w:val="clear" w:color="auto" w:fill="EEEEEE"/>
          </w:tcPr>
          <w:p>
            <w:pPr>
              <w:spacing w:after="0"/>
              <w:rPr>
                <w:sz w:val="19"/>
                <w:szCs w:val="19"/>
                <w:color w:val="auto"/>
              </w:rPr>
            </w:pPr>
          </w:p>
        </w:tc>
        <w:tc>
          <w:tcPr>
            <w:tcW w:w="132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(2,150)</w:t>
            </w:r>
          </w:p>
        </w:tc>
      </w:tr>
      <w:tr>
        <w:trPr>
          <w:trHeight w:val="210"/>
        </w:trPr>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(15,061)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(12,911)</w:t>
            </w:r>
          </w:p>
        </w:tc>
        <w:tc>
          <w:tcPr>
            <w:tcW w:w="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(2,150)</w:t>
            </w:r>
          </w:p>
        </w:tc>
        <w:tc>
          <w:tcPr>
            <w:tcW w:w="100" w:type="dxa"/>
            <w:vAlign w:val="bottom"/>
            <w:gridSpan w:val="2"/>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6500" w:type="dxa"/>
            <w:vAlign w:val="bottom"/>
            <w:gridSpan w:val="5"/>
            <w:shd w:val="clear" w:color="auto" w:fill="EEEEEE"/>
          </w:tcPr>
          <w:p>
            <w:pPr>
              <w:jc w:val="center"/>
              <w:ind w:right="240"/>
              <w:spacing w:after="0" w:line="176" w:lineRule="exact"/>
              <w:rPr>
                <w:sz w:val="20"/>
                <w:szCs w:val="20"/>
                <w:color w:val="auto"/>
              </w:rPr>
            </w:pPr>
            <w:r>
              <w:rPr>
                <w:rFonts w:ascii="Arial" w:cs="Arial" w:eastAsia="Arial" w:hAnsi="Arial"/>
                <w:sz w:val="18"/>
                <w:szCs w:val="18"/>
                <w:b w:val="1"/>
                <w:bCs w:val="1"/>
                <w:color w:val="auto"/>
                <w:w w:val="91"/>
              </w:rPr>
              <w:t>Interest Bearing Liabilities</w:t>
            </w:r>
          </w:p>
        </w:tc>
        <w:tc>
          <w:tcPr>
            <w:tcW w:w="24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28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2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100" w:type="dxa"/>
            <w:vAlign w:val="bottom"/>
            <w:tcBorders>
              <w:top w:val="single" w:sz="8" w:color="EEEEEE"/>
            </w:tcBorders>
          </w:tcPr>
          <w:p>
            <w:pPr>
              <w:spacing w:after="0"/>
              <w:rPr>
                <w:sz w:val="20"/>
                <w:szCs w:val="20"/>
                <w:color w:val="auto"/>
              </w:rPr>
            </w:pPr>
            <w:r>
              <w:rPr>
                <w:rFonts w:ascii="Arial" w:cs="Arial" w:eastAsia="Arial" w:hAnsi="Arial"/>
                <w:sz w:val="18"/>
                <w:szCs w:val="18"/>
                <w:color w:val="auto"/>
              </w:rPr>
              <w:t>Warehouse lines of credit</w:t>
            </w:r>
          </w:p>
        </w:tc>
        <w:tc>
          <w:tcPr>
            <w:tcW w:w="2060" w:type="dxa"/>
            <w:vAlign w:val="bottom"/>
            <w:tcBorders>
              <w:top w:val="single" w:sz="8" w:color="auto"/>
            </w:tcBorders>
            <w:gridSpan w:val="3"/>
          </w:tcPr>
          <w:p>
            <w:pPr>
              <w:spacing w:after="0"/>
              <w:rPr>
                <w:sz w:val="18"/>
                <w:szCs w:val="18"/>
                <w:color w:val="auto"/>
              </w:rPr>
            </w:pPr>
          </w:p>
        </w:tc>
        <w:tc>
          <w:tcPr>
            <w:tcW w:w="2340" w:type="dxa"/>
            <w:vAlign w:val="bottom"/>
            <w:tcBorders>
              <w:top w:val="single" w:sz="8" w:color="EEEEEE"/>
            </w:tcBorders>
          </w:tcPr>
          <w:p>
            <w:pPr>
              <w:spacing w:after="0"/>
              <w:rPr>
                <w:sz w:val="18"/>
                <w:szCs w:val="18"/>
                <w:color w:val="auto"/>
              </w:rPr>
            </w:pPr>
          </w:p>
        </w:tc>
        <w:tc>
          <w:tcPr>
            <w:tcW w:w="240" w:type="dxa"/>
            <w:vAlign w:val="bottom"/>
            <w:tcBorders>
              <w:top w:val="single" w:sz="8" w:color="EEEEEE"/>
            </w:tcBorders>
          </w:tcPr>
          <w:p>
            <w:pPr>
              <w:spacing w:after="0"/>
              <w:rPr>
                <w:sz w:val="18"/>
                <w:szCs w:val="18"/>
                <w:color w:val="auto"/>
              </w:rPr>
            </w:pPr>
          </w:p>
        </w:tc>
        <w:tc>
          <w:tcPr>
            <w:tcW w:w="1340" w:type="dxa"/>
            <w:vAlign w:val="bottom"/>
            <w:tcBorders>
              <w:top w:val="single" w:sz="8" w:color="EEEEEE"/>
            </w:tcBorders>
            <w:gridSpan w:val="2"/>
          </w:tcPr>
          <w:p>
            <w:pPr>
              <w:jc w:val="right"/>
              <w:ind w:right="120"/>
              <w:spacing w:after="0"/>
              <w:rPr>
                <w:sz w:val="20"/>
                <w:szCs w:val="20"/>
                <w:color w:val="auto"/>
              </w:rPr>
            </w:pPr>
            <w:r>
              <w:rPr>
                <w:rFonts w:ascii="Arial" w:cs="Arial" w:eastAsia="Arial" w:hAnsi="Arial"/>
                <w:sz w:val="18"/>
                <w:szCs w:val="18"/>
                <w:color w:val="auto"/>
              </w:rPr>
              <w:t>133</w:t>
            </w:r>
          </w:p>
        </w:tc>
        <w:tc>
          <w:tcPr>
            <w:tcW w:w="14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1620" w:type="dxa"/>
            <w:vAlign w:val="bottom"/>
            <w:tcBorders>
              <w:top w:val="single" w:sz="8" w:color="EEEEEE"/>
            </w:tcBorders>
            <w:gridSpan w:val="2"/>
          </w:tcPr>
          <w:p>
            <w:pPr>
              <w:jc w:val="right"/>
              <w:ind w:right="260"/>
              <w:spacing w:after="0"/>
              <w:rPr>
                <w:sz w:val="20"/>
                <w:szCs w:val="20"/>
                <w:color w:val="auto"/>
              </w:rPr>
            </w:pPr>
            <w:r>
              <w:rPr>
                <w:rFonts w:ascii="Arial" w:cs="Arial" w:eastAsia="Arial" w:hAnsi="Arial"/>
                <w:sz w:val="18"/>
                <w:szCs w:val="18"/>
                <w:color w:val="auto"/>
              </w:rPr>
              <w:t>572</w:t>
            </w:r>
          </w:p>
        </w:tc>
        <w:tc>
          <w:tcPr>
            <w:tcW w:w="140" w:type="dxa"/>
            <w:vAlign w:val="bottom"/>
            <w:tcBorders>
              <w:top w:val="single" w:sz="8" w:color="EEEEEE"/>
            </w:tcBorders>
          </w:tcPr>
          <w:p>
            <w:pPr>
              <w:spacing w:after="0"/>
              <w:rPr>
                <w:sz w:val="18"/>
                <w:szCs w:val="18"/>
                <w:color w:val="auto"/>
              </w:rPr>
            </w:pPr>
          </w:p>
        </w:tc>
        <w:tc>
          <w:tcPr>
            <w:tcW w:w="1320" w:type="dxa"/>
            <w:vAlign w:val="bottom"/>
            <w:tcBorders>
              <w:top w:val="single" w:sz="8" w:color="EEEEEE"/>
            </w:tcBorders>
            <w:gridSpan w:val="3"/>
          </w:tcPr>
          <w:p>
            <w:pPr>
              <w:jc w:val="right"/>
              <w:ind w:right="40"/>
              <w:spacing w:after="0"/>
              <w:rPr>
                <w:sz w:val="20"/>
                <w:szCs w:val="20"/>
                <w:color w:val="auto"/>
              </w:rPr>
            </w:pPr>
            <w:r>
              <w:rPr>
                <w:rFonts w:ascii="Arial" w:cs="Arial" w:eastAsia="Arial" w:hAnsi="Arial"/>
                <w:sz w:val="18"/>
                <w:szCs w:val="18"/>
                <w:color w:val="auto"/>
              </w:rPr>
              <w:t>(439)</w:t>
            </w:r>
          </w:p>
        </w:tc>
      </w:tr>
      <w:tr>
        <w:trPr>
          <w:trHeight w:val="216"/>
        </w:trPr>
        <w:tc>
          <w:tcPr>
            <w:tcW w:w="20" w:type="dxa"/>
            <w:vAlign w:val="bottom"/>
          </w:tcPr>
          <w:p>
            <w:pPr>
              <w:spacing w:after="0"/>
              <w:rPr>
                <w:sz w:val="18"/>
                <w:szCs w:val="18"/>
                <w:color w:val="auto"/>
              </w:rPr>
            </w:pPr>
          </w:p>
        </w:tc>
        <w:tc>
          <w:tcPr>
            <w:tcW w:w="650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Residual interest financing</w:t>
            </w:r>
          </w:p>
        </w:tc>
        <w:tc>
          <w:tcPr>
            <w:tcW w:w="2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956</w:t>
            </w: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956</w:t>
            </w:r>
          </w:p>
        </w:tc>
        <w:tc>
          <w:tcPr>
            <w:tcW w:w="140" w:type="dxa"/>
            <w:vAlign w:val="bottom"/>
            <w:shd w:val="clear" w:color="auto" w:fill="EEEEEE"/>
          </w:tcPr>
          <w:p>
            <w:pPr>
              <w:spacing w:after="0"/>
              <w:rPr>
                <w:sz w:val="18"/>
                <w:szCs w:val="18"/>
                <w:color w:val="auto"/>
              </w:rPr>
            </w:pPr>
          </w:p>
        </w:tc>
        <w:tc>
          <w:tcPr>
            <w:tcW w:w="132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500" w:type="dxa"/>
            <w:vAlign w:val="bottom"/>
            <w:gridSpan w:val="5"/>
          </w:tcPr>
          <w:p>
            <w:pPr>
              <w:spacing w:after="0"/>
              <w:rPr>
                <w:sz w:val="20"/>
                <w:szCs w:val="20"/>
                <w:color w:val="auto"/>
              </w:rPr>
            </w:pPr>
            <w:r>
              <w:rPr>
                <w:rFonts w:ascii="Arial" w:cs="Arial" w:eastAsia="Arial" w:hAnsi="Arial"/>
                <w:sz w:val="18"/>
                <w:szCs w:val="18"/>
                <w:color w:val="auto"/>
              </w:rPr>
              <w:t>Securitization trust debt</w:t>
            </w:r>
          </w:p>
        </w:tc>
        <w:tc>
          <w:tcPr>
            <w:tcW w:w="24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2,159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2,193</w:t>
            </w: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650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Subordinated renewable notes</w:t>
            </w:r>
          </w:p>
        </w:tc>
        <w:tc>
          <w:tcPr>
            <w:tcW w:w="240" w:type="dxa"/>
            <w:vAlign w:val="bottom"/>
            <w:shd w:val="clear" w:color="auto" w:fill="EEEEEE"/>
          </w:tcPr>
          <w:p>
            <w:pPr>
              <w:spacing w:after="0"/>
              <w:rPr>
                <w:sz w:val="19"/>
                <w:szCs w:val="19"/>
                <w:color w:val="auto"/>
              </w:rPr>
            </w:pPr>
          </w:p>
        </w:tc>
        <w:tc>
          <w:tcPr>
            <w:tcW w:w="13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(20)</w:t>
            </w:r>
          </w:p>
        </w:tc>
        <w:tc>
          <w:tcPr>
            <w:tcW w:w="14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6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(45)</w:t>
            </w:r>
          </w:p>
        </w:tc>
        <w:tc>
          <w:tcPr>
            <w:tcW w:w="140" w:type="dxa"/>
            <w:vAlign w:val="bottom"/>
            <w:shd w:val="clear" w:color="auto" w:fill="EEEEEE"/>
          </w:tcPr>
          <w:p>
            <w:pPr>
              <w:spacing w:after="0"/>
              <w:rPr>
                <w:sz w:val="19"/>
                <w:szCs w:val="19"/>
                <w:color w:val="auto"/>
              </w:rPr>
            </w:pP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25</w:t>
            </w:r>
          </w:p>
        </w:tc>
        <w:tc>
          <w:tcPr>
            <w:tcW w:w="80" w:type="dxa"/>
            <w:vAlign w:val="bottom"/>
            <w:shd w:val="clear" w:color="auto" w:fill="EEEEEE"/>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3,228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1,449</w:t>
            </w:r>
          </w:p>
        </w:tc>
        <w:tc>
          <w:tcPr>
            <w:tcW w:w="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210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180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2340" w:type="dxa"/>
            <w:vAlign w:val="bottom"/>
            <w:shd w:val="clear" w:color="auto" w:fill="EEEEEE"/>
          </w:tcPr>
          <w:p>
            <w:pPr>
              <w:spacing w:after="0"/>
              <w:rPr>
                <w:sz w:val="19"/>
                <w:szCs w:val="19"/>
                <w:color w:val="auto"/>
              </w:rPr>
            </w:pPr>
          </w:p>
        </w:tc>
        <w:tc>
          <w:tcPr>
            <w:tcW w:w="240" w:type="dxa"/>
            <w:vAlign w:val="bottom"/>
            <w:tcBorders>
              <w:bottom w:val="single" w:sz="8" w:color="auto"/>
            </w:tcBorders>
            <w:shd w:val="clear" w:color="auto" w:fill="EEEEEE"/>
          </w:tcPr>
          <w:p>
            <w:pPr>
              <w:spacing w:after="0"/>
              <w:rPr>
                <w:sz w:val="19"/>
                <w:szCs w:val="19"/>
                <w:color w:val="auto"/>
              </w:rPr>
            </w:pPr>
          </w:p>
        </w:tc>
        <w:tc>
          <w:tcPr>
            <w:tcW w:w="1140" w:type="dxa"/>
            <w:vAlign w:val="bottom"/>
            <w:tcBorders>
              <w:bottom w:val="single" w:sz="8" w:color="auto"/>
            </w:tcBorders>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00" w:type="dxa"/>
            <w:vAlign w:val="bottom"/>
            <w:tcBorders>
              <w:bottom w:val="single" w:sz="8" w:color="auto"/>
            </w:tcBorders>
            <w:shd w:val="clear" w:color="auto" w:fill="EEEEEE"/>
          </w:tcPr>
          <w:p>
            <w:pPr>
              <w:spacing w:after="0"/>
              <w:rPr>
                <w:sz w:val="19"/>
                <w:szCs w:val="19"/>
                <w:color w:val="auto"/>
              </w:rPr>
            </w:pPr>
          </w:p>
        </w:tc>
        <w:tc>
          <w:tcPr>
            <w:tcW w:w="1280" w:type="dxa"/>
            <w:vAlign w:val="bottom"/>
            <w:tcBorders>
              <w:bottom w:val="single" w:sz="8" w:color="auto"/>
            </w:tcBorders>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140" w:type="dxa"/>
            <w:vAlign w:val="bottom"/>
            <w:tcBorders>
              <w:bottom w:val="single" w:sz="8" w:color="auto"/>
            </w:tcBorders>
            <w:shd w:val="clear" w:color="auto" w:fill="EEEEEE"/>
          </w:tcPr>
          <w:p>
            <w:pPr>
              <w:spacing w:after="0"/>
              <w:rPr>
                <w:sz w:val="19"/>
                <w:szCs w:val="19"/>
                <w:color w:val="auto"/>
              </w:rPr>
            </w:pPr>
          </w:p>
        </w:tc>
        <w:tc>
          <w:tcPr>
            <w:tcW w:w="1220" w:type="dxa"/>
            <w:vAlign w:val="bottom"/>
            <w:tcBorders>
              <w:bottom w:val="single" w:sz="8" w:color="auto"/>
            </w:tcBorders>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500" w:type="dxa"/>
            <w:vAlign w:val="bottom"/>
            <w:gridSpan w:val="5"/>
          </w:tcPr>
          <w:p>
            <w:pPr>
              <w:spacing w:after="0"/>
              <w:rPr>
                <w:sz w:val="20"/>
                <w:szCs w:val="20"/>
                <w:color w:val="auto"/>
              </w:rPr>
            </w:pPr>
            <w:r>
              <w:rPr>
                <w:rFonts w:ascii="Arial" w:cs="Arial" w:eastAsia="Arial" w:hAnsi="Arial"/>
                <w:sz w:val="18"/>
                <w:szCs w:val="18"/>
                <w:color w:val="auto"/>
              </w:rPr>
              <w:t>Net interest income/spread</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(18,289</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(14,360</w:t>
            </w:r>
          </w:p>
        </w:tc>
        <w:tc>
          <w:tcPr>
            <w:tcW w:w="340" w:type="dxa"/>
            <w:vAlign w:val="bottom"/>
          </w:tcPr>
          <w:p>
            <w:pPr>
              <w:jc w:val="right"/>
              <w:ind w:right="200"/>
              <w:spacing w:after="0"/>
              <w:rPr>
                <w:sz w:val="20"/>
                <w:szCs w:val="20"/>
                <w:color w:val="auto"/>
              </w:rPr>
            </w:pPr>
            <w:r>
              <w:rPr>
                <w:rFonts w:ascii="Arial" w:cs="Arial" w:eastAsia="Arial" w:hAnsi="Arial"/>
                <w:sz w:val="16"/>
                <w:szCs w:val="16"/>
                <w:color w:val="auto"/>
                <w:w w:val="74"/>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(3,929</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reduction in the annualized yield on our finance receivables for the three months ended March 31, 2019 compared to the prior year period is the result of the lower interest yield on the receivables measured at fair value. The interest yield on receivables measured at fair value is reduced to take account of expected losses and is therefore less than the yield on other finance receivables. The average balance of these receivables was $955.6 million for the three months ended March 31, 2019 compared to $133.5 million in the prior year period.</w:t>
      </w:r>
    </w:p>
    <w:p>
      <w:pPr>
        <w:spacing w:after="0" w:line="18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Provision for credit losses was $24.0 million for the three months ended March 31, 2019, a decrease of $16.6 million, or 40.9% compared to the prior year and represented 28.0% of total operating expenses. The provision for credit losses maintains the allowance for finance credit losses at levels that we feel are adequate for probable incurred credit losses that can be reasonably estimated. Our approach for establishing the allowance requires greater amounts of provision for credit losses early in the terms of our finance receivables. In addition, we monitor the delinquency and net charge off rates in our portfolio to consider how such rates may affect the allowance for finance credit losses. Finance receivables that we have originated since January 2018 are accounted for at fair value. Under the fair value method of accounting, we recognize interest income under the interest method on a level yield basis based on forecasted future cash flows net of expected credit losses. Thus, no provision for credit loss expense is recorded for finance receivables measured at fair value.</w:t>
      </w:r>
    </w:p>
    <w:p>
      <w:pPr>
        <w:spacing w:after="0" w:line="16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Marketing expenses consist primarily of commission-based compensation paid to our employee marketing representatives. Our marketing representatives earn a salary plus commissions based on volume of contract purchases and sales of ancillary products and services that we offer our dealers, such as training programs, internet lead sales, and direct mail products. Marketing expenses increased by $625,000, or 14.8%, to $4.8 million during the three months ended March 31, 2019, compared to $4.2 million in the prior year period, and represented 5.7% of total operating expenses. Although our marketing staff was unchanged as of March 31, 2019 compared March 31, 2018, we have gradually shifted to more field marketing representatives as compared to in-house marketing representatives. Field marketing representatives are somewhat more costly than in-house marketing representatives, but we feel will ultimately be more effective. The increase in marketing expenses can also be attributed to the increase in the volume of contact purchases. We purchased 13,942 contracts representing $243.0 million in receivables during the three-month period ending March 31, 2019 compared to 13,067 contracts representing $210.6 million in receivables in the prior period.</w:t>
      </w:r>
    </w:p>
    <w:p>
      <w:pPr>
        <w:spacing w:after="0" w:line="18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Occupancy expenses increased by $124,000 or 6.7%, to $2.0 million compared to $1.9 million in the previous year and represented 2.3% of total operating expenses.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Depreciation and amortization expenses increased by $11,000 or 4.6%, to $251,000 compared to $240,000 in the previous year and represented 0.3% of total operating expenses.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sectPr>
      </w:pPr>
    </w:p>
    <w:bookmarkStart w:id="26" w:name="page27"/>
    <w:bookmarkEnd w:id="26"/>
    <w:p>
      <w:pPr>
        <w:jc w:val="both"/>
        <w:ind w:right="20" w:firstLine="648"/>
        <w:spacing w:after="0" w:line="277" w:lineRule="auto"/>
        <w:rPr>
          <w:sz w:val="20"/>
          <w:szCs w:val="20"/>
          <w:color w:val="auto"/>
        </w:rPr>
      </w:pPr>
      <w:r>
        <w:rPr>
          <w:rFonts w:ascii="Arial" w:cs="Arial" w:eastAsia="Arial" w:hAnsi="Arial"/>
          <w:sz w:val="18"/>
          <w:szCs w:val="18"/>
          <w:color w:val="auto"/>
        </w:rPr>
        <w:t>For the three months ended March 31, 2019 we recorded income tax expense of $937,000, representing a 35.0% effective income tax rate. In the prior year period, we recorded $1.4 million in income tax expense, representing a 31.0% effective income tax rate.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Experience</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Our financial results are dependent on the performance of the automobile contracts in which we retain an ownership interest. Broad economic factors such as recession and significant changes in unemployment levels influence the credit performance of our portfolio, as does the weighted average age of the receivables at any given time. The tables below document the delinquency, repossession and net credit loss experience of all such automobile contracts that we originated or own an interest in as of the respective dates shown. The tables do not include the experience of third party originated and owned portfolios.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Delinquency, Repossession and Extension Experience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Total Owned Portfolio</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2580" w:type="dxa"/>
            <w:vAlign w:val="bottom"/>
            <w:gridSpan w:val="5"/>
          </w:tcPr>
          <w:p>
            <w:pPr>
              <w:jc w:val="right"/>
              <w:ind w:right="860"/>
              <w:spacing w:after="0"/>
              <w:rPr>
                <w:sz w:val="20"/>
                <w:szCs w:val="20"/>
                <w:color w:val="auto"/>
              </w:rPr>
            </w:pPr>
            <w:r>
              <w:rPr>
                <w:rFonts w:ascii="Arial" w:cs="Arial" w:eastAsia="Arial" w:hAnsi="Arial"/>
                <w:sz w:val="18"/>
                <w:szCs w:val="18"/>
                <w:b w:val="1"/>
                <w:bCs w:val="1"/>
                <w:color w:val="auto"/>
              </w:rPr>
              <w:t>March 31, 2019</w:t>
            </w:r>
          </w:p>
        </w:tc>
        <w:tc>
          <w:tcPr>
            <w:tcW w:w="246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March 31, 2018</w:t>
            </w:r>
          </w:p>
        </w:tc>
        <w:tc>
          <w:tcPr>
            <w:tcW w:w="2260" w:type="dxa"/>
            <w:vAlign w:val="bottom"/>
            <w:gridSpan w:val="6"/>
          </w:tcPr>
          <w:p>
            <w:pPr>
              <w:jc w:val="right"/>
              <w:ind w:right="480"/>
              <w:spacing w:after="0"/>
              <w:rPr>
                <w:sz w:val="20"/>
                <w:szCs w:val="20"/>
                <w:color w:val="auto"/>
              </w:rPr>
            </w:pPr>
            <w:r>
              <w:rPr>
                <w:rFonts w:ascii="Arial" w:cs="Arial" w:eastAsia="Arial" w:hAnsi="Arial"/>
                <w:sz w:val="18"/>
                <w:szCs w:val="18"/>
                <w:b w:val="1"/>
                <w:bCs w:val="1"/>
                <w:color w:val="auto"/>
              </w:rPr>
              <w:t>December 31, 2018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1300" w:type="dxa"/>
            <w:vAlign w:val="bottom"/>
            <w:tcBorders>
              <w:top w:val="single" w:sz="8" w:color="auto"/>
            </w:tcBorders>
            <w:gridSpan w:val="2"/>
          </w:tcPr>
          <w:p>
            <w:pPr>
              <w:jc w:val="center"/>
              <w:ind w:right="340"/>
              <w:spacing w:after="0" w:line="205" w:lineRule="exact"/>
              <w:rPr>
                <w:sz w:val="20"/>
                <w:szCs w:val="20"/>
                <w:color w:val="auto"/>
              </w:rPr>
            </w:pPr>
            <w:r>
              <w:rPr>
                <w:rFonts w:ascii="Arial" w:cs="Arial" w:eastAsia="Arial" w:hAnsi="Arial"/>
                <w:sz w:val="18"/>
                <w:szCs w:val="18"/>
                <w:b w:val="1"/>
                <w:bCs w:val="1"/>
                <w:color w:val="auto"/>
                <w:w w:val="93"/>
              </w:rPr>
              <w:t>Number of</w:t>
            </w: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Borders>
              <w:top w:val="single" w:sz="8" w:color="auto"/>
            </w:tcBorders>
            <w:gridSpan w:val="2"/>
          </w:tcPr>
          <w:p>
            <w:pPr>
              <w:jc w:val="center"/>
              <w:ind w:right="340"/>
              <w:spacing w:after="0" w:line="205" w:lineRule="exact"/>
              <w:rPr>
                <w:sz w:val="20"/>
                <w:szCs w:val="20"/>
                <w:color w:val="auto"/>
              </w:rPr>
            </w:pPr>
            <w:r>
              <w:rPr>
                <w:rFonts w:ascii="Arial" w:cs="Arial" w:eastAsia="Arial" w:hAnsi="Arial"/>
                <w:sz w:val="18"/>
                <w:szCs w:val="18"/>
                <w:b w:val="1"/>
                <w:bCs w:val="1"/>
                <w:color w:val="auto"/>
                <w:w w:val="93"/>
              </w:rPr>
              <w:t>Number of</w:t>
            </w: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Borders>
              <w:top w:val="single" w:sz="8" w:color="auto"/>
            </w:tcBorders>
            <w:gridSpan w:val="2"/>
          </w:tcPr>
          <w:p>
            <w:pPr>
              <w:jc w:val="center"/>
              <w:ind w:right="180"/>
              <w:spacing w:after="0" w:line="205" w:lineRule="exact"/>
              <w:rPr>
                <w:sz w:val="20"/>
                <w:szCs w:val="20"/>
                <w:color w:val="auto"/>
              </w:rPr>
            </w:pPr>
            <w:r>
              <w:rPr>
                <w:rFonts w:ascii="Arial" w:cs="Arial" w:eastAsia="Arial" w:hAnsi="Arial"/>
                <w:sz w:val="18"/>
                <w:szCs w:val="18"/>
                <w:b w:val="1"/>
                <w:bCs w:val="1"/>
                <w:color w:val="auto"/>
                <w:w w:val="93"/>
              </w:rPr>
              <w:t>Number of</w:t>
            </w:r>
          </w:p>
        </w:tc>
        <w:tc>
          <w:tcPr>
            <w:tcW w:w="1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Contracts</w:t>
            </w:r>
          </w:p>
        </w:tc>
        <w:tc>
          <w:tcPr>
            <w:tcW w:w="120" w:type="dxa"/>
            <w:vAlign w:val="bottom"/>
          </w:tcPr>
          <w:p>
            <w:pPr>
              <w:spacing w:after="0"/>
              <w:rPr>
                <w:sz w:val="20"/>
                <w:szCs w:val="20"/>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4"/>
              </w:rPr>
              <w:t>Amount</w:t>
            </w: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Contracts</w:t>
            </w:r>
          </w:p>
        </w:tc>
        <w:tc>
          <w:tcPr>
            <w:tcW w:w="120" w:type="dxa"/>
            <w:vAlign w:val="bottom"/>
          </w:tcPr>
          <w:p>
            <w:pPr>
              <w:spacing w:after="0"/>
              <w:rPr>
                <w:sz w:val="20"/>
                <w:szCs w:val="20"/>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1"/>
              </w:rPr>
              <w:t>Amount</w:t>
            </w:r>
          </w:p>
        </w:tc>
        <w:tc>
          <w:tcPr>
            <w:tcW w:w="10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Contracts</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1"/>
              </w:rPr>
              <w:t>Amount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460" w:type="dxa"/>
            <w:vAlign w:val="bottom"/>
            <w:tcBorders>
              <w:top w:val="single" w:sz="8" w:color="auto"/>
            </w:tcBorders>
            <w:gridSpan w:val="5"/>
          </w:tcPr>
          <w:p>
            <w:pPr>
              <w:jc w:val="right"/>
              <w:ind w:right="600"/>
              <w:spacing w:after="0"/>
              <w:rPr>
                <w:sz w:val="20"/>
                <w:szCs w:val="20"/>
                <w:color w:val="auto"/>
              </w:rPr>
            </w:pPr>
            <w:r>
              <w:rPr>
                <w:rFonts w:ascii="Arial" w:cs="Arial" w:eastAsia="Arial" w:hAnsi="Arial"/>
                <w:sz w:val="18"/>
                <w:szCs w:val="18"/>
                <w:b w:val="1"/>
                <w:bCs w:val="1"/>
                <w:color w:val="auto"/>
                <w:w w:val="96"/>
              </w:rPr>
              <w:t>(Dollars in thousands)</w:t>
            </w:r>
          </w:p>
        </w:tc>
        <w:tc>
          <w:tcPr>
            <w:tcW w:w="9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EEEEEE"/>
          </w:tcPr>
          <w:p>
            <w:pPr>
              <w:spacing w:after="0"/>
              <w:rPr>
                <w:sz w:val="20"/>
                <w:szCs w:val="20"/>
                <w:color w:val="auto"/>
              </w:rPr>
            </w:pPr>
            <w:r>
              <w:rPr>
                <w:rFonts w:ascii="Arial" w:cs="Arial" w:eastAsia="Arial" w:hAnsi="Arial"/>
                <w:sz w:val="18"/>
                <w:szCs w:val="18"/>
                <w:b w:val="1"/>
                <w:bCs w:val="1"/>
                <w:i w:val="1"/>
                <w:iCs w:val="1"/>
                <w:color w:val="auto"/>
              </w:rPr>
              <w:t>Delinquency Experience</w:t>
            </w:r>
          </w:p>
        </w:tc>
        <w:tc>
          <w:tcPr>
            <w:tcW w:w="9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Gross servicing portfolio (1)</w:t>
            </w: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176,916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w w:val="97"/>
              </w:rPr>
              <w:t>2,393,165</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174,626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2,332,313</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176,042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2,380,847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EEEEEE"/>
          </w:tcPr>
          <w:p>
            <w:pPr>
              <w:spacing w:after="0"/>
              <w:rPr>
                <w:sz w:val="20"/>
                <w:szCs w:val="20"/>
                <w:color w:val="auto"/>
              </w:rPr>
            </w:pPr>
            <w:r>
              <w:rPr>
                <w:rFonts w:ascii="Arial" w:cs="Arial" w:eastAsia="Arial" w:hAnsi="Arial"/>
                <w:sz w:val="18"/>
                <w:szCs w:val="18"/>
                <w:color w:val="auto"/>
              </w:rPr>
              <w:t>Period of delinquency (2)</w:t>
            </w:r>
          </w:p>
        </w:tc>
        <w:tc>
          <w:tcPr>
            <w:tcW w:w="130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31-60 days</w:t>
            </w: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10,718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150,214</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7,684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104,314</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13,182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183,974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EEEEEE"/>
          </w:tcPr>
          <w:p>
            <w:pPr>
              <w:ind w:left="160"/>
              <w:spacing w:after="0"/>
              <w:rPr>
                <w:sz w:val="20"/>
                <w:szCs w:val="20"/>
                <w:color w:val="auto"/>
              </w:rPr>
            </w:pPr>
            <w:r>
              <w:rPr>
                <w:rFonts w:ascii="Arial" w:cs="Arial" w:eastAsia="Arial" w:hAnsi="Arial"/>
                <w:sz w:val="18"/>
                <w:szCs w:val="18"/>
                <w:color w:val="auto"/>
              </w:rPr>
              <w:t>61-90 days</w:t>
            </w:r>
          </w:p>
        </w:tc>
        <w:tc>
          <w:tcPr>
            <w:tcW w:w="130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4,938</w:t>
            </w:r>
          </w:p>
        </w:tc>
        <w:tc>
          <w:tcPr>
            <w:tcW w:w="12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66,779</w:t>
            </w:r>
          </w:p>
        </w:tc>
        <w:tc>
          <w:tcPr>
            <w:tcW w:w="12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3,329</w:t>
            </w:r>
          </w:p>
        </w:tc>
        <w:tc>
          <w:tcPr>
            <w:tcW w:w="1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43,330</w:t>
            </w:r>
          </w:p>
        </w:tc>
        <w:tc>
          <w:tcPr>
            <w:tcW w:w="10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5,577</w:t>
            </w:r>
          </w:p>
        </w:tc>
        <w:tc>
          <w:tcPr>
            <w:tcW w:w="1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74,485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91+ days</w:t>
            </w: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2,581</w:t>
            </w:r>
          </w:p>
        </w:tc>
        <w:tc>
          <w:tcPr>
            <w:tcW w:w="120" w:type="dxa"/>
            <w:vAlign w:val="bottom"/>
          </w:tcPr>
          <w:p>
            <w:pPr>
              <w:spacing w:after="0"/>
              <w:rPr>
                <w:sz w:val="19"/>
                <w:szCs w:val="19"/>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31,692</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1,618</w:t>
            </w:r>
          </w:p>
        </w:tc>
        <w:tc>
          <w:tcPr>
            <w:tcW w:w="120" w:type="dxa"/>
            <w:vAlign w:val="bottom"/>
          </w:tcPr>
          <w:p>
            <w:pPr>
              <w:spacing w:after="0"/>
              <w:rPr>
                <w:sz w:val="19"/>
                <w:szCs w:val="19"/>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18,941</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2,858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35,520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Total delinquencies (2)</w:t>
            </w:r>
          </w:p>
        </w:tc>
        <w:tc>
          <w:tcPr>
            <w:tcW w:w="9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18,237</w:t>
            </w:r>
          </w:p>
        </w:tc>
        <w:tc>
          <w:tcPr>
            <w:tcW w:w="36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8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248,685</w:t>
            </w:r>
          </w:p>
        </w:tc>
        <w:tc>
          <w:tcPr>
            <w:tcW w:w="360" w:type="dxa"/>
            <w:vAlign w:val="bottom"/>
            <w:tcBorders>
              <w:top w:val="single" w:sz="8" w:color="EEEEEE"/>
            </w:tcBorders>
            <w:shd w:val="clear" w:color="auto" w:fill="EEEEEE"/>
          </w:tcPr>
          <w:p>
            <w:pPr>
              <w:spacing w:after="0"/>
              <w:rPr>
                <w:sz w:val="18"/>
                <w:szCs w:val="18"/>
                <w:color w:val="auto"/>
              </w:rPr>
            </w:pPr>
          </w:p>
        </w:tc>
        <w:tc>
          <w:tcPr>
            <w:tcW w:w="9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12,631</w:t>
            </w:r>
          </w:p>
        </w:tc>
        <w:tc>
          <w:tcPr>
            <w:tcW w:w="32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7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166,585</w:t>
            </w:r>
          </w:p>
        </w:tc>
        <w:tc>
          <w:tcPr>
            <w:tcW w:w="340" w:type="dxa"/>
            <w:vAlign w:val="bottom"/>
            <w:tcBorders>
              <w:top w:val="single" w:sz="8" w:color="EEEEEE"/>
            </w:tcBorders>
            <w:shd w:val="clear" w:color="auto" w:fill="EEEEEE"/>
          </w:tcPr>
          <w:p>
            <w:pPr>
              <w:spacing w:after="0"/>
              <w:rPr>
                <w:sz w:val="18"/>
                <w:szCs w:val="18"/>
                <w:color w:val="auto"/>
              </w:rPr>
            </w:pPr>
          </w:p>
        </w:tc>
        <w:tc>
          <w:tcPr>
            <w:tcW w:w="9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21,617</w:t>
            </w:r>
          </w:p>
        </w:tc>
        <w:tc>
          <w:tcPr>
            <w:tcW w:w="1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7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293,979</w:t>
            </w:r>
          </w:p>
        </w:tc>
        <w:tc>
          <w:tcPr>
            <w:tcW w:w="14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Amount in repossession (3)</w:t>
            </w: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3,242</w:t>
            </w:r>
          </w:p>
        </w:tc>
        <w:tc>
          <w:tcPr>
            <w:tcW w:w="120" w:type="dxa"/>
            <w:vAlign w:val="bottom"/>
          </w:tcPr>
          <w:p>
            <w:pPr>
              <w:spacing w:after="0"/>
              <w:rPr>
                <w:sz w:val="19"/>
                <w:szCs w:val="19"/>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41,410</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2,882</w:t>
            </w:r>
          </w:p>
        </w:tc>
        <w:tc>
          <w:tcPr>
            <w:tcW w:w="120" w:type="dxa"/>
            <w:vAlign w:val="bottom"/>
          </w:tcPr>
          <w:p>
            <w:pPr>
              <w:spacing w:after="0"/>
              <w:rPr>
                <w:sz w:val="19"/>
                <w:szCs w:val="19"/>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37,227</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2,840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36,480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w w:val="98"/>
              </w:rPr>
              <w:t>Total delinquencies and amount in repossession (2)</w:t>
            </w:r>
          </w:p>
        </w:tc>
        <w:tc>
          <w:tcPr>
            <w:tcW w:w="9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21,479</w:t>
            </w:r>
          </w:p>
        </w:tc>
        <w:tc>
          <w:tcPr>
            <w:tcW w:w="36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290,095</w:t>
            </w:r>
          </w:p>
        </w:tc>
        <w:tc>
          <w:tcPr>
            <w:tcW w:w="360" w:type="dxa"/>
            <w:vAlign w:val="bottom"/>
            <w:tcBorders>
              <w:top w:val="single" w:sz="8" w:color="EEEEEE"/>
              <w:bottom w:val="single" w:sz="8" w:color="EEEEEE"/>
            </w:tcBorders>
            <w:shd w:val="clear" w:color="auto" w:fill="EEEEEE"/>
          </w:tcPr>
          <w:p>
            <w:pPr>
              <w:spacing w:after="0"/>
              <w:rPr>
                <w:sz w:val="19"/>
                <w:szCs w:val="19"/>
                <w:color w:val="auto"/>
              </w:rPr>
            </w:pPr>
          </w:p>
        </w:tc>
        <w:tc>
          <w:tcPr>
            <w:tcW w:w="9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15,513</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203,812</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9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24,457</w:t>
            </w: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330,459</w:t>
            </w: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0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Delinquincies as a percentage of gross servicing</w:t>
            </w:r>
          </w:p>
        </w:tc>
        <w:tc>
          <w:tcPr>
            <w:tcW w:w="94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80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9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78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9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78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shd w:val="clear" w:color="auto" w:fill="EEEEEE"/>
          </w:tcPr>
          <w:p>
            <w:pPr>
              <w:ind w:left="160"/>
              <w:spacing w:after="0"/>
              <w:rPr>
                <w:sz w:val="20"/>
                <w:szCs w:val="20"/>
                <w:color w:val="auto"/>
              </w:rPr>
            </w:pPr>
            <w:r>
              <w:rPr>
                <w:rFonts w:ascii="Arial" w:cs="Arial" w:eastAsia="Arial" w:hAnsi="Arial"/>
                <w:sz w:val="18"/>
                <w:szCs w:val="18"/>
                <w:color w:val="auto"/>
              </w:rPr>
              <w:t>portfolio</w:t>
            </w:r>
          </w:p>
        </w:tc>
        <w:tc>
          <w:tcPr>
            <w:tcW w:w="130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10.3%</w:t>
            </w:r>
          </w:p>
        </w:tc>
        <w:tc>
          <w:tcPr>
            <w:tcW w:w="120" w:type="dxa"/>
            <w:vAlign w:val="bottom"/>
            <w:shd w:val="clear" w:color="auto" w:fill="EEEEEE"/>
          </w:tcPr>
          <w:p>
            <w:pPr>
              <w:spacing w:after="0"/>
              <w:rPr>
                <w:sz w:val="20"/>
                <w:szCs w:val="20"/>
                <w:color w:val="auto"/>
              </w:rPr>
            </w:pPr>
          </w:p>
        </w:tc>
        <w:tc>
          <w:tcPr>
            <w:tcW w:w="11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10.4%</w:t>
            </w:r>
          </w:p>
        </w:tc>
        <w:tc>
          <w:tcPr>
            <w:tcW w:w="12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7.2%</w:t>
            </w:r>
          </w:p>
        </w:tc>
        <w:tc>
          <w:tcPr>
            <w:tcW w:w="120" w:type="dxa"/>
            <w:vAlign w:val="bottom"/>
            <w:shd w:val="clear" w:color="auto" w:fill="EEEEEE"/>
          </w:tcPr>
          <w:p>
            <w:pPr>
              <w:spacing w:after="0"/>
              <w:rPr>
                <w:sz w:val="20"/>
                <w:szCs w:val="20"/>
                <w:color w:val="auto"/>
              </w:rPr>
            </w:pPr>
          </w:p>
        </w:tc>
        <w:tc>
          <w:tcPr>
            <w:tcW w:w="11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7.1%</w:t>
            </w:r>
          </w:p>
        </w:tc>
        <w:tc>
          <w:tcPr>
            <w:tcW w:w="10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12.3%</w:t>
            </w:r>
          </w:p>
        </w:tc>
        <w:tc>
          <w:tcPr>
            <w:tcW w:w="16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92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0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w w:val="96"/>
              </w:rPr>
              <w:t>Total delinquencies and amount in repossession as a</w:t>
            </w:r>
          </w:p>
        </w:tc>
        <w:tc>
          <w:tcPr>
            <w:tcW w:w="94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80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9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78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9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78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shd w:val="clear" w:color="auto" w:fill="EEEEEE"/>
          </w:tcPr>
          <w:p>
            <w:pPr>
              <w:ind w:left="160"/>
              <w:spacing w:after="0"/>
              <w:rPr>
                <w:sz w:val="20"/>
                <w:szCs w:val="20"/>
                <w:color w:val="auto"/>
              </w:rPr>
            </w:pPr>
            <w:r>
              <w:rPr>
                <w:rFonts w:ascii="Arial" w:cs="Arial" w:eastAsia="Arial" w:hAnsi="Arial"/>
                <w:sz w:val="18"/>
                <w:szCs w:val="18"/>
                <w:color w:val="auto"/>
              </w:rPr>
              <w:t>percentage of gross servicing portfolio</w:t>
            </w:r>
          </w:p>
        </w:tc>
        <w:tc>
          <w:tcPr>
            <w:tcW w:w="130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12.1%</w:t>
            </w:r>
          </w:p>
        </w:tc>
        <w:tc>
          <w:tcPr>
            <w:tcW w:w="120" w:type="dxa"/>
            <w:vAlign w:val="bottom"/>
            <w:shd w:val="clear" w:color="auto" w:fill="EEEEEE"/>
          </w:tcPr>
          <w:p>
            <w:pPr>
              <w:spacing w:after="0"/>
              <w:rPr>
                <w:sz w:val="20"/>
                <w:szCs w:val="20"/>
                <w:color w:val="auto"/>
              </w:rPr>
            </w:pPr>
          </w:p>
        </w:tc>
        <w:tc>
          <w:tcPr>
            <w:tcW w:w="11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12.1%</w:t>
            </w:r>
          </w:p>
        </w:tc>
        <w:tc>
          <w:tcPr>
            <w:tcW w:w="12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8.9%</w:t>
            </w:r>
          </w:p>
        </w:tc>
        <w:tc>
          <w:tcPr>
            <w:tcW w:w="120" w:type="dxa"/>
            <w:vAlign w:val="bottom"/>
            <w:shd w:val="clear" w:color="auto" w:fill="EEEEEE"/>
          </w:tcPr>
          <w:p>
            <w:pPr>
              <w:spacing w:after="0"/>
              <w:rPr>
                <w:sz w:val="20"/>
                <w:szCs w:val="20"/>
                <w:color w:val="auto"/>
              </w:rPr>
            </w:pPr>
          </w:p>
        </w:tc>
        <w:tc>
          <w:tcPr>
            <w:tcW w:w="11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8.7%</w:t>
            </w:r>
          </w:p>
        </w:tc>
        <w:tc>
          <w:tcPr>
            <w:tcW w:w="10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13.9%</w:t>
            </w:r>
          </w:p>
        </w:tc>
        <w:tc>
          <w:tcPr>
            <w:tcW w:w="16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92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EEEEEE"/>
          </w:tcPr>
          <w:p>
            <w:pPr>
              <w:spacing w:after="0"/>
              <w:rPr>
                <w:sz w:val="20"/>
                <w:szCs w:val="20"/>
                <w:color w:val="auto"/>
              </w:rPr>
            </w:pPr>
            <w:r>
              <w:rPr>
                <w:rFonts w:ascii="Arial" w:cs="Arial" w:eastAsia="Arial" w:hAnsi="Arial"/>
                <w:sz w:val="18"/>
                <w:szCs w:val="18"/>
                <w:b w:val="1"/>
                <w:bCs w:val="1"/>
                <w:i w:val="1"/>
                <w:iCs w:val="1"/>
                <w:color w:val="auto"/>
              </w:rPr>
              <w:t>Extension Experience</w:t>
            </w:r>
          </w:p>
        </w:tc>
        <w:tc>
          <w:tcPr>
            <w:tcW w:w="9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Contracts with one extension, accruing</w:t>
            </w: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25,928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346,724</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29,683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397,622</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27,192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364,575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EEEEEE"/>
          </w:tcPr>
          <w:p>
            <w:pPr>
              <w:spacing w:after="0"/>
              <w:rPr>
                <w:sz w:val="20"/>
                <w:szCs w:val="20"/>
                <w:color w:val="auto"/>
              </w:rPr>
            </w:pPr>
            <w:r>
              <w:rPr>
                <w:rFonts w:ascii="Arial" w:cs="Arial" w:eastAsia="Arial" w:hAnsi="Arial"/>
                <w:sz w:val="18"/>
                <w:szCs w:val="18"/>
                <w:color w:val="auto"/>
              </w:rPr>
              <w:t>Contracts with two or more extensions, accruing</w:t>
            </w:r>
          </w:p>
        </w:tc>
        <w:tc>
          <w:tcPr>
            <w:tcW w:w="130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60,391</w:t>
            </w:r>
          </w:p>
        </w:tc>
        <w:tc>
          <w:tcPr>
            <w:tcW w:w="12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793,634</w:t>
            </w:r>
          </w:p>
        </w:tc>
        <w:tc>
          <w:tcPr>
            <w:tcW w:w="12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58,254</w:t>
            </w:r>
          </w:p>
        </w:tc>
        <w:tc>
          <w:tcPr>
            <w:tcW w:w="1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794,789</w:t>
            </w:r>
          </w:p>
        </w:tc>
        <w:tc>
          <w:tcPr>
            <w:tcW w:w="10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61,977</w:t>
            </w:r>
          </w:p>
        </w:tc>
        <w:tc>
          <w:tcPr>
            <w:tcW w:w="1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828,573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86,319</w:t>
            </w:r>
          </w:p>
        </w:tc>
        <w:tc>
          <w:tcPr>
            <w:tcW w:w="12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w w:val="97"/>
              </w:rPr>
              <w:t>1,140,358</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87,937</w:t>
            </w:r>
          </w:p>
        </w:tc>
        <w:tc>
          <w:tcPr>
            <w:tcW w:w="12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1,192,411</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89,169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1,193,148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Contracts with one extension, non-accrual (4)</w:t>
            </w: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842</w:t>
            </w:r>
          </w:p>
        </w:tc>
        <w:tc>
          <w:tcPr>
            <w:tcW w:w="12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10,093</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833</w:t>
            </w:r>
          </w:p>
        </w:tc>
        <w:tc>
          <w:tcPr>
            <w:tcW w:w="12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9,958</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798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9,518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0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w w:val="99"/>
              </w:rPr>
              <w:t>Contracts with two or more extensions, non-accrual</w:t>
            </w:r>
          </w:p>
        </w:tc>
        <w:tc>
          <w:tcPr>
            <w:tcW w:w="94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80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9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78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9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78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shd w:val="clear" w:color="auto" w:fill="EEEEEE"/>
          </w:tcPr>
          <w:p>
            <w:pPr>
              <w:ind w:left="160"/>
              <w:spacing w:after="0"/>
              <w:rPr>
                <w:sz w:val="20"/>
                <w:szCs w:val="20"/>
                <w:color w:val="auto"/>
              </w:rPr>
            </w:pPr>
            <w:r>
              <w:rPr>
                <w:rFonts w:ascii="Arial" w:cs="Arial" w:eastAsia="Arial" w:hAnsi="Arial"/>
                <w:sz w:val="18"/>
                <w:szCs w:val="18"/>
                <w:color w:val="auto"/>
              </w:rPr>
              <w:t>(4)</w:t>
            </w:r>
          </w:p>
        </w:tc>
        <w:tc>
          <w:tcPr>
            <w:tcW w:w="130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4,013</w:t>
            </w:r>
          </w:p>
        </w:tc>
        <w:tc>
          <w:tcPr>
            <w:tcW w:w="120" w:type="dxa"/>
            <w:vAlign w:val="bottom"/>
            <w:shd w:val="clear" w:color="auto" w:fill="EEEEEE"/>
          </w:tcPr>
          <w:p>
            <w:pPr>
              <w:spacing w:after="0"/>
              <w:rPr>
                <w:sz w:val="20"/>
                <w:szCs w:val="20"/>
                <w:color w:val="auto"/>
              </w:rPr>
            </w:pPr>
          </w:p>
        </w:tc>
        <w:tc>
          <w:tcPr>
            <w:tcW w:w="11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51,932</w:t>
            </w:r>
          </w:p>
        </w:tc>
        <w:tc>
          <w:tcPr>
            <w:tcW w:w="12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2,558</w:t>
            </w:r>
          </w:p>
        </w:tc>
        <w:tc>
          <w:tcPr>
            <w:tcW w:w="120" w:type="dxa"/>
            <w:vAlign w:val="bottom"/>
            <w:shd w:val="clear" w:color="auto" w:fill="EEEEEE"/>
          </w:tcPr>
          <w:p>
            <w:pPr>
              <w:spacing w:after="0"/>
              <w:rPr>
                <w:sz w:val="20"/>
                <w:szCs w:val="20"/>
                <w:color w:val="auto"/>
              </w:rPr>
            </w:pPr>
          </w:p>
        </w:tc>
        <w:tc>
          <w:tcPr>
            <w:tcW w:w="11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33,133</w:t>
            </w:r>
          </w:p>
        </w:tc>
        <w:tc>
          <w:tcPr>
            <w:tcW w:w="10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3,946</w:t>
            </w:r>
          </w:p>
        </w:tc>
        <w:tc>
          <w:tcPr>
            <w:tcW w:w="16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92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51,912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4,855</w:t>
            </w:r>
          </w:p>
        </w:tc>
        <w:tc>
          <w:tcPr>
            <w:tcW w:w="12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62,025</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3,391</w:t>
            </w:r>
          </w:p>
        </w:tc>
        <w:tc>
          <w:tcPr>
            <w:tcW w:w="12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43,091</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4,744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61,430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shd w:val="clear" w:color="auto" w:fill="EEEEEE"/>
          </w:tcPr>
          <w:p>
            <w:pPr>
              <w:spacing w:after="0"/>
              <w:rPr>
                <w:sz w:val="19"/>
                <w:szCs w:val="19"/>
                <w:color w:val="auto"/>
              </w:rPr>
            </w:pPr>
          </w:p>
        </w:tc>
        <w:tc>
          <w:tcPr>
            <w:tcW w:w="940" w:type="dxa"/>
            <w:vAlign w:val="bottom"/>
            <w:tcBorders>
              <w:bottom w:val="single" w:sz="8" w:color="auto"/>
            </w:tcBorders>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120" w:type="dxa"/>
            <w:vAlign w:val="bottom"/>
            <w:tcBorders>
              <w:bottom w:val="single" w:sz="8" w:color="auto"/>
            </w:tcBorders>
            <w:shd w:val="clear" w:color="auto" w:fill="EEEEEE"/>
          </w:tcPr>
          <w:p>
            <w:pPr>
              <w:spacing w:after="0"/>
              <w:rPr>
                <w:sz w:val="19"/>
                <w:szCs w:val="19"/>
                <w:color w:val="auto"/>
              </w:rPr>
            </w:pPr>
          </w:p>
        </w:tc>
        <w:tc>
          <w:tcPr>
            <w:tcW w:w="800" w:type="dxa"/>
            <w:vAlign w:val="bottom"/>
            <w:tcBorders>
              <w:bottom w:val="single" w:sz="8" w:color="auto"/>
            </w:tcBorders>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900" w:type="dxa"/>
            <w:vAlign w:val="bottom"/>
            <w:tcBorders>
              <w:bottom w:val="single" w:sz="8" w:color="auto"/>
            </w:tcBorders>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120" w:type="dxa"/>
            <w:vAlign w:val="bottom"/>
            <w:tcBorders>
              <w:bottom w:val="single" w:sz="8" w:color="auto"/>
            </w:tcBorders>
            <w:shd w:val="clear" w:color="auto" w:fill="EEEEEE"/>
          </w:tcPr>
          <w:p>
            <w:pPr>
              <w:spacing w:after="0"/>
              <w:rPr>
                <w:sz w:val="19"/>
                <w:szCs w:val="19"/>
                <w:color w:val="auto"/>
              </w:rPr>
            </w:pPr>
          </w:p>
        </w:tc>
        <w:tc>
          <w:tcPr>
            <w:tcW w:w="780" w:type="dxa"/>
            <w:vAlign w:val="bottom"/>
            <w:tcBorders>
              <w:bottom w:val="single" w:sz="8" w:color="auto"/>
            </w:tcBorders>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900" w:type="dxa"/>
            <w:vAlign w:val="bottom"/>
            <w:tcBorders>
              <w:bottom w:val="single" w:sz="8" w:color="auto"/>
            </w:tcBorders>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20" w:type="dxa"/>
            <w:vAlign w:val="bottom"/>
            <w:tcBorders>
              <w:bottom w:val="single" w:sz="8" w:color="auto"/>
            </w:tcBorders>
            <w:shd w:val="clear" w:color="auto" w:fill="EEEEEE"/>
          </w:tcPr>
          <w:p>
            <w:pPr>
              <w:spacing w:after="0"/>
              <w:rPr>
                <w:sz w:val="19"/>
                <w:szCs w:val="19"/>
                <w:color w:val="auto"/>
              </w:rPr>
            </w:pPr>
          </w:p>
        </w:tc>
        <w:tc>
          <w:tcPr>
            <w:tcW w:w="780" w:type="dxa"/>
            <w:vAlign w:val="bottom"/>
            <w:tcBorders>
              <w:bottom w:val="single" w:sz="8" w:color="auto"/>
            </w:tcBorders>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Total contracts with extensions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91,174</w:t>
            </w:r>
          </w:p>
        </w:tc>
        <w:tc>
          <w:tcPr>
            <w:tcW w:w="3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1,202,383</w:t>
            </w:r>
          </w:p>
        </w:tc>
        <w:tc>
          <w:tcPr>
            <w:tcW w:w="36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91,328</w:t>
            </w:r>
          </w:p>
        </w:tc>
        <w:tc>
          <w:tcPr>
            <w:tcW w:w="3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1,235,502</w:t>
            </w:r>
          </w:p>
        </w:tc>
        <w:tc>
          <w:tcPr>
            <w:tcW w:w="34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93,913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1,254,578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20" w:type="dxa"/>
            <w:vAlign w:val="bottom"/>
            <w:gridSpan w:val="2"/>
            <w:vMerge w:val="restart"/>
          </w:tcPr>
          <w:p>
            <w:pPr>
              <w:spacing w:after="0"/>
              <w:rPr>
                <w:sz w:val="20"/>
                <w:szCs w:val="20"/>
                <w:color w:val="auto"/>
              </w:rPr>
            </w:pPr>
            <w:r>
              <w:rPr>
                <w:rFonts w:ascii="Arial" w:cs="Arial" w:eastAsia="Arial" w:hAnsi="Arial"/>
                <w:sz w:val="22"/>
                <w:szCs w:val="22"/>
                <w:color w:val="auto"/>
                <w:w w:val="93"/>
              </w:rPr>
              <w:t>____________________________________</w:t>
            </w: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1"/>
        </w:trPr>
        <w:tc>
          <w:tcPr>
            <w:tcW w:w="4120" w:type="dxa"/>
            <w:vAlign w:val="bottom"/>
            <w:gridSpan w:val="2"/>
            <w:vMerge w:val="continue"/>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jc w:val="both"/>
        <w:ind w:left="340" w:hanging="332"/>
        <w:spacing w:after="0" w:line="250" w:lineRule="auto"/>
        <w:tabs>
          <w:tab w:leader="none" w:pos="34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All amounts and percentages are based on the amount remaining to be repaid on each automobile contract, including, for pre-computed automobile contracts, any unearned interest. The information in the table represents the gross principal amount of all automobile contracts we have purchased, including automobile contracts subsequently sold in securitization transactions that we continue to service. The table does not include certain contracts we have serviced for third parties on which we earn servicing fees only and have no credit risk.</w:t>
      </w:r>
    </w:p>
    <w:p>
      <w:pPr>
        <w:jc w:val="both"/>
        <w:ind w:left="340" w:hanging="332"/>
        <w:spacing w:after="0" w:line="250" w:lineRule="auto"/>
        <w:tabs>
          <w:tab w:leader="none" w:pos="34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We consider an automobile contract delinquent when an obligor fails to make at least 90% of a contractually due payment by the following due date, which date may have been extended within limits specified in the Servicing Agreements. The period of delinquency is based on the number of days payments are contractually past due. Automobile contracts less than 31 days delinquent are not included. The delinquency aging categories shown in the tables reflect the effect of extensions.</w:t>
      </w:r>
    </w:p>
    <w:p>
      <w:pPr>
        <w:spacing w:after="0" w:line="1" w:lineRule="exact"/>
        <w:rPr>
          <w:rFonts w:ascii="Arial" w:cs="Arial" w:eastAsia="Arial" w:hAnsi="Arial"/>
          <w:sz w:val="18"/>
          <w:szCs w:val="18"/>
          <w:i w:val="1"/>
          <w:iCs w:val="1"/>
          <w:color w:val="auto"/>
        </w:rPr>
      </w:pPr>
    </w:p>
    <w:p>
      <w:pPr>
        <w:ind w:left="340" w:hanging="332"/>
        <w:spacing w:after="0"/>
        <w:tabs>
          <w:tab w:leader="none" w:pos="34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Amount in repossession represents financed vehicles that have been repossessed but not yet liquidated.</w:t>
      </w:r>
    </w:p>
    <w:p>
      <w:pPr>
        <w:spacing w:after="0" w:line="9" w:lineRule="exact"/>
        <w:rPr>
          <w:rFonts w:ascii="Arial" w:cs="Arial" w:eastAsia="Arial" w:hAnsi="Arial"/>
          <w:sz w:val="18"/>
          <w:szCs w:val="18"/>
          <w:i w:val="1"/>
          <w:iCs w:val="1"/>
          <w:color w:val="auto"/>
        </w:rPr>
      </w:pPr>
    </w:p>
    <w:p>
      <w:pPr>
        <w:ind w:left="340" w:hanging="332"/>
        <w:spacing w:after="0"/>
        <w:tabs>
          <w:tab w:leader="none" w:pos="34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Amount in repossession and accounts past due more than 90 days are on non-accrual.</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7" w:name="page28"/>
    <w:bookmarkEnd w:id="27"/>
    <w:p>
      <w:pPr>
        <w:ind w:left="4540"/>
        <w:spacing w:after="0"/>
        <w:rPr>
          <w:sz w:val="20"/>
          <w:szCs w:val="20"/>
          <w:color w:val="auto"/>
        </w:rPr>
      </w:pPr>
      <w:r>
        <w:rPr>
          <w:rFonts w:ascii="Arial" w:cs="Arial" w:eastAsia="Arial" w:hAnsi="Arial"/>
          <w:sz w:val="18"/>
          <w:szCs w:val="18"/>
          <w:b w:val="1"/>
          <w:bCs w:val="1"/>
          <w:color w:val="auto"/>
        </w:rPr>
        <w:t>Net Charge-Off Experience (1)</w:t>
      </w:r>
    </w:p>
    <w:p>
      <w:pPr>
        <w:spacing w:after="0" w:line="27"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Total Owned Portfolio</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ind w:right="290"/>
              <w:spacing w:after="0"/>
              <w:rPr>
                <w:sz w:val="20"/>
                <w:szCs w:val="20"/>
                <w:color w:val="auto"/>
              </w:rPr>
            </w:pPr>
            <w:r>
              <w:rPr>
                <w:rFonts w:ascii="Arial" w:cs="Arial" w:eastAsia="Arial" w:hAnsi="Arial"/>
                <w:sz w:val="18"/>
                <w:szCs w:val="18"/>
                <w:b w:val="1"/>
                <w:bCs w:val="1"/>
                <w:color w:val="auto"/>
              </w:rPr>
              <w:t>March 31,</w:t>
            </w:r>
          </w:p>
        </w:tc>
        <w:tc>
          <w:tcPr>
            <w:tcW w:w="460" w:type="dxa"/>
            <w:vAlign w:val="bottom"/>
          </w:tcPr>
          <w:p>
            <w:pPr>
              <w:spacing w:after="0"/>
              <w:rPr>
                <w:sz w:val="19"/>
                <w:szCs w:val="19"/>
                <w:color w:val="auto"/>
              </w:rPr>
            </w:pPr>
          </w:p>
        </w:tc>
        <w:tc>
          <w:tcPr>
            <w:tcW w:w="1420" w:type="dxa"/>
            <w:vAlign w:val="bottom"/>
          </w:tcPr>
          <w:p>
            <w:pPr>
              <w:jc w:val="center"/>
              <w:ind w:right="350"/>
              <w:spacing w:after="0"/>
              <w:rPr>
                <w:sz w:val="20"/>
                <w:szCs w:val="20"/>
                <w:color w:val="auto"/>
              </w:rPr>
            </w:pPr>
            <w:r>
              <w:rPr>
                <w:rFonts w:ascii="Arial" w:cs="Arial" w:eastAsia="Arial" w:hAnsi="Arial"/>
                <w:sz w:val="18"/>
                <w:szCs w:val="18"/>
                <w:b w:val="1"/>
                <w:bCs w:val="1"/>
                <w:color w:val="auto"/>
                <w:w w:val="93"/>
              </w:rPr>
              <w:t>March 31,</w:t>
            </w:r>
          </w:p>
        </w:tc>
        <w:tc>
          <w:tcPr>
            <w:tcW w:w="220" w:type="dxa"/>
            <w:vAlign w:val="bottom"/>
          </w:tcPr>
          <w:p>
            <w:pPr>
              <w:spacing w:after="0"/>
              <w:rPr>
                <w:sz w:val="19"/>
                <w:szCs w:val="19"/>
                <w:color w:val="auto"/>
              </w:rPr>
            </w:pPr>
          </w:p>
        </w:tc>
        <w:tc>
          <w:tcPr>
            <w:tcW w:w="134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65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4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330"/>
              <w:spacing w:after="0"/>
              <w:rPr>
                <w:sz w:val="20"/>
                <w:szCs w:val="20"/>
                <w:color w:val="auto"/>
              </w:rPr>
            </w:pPr>
            <w:r>
              <w:rPr>
                <w:rFonts w:ascii="Arial" w:cs="Arial" w:eastAsia="Arial" w:hAnsi="Arial"/>
                <w:sz w:val="18"/>
                <w:szCs w:val="18"/>
                <w:b w:val="1"/>
                <w:bCs w:val="1"/>
                <w:color w:val="auto"/>
                <w:w w:val="89"/>
              </w:rPr>
              <w:t>2018</w:t>
            </w: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r>
      <w:tr>
        <w:trPr>
          <w:trHeight w:val="210"/>
        </w:trPr>
        <w:tc>
          <w:tcPr>
            <w:tcW w:w="6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(Dollars in thousands)</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20" w:type="dxa"/>
            <w:vAlign w:val="bottom"/>
            <w:shd w:val="clear" w:color="auto" w:fill="EEEEEE"/>
          </w:tcPr>
          <w:p>
            <w:pPr>
              <w:spacing w:after="0"/>
              <w:rPr>
                <w:sz w:val="20"/>
                <w:szCs w:val="20"/>
                <w:color w:val="auto"/>
              </w:rPr>
            </w:pPr>
            <w:r>
              <w:rPr>
                <w:rFonts w:ascii="Arial" w:cs="Arial" w:eastAsia="Arial" w:hAnsi="Arial"/>
                <w:sz w:val="18"/>
                <w:szCs w:val="18"/>
                <w:color w:val="auto"/>
              </w:rPr>
              <w:t>Average servicing portfolio outstanding</w:t>
            </w:r>
          </w:p>
        </w:tc>
        <w:tc>
          <w:tcPr>
            <w:tcW w:w="200" w:type="dxa"/>
            <w:vAlign w:val="bottom"/>
            <w:shd w:val="clear" w:color="auto" w:fill="EEEEEE"/>
          </w:tcPr>
          <w:p>
            <w:pPr>
              <w:jc w:val="right"/>
              <w:ind w:right="45"/>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2,392,212</w:t>
            </w:r>
          </w:p>
        </w:tc>
        <w:tc>
          <w:tcPr>
            <w:tcW w:w="46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shd w:val="clear" w:color="auto" w:fill="EEEEEE"/>
          </w:tcPr>
          <w:p>
            <w:pPr>
              <w:jc w:val="right"/>
              <w:ind w:right="150"/>
              <w:spacing w:after="0"/>
              <w:rPr>
                <w:sz w:val="20"/>
                <w:szCs w:val="20"/>
                <w:color w:val="auto"/>
              </w:rPr>
            </w:pPr>
            <w:r>
              <w:rPr>
                <w:rFonts w:ascii="Arial" w:cs="Arial" w:eastAsia="Arial" w:hAnsi="Arial"/>
                <w:sz w:val="18"/>
                <w:szCs w:val="18"/>
                <w:color w:val="auto"/>
              </w:rPr>
              <w:t>2,331,582</w:t>
            </w:r>
          </w:p>
        </w:tc>
        <w:tc>
          <w:tcPr>
            <w:tcW w:w="2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2,341,954</w:t>
            </w: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Annualized net charge-offs as a percentage of average servicing portfolio (2)</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8.0%</w:t>
            </w:r>
          </w:p>
        </w:tc>
        <w:tc>
          <w:tcPr>
            <w:tcW w:w="460" w:type="dxa"/>
            <w:vAlign w:val="bottom"/>
          </w:tcPr>
          <w:p>
            <w:pPr>
              <w:spacing w:after="0"/>
              <w:rPr>
                <w:sz w:val="20"/>
                <w:szCs w:val="20"/>
                <w:color w:val="auto"/>
              </w:rPr>
            </w:pPr>
          </w:p>
        </w:tc>
        <w:tc>
          <w:tcPr>
            <w:tcW w:w="1420" w:type="dxa"/>
            <w:vAlign w:val="bottom"/>
          </w:tcPr>
          <w:p>
            <w:pPr>
              <w:jc w:val="right"/>
              <w:ind w:right="150"/>
              <w:spacing w:after="0"/>
              <w:rPr>
                <w:sz w:val="20"/>
                <w:szCs w:val="20"/>
                <w:color w:val="auto"/>
              </w:rPr>
            </w:pPr>
            <w:r>
              <w:rPr>
                <w:rFonts w:ascii="Arial" w:cs="Arial" w:eastAsia="Arial" w:hAnsi="Arial"/>
                <w:sz w:val="18"/>
                <w:szCs w:val="18"/>
                <w:color w:val="auto"/>
              </w:rPr>
              <w:t>8.2%</w:t>
            </w:r>
          </w:p>
        </w:tc>
        <w:tc>
          <w:tcPr>
            <w:tcW w:w="220" w:type="dxa"/>
            <w:vAlign w:val="bottom"/>
          </w:tcPr>
          <w:p>
            <w:pPr>
              <w:spacing w:after="0"/>
              <w:rPr>
                <w:sz w:val="20"/>
                <w:szCs w:val="20"/>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7.7%</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_________________________</w:t>
      </w:r>
    </w:p>
    <w:p>
      <w:pPr>
        <w:spacing w:after="0" w:line="23" w:lineRule="exact"/>
        <w:rPr>
          <w:sz w:val="20"/>
          <w:szCs w:val="20"/>
          <w:color w:val="auto"/>
        </w:rPr>
      </w:pPr>
    </w:p>
    <w:p>
      <w:pPr>
        <w:ind w:left="340" w:hanging="332"/>
        <w:spacing w:after="0" w:line="250" w:lineRule="auto"/>
        <w:tabs>
          <w:tab w:leader="none" w:pos="34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All amounts and percentages are based on the principal amount scheduled to be paid on each automobile contract, net of unearned income on pre-computed automobile contracts.</w:t>
      </w:r>
    </w:p>
    <w:p>
      <w:pPr>
        <w:jc w:val="both"/>
        <w:ind w:left="340" w:hanging="332"/>
        <w:spacing w:after="0" w:line="273" w:lineRule="auto"/>
        <w:tabs>
          <w:tab w:leader="none" w:pos="340" w:val="left"/>
        </w:tabs>
        <w:numPr>
          <w:ilvl w:val="0"/>
          <w:numId w:val="14"/>
        </w:numPr>
        <w:rPr>
          <w:rFonts w:ascii="Arial" w:cs="Arial" w:eastAsia="Arial" w:hAnsi="Arial"/>
          <w:sz w:val="17"/>
          <w:szCs w:val="17"/>
          <w:i w:val="1"/>
          <w:iCs w:val="1"/>
          <w:color w:val="auto"/>
        </w:rPr>
      </w:pPr>
      <w:r>
        <w:rPr>
          <w:rFonts w:ascii="Arial" w:cs="Arial" w:eastAsia="Arial" w:hAnsi="Arial"/>
          <w:sz w:val="17"/>
          <w:szCs w:val="17"/>
          <w:i w:val="1"/>
          <w:iCs w:val="1"/>
          <w:color w:val="auto"/>
        </w:rPr>
        <w:t>Net charge-offs include the remaining principal balance, after the application of the net proceeds from the liquidation of the vehicle (excluding accrued and unpaid interest) and amounts collected subsequent to the date of charge-off, including some recoveries which have been classified as other income in the accompanying interim consolidated financial statements. March 31, 2019 and March 31, 2018 percentages represent three months ended March 31, 2019 and March 31, 2018 annualized. December 31, 2018 represents 12 months ended December 31, 2018.</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Extensions</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certain circumstances we will grant obligors one-month payment extensions to assist them with temporary cash flow problems. In general, an obligor would not be entitled to more than two such extensions in any 12-month period and no more than six over the life of the contract. The only modification of terms is to advance the obligor’s next due date by one month and extend the maturity date of the receivable by one month. In some cases, a two-month extension may be granted. There are no other concessions such as a reduction in interest rate, forgiveness of principal or of accrued interest. Accordingly, we consider such extensions to be insignificant delays in payments rather than troubled debt restructurings.</w:t>
      </w:r>
    </w:p>
    <w:p>
      <w:pPr>
        <w:spacing w:after="0" w:line="17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basic question in deciding to grant an extension is whether or not we will (a) be delaying the inevitable repossession and liquidation or (b) risk losing the vehicle as a result of not being able to locate the obligor and vehicle. In both of those situations, the loss would likely be higher than if the vehicle had been repossessed without the extension. The benefits of granting an extension include minimizing current losses and delinquencies, minimizing lifetime losses, getting the obligor’s account current (or close to it) and building goodwill with the obligor so that he might prioritize us over other creditors on future payments. Our servicing staff are trained to identify when a past due obligor is facing a temporary problem that may be resolved with an extension. In most cases, the extension will be granted in conjunction with our receiving a past due payment (and where allowed by law, a nominal fee, applied to the loan as a partial payment) from the obligor, thereby indicating an additional monetary and psychological commitment to the contract on the obligor’s part.</w:t>
      </w:r>
    </w:p>
    <w:p>
      <w:pPr>
        <w:spacing w:after="0" w:line="16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credit assessment for granting an extension is initially made by our collector, who bases the recommendation on the collector’s discussions with the obligor. In such assessments the collector will consider, among other things, the following factors: (1) the reason the obligor has fallen behind in payment;</w:t>
      </w:r>
    </w:p>
    <w:p>
      <w:pPr>
        <w:jc w:val="both"/>
        <w:ind w:firstLine="8"/>
        <w:spacing w:after="0" w:line="271" w:lineRule="auto"/>
        <w:tabs>
          <w:tab w:leader="none" w:pos="263" w:val="left"/>
        </w:tabs>
        <w:numPr>
          <w:ilvl w:val="0"/>
          <w:numId w:val="15"/>
        </w:numPr>
        <w:rPr>
          <w:rFonts w:ascii="Arial" w:cs="Arial" w:eastAsia="Arial" w:hAnsi="Arial"/>
          <w:sz w:val="17"/>
          <w:szCs w:val="17"/>
          <w:color w:val="auto"/>
        </w:rPr>
      </w:pPr>
      <w:r>
        <w:rPr>
          <w:rFonts w:ascii="Arial" w:cs="Arial" w:eastAsia="Arial" w:hAnsi="Arial"/>
          <w:sz w:val="17"/>
          <w:szCs w:val="17"/>
          <w:color w:val="auto"/>
        </w:rPr>
        <w:t>whether or not the reason for the delinquency is temporary, and if it is, have conditions changed such that the obligor can begin making regular monthly payments again after the extension; (3) the obligor's past payment history, including past extensions if applicable; and (4) the obligor’s willingness to communicate and cooperate on resolving the delinquency. If the collector believes the obligor is a good candidate for an extension, he must obtain approval from his supervisor, who will review the same factors stated above prior to offering the extension to the obligor. After receiving an extension, an account remains subject to our normal policies and procedures for interest accrual, reporting delinquency and recognizing charge-offs.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28" w:name="page29"/>
    <w:bookmarkEnd w:id="28"/>
    <w:p>
      <w:pPr>
        <w:jc w:val="both"/>
        <w:ind w:firstLine="648"/>
        <w:spacing w:after="0" w:line="264" w:lineRule="auto"/>
        <w:rPr>
          <w:sz w:val="20"/>
          <w:szCs w:val="20"/>
          <w:color w:val="auto"/>
        </w:rPr>
      </w:pPr>
      <w:r>
        <w:rPr>
          <w:rFonts w:ascii="Arial" w:cs="Arial" w:eastAsia="Arial" w:hAnsi="Arial"/>
          <w:sz w:val="18"/>
          <w:szCs w:val="18"/>
          <w:color w:val="auto"/>
        </w:rPr>
        <w:t>We believe that a prudent extension program is an integral component to mitigating losses in our portfolio of sub-prime automobile receivables. The table below summarizes the status, as of March 31, 2019, for accounts that received extensions from 2008 through 2017 (2018 extension data are not included at this time due to insufficient passage of time for meaningful evaluation of results):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 Active or</w:t>
            </w: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Charged Off</w:t>
            </w: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 Charged</w:t>
            </w: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Charged Off</w:t>
            </w: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 Charged</w:t>
            </w:r>
          </w:p>
        </w:tc>
        <w:tc>
          <w:tcPr>
            <w:tcW w:w="1020" w:type="dxa"/>
            <w:vAlign w:val="bottom"/>
          </w:tcPr>
          <w:p>
            <w:pPr>
              <w:jc w:val="center"/>
              <w:spacing w:after="0"/>
              <w:rPr>
                <w:sz w:val="20"/>
                <w:szCs w:val="20"/>
                <w:color w:val="auto"/>
              </w:rPr>
            </w:pPr>
            <w:r>
              <w:rPr>
                <w:rFonts w:ascii="Arial" w:cs="Arial" w:eastAsia="Arial" w:hAnsi="Arial"/>
                <w:sz w:val="18"/>
                <w:szCs w:val="18"/>
                <w:color w:val="auto"/>
                <w:w w:val="94"/>
              </w:rPr>
              <w:t>Avg Months</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Active or Paid</w:t>
            </w: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Paid Off at</w:t>
            </w: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&gt; 6 Months</w:t>
            </w: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Off &gt; 6</w:t>
            </w: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&lt;= 6 Months</w:t>
            </w: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color w:val="auto"/>
                <w:w w:val="98"/>
              </w:rPr>
              <w:t>Off &lt;= 6</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to Charge Off</w:t>
            </w:r>
          </w:p>
        </w:tc>
      </w:tr>
      <w:tr>
        <w:trPr>
          <w:trHeight w:val="216"/>
        </w:trPr>
        <w:tc>
          <w:tcPr>
            <w:tcW w:w="138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Period of</w:t>
            </w: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 Extensions</w:t>
            </w: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Off at March</w:t>
            </w: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March 31,</w:t>
            </w: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After</w:t>
            </w: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Months After</w:t>
            </w: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After</w:t>
            </w: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Months After</w:t>
            </w:r>
          </w:p>
        </w:tc>
        <w:tc>
          <w:tcPr>
            <w:tcW w:w="1020" w:type="dxa"/>
            <w:vAlign w:val="bottom"/>
          </w:tcPr>
          <w:p>
            <w:pPr>
              <w:jc w:val="center"/>
              <w:spacing w:after="0"/>
              <w:rPr>
                <w:sz w:val="20"/>
                <w:szCs w:val="20"/>
                <w:color w:val="auto"/>
              </w:rPr>
            </w:pPr>
            <w:r>
              <w:rPr>
                <w:rFonts w:ascii="Arial" w:cs="Arial" w:eastAsia="Arial" w:hAnsi="Arial"/>
                <w:sz w:val="18"/>
                <w:szCs w:val="18"/>
                <w:color w:val="auto"/>
                <w:w w:val="83"/>
              </w:rPr>
              <w:t>Post</w:t>
            </w:r>
          </w:p>
        </w:tc>
      </w:tr>
      <w:tr>
        <w:trPr>
          <w:trHeight w:val="230"/>
        </w:trPr>
        <w:tc>
          <w:tcPr>
            <w:tcW w:w="138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Extension</w:t>
            </w: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Granted</w:t>
            </w: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31, 2019</w:t>
            </w:r>
          </w:p>
        </w:tc>
        <w:tc>
          <w:tcPr>
            <w:tcW w:w="22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240" w:type="dxa"/>
            <w:vAlign w:val="bottom"/>
          </w:tcPr>
          <w:p>
            <w:pPr>
              <w:spacing w:after="0"/>
              <w:rPr>
                <w:sz w:val="20"/>
                <w:szCs w:val="20"/>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Extension</w:t>
            </w: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Extension</w:t>
            </w: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Extension</w:t>
            </w: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Extension</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Extension</w:t>
            </w:r>
          </w:p>
        </w:tc>
      </w:tr>
      <w:tr>
        <w:trPr>
          <w:trHeight w:val="210"/>
        </w:trPr>
        <w:tc>
          <w:tcPr>
            <w:tcW w:w="1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r>
      <w:tr>
        <w:trPr>
          <w:trHeight w:val="216"/>
        </w:trPr>
        <w:tc>
          <w:tcPr>
            <w:tcW w:w="11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2008</w:t>
            </w:r>
          </w:p>
        </w:tc>
        <w:tc>
          <w:tcPr>
            <w:tcW w:w="22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35,588</w:t>
            </w:r>
          </w:p>
        </w:tc>
        <w:tc>
          <w:tcPr>
            <w:tcW w:w="13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10,710</w:t>
            </w:r>
          </w:p>
        </w:tc>
        <w:tc>
          <w:tcPr>
            <w:tcW w:w="12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30.1%</w:t>
            </w:r>
          </w:p>
        </w:tc>
        <w:tc>
          <w:tcPr>
            <w:tcW w:w="12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20,059</w:t>
            </w:r>
          </w:p>
        </w:tc>
        <w:tc>
          <w:tcPr>
            <w:tcW w:w="12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56.4%</w:t>
            </w:r>
          </w:p>
        </w:tc>
        <w:tc>
          <w:tcPr>
            <w:tcW w:w="12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4,819</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13.5%</w:t>
            </w:r>
          </w:p>
        </w:tc>
        <w:tc>
          <w:tcPr>
            <w:tcW w:w="10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19</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11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2009</w:t>
            </w:r>
          </w:p>
        </w:tc>
        <w:tc>
          <w:tcPr>
            <w:tcW w:w="22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32,226</w:t>
            </w:r>
          </w:p>
        </w:tc>
        <w:tc>
          <w:tcPr>
            <w:tcW w:w="13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10,275</w:t>
            </w:r>
          </w:p>
        </w:tc>
        <w:tc>
          <w:tcPr>
            <w:tcW w:w="12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31.9%</w:t>
            </w:r>
          </w:p>
        </w:tc>
        <w:tc>
          <w:tcPr>
            <w:tcW w:w="12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16,168</w:t>
            </w:r>
          </w:p>
        </w:tc>
        <w:tc>
          <w:tcPr>
            <w:tcW w:w="12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50.2%</w:t>
            </w:r>
          </w:p>
        </w:tc>
        <w:tc>
          <w:tcPr>
            <w:tcW w:w="12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5,783</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17.9%</w:t>
            </w:r>
          </w:p>
        </w:tc>
        <w:tc>
          <w:tcPr>
            <w:tcW w:w="10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17</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11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2010</w:t>
            </w:r>
          </w:p>
        </w:tc>
        <w:tc>
          <w:tcPr>
            <w:tcW w:w="22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26,167</w:t>
            </w:r>
          </w:p>
        </w:tc>
        <w:tc>
          <w:tcPr>
            <w:tcW w:w="13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12,165</w:t>
            </w:r>
          </w:p>
        </w:tc>
        <w:tc>
          <w:tcPr>
            <w:tcW w:w="12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46.5%</w:t>
            </w:r>
          </w:p>
        </w:tc>
        <w:tc>
          <w:tcPr>
            <w:tcW w:w="12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12,003</w:t>
            </w:r>
          </w:p>
        </w:tc>
        <w:tc>
          <w:tcPr>
            <w:tcW w:w="12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45.9%</w:t>
            </w:r>
          </w:p>
        </w:tc>
        <w:tc>
          <w:tcPr>
            <w:tcW w:w="12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1,999</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7.6%</w:t>
            </w:r>
          </w:p>
        </w:tc>
        <w:tc>
          <w:tcPr>
            <w:tcW w:w="10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19</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11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2011</w:t>
            </w:r>
          </w:p>
        </w:tc>
        <w:tc>
          <w:tcPr>
            <w:tcW w:w="22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18,786</w:t>
            </w:r>
          </w:p>
        </w:tc>
        <w:tc>
          <w:tcPr>
            <w:tcW w:w="13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10,975</w:t>
            </w:r>
          </w:p>
        </w:tc>
        <w:tc>
          <w:tcPr>
            <w:tcW w:w="12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58.4%</w:t>
            </w:r>
          </w:p>
        </w:tc>
        <w:tc>
          <w:tcPr>
            <w:tcW w:w="10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6,879</w:t>
            </w:r>
          </w:p>
        </w:tc>
        <w:tc>
          <w:tcPr>
            <w:tcW w:w="20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36.6%</w:t>
            </w:r>
          </w:p>
        </w:tc>
        <w:tc>
          <w:tcPr>
            <w:tcW w:w="12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932</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5.0%</w:t>
            </w:r>
          </w:p>
        </w:tc>
        <w:tc>
          <w:tcPr>
            <w:tcW w:w="10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19</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11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2012</w:t>
            </w:r>
          </w:p>
        </w:tc>
        <w:tc>
          <w:tcPr>
            <w:tcW w:w="22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18,783</w:t>
            </w:r>
          </w:p>
        </w:tc>
        <w:tc>
          <w:tcPr>
            <w:tcW w:w="11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11,340</w:t>
            </w:r>
          </w:p>
        </w:tc>
        <w:tc>
          <w:tcPr>
            <w:tcW w:w="22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60.4%</w:t>
            </w:r>
          </w:p>
        </w:tc>
        <w:tc>
          <w:tcPr>
            <w:tcW w:w="10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6,647</w:t>
            </w:r>
          </w:p>
        </w:tc>
        <w:tc>
          <w:tcPr>
            <w:tcW w:w="20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35.4%</w:t>
            </w:r>
          </w:p>
        </w:tc>
        <w:tc>
          <w:tcPr>
            <w:tcW w:w="12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796</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4.2%</w:t>
            </w:r>
          </w:p>
        </w:tc>
        <w:tc>
          <w:tcPr>
            <w:tcW w:w="10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18</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11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2013</w:t>
            </w:r>
          </w:p>
        </w:tc>
        <w:tc>
          <w:tcPr>
            <w:tcW w:w="22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23,398</w:t>
            </w:r>
          </w:p>
        </w:tc>
        <w:tc>
          <w:tcPr>
            <w:tcW w:w="11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11,449</w:t>
            </w:r>
          </w:p>
        </w:tc>
        <w:tc>
          <w:tcPr>
            <w:tcW w:w="22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48.9%</w:t>
            </w:r>
          </w:p>
        </w:tc>
        <w:tc>
          <w:tcPr>
            <w:tcW w:w="12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10,973</w:t>
            </w:r>
          </w:p>
        </w:tc>
        <w:tc>
          <w:tcPr>
            <w:tcW w:w="12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46.9%</w:t>
            </w:r>
          </w:p>
        </w:tc>
        <w:tc>
          <w:tcPr>
            <w:tcW w:w="12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976</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4.2%</w:t>
            </w:r>
          </w:p>
        </w:tc>
        <w:tc>
          <w:tcPr>
            <w:tcW w:w="10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22</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11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2014</w:t>
            </w:r>
          </w:p>
        </w:tc>
        <w:tc>
          <w:tcPr>
            <w:tcW w:w="22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25,773</w:t>
            </w:r>
          </w:p>
        </w:tc>
        <w:tc>
          <w:tcPr>
            <w:tcW w:w="11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11,488</w:t>
            </w:r>
          </w:p>
        </w:tc>
        <w:tc>
          <w:tcPr>
            <w:tcW w:w="22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44.6%</w:t>
            </w:r>
          </w:p>
        </w:tc>
        <w:tc>
          <w:tcPr>
            <w:tcW w:w="12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13,459</w:t>
            </w:r>
          </w:p>
        </w:tc>
        <w:tc>
          <w:tcPr>
            <w:tcW w:w="12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52.2%</w:t>
            </w:r>
          </w:p>
        </w:tc>
        <w:tc>
          <w:tcPr>
            <w:tcW w:w="12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826</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3.2%</w:t>
            </w:r>
          </w:p>
        </w:tc>
        <w:tc>
          <w:tcPr>
            <w:tcW w:w="10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22</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11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2015</w:t>
            </w:r>
          </w:p>
        </w:tc>
        <w:tc>
          <w:tcPr>
            <w:tcW w:w="22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53,319</w:t>
            </w:r>
          </w:p>
        </w:tc>
        <w:tc>
          <w:tcPr>
            <w:tcW w:w="13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27,134</w:t>
            </w:r>
          </w:p>
        </w:tc>
        <w:tc>
          <w:tcPr>
            <w:tcW w:w="12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50.9%</w:t>
            </w:r>
          </w:p>
        </w:tc>
        <w:tc>
          <w:tcPr>
            <w:tcW w:w="12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25,103</w:t>
            </w:r>
          </w:p>
        </w:tc>
        <w:tc>
          <w:tcPr>
            <w:tcW w:w="12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47.1%</w:t>
            </w:r>
          </w:p>
        </w:tc>
        <w:tc>
          <w:tcPr>
            <w:tcW w:w="12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1,082</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2.0%</w:t>
            </w:r>
          </w:p>
        </w:tc>
        <w:tc>
          <w:tcPr>
            <w:tcW w:w="10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21</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11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2016</w:t>
            </w:r>
          </w:p>
        </w:tc>
        <w:tc>
          <w:tcPr>
            <w:tcW w:w="22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80,897</w:t>
            </w:r>
          </w:p>
        </w:tc>
        <w:tc>
          <w:tcPr>
            <w:tcW w:w="13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50,077</w:t>
            </w:r>
          </w:p>
        </w:tc>
        <w:tc>
          <w:tcPr>
            <w:tcW w:w="12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61.9%</w:t>
            </w:r>
          </w:p>
        </w:tc>
        <w:tc>
          <w:tcPr>
            <w:tcW w:w="12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28,887</w:t>
            </w:r>
          </w:p>
        </w:tc>
        <w:tc>
          <w:tcPr>
            <w:tcW w:w="12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35.7%</w:t>
            </w:r>
          </w:p>
        </w:tc>
        <w:tc>
          <w:tcPr>
            <w:tcW w:w="12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1,933</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2.4%</w:t>
            </w:r>
          </w:p>
        </w:tc>
        <w:tc>
          <w:tcPr>
            <w:tcW w:w="10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17</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11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2017</w:t>
            </w:r>
          </w:p>
        </w:tc>
        <w:tc>
          <w:tcPr>
            <w:tcW w:w="22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133,881</w:t>
            </w:r>
          </w:p>
        </w:tc>
        <w:tc>
          <w:tcPr>
            <w:tcW w:w="13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94,669</w:t>
            </w:r>
          </w:p>
        </w:tc>
        <w:tc>
          <w:tcPr>
            <w:tcW w:w="12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70.7%</w:t>
            </w:r>
          </w:p>
        </w:tc>
        <w:tc>
          <w:tcPr>
            <w:tcW w:w="12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32,252</w:t>
            </w:r>
          </w:p>
        </w:tc>
        <w:tc>
          <w:tcPr>
            <w:tcW w:w="12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24.1%</w:t>
            </w:r>
          </w:p>
        </w:tc>
        <w:tc>
          <w:tcPr>
            <w:tcW w:w="12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6,926</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5.2%</w:t>
            </w:r>
          </w:p>
        </w:tc>
        <w:tc>
          <w:tcPr>
            <w:tcW w:w="10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12</w:t>
            </w:r>
          </w:p>
        </w:tc>
      </w:tr>
    </w:tbl>
    <w:p>
      <w:pPr>
        <w:spacing w:after="0"/>
        <w:rPr>
          <w:sz w:val="20"/>
          <w:szCs w:val="20"/>
          <w:color w:val="auto"/>
        </w:rPr>
      </w:pPr>
      <w:r>
        <w:rPr>
          <w:rFonts w:ascii="Arial" w:cs="Arial" w:eastAsia="Arial" w:hAnsi="Arial"/>
          <w:sz w:val="18"/>
          <w:szCs w:val="18"/>
          <w:color w:val="auto"/>
        </w:rPr>
        <w:t>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 Table excludes extensions on portfolios serviced for third parties</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view these results as a confirmation of the effectiveness of our extension program. For example, of the accounts granted extensions in 2012, 60.4% were either paid in full or active and performing at March 31, 2019. Each of these successful accounts represent continued payments of interest and principal (including payment in full in many cases), where without the extension we likely would have incurred a substantial loss and no interest revenue subsequent to the extension.</w:t>
      </w:r>
    </w:p>
    <w:p>
      <w:pPr>
        <w:spacing w:after="0" w:line="18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For the extension accounts that ultimately charge off, we consider any that charged off more than six months after the extension to be at least partially successful. For example, of the accounts granted extensions in 2012 that subsequently charged off, such charge offs occurred, on average, 18 months after the extension, indicating that even in the cases of an ultimate loss, the obligor serviced the account with additional payments of principal and interest.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20" w:type="dxa"/>
            <w:vAlign w:val="bottom"/>
            <w:gridSpan w:val="2"/>
          </w:tcPr>
          <w:p>
            <w:pPr>
              <w:spacing w:after="0"/>
              <w:rPr>
                <w:sz w:val="20"/>
                <w:szCs w:val="20"/>
                <w:color w:val="auto"/>
              </w:rPr>
            </w:pPr>
            <w:r>
              <w:rPr>
                <w:rFonts w:ascii="Arial" w:cs="Arial" w:eastAsia="Arial" w:hAnsi="Arial"/>
                <w:sz w:val="18"/>
                <w:szCs w:val="18"/>
                <w:color w:val="auto"/>
              </w:rPr>
              <w:t>Additional information about our extensions is provided in the tables below:</w:t>
            </w:r>
          </w:p>
        </w:tc>
        <w:tc>
          <w:tcPr>
            <w:tcW w:w="1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Year Ended</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6500" w:type="dxa"/>
            <w:vAlign w:val="bottom"/>
          </w:tcPr>
          <w:p>
            <w:pPr>
              <w:spacing w:after="0"/>
              <w:rPr>
                <w:sz w:val="21"/>
                <w:szCs w:val="21"/>
                <w:color w:val="auto"/>
              </w:rPr>
            </w:pPr>
          </w:p>
        </w:tc>
        <w:tc>
          <w:tcPr>
            <w:tcW w:w="3440" w:type="dxa"/>
            <w:vAlign w:val="bottom"/>
            <w:gridSpan w:val="4"/>
          </w:tcPr>
          <w:p>
            <w:pPr>
              <w:jc w:val="right"/>
              <w:ind w:right="660"/>
              <w:spacing w:after="0"/>
              <w:rPr>
                <w:sz w:val="20"/>
                <w:szCs w:val="20"/>
                <w:color w:val="auto"/>
              </w:rPr>
            </w:pPr>
            <w:r>
              <w:rPr>
                <w:rFonts w:ascii="Arial" w:cs="Arial" w:eastAsia="Arial" w:hAnsi="Arial"/>
                <w:sz w:val="18"/>
                <w:szCs w:val="18"/>
                <w:b w:val="1"/>
                <w:bCs w:val="1"/>
                <w:color w:val="auto"/>
              </w:rPr>
              <w:t>Three Months Ended March 31,</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340" w:type="dxa"/>
            <w:vAlign w:val="bottom"/>
            <w:tcBorders>
              <w:top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340" w:type="dxa"/>
            <w:vAlign w:val="bottom"/>
          </w:tcPr>
          <w:p>
            <w:pPr>
              <w:spacing w:after="0"/>
              <w:rPr>
                <w:sz w:val="19"/>
                <w:szCs w:val="19"/>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EEEEEE"/>
          </w:tcPr>
          <w:p>
            <w:pPr>
              <w:spacing w:after="0"/>
              <w:rPr>
                <w:sz w:val="20"/>
                <w:szCs w:val="20"/>
                <w:color w:val="auto"/>
              </w:rPr>
            </w:pPr>
            <w:r>
              <w:rPr>
                <w:rFonts w:ascii="Arial" w:cs="Arial" w:eastAsia="Arial" w:hAnsi="Arial"/>
                <w:sz w:val="18"/>
                <w:szCs w:val="18"/>
                <w:color w:val="auto"/>
              </w:rPr>
              <w:t>Average number of extensions granted per month</w:t>
            </w:r>
          </w:p>
        </w:tc>
        <w:tc>
          <w:tcPr>
            <w:tcW w:w="17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5,983</w:t>
            </w:r>
          </w:p>
        </w:tc>
        <w:tc>
          <w:tcPr>
            <w:tcW w:w="17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10,630</w:t>
            </w: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10,128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EEEEEE"/>
          </w:tcPr>
          <w:p>
            <w:pPr>
              <w:spacing w:after="0"/>
              <w:rPr>
                <w:sz w:val="20"/>
                <w:szCs w:val="20"/>
                <w:color w:val="auto"/>
              </w:rPr>
            </w:pPr>
            <w:r>
              <w:rPr>
                <w:rFonts w:ascii="Arial" w:cs="Arial" w:eastAsia="Arial" w:hAnsi="Arial"/>
                <w:sz w:val="18"/>
                <w:szCs w:val="18"/>
                <w:color w:val="auto"/>
              </w:rPr>
              <w:t>Average number of outstanding accounts</w:t>
            </w:r>
          </w:p>
        </w:tc>
        <w:tc>
          <w:tcPr>
            <w:tcW w:w="17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176,616</w:t>
            </w:r>
          </w:p>
        </w:tc>
        <w:tc>
          <w:tcPr>
            <w:tcW w:w="17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174,247</w:t>
            </w: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174,738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EEEEEE"/>
          </w:tcPr>
          <w:p>
            <w:pPr>
              <w:spacing w:after="0"/>
              <w:rPr>
                <w:sz w:val="20"/>
                <w:szCs w:val="20"/>
                <w:color w:val="auto"/>
              </w:rPr>
            </w:pPr>
            <w:r>
              <w:rPr>
                <w:rFonts w:ascii="Arial" w:cs="Arial" w:eastAsia="Arial" w:hAnsi="Arial"/>
                <w:sz w:val="18"/>
                <w:szCs w:val="18"/>
                <w:color w:val="auto"/>
              </w:rPr>
              <w:t>Average monthly extensions as % of average outstandings</w:t>
            </w:r>
          </w:p>
        </w:tc>
        <w:tc>
          <w:tcPr>
            <w:tcW w:w="17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3.4%</w:t>
            </w:r>
          </w:p>
        </w:tc>
        <w:tc>
          <w:tcPr>
            <w:tcW w:w="17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6.1%</w:t>
            </w: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00" w:type="dxa"/>
            <w:vAlign w:val="bottom"/>
          </w:tcPr>
          <w:p>
            <w:pPr>
              <w:spacing w:after="0" w:line="201" w:lineRule="exact"/>
              <w:rPr>
                <w:sz w:val="20"/>
                <w:szCs w:val="20"/>
                <w:color w:val="auto"/>
              </w:rPr>
            </w:pPr>
            <w:r>
              <w:rPr>
                <w:rFonts w:ascii="Arial" w:cs="Arial" w:eastAsia="Arial" w:hAnsi="Arial"/>
                <w:sz w:val="18"/>
                <w:szCs w:val="18"/>
                <w:color w:val="auto"/>
              </w:rPr>
              <w:t>______________________</w:t>
            </w:r>
          </w:p>
        </w:tc>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520" w:type="dxa"/>
            <w:vAlign w:val="bottom"/>
            <w:gridSpan w:val="2"/>
          </w:tcPr>
          <w:p>
            <w:pPr>
              <w:spacing w:after="0"/>
              <w:rPr>
                <w:sz w:val="20"/>
                <w:szCs w:val="20"/>
                <w:color w:val="auto"/>
              </w:rPr>
            </w:pPr>
            <w:r>
              <w:rPr>
                <w:rFonts w:ascii="Arial" w:cs="Arial" w:eastAsia="Arial" w:hAnsi="Arial"/>
                <w:sz w:val="18"/>
                <w:szCs w:val="18"/>
                <w:i w:val="1"/>
                <w:iCs w:val="1"/>
                <w:color w:val="auto"/>
              </w:rPr>
              <w:t>Note: Table excludes portfolios originated and owned by third parties</w:t>
            </w:r>
          </w:p>
        </w:tc>
        <w:tc>
          <w:tcPr>
            <w:tcW w:w="1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2580" w:type="dxa"/>
            <w:vAlign w:val="bottom"/>
            <w:gridSpan w:val="5"/>
          </w:tcPr>
          <w:p>
            <w:pPr>
              <w:jc w:val="right"/>
              <w:ind w:right="860"/>
              <w:spacing w:after="0"/>
              <w:rPr>
                <w:sz w:val="20"/>
                <w:szCs w:val="20"/>
                <w:color w:val="auto"/>
              </w:rPr>
            </w:pPr>
            <w:r>
              <w:rPr>
                <w:rFonts w:ascii="Arial" w:cs="Arial" w:eastAsia="Arial" w:hAnsi="Arial"/>
                <w:sz w:val="18"/>
                <w:szCs w:val="18"/>
                <w:b w:val="1"/>
                <w:bCs w:val="1"/>
                <w:color w:val="auto"/>
              </w:rPr>
              <w:t>March 31, 2019</w:t>
            </w:r>
          </w:p>
        </w:tc>
        <w:tc>
          <w:tcPr>
            <w:tcW w:w="2480" w:type="dxa"/>
            <w:vAlign w:val="bottom"/>
            <w:gridSpan w:val="5"/>
          </w:tcPr>
          <w:p>
            <w:pPr>
              <w:ind w:left="480"/>
              <w:spacing w:after="0"/>
              <w:rPr>
                <w:sz w:val="20"/>
                <w:szCs w:val="20"/>
                <w:color w:val="auto"/>
              </w:rPr>
            </w:pPr>
            <w:r>
              <w:rPr>
                <w:rFonts w:ascii="Arial" w:cs="Arial" w:eastAsia="Arial" w:hAnsi="Arial"/>
                <w:sz w:val="18"/>
                <w:szCs w:val="18"/>
                <w:b w:val="1"/>
                <w:bCs w:val="1"/>
                <w:color w:val="auto"/>
              </w:rPr>
              <w:t>March 31, 2018</w:t>
            </w:r>
          </w:p>
        </w:tc>
        <w:tc>
          <w:tcPr>
            <w:tcW w:w="2240" w:type="dxa"/>
            <w:vAlign w:val="bottom"/>
            <w:gridSpan w:val="6"/>
          </w:tcPr>
          <w:p>
            <w:pPr>
              <w:ind w:left="340"/>
              <w:spacing w:after="0"/>
              <w:rPr>
                <w:sz w:val="20"/>
                <w:szCs w:val="20"/>
                <w:color w:val="auto"/>
              </w:rPr>
            </w:pPr>
            <w:r>
              <w:rPr>
                <w:rFonts w:ascii="Arial" w:cs="Arial" w:eastAsia="Arial" w:hAnsi="Arial"/>
                <w:sz w:val="18"/>
                <w:szCs w:val="18"/>
                <w:b w:val="1"/>
                <w:bCs w:val="1"/>
                <w:color w:val="auto"/>
              </w:rPr>
              <w:t>December 31, 2018</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1300" w:type="dxa"/>
            <w:vAlign w:val="bottom"/>
            <w:tcBorders>
              <w:top w:val="single" w:sz="8" w:color="auto"/>
            </w:tcBorders>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93"/>
              </w:rPr>
              <w:t>Number of</w:t>
            </w: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Borders>
              <w:top w:val="single" w:sz="8" w:color="auto"/>
            </w:tcBorders>
            <w:gridSpan w:val="2"/>
          </w:tcPr>
          <w:p>
            <w:pPr>
              <w:jc w:val="right"/>
              <w:ind w:right="360"/>
              <w:spacing w:after="0" w:line="191" w:lineRule="exact"/>
              <w:rPr>
                <w:sz w:val="20"/>
                <w:szCs w:val="20"/>
                <w:color w:val="auto"/>
              </w:rPr>
            </w:pPr>
            <w:r>
              <w:rPr>
                <w:rFonts w:ascii="Arial" w:cs="Arial" w:eastAsia="Arial" w:hAnsi="Arial"/>
                <w:sz w:val="18"/>
                <w:szCs w:val="18"/>
                <w:b w:val="1"/>
                <w:bCs w:val="1"/>
                <w:color w:val="auto"/>
                <w:w w:val="95"/>
              </w:rPr>
              <w:t>Number of</w:t>
            </w: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Borders>
              <w:top w:val="single" w:sz="8" w:color="auto"/>
            </w:tcBorders>
            <w:gridSpan w:val="2"/>
          </w:tcPr>
          <w:p>
            <w:pPr>
              <w:jc w:val="right"/>
              <w:ind w:right="200"/>
              <w:spacing w:after="0" w:line="191" w:lineRule="exact"/>
              <w:rPr>
                <w:sz w:val="20"/>
                <w:szCs w:val="20"/>
                <w:color w:val="auto"/>
              </w:rPr>
            </w:pPr>
            <w:r>
              <w:rPr>
                <w:rFonts w:ascii="Arial" w:cs="Arial" w:eastAsia="Arial" w:hAnsi="Arial"/>
                <w:sz w:val="18"/>
                <w:szCs w:val="18"/>
                <w:b w:val="1"/>
                <w:bCs w:val="1"/>
                <w:color w:val="auto"/>
                <w:w w:val="93"/>
              </w:rPr>
              <w:t>Number of</w:t>
            </w:r>
          </w:p>
        </w:tc>
        <w:tc>
          <w:tcPr>
            <w:tcW w:w="1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Contracts</w:t>
            </w:r>
          </w:p>
        </w:tc>
        <w:tc>
          <w:tcPr>
            <w:tcW w:w="120" w:type="dxa"/>
            <w:vAlign w:val="bottom"/>
          </w:tcPr>
          <w:p>
            <w:pPr>
              <w:spacing w:after="0"/>
              <w:rPr>
                <w:sz w:val="20"/>
                <w:szCs w:val="20"/>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4"/>
              </w:rPr>
              <w:t>Amount</w:t>
            </w:r>
          </w:p>
        </w:tc>
        <w:tc>
          <w:tcPr>
            <w:tcW w:w="12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7"/>
              </w:rPr>
              <w:t>Contracts</w:t>
            </w:r>
          </w:p>
        </w:tc>
        <w:tc>
          <w:tcPr>
            <w:tcW w:w="120" w:type="dxa"/>
            <w:vAlign w:val="bottom"/>
          </w:tcPr>
          <w:p>
            <w:pPr>
              <w:spacing w:after="0"/>
              <w:rPr>
                <w:sz w:val="20"/>
                <w:szCs w:val="20"/>
                <w:color w:val="auto"/>
              </w:rPr>
            </w:pPr>
          </w:p>
        </w:tc>
        <w:tc>
          <w:tcPr>
            <w:tcW w:w="1120" w:type="dxa"/>
            <w:vAlign w:val="bottom"/>
            <w:gridSpan w:val="2"/>
          </w:tcPr>
          <w:p>
            <w:pPr>
              <w:ind w:left="20"/>
              <w:spacing w:after="0"/>
              <w:rPr>
                <w:sz w:val="20"/>
                <w:szCs w:val="20"/>
                <w:color w:val="auto"/>
              </w:rPr>
            </w:pPr>
            <w:r>
              <w:rPr>
                <w:rFonts w:ascii="Arial" w:cs="Arial" w:eastAsia="Arial" w:hAnsi="Arial"/>
                <w:sz w:val="18"/>
                <w:szCs w:val="18"/>
                <w:b w:val="1"/>
                <w:bCs w:val="1"/>
                <w:color w:val="auto"/>
              </w:rPr>
              <w:t>Amount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7"/>
              </w:rPr>
              <w:t>Contracts</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ind w:left="20"/>
              <w:spacing w:after="0"/>
              <w:rPr>
                <w:sz w:val="20"/>
                <w:szCs w:val="20"/>
                <w:color w:val="auto"/>
              </w:rPr>
            </w:pPr>
            <w:r>
              <w:rPr>
                <w:rFonts w:ascii="Arial" w:cs="Arial" w:eastAsia="Arial" w:hAnsi="Arial"/>
                <w:sz w:val="18"/>
                <w:szCs w:val="18"/>
                <w:b w:val="1"/>
                <w:bCs w:val="1"/>
                <w:color w:val="auto"/>
              </w:rPr>
              <w:t>Amount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160" w:type="dxa"/>
            <w:vAlign w:val="bottom"/>
            <w:tcBorders>
              <w:top w:val="single" w:sz="8" w:color="auto"/>
            </w:tcBorders>
            <w:gridSpan w:val="4"/>
          </w:tcPr>
          <w:p>
            <w:pPr>
              <w:jc w:val="right"/>
              <w:ind w:right="150"/>
              <w:spacing w:after="0"/>
              <w:rPr>
                <w:sz w:val="20"/>
                <w:szCs w:val="20"/>
                <w:color w:val="auto"/>
              </w:rPr>
            </w:pPr>
            <w:r>
              <w:rPr>
                <w:rFonts w:ascii="Arial" w:cs="Arial" w:eastAsia="Arial" w:hAnsi="Arial"/>
                <w:sz w:val="18"/>
                <w:szCs w:val="18"/>
                <w:b w:val="1"/>
                <w:bCs w:val="1"/>
                <w:color w:val="auto"/>
                <w:w w:val="99"/>
              </w:rPr>
              <w:t>(Dollars in thousands)</w:t>
            </w:r>
          </w:p>
        </w:tc>
        <w:tc>
          <w:tcPr>
            <w:tcW w:w="32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4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EEEEEE"/>
          </w:tcPr>
          <w:p>
            <w:pPr>
              <w:spacing w:after="0"/>
              <w:rPr>
                <w:sz w:val="20"/>
                <w:szCs w:val="20"/>
                <w:color w:val="auto"/>
              </w:rPr>
            </w:pPr>
            <w:r>
              <w:rPr>
                <w:rFonts w:ascii="Arial" w:cs="Arial" w:eastAsia="Arial" w:hAnsi="Arial"/>
                <w:sz w:val="18"/>
                <w:szCs w:val="18"/>
                <w:color w:val="auto"/>
              </w:rPr>
              <w:t>Contracts with one extension</w:t>
            </w:r>
          </w:p>
        </w:tc>
        <w:tc>
          <w:tcPr>
            <w:tcW w:w="130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26,770</w:t>
            </w:r>
          </w:p>
        </w:tc>
        <w:tc>
          <w:tcPr>
            <w:tcW w:w="12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356,817</w:t>
            </w:r>
          </w:p>
        </w:tc>
        <w:tc>
          <w:tcPr>
            <w:tcW w:w="12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30,516</w:t>
            </w: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407,580</w:t>
            </w:r>
          </w:p>
        </w:tc>
        <w:tc>
          <w:tcPr>
            <w:tcW w:w="10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27,991</w:t>
            </w:r>
          </w:p>
        </w:tc>
        <w:tc>
          <w:tcPr>
            <w:tcW w:w="2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374,116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Contracts with two extensions</w:t>
            </w: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19,930</w:t>
            </w:r>
          </w:p>
        </w:tc>
        <w:tc>
          <w:tcPr>
            <w:tcW w:w="12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262,752</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22,794</w:t>
            </w:r>
          </w:p>
        </w:tc>
        <w:tc>
          <w:tcPr>
            <w:tcW w:w="12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310,711</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20,789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277,497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EEEEEE"/>
          </w:tcPr>
          <w:p>
            <w:pPr>
              <w:spacing w:after="0"/>
              <w:rPr>
                <w:sz w:val="20"/>
                <w:szCs w:val="20"/>
                <w:color w:val="auto"/>
              </w:rPr>
            </w:pPr>
            <w:r>
              <w:rPr>
                <w:rFonts w:ascii="Arial" w:cs="Arial" w:eastAsia="Arial" w:hAnsi="Arial"/>
                <w:sz w:val="18"/>
                <w:szCs w:val="18"/>
                <w:color w:val="auto"/>
              </w:rPr>
              <w:t>Contracts with three extensions</w:t>
            </w:r>
          </w:p>
        </w:tc>
        <w:tc>
          <w:tcPr>
            <w:tcW w:w="130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16,476</w:t>
            </w:r>
          </w:p>
        </w:tc>
        <w:tc>
          <w:tcPr>
            <w:tcW w:w="12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219,077</w:t>
            </w:r>
          </w:p>
        </w:tc>
        <w:tc>
          <w:tcPr>
            <w:tcW w:w="12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17,058</w:t>
            </w:r>
          </w:p>
        </w:tc>
        <w:tc>
          <w:tcPr>
            <w:tcW w:w="1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235,319</w:t>
            </w:r>
          </w:p>
        </w:tc>
        <w:tc>
          <w:tcPr>
            <w:tcW w:w="10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17,210</w:t>
            </w:r>
          </w:p>
        </w:tc>
        <w:tc>
          <w:tcPr>
            <w:tcW w:w="1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231,905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Contracts with four extensions</w:t>
            </w: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13,536</w:t>
            </w:r>
          </w:p>
        </w:tc>
        <w:tc>
          <w:tcPr>
            <w:tcW w:w="12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180,695</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11,282</w:t>
            </w:r>
          </w:p>
        </w:tc>
        <w:tc>
          <w:tcPr>
            <w:tcW w:w="12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155,514</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13,583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185,114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EEEEEE"/>
          </w:tcPr>
          <w:p>
            <w:pPr>
              <w:spacing w:after="0"/>
              <w:rPr>
                <w:sz w:val="20"/>
                <w:szCs w:val="20"/>
                <w:color w:val="auto"/>
              </w:rPr>
            </w:pPr>
            <w:r>
              <w:rPr>
                <w:rFonts w:ascii="Arial" w:cs="Arial" w:eastAsia="Arial" w:hAnsi="Arial"/>
                <w:sz w:val="18"/>
                <w:szCs w:val="18"/>
                <w:color w:val="auto"/>
              </w:rPr>
              <w:t>Contracts with five extensions</w:t>
            </w:r>
          </w:p>
        </w:tc>
        <w:tc>
          <w:tcPr>
            <w:tcW w:w="130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9,218</w:t>
            </w:r>
          </w:p>
        </w:tc>
        <w:tc>
          <w:tcPr>
            <w:tcW w:w="12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119,463</w:t>
            </w:r>
          </w:p>
        </w:tc>
        <w:tc>
          <w:tcPr>
            <w:tcW w:w="12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6,332</w:t>
            </w:r>
          </w:p>
        </w:tc>
        <w:tc>
          <w:tcPr>
            <w:tcW w:w="1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84,695</w:t>
            </w:r>
          </w:p>
        </w:tc>
        <w:tc>
          <w:tcPr>
            <w:tcW w:w="10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9,189</w:t>
            </w:r>
          </w:p>
        </w:tc>
        <w:tc>
          <w:tcPr>
            <w:tcW w:w="1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121,836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Contracts with six extensions</w:t>
            </w: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5,244</w:t>
            </w:r>
          </w:p>
        </w:tc>
        <w:tc>
          <w:tcPr>
            <w:tcW w:w="120" w:type="dxa"/>
            <w:vAlign w:val="bottom"/>
          </w:tcPr>
          <w:p>
            <w:pPr>
              <w:spacing w:after="0"/>
              <w:rPr>
                <w:sz w:val="19"/>
                <w:szCs w:val="19"/>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63,579</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3,346</w:t>
            </w:r>
          </w:p>
        </w:tc>
        <w:tc>
          <w:tcPr>
            <w:tcW w:w="12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41,682</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5,152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64,134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Borders>
              <w:top w:val="single" w:sz="8" w:color="EEEEEE"/>
              <w:bottom w:val="single" w:sz="8" w:color="EEEEEE"/>
            </w:tcBorders>
            <w:shd w:val="clear" w:color="auto" w:fill="EEEEEE"/>
          </w:tcPr>
          <w:p>
            <w:pPr>
              <w:spacing w:after="0"/>
              <w:rPr>
                <w:sz w:val="19"/>
                <w:szCs w:val="19"/>
                <w:color w:val="auto"/>
              </w:rPr>
            </w:pPr>
          </w:p>
        </w:tc>
        <w:tc>
          <w:tcPr>
            <w:tcW w:w="9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91,174</w:t>
            </w:r>
          </w:p>
        </w:tc>
        <w:tc>
          <w:tcPr>
            <w:tcW w:w="36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97"/>
              </w:rPr>
              <w:t>1,202,383</w:t>
            </w:r>
          </w:p>
        </w:tc>
        <w:tc>
          <w:tcPr>
            <w:tcW w:w="360" w:type="dxa"/>
            <w:vAlign w:val="bottom"/>
            <w:tcBorders>
              <w:top w:val="single" w:sz="8" w:color="EEEEEE"/>
              <w:bottom w:val="single" w:sz="8" w:color="EEEEEE"/>
            </w:tcBorders>
            <w:shd w:val="clear" w:color="auto" w:fill="EEEEEE"/>
          </w:tcPr>
          <w:p>
            <w:pPr>
              <w:spacing w:after="0"/>
              <w:rPr>
                <w:sz w:val="19"/>
                <w:szCs w:val="19"/>
                <w:color w:val="auto"/>
              </w:rPr>
            </w:pPr>
          </w:p>
        </w:tc>
        <w:tc>
          <w:tcPr>
            <w:tcW w:w="9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91,328</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97"/>
              </w:rPr>
              <w:t>1,235,501</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9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93,914</w:t>
            </w: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97"/>
              </w:rPr>
              <w:t>1,254,602</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0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w w:val="99"/>
              </w:rPr>
              <w:t>Managed portfolio (excluding originated and owned</w:t>
            </w:r>
          </w:p>
        </w:tc>
        <w:tc>
          <w:tcPr>
            <w:tcW w:w="94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80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9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8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9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8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shd w:val="clear" w:color="auto" w:fill="EEEEEE"/>
          </w:tcPr>
          <w:p>
            <w:pPr>
              <w:ind w:left="160"/>
              <w:spacing w:after="0"/>
              <w:rPr>
                <w:sz w:val="20"/>
                <w:szCs w:val="20"/>
                <w:color w:val="auto"/>
              </w:rPr>
            </w:pPr>
            <w:r>
              <w:rPr>
                <w:rFonts w:ascii="Arial" w:cs="Arial" w:eastAsia="Arial" w:hAnsi="Arial"/>
                <w:sz w:val="18"/>
                <w:szCs w:val="18"/>
                <w:color w:val="auto"/>
              </w:rPr>
              <w:t>by 3rd parties)</w:t>
            </w:r>
          </w:p>
        </w:tc>
        <w:tc>
          <w:tcPr>
            <w:tcW w:w="130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176,916</w:t>
            </w:r>
          </w:p>
        </w:tc>
        <w:tc>
          <w:tcPr>
            <w:tcW w:w="12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w w:val="97"/>
              </w:rPr>
              <w:t>2,393,165</w:t>
            </w:r>
          </w:p>
        </w:tc>
        <w:tc>
          <w:tcPr>
            <w:tcW w:w="12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174,626</w:t>
            </w: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w w:val="97"/>
              </w:rPr>
              <w:t>2,332,313</w:t>
            </w:r>
          </w:p>
        </w:tc>
        <w:tc>
          <w:tcPr>
            <w:tcW w:w="10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176,042</w:t>
            </w:r>
          </w:p>
        </w:tc>
        <w:tc>
          <w:tcPr>
            <w:tcW w:w="2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w w:val="97"/>
              </w:rPr>
              <w:t>2,380,847</w:t>
            </w:r>
          </w:p>
        </w:tc>
        <w:tc>
          <w:tcPr>
            <w:tcW w:w="0" w:type="dxa"/>
            <w:vAlign w:val="bottom"/>
          </w:tcPr>
          <w:p>
            <w:pPr>
              <w:spacing w:after="0"/>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 Table excludes portfolios originated and owned by third parties</w:t>
      </w:r>
    </w:p>
    <w:p>
      <w:pPr>
        <w:spacing w:after="0" w:line="20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recent years, we have experienced an increase in the number of extensions that we grant to our customers. We attribute this to a number of factors. First, in June 2014 we entered into a consent decree with the FTC that required us to make certain procedural changes in our servicing practices, which we believe have contributed to somewhat higher delinquencies and extensions compared to prior periods. Secondly, in recent years we have found it more difficult to communicate with our customers via outbound voice telephone calls, which have historically been our primary means of communicating with our customers. Consequently, we have recently developed text messaging platforms to supplement our outbound voice calling efforts. In addition, in 2016 we added features to the customer portal of our website to facilitate the process whereby the customer may request an extension. Since January of 2019, we have attempted to reduce extensions by working with our servicing staff to be more selective in granting extensions including, where appropriate, to exhaust all possibilities of payment by the customer before granting an extension.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Non-Accrual Receivables</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It is not uncommon for our obligors to fall behind in their payments. However, with the diligent efforts of our Servicing staff and systems for managing our collection efforts, we regularly work with our customers to resolve delinquencies. Our staff are trained to employ a counseling approach to assist our customers with their cash flow management skills and help them to prioritize their payment obligations in order to avoid losing their vehicle to repossession. Through our experience, we have learned that once a customer becomes greater than 90 days past due, it is not likely that the delinquency will be resolved and will ultimately result in a charge-off. As a result, we do not recognize any interest income for contracts that are greater than 90 days past due.</w:t>
      </w:r>
    </w:p>
    <w:p>
      <w:pPr>
        <w:spacing w:after="0" w:line="15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a contract exceeds the 90 days past due threshold at the end of one period, and then makes the necessary payments such that it becomes less than or equal to 90 days delinquent at the end of a subsequent period, it would be restored to full accrual status for our financial reporting purposes. At the time a contract is restored to full accrual in this manner, there can be no assurance that full repayment of interest and principal will ultimately be made. However, we monitor each obligor’s payment performance and are aware of the severity of his delinquency at any time. The fact that the delinquency has been reduced below the 90-day threshold is a positive indicator. Should the contract again exceed the 90-day delinquency level at the end of any reporting period, it would again be reflected as a non-accrual account.</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policy for placing a contract on non-accrual status is independent of our policy to grant an extension. In practice, it would be an uncommon circumstance where an extension was granted and the account remained in a non-accrual status, since the goal of the extension is to bring the contract current (or nearly current).</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10"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Our business requires substantial cash to support our purchases of automobile contracts and other operating activities. Our primary sources of cash have been cash flows from the proceeds from term securitization transactions and other sales of automobile contracts, amounts borrowed under various revolving credit facilities (also sometimes known as warehouse credit facilities), customer payments of principal and interest on finance receivables, fees for origination of automobile contracts, and releases of cash from securitization transactions and their related spread accounts. Our primary uses of cash have been the purchases of automobile contracts, repayment of amounts borrowed under lines of credit, securitization transactions and otherwise, operating expenses such as employee, interest, occupancy expenses and other general and administrative expenses, the establishment of spread accounts and initial overcollateralization, if any, the increase of credit enhancement to required levels in securitization transactions, and income taxes. There can be no assurance that internally generated cash will be sufficient to meet our cash demands. The sufficiency of internally generated cash will depend on the performance of securitized pools (which determines the level of releases from those pools and their related spread accounts), the rate of expansion or contraction in our managed portfolio, and the terms upon which we are able to acquire and borrow against automobile contracts.</w:t>
      </w:r>
    </w:p>
    <w:p>
      <w:pPr>
        <w:spacing w:after="0" w:line="16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Net cash provided by operating activities for the three-month period ended March 31, 2019 was $58.5 million, a decrease of $4.7 million, compared to net cash provided by operating activities for the three-month period ended March 31, 2018 of $63.2 million. Cash provided by operating activities is significantly affected by our net income before provisions for credit losses. For the three months ended March 31, 2019, our net income excluding provisions for credit losses was $25.7 million, or $18.0 million less than our net income excluding provisions for credit losses for the three months ended March 31, 2018.</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Net cash used in investing activities for the three-month period ended March 31, 2019 was $62.2 million compared to net cash used in investing activities of $48.3 million in the prior year period. Cash provided by investing activities primarily results from principal payments and other proceeds received on finance receivables. Cash used in investing activities generally relates to purchases of automobile contracts. Purchases of finance receivables excluding acquisition fees were $243.0 million and $210.6 million during the first three months of 2019 and 2018, respectively.</w:t>
      </w:r>
    </w:p>
    <w:p>
      <w:pPr>
        <w:spacing w:after="0" w:line="17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Net cash provided by financing activities for the three months ended March 31, 2019 was $18.0 million compared to $2.8 million in the prior year period. Cash provided by financing activities is primarily related to the issuance of securitization trust debt, reduced by the amount of repayment of securitization trust debt and net proceeds or repayments on our warehouse lines of credit and other debt. In the first three months of 2019, we issued $254.4 million in new securitization trust debt compared to $190.0 million in the same period of 2018. We repaid $208.8 million in securitization trust debt in the three months ended March 31, 2019 compared to repayments of securitization trust debt of $193.6 million in the prior year period. In the three months ended March 31, 2019, we had net advances on warehouse lines of credit of $19.1 million, compared to net repayments of $8.9 million in the prior year’s period.</w:t>
      </w:r>
    </w:p>
    <w:p>
      <w:pPr>
        <w:spacing w:after="0" w:line="16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purchase automobile contracts from dealers for a cash price approximately equal to their principal amount, adjusted for an acquisition fee which may either increase or decrease the automobile contract purchase price. Those automobile contracts generate cash flow, however, over a period of years. As a result, we have been dependent on warehouse credit facilities to purchase automobile contracts, and on the availability of cash from outside sources in order to finance our continuing operations, as well as to fund the portion of automobile contract purchase prices not financed under revolving warehouse credit facilities.</w:t>
      </w:r>
    </w:p>
    <w:p>
      <w:pPr>
        <w:spacing w:after="0" w:line="18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acquisition of automobile contracts for subsequent financing in securitization transactions, and the need to fund spread accounts and initial overcollateralization, if any, and increase credit enhancement levels when those transactions take place, results in a continuing need for capital. The amount of capital required is most heavily dependent on the rate of our automobile contract purchases, the required level of initial credit enhancement in securitizations, and the extent to which the previously established trusts and their related spread accounts either release cash to us or capture cash from collections on securitized automobile contracts. Of those, the factor most subject to our control is the rate at which we purchase automobile contracts.</w:t>
      </w:r>
    </w:p>
    <w:p>
      <w:pPr>
        <w:spacing w:after="0" w:line="15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and may in the future be limited in our ability to purchase automobile contracts due to limits on our capital. As of March 31, 2019, we had unrestricted cash of $8.9 million and $182.9 million aggregate available borrowings under our three warehouse credit facilities (assuming the availability of sufficient eligible collateral). As of March 31, 2019, we had approximately $15.3 million of such eligible collateral. During the three-month period ended March 31, 2019, we completed one securitization aggregating $254.4 million of notes sold. Our plans to manage our liquidity include maintaining our rate of automobile contract purchases at a level that matches our available capital, and, as appropriate, minimizing our operating costs. If we are unable to complete such securitizations, we may be unable to increase our rate of automobile contract purchases, in which case our interest income and other portfolio related income could decrease.</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31" w:name="page32"/>
    <w:bookmarkEnd w:id="31"/>
    <w:p>
      <w:pPr>
        <w:jc w:val="both"/>
        <w:ind w:firstLine="648"/>
        <w:spacing w:after="0" w:line="255" w:lineRule="auto"/>
        <w:rPr>
          <w:sz w:val="20"/>
          <w:szCs w:val="20"/>
          <w:color w:val="auto"/>
        </w:rPr>
      </w:pPr>
      <w:r>
        <w:rPr>
          <w:rFonts w:ascii="Arial" w:cs="Arial" w:eastAsia="Arial" w:hAnsi="Arial"/>
          <w:sz w:val="18"/>
          <w:szCs w:val="18"/>
          <w:color w:val="auto"/>
        </w:rPr>
        <w:t>Our liquidity will also be affected by releases of cash from the trusts established with our securitizations. While the specific terms and mechanics of each spread account vary among transactions, our securitization agreements generally provide that we will receive excess cash flows, if any, only if the amount of credit enhancement has reached specified levels and the delinquency or net losses related to the automobile contracts in the pool are below certain predetermined levels. In the event delinquencies or net losses on the automobile contracts exceed such levels, the terms of the securitization may require increased credit enhancement to be accumulated for the particular pool. There can be no assurance that collections from the related trusts will continue to generate sufficient cash.</w:t>
      </w:r>
    </w:p>
    <w:p>
      <w:pPr>
        <w:spacing w:after="0" w:line="19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Our warehouse credit facilities contain various financial covenants requiring certain minimum financial ratios and results. Such covenants include maintaining minimum levels of liquidity and net worth and not exceeding maximum leverage levels. In addition, certain of our debt agreements other than our term securitizations contain cross-default provisions. Such cross-default provisions would allow the respective creditors to declare a default if an event of default occurred with respect to other indebtedness of ours, but only if such other event of default were to be accompanied by acceleration of such other indebtedness. As of March 31, 2019, we were in compliance with all such financial covenants.</w:t>
      </w:r>
    </w:p>
    <w:p>
      <w:pPr>
        <w:spacing w:after="0" w:line="17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have and will continue to have a substantial amount of indebtedness. At March 31, 2019, we had approximately $2,278.3 million of debt outstanding. Such debt consisted primarily of $2,109.0 million of securitization trust debt and $117.1 million of warehouse lines of credit. Our securitization trust debt has increased by $29.0 million while our warehouse lines of credit debt has decreased by $4.6 million since March 31, 2018 (each net of deferred financing costs). Since 2005, we have offered renewable subordinated notes to the public on a continuous basis, and such notes have maturities that range from six months to 10 years. We had $13.0 million and $16.3 million in subordinated renewable notes outstanding at March 31, 2019 and 2018, respectively. On May 16, 2018, we completed a $40.0 million securitization of residual interests from previously issued securitizations. At March 31, 2019, $40.0 million of this residual interest financing debt remains outstanding ($39.2 million net of deferred financing costs).</w:t>
      </w:r>
    </w:p>
    <w:p>
      <w:pPr>
        <w:spacing w:after="0" w:line="16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Although we believe we are able to service and repay our debt, there is no assurance that we will be able to do so. If our plans for future operations do not generate sufficient cash flows and earnings, our ability to make required payments on our debt would be impaired. If we fail to pay our indebtedness when due, it could have a material adverse effect on us and may require us to issue additional debt or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This report on Form 10-Q includes certain “forward-looking statements.” Forward-looking statements may be identified by the use of words such as “anticipates,” “expects,” “plans,” “estimates,” or words of like meaning. Our provision for credit losses is a forward-looking statement, as it is dependent on our estimates as to future chargeoffs and recovery rates. Factors that could affect charge-offs and recovery rates include changes in the general economic climate, which could affect the willingness or ability of obligors to pay pursuant to the terms of automobile contracts, changes in laws respecting consumer finance, which could affect our ability to enforce rights under automobile contracts, and changes in the market for used vehicles, which could affect the levels of recoveries upon sale of repossessed vehicles. Factors that could affect our revenues in the current year include the levels of cash releases from existing pools of automobile contracts, which would affect our ability to purchase automobile contracts, the terms on which we are able to finance such purchases, the willingness of dealers to sell automobile contracts to us on the terms that we offer, and the terms on which and whether we are able to complete term securitizations once automobile contracts are acquired. Factors that could affect our expenses in the current year include competitive conditions in the market for qualified personnel and interest rates (which affect the rates that we pay on notes issued in our securitizations).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maintain a system of internal controls and procedures designed to provide reasonable assurance as to the reliability of our published financial statements and other disclosures included in this report. As of the end of the period covered by this report, we evaluated the effectiveness of the design and operation of such disclosure controls and procedures. Based upon that evaluation, the principal executive officer (Charles E. Bradley, Jr.) and the principal financial officer (Jeffrey P. Fritz) concluded that the disclosure controls and procedures are effective in recording, processing, summarizing and reporting, on a timely basis, material information relating to us that is required to be included in our reports filed under the Securities Exchange Act of 1934. There has been no change in our internal controls over financial reporting during our most recently completed fiscal quarter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information provided under the caption “Legal Proceedings,” Note 8 to the Unaudited Condensed Consolidated Financial Statements, included in Part I of this report,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remind the reader that risk factors are set forth in Item 1A of our report on Form 10-K, filed with the U.S. Securities and Exchange Commission on March 13, 2019. Where we are aware of material changes to such risk factors as previously disclosed, we set forth below an updated discussion of such risks. The reader should note that the other risks identified in our report on Form 10-K remain applicable.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have substantial indebtedness.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have and will continue to have a substantial amount of indebtedness. At March 31, 2019, we had approximately $2,278.3 million of debt outstanding. Such debt consisted primarily of $2,109.0 million of securitization trust debt and $117.1 million of warehouse lines of credit. Our securitization trust debt has increased by $29.0 million while our warehouse lines of credit debt has decreased by $4.6 million since March 31, 2018 (each net of deferred financing costs). Since 2005, we have offered renewable subordinated notes to the public on a continuous basis, and such notes have maturities that range from six months to 10 years. We had $13.0 million and $16.3 million in subordinated renewable notes outstanding at March 31, 2019 and 2018, respectively. On May 16, 2018, we completed a $40.0 million securitization of residual interests from previously issued securitizations. At March 31, 2019, $40.0 million of this residual interest financing debt remains outstanding ($39.2 million net of deferred financing costs). Our substantial indebtedness could adversely affect our financial condition by, among other things:</w:t>
      </w:r>
    </w:p>
    <w:p>
      <w:pPr>
        <w:spacing w:after="0" w:line="179" w:lineRule="exact"/>
        <w:rPr>
          <w:sz w:val="20"/>
          <w:szCs w:val="20"/>
          <w:color w:val="auto"/>
        </w:rPr>
      </w:pPr>
    </w:p>
    <w:p>
      <w:pPr>
        <w:ind w:left="780" w:hanging="259"/>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increasing our vulnerability to general adverse economic and industry conditions;</w:t>
      </w:r>
    </w:p>
    <w:p>
      <w:pPr>
        <w:spacing w:after="0" w:line="252" w:lineRule="exact"/>
        <w:rPr>
          <w:rFonts w:ascii="Arial" w:cs="Arial" w:eastAsia="Arial" w:hAnsi="Arial"/>
          <w:sz w:val="18"/>
          <w:szCs w:val="18"/>
          <w:color w:val="auto"/>
        </w:rPr>
      </w:pPr>
    </w:p>
    <w:p>
      <w:pPr>
        <w:ind w:left="780" w:hanging="259"/>
        <w:spacing w:after="0" w:line="277"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requiring us to dedicate a substantial portion of our cash flow from operations to payments on our indebtedness, thereby reducing amounts available for working capital, capital expenditures and other general corporate purposes;</w:t>
      </w:r>
    </w:p>
    <w:p>
      <w:pPr>
        <w:spacing w:after="0" w:line="197" w:lineRule="exact"/>
        <w:rPr>
          <w:rFonts w:ascii="Arial" w:cs="Arial" w:eastAsia="Arial" w:hAnsi="Arial"/>
          <w:sz w:val="18"/>
          <w:szCs w:val="18"/>
          <w:color w:val="auto"/>
        </w:rPr>
      </w:pPr>
    </w:p>
    <w:p>
      <w:pPr>
        <w:ind w:left="780" w:hanging="259"/>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 the industry in which we operate;</w:t>
      </w:r>
    </w:p>
    <w:p>
      <w:pPr>
        <w:spacing w:after="0" w:line="252" w:lineRule="exact"/>
        <w:rPr>
          <w:rFonts w:ascii="Arial" w:cs="Arial" w:eastAsia="Arial" w:hAnsi="Arial"/>
          <w:sz w:val="18"/>
          <w:szCs w:val="18"/>
          <w:color w:val="auto"/>
        </w:rPr>
      </w:pPr>
    </w:p>
    <w:p>
      <w:pPr>
        <w:ind w:left="780" w:hanging="259"/>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to our competitors that have less debt; and</w:t>
      </w:r>
    </w:p>
    <w:p>
      <w:pPr>
        <w:spacing w:after="0" w:line="252" w:lineRule="exact"/>
        <w:rPr>
          <w:rFonts w:ascii="Arial" w:cs="Arial" w:eastAsia="Arial" w:hAnsi="Arial"/>
          <w:sz w:val="18"/>
          <w:szCs w:val="18"/>
          <w:color w:val="auto"/>
        </w:rPr>
      </w:pPr>
    </w:p>
    <w:p>
      <w:pPr>
        <w:ind w:left="780" w:hanging="259"/>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limiting our ability to borrow additional funds.</w:t>
      </w:r>
    </w:p>
    <w:p>
      <w:pPr>
        <w:spacing w:after="0" w:line="22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Although we believe we are able to service and repay such debt, there is no assurance that we will be able to do so. If we do not generate sufficient operating profits, our ability to make required payments on our debt would be impaired. Failure to pay our indebtedness when due could have a material adverse effect.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Discussions of certain matters contained in this report may constitute forward-looking statements within the meaning of Section 27A of the Securities Act of 1933, as amended (the "Securities Act") and Section 21E of the Exchange Act, and as such, may involve risks and uncertainties. These forward-looking statements relate to, among other things, expectations of the business environment in which we operate, projections of future performance, perceived opportunities in the market and statements regarding our mission and vision. You can generally identify forward-looking statements as statements containing the words "will," "would," "believe," "may," "could," "expect," "anticipate," "intend," "estimate," "assume" or other similar expressions. Our actual results, performance and achievements may differ materially from the results, performance and achievements expressed or implied in such forward-looking statements. The discussion under "Risk Factors" identifies some of the factors that might cause such a difference, including the following:</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33" w:name="page34"/>
    <w:bookmarkEnd w:id="33"/>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general economic conditions;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or inability to obtain necessary financing, and the terms of any such financing;</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interest rates, especially as applicable to securitization trust debt;</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generate sufficient operating and financing cash flows;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competition;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level of future provisioning for receivables losses;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levels of actual losses on receivables; and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regulatory requirements.</w:t>
      </w:r>
    </w:p>
    <w:p>
      <w:pPr>
        <w:spacing w:after="0" w:line="23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Forward-looking statements are not guarantees of performance. They involve risks, uncertainties and assumptions. Actual results may differ from expectations due to many factors beyond our ability to control or predict, including those described herein, and in documents incorporated by reference in this report. For these statements, we claim the protection of the safe harbor for forward-looking statements contained in the Private Securities Litigation Reform Act of 1995.</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undertake no obligation to publicly update any forward-looking information. You are advised to consult any additional disclosure we make in our periodic reports filed with the SEC.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During the three months ended March 31, 2019, we repurchased 335,546 shares from existing shareholders, as reflected in the table below.</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gridSpan w:val="3"/>
          </w:tcPr>
          <w:p>
            <w:pPr>
              <w:spacing w:after="0"/>
              <w:rPr>
                <w:sz w:val="20"/>
                <w:szCs w:val="20"/>
                <w:color w:val="auto"/>
              </w:rPr>
            </w:pPr>
            <w:r>
              <w:rPr>
                <w:rFonts w:ascii="Arial" w:cs="Arial" w:eastAsia="Arial" w:hAnsi="Arial"/>
                <w:sz w:val="18"/>
                <w:szCs w:val="18"/>
                <w:b w:val="1"/>
                <w:bCs w:val="1"/>
                <w:color w:val="auto"/>
              </w:rPr>
              <w:t>Issuer Purchases of Equity Securities</w:t>
            </w:r>
          </w:p>
        </w:tc>
        <w:tc>
          <w:tcPr>
            <w:tcW w:w="1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Total Number</w:t>
            </w:r>
          </w:p>
        </w:tc>
        <w:tc>
          <w:tcPr>
            <w:tcW w:w="120" w:type="dxa"/>
            <w:vAlign w:val="bottom"/>
          </w:tcPr>
          <w:p>
            <w:pPr>
              <w:spacing w:after="0"/>
              <w:rPr>
                <w:sz w:val="24"/>
                <w:szCs w:val="2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Approximate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of Shares</w:t>
            </w: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Dollar 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Purchased as</w:t>
            </w: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of Shares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4"/>
              </w:rPr>
              <w:t>Part of</w:t>
            </w: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that May Yet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Total</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Publicly</w:t>
            </w: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be Purchased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Number of</w:t>
            </w:r>
          </w:p>
        </w:tc>
        <w:tc>
          <w:tcPr>
            <w:tcW w:w="180" w:type="dxa"/>
            <w:vAlign w:val="bottom"/>
          </w:tcPr>
          <w:p>
            <w:pPr>
              <w:spacing w:after="0"/>
              <w:rPr>
                <w:sz w:val="18"/>
                <w:szCs w:val="18"/>
                <w:color w:val="auto"/>
              </w:rPr>
            </w:pPr>
          </w:p>
        </w:tc>
        <w:tc>
          <w:tcPr>
            <w:tcW w:w="156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87"/>
              </w:rPr>
              <w:t>Average</w:t>
            </w:r>
          </w:p>
        </w:tc>
        <w:tc>
          <w:tcPr>
            <w:tcW w:w="16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Announced</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Under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Shares</w:t>
            </w:r>
          </w:p>
        </w:tc>
        <w:tc>
          <w:tcPr>
            <w:tcW w:w="180" w:type="dxa"/>
            <w:vAlign w:val="bottom"/>
          </w:tcPr>
          <w:p>
            <w:pPr>
              <w:spacing w:after="0"/>
              <w:rPr>
                <w:sz w:val="18"/>
                <w:szCs w:val="18"/>
                <w:color w:val="auto"/>
              </w:rPr>
            </w:pPr>
          </w:p>
        </w:tc>
        <w:tc>
          <w:tcPr>
            <w:tcW w:w="156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89"/>
              </w:rPr>
              <w:t>Price Paid</w:t>
            </w:r>
          </w:p>
        </w:tc>
        <w:tc>
          <w:tcPr>
            <w:tcW w:w="16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Plans or</w:t>
            </w: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Plans or</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00" w:type="dxa"/>
            <w:vAlign w:val="bottom"/>
            <w:gridSpan w:val="2"/>
          </w:tcPr>
          <w:p>
            <w:pPr>
              <w:ind w:left="1920"/>
              <w:spacing w:after="0"/>
              <w:rPr>
                <w:sz w:val="20"/>
                <w:szCs w:val="20"/>
                <w:color w:val="auto"/>
              </w:rPr>
            </w:pPr>
            <w:r>
              <w:rPr>
                <w:rFonts w:ascii="Arial" w:cs="Arial" w:eastAsia="Arial" w:hAnsi="Arial"/>
                <w:sz w:val="18"/>
                <w:szCs w:val="18"/>
                <w:b w:val="1"/>
                <w:bCs w:val="1"/>
                <w:color w:val="auto"/>
              </w:rPr>
              <w:t>Period(1)</w:t>
            </w:r>
          </w:p>
        </w:tc>
        <w:tc>
          <w:tcPr>
            <w:tcW w:w="17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Purchased</w:t>
            </w:r>
          </w:p>
        </w:tc>
        <w:tc>
          <w:tcPr>
            <w:tcW w:w="180" w:type="dxa"/>
            <w:vAlign w:val="bottom"/>
          </w:tcPr>
          <w:p>
            <w:pPr>
              <w:spacing w:after="0"/>
              <w:rPr>
                <w:sz w:val="20"/>
                <w:szCs w:val="20"/>
                <w:color w:val="auto"/>
              </w:rPr>
            </w:pPr>
          </w:p>
        </w:tc>
        <w:tc>
          <w:tcPr>
            <w:tcW w:w="156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89"/>
              </w:rPr>
              <w:t>per Share</w:t>
            </w:r>
          </w:p>
        </w:tc>
        <w:tc>
          <w:tcPr>
            <w:tcW w:w="16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Programs</w:t>
            </w:r>
          </w:p>
        </w:tc>
        <w:tc>
          <w:tcPr>
            <w:tcW w:w="120" w:type="dxa"/>
            <w:vAlign w:val="bottom"/>
          </w:tcPr>
          <w:p>
            <w:pPr>
              <w:spacing w:after="0"/>
              <w:rPr>
                <w:sz w:val="20"/>
                <w:szCs w:val="20"/>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Programs (2)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January 2019</w:t>
            </w:r>
          </w:p>
        </w:tc>
        <w:tc>
          <w:tcPr>
            <w:tcW w:w="17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136,079</w:t>
            </w: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3.67</w:t>
            </w:r>
          </w:p>
        </w:tc>
        <w:tc>
          <w:tcPr>
            <w:tcW w:w="16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136,079</w:t>
            </w: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6,971,411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February 2019</w:t>
            </w:r>
          </w:p>
        </w:tc>
        <w:tc>
          <w:tcPr>
            <w:tcW w:w="1720" w:type="dxa"/>
            <w:vAlign w:val="bottom"/>
            <w:gridSpan w:val="2"/>
          </w:tcPr>
          <w:p>
            <w:pPr>
              <w:jc w:val="right"/>
              <w:ind w:right="340"/>
              <w:spacing w:after="0"/>
              <w:rPr>
                <w:sz w:val="20"/>
                <w:szCs w:val="20"/>
                <w:color w:val="auto"/>
              </w:rPr>
            </w:pPr>
            <w:r>
              <w:rPr>
                <w:rFonts w:ascii="Arial" w:cs="Arial" w:eastAsia="Arial" w:hAnsi="Arial"/>
                <w:sz w:val="18"/>
                <w:szCs w:val="18"/>
                <w:color w:val="auto"/>
              </w:rPr>
              <w:t>136,767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ind w:right="360"/>
              <w:spacing w:after="0"/>
              <w:rPr>
                <w:sz w:val="20"/>
                <w:szCs w:val="20"/>
                <w:color w:val="auto"/>
              </w:rPr>
            </w:pPr>
            <w:r>
              <w:rPr>
                <w:rFonts w:ascii="Arial" w:cs="Arial" w:eastAsia="Arial" w:hAnsi="Arial"/>
                <w:sz w:val="18"/>
                <w:szCs w:val="18"/>
                <w:color w:val="auto"/>
              </w:rPr>
              <w:t>4.11</w:t>
            </w:r>
          </w:p>
        </w:tc>
        <w:tc>
          <w:tcPr>
            <w:tcW w:w="1680" w:type="dxa"/>
            <w:vAlign w:val="bottom"/>
            <w:gridSpan w:val="2"/>
          </w:tcPr>
          <w:p>
            <w:pPr>
              <w:jc w:val="right"/>
              <w:ind w:right="320"/>
              <w:spacing w:after="0"/>
              <w:rPr>
                <w:sz w:val="20"/>
                <w:szCs w:val="20"/>
                <w:color w:val="auto"/>
              </w:rPr>
            </w:pPr>
            <w:r>
              <w:rPr>
                <w:rFonts w:ascii="Arial" w:cs="Arial" w:eastAsia="Arial" w:hAnsi="Arial"/>
                <w:sz w:val="18"/>
                <w:szCs w:val="18"/>
                <w:color w:val="auto"/>
              </w:rPr>
              <w:t>136,767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6,409,096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March 2019.</w:t>
            </w:r>
          </w:p>
        </w:tc>
        <w:tc>
          <w:tcPr>
            <w:tcW w:w="17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62,700</w:t>
            </w: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4.22</w:t>
            </w:r>
          </w:p>
        </w:tc>
        <w:tc>
          <w:tcPr>
            <w:tcW w:w="16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62,700</w:t>
            </w: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6,144,520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335,546</w:t>
            </w:r>
          </w:p>
        </w:tc>
        <w:tc>
          <w:tcPr>
            <w:tcW w:w="34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3.95</w:t>
            </w:r>
          </w:p>
        </w:tc>
        <w:tc>
          <w:tcPr>
            <w:tcW w:w="360" w:type="dxa"/>
            <w:vAlign w:val="bottom"/>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335,546</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3058160</wp:posOffset>
            </wp:positionH>
            <wp:positionV relativeFrom="paragraph">
              <wp:posOffset>0</wp:posOffset>
            </wp:positionV>
            <wp:extent cx="306133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061335" cy="889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3058160</wp:posOffset>
            </wp:positionH>
            <wp:positionV relativeFrom="paragraph">
              <wp:posOffset>-130175</wp:posOffset>
            </wp:positionV>
            <wp:extent cx="306133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061335" cy="8890"/>
                    </a:xfrm>
                    <a:prstGeom prst="rect">
                      <a:avLst/>
                    </a:prstGeom>
                    <a:noFill/>
                  </pic:spPr>
                </pic:pic>
              </a:graphicData>
            </a:graphic>
          </wp:anchor>
        </w:drawing>
      </w:r>
    </w:p>
    <w:p>
      <w:pPr>
        <w:spacing w:after="0" w:line="3"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Each monthly period is the calendar month.</w:t>
      </w:r>
    </w:p>
    <w:p>
      <w:pPr>
        <w:spacing w:after="0" w:line="9" w:lineRule="exact"/>
        <w:rPr>
          <w:rFonts w:ascii="Arial" w:cs="Arial" w:eastAsia="Arial" w:hAnsi="Arial"/>
          <w:sz w:val="18"/>
          <w:szCs w:val="18"/>
          <w:i w:val="1"/>
          <w:iCs w:val="1"/>
          <w:color w:val="auto"/>
        </w:rPr>
      </w:pPr>
    </w:p>
    <w:p>
      <w:pPr>
        <w:jc w:val="both"/>
        <w:ind w:left="660" w:right="20" w:hanging="328"/>
        <w:spacing w:after="0" w:line="255" w:lineRule="auto"/>
        <w:tabs>
          <w:tab w:leader="none" w:pos="66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Through March 31, 2019, our board of directors had authorized the purchase of up to $74.5 million of our outstanding securities, under a program first announced in our annual report for the year 2002, filed on June 26, 2003. All purchases described in the table above were under the program announced in June 2003, which has no fixed expiration date.</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p>
        </w:tc>
        <w:tc>
          <w:tcPr>
            <w:tcW w:w="10940" w:type="dxa"/>
            <w:vAlign w:val="bottom"/>
            <w:gridSpan w:val="4"/>
          </w:tcPr>
          <w:p>
            <w:pPr>
              <w:ind w:left="180"/>
              <w:spacing w:after="0"/>
              <w:rPr>
                <w:sz w:val="20"/>
                <w:szCs w:val="20"/>
                <w:color w:val="auto"/>
              </w:rPr>
            </w:pPr>
            <w:r>
              <w:rPr>
                <w:rFonts w:ascii="Arial" w:cs="Arial" w:eastAsia="Arial" w:hAnsi="Arial"/>
                <w:sz w:val="18"/>
                <w:szCs w:val="18"/>
                <w:color w:val="auto"/>
              </w:rPr>
              <w:t>The Exhibits listed below are filed with this report.</w:t>
            </w:r>
          </w:p>
        </w:tc>
      </w:tr>
      <w:tr>
        <w:trPr>
          <w:trHeight w:val="445"/>
        </w:trPr>
        <w:tc>
          <w:tcPr>
            <w:tcW w:w="480" w:type="dxa"/>
            <w:vAlign w:val="bottom"/>
          </w:tcPr>
          <w:p>
            <w:pPr>
              <w:jc w:val="right"/>
              <w:ind w:right="70"/>
              <w:spacing w:after="0"/>
              <w:rPr>
                <w:sz w:val="20"/>
                <w:szCs w:val="20"/>
                <w:color w:val="auto"/>
              </w:rPr>
            </w:pPr>
            <w:r>
              <w:rPr>
                <w:rFonts w:ascii="Arial" w:cs="Arial" w:eastAsia="Arial" w:hAnsi="Arial"/>
                <w:sz w:val="18"/>
                <w:szCs w:val="18"/>
                <w:color w:val="auto"/>
                <w:w w:val="85"/>
              </w:rPr>
              <w:t>4.14</w:t>
            </w:r>
          </w:p>
        </w:tc>
        <w:tc>
          <w:tcPr>
            <w:tcW w:w="900" w:type="dxa"/>
            <w:vAlign w:val="bottom"/>
          </w:tcPr>
          <w:p>
            <w:pPr>
              <w:spacing w:after="0"/>
              <w:rPr>
                <w:sz w:val="24"/>
                <w:szCs w:val="24"/>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w w:val="90"/>
              </w:rPr>
              <w:t>Instruments defining the rights of holders of long-term debt of certain consolidated subsidiaries of the registrant are omitted pursuant to the</w:t>
            </w:r>
          </w:p>
        </w:tc>
      </w:tr>
      <w:tr>
        <w:trPr>
          <w:trHeight w:val="216"/>
        </w:trPr>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w w:val="96"/>
              </w:rPr>
              <w:t>exclusion set forth in subdivisions (b)(iv)(iii)(A) and (b)(v) of Item 601 of Regulation S-K (17 CFR 229.601). The registrant agrees to</w:t>
            </w:r>
          </w:p>
        </w:tc>
      </w:tr>
      <w:tr>
        <w:trPr>
          <w:trHeight w:val="216"/>
        </w:trPr>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rPr>
              <w:t>provide copies of such instruments to the United States Securities and Exchange Commission upon request.</w:t>
            </w:r>
          </w:p>
        </w:tc>
      </w:tr>
      <w:tr>
        <w:trPr>
          <w:trHeight w:val="190"/>
        </w:trPr>
        <w:tc>
          <w:tcPr>
            <w:tcW w:w="480" w:type="dxa"/>
            <w:vAlign w:val="bottom"/>
          </w:tcPr>
          <w:p>
            <w:pPr>
              <w:jc w:val="right"/>
              <w:ind w:right="70"/>
              <w:spacing w:after="0" w:line="190" w:lineRule="exact"/>
              <w:rPr>
                <w:sz w:val="20"/>
                <w:szCs w:val="20"/>
                <w:color w:val="auto"/>
              </w:rPr>
            </w:pPr>
            <w:r>
              <w:rPr>
                <w:rFonts w:ascii="Arial" w:cs="Arial" w:eastAsia="Arial" w:hAnsi="Arial"/>
                <w:sz w:val="18"/>
                <w:szCs w:val="18"/>
                <w:color w:val="auto"/>
                <w:w w:val="85"/>
              </w:rPr>
              <w:t>31.1</w:t>
            </w:r>
          </w:p>
        </w:tc>
        <w:tc>
          <w:tcPr>
            <w:tcW w:w="900" w:type="dxa"/>
            <w:vAlign w:val="bottom"/>
          </w:tcPr>
          <w:p>
            <w:pPr>
              <w:spacing w:after="0"/>
              <w:rPr>
                <w:sz w:val="16"/>
                <w:szCs w:val="16"/>
                <w:color w:val="auto"/>
              </w:rPr>
            </w:pPr>
          </w:p>
        </w:tc>
        <w:tc>
          <w:tcPr>
            <w:tcW w:w="10040" w:type="dxa"/>
            <w:vAlign w:val="bottom"/>
            <w:gridSpan w:val="3"/>
          </w:tcPr>
          <w:p>
            <w:pPr>
              <w:spacing w:after="0" w:line="190" w:lineRule="exact"/>
              <w:rPr>
                <w:rFonts w:ascii="Arial" w:cs="Arial" w:eastAsia="Arial" w:hAnsi="Arial"/>
                <w:sz w:val="18"/>
                <w:szCs w:val="18"/>
                <w:color w:val="0000EE"/>
              </w:rPr>
            </w:pPr>
            <w:hyperlink w:anchor="page37">
              <w:r>
                <w:rPr>
                  <w:rFonts w:ascii="Arial" w:cs="Arial" w:eastAsia="Arial" w:hAnsi="Arial"/>
                  <w:sz w:val="18"/>
                  <w:szCs w:val="18"/>
                  <w:color w:val="0000EE"/>
                </w:rPr>
                <w:t>Rule 13a-14(a) Certification of the Chief Executive Officer of the registrant.</w:t>
              </w:r>
            </w:hyperlink>
          </w:p>
        </w:tc>
      </w:tr>
      <w:tr>
        <w:trPr>
          <w:trHeight w:val="196"/>
        </w:trPr>
        <w:tc>
          <w:tcPr>
            <w:tcW w:w="480" w:type="dxa"/>
            <w:vAlign w:val="bottom"/>
          </w:tcPr>
          <w:p>
            <w:pPr>
              <w:jc w:val="right"/>
              <w:ind w:right="70"/>
              <w:spacing w:after="0" w:line="196" w:lineRule="exact"/>
              <w:rPr>
                <w:sz w:val="20"/>
                <w:szCs w:val="20"/>
                <w:color w:val="auto"/>
              </w:rPr>
            </w:pPr>
            <w:r>
              <w:rPr>
                <w:rFonts w:ascii="Arial" w:cs="Arial" w:eastAsia="Arial" w:hAnsi="Arial"/>
                <w:sz w:val="18"/>
                <w:szCs w:val="18"/>
                <w:color w:val="auto"/>
                <w:w w:val="85"/>
              </w:rPr>
              <w:t>31.2</w:t>
            </w:r>
          </w:p>
        </w:tc>
        <w:tc>
          <w:tcPr>
            <w:tcW w:w="900" w:type="dxa"/>
            <w:vAlign w:val="bottom"/>
          </w:tcPr>
          <w:p>
            <w:pPr>
              <w:spacing w:after="0"/>
              <w:rPr>
                <w:sz w:val="17"/>
                <w:szCs w:val="17"/>
                <w:color w:val="auto"/>
              </w:rPr>
            </w:pPr>
          </w:p>
        </w:tc>
        <w:tc>
          <w:tcPr>
            <w:tcW w:w="54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2"/>
              </w:rPr>
            </w:pPr>
            <w:hyperlink w:anchor="page38">
              <w:r>
                <w:rPr>
                  <w:rFonts w:ascii="Arial" w:cs="Arial" w:eastAsia="Arial" w:hAnsi="Arial"/>
                  <w:sz w:val="18"/>
                  <w:szCs w:val="18"/>
                  <w:color w:val="0000EE"/>
                  <w:w w:val="92"/>
                </w:rPr>
                <w:t>Rule 13a-14(a) Certification of the Chief Financial Officer of the registrant.</w:t>
              </w:r>
            </w:hyperlink>
          </w:p>
        </w:tc>
        <w:tc>
          <w:tcPr>
            <w:tcW w:w="40" w:type="dxa"/>
            <w:vAlign w:val="bottom"/>
            <w:tcBorders>
              <w:top w:val="single" w:sz="8" w:color="0000EE"/>
            </w:tcBorders>
          </w:tcPr>
          <w:p>
            <w:pPr>
              <w:spacing w:after="0"/>
              <w:rPr>
                <w:sz w:val="17"/>
                <w:szCs w:val="17"/>
                <w:color w:val="auto"/>
              </w:rPr>
            </w:pPr>
          </w:p>
        </w:tc>
        <w:tc>
          <w:tcPr>
            <w:tcW w:w="4540" w:type="dxa"/>
            <w:vAlign w:val="bottom"/>
          </w:tcPr>
          <w:p>
            <w:pPr>
              <w:spacing w:after="0"/>
              <w:rPr>
                <w:sz w:val="17"/>
                <w:szCs w:val="17"/>
                <w:color w:val="auto"/>
              </w:rPr>
            </w:pPr>
          </w:p>
        </w:tc>
      </w:tr>
    </w:tbl>
    <w:p>
      <w:pPr>
        <w:spacing w:after="0" w:line="13" w:lineRule="exact"/>
        <w:rPr>
          <w:sz w:val="20"/>
          <w:szCs w:val="20"/>
          <w:color w:val="auto"/>
        </w:rPr>
      </w:pPr>
    </w:p>
    <w:p>
      <w:pPr>
        <w:ind w:left="1380" w:hanging="1372"/>
        <w:spacing w:after="0"/>
        <w:tabs>
          <w:tab w:leader="none" w:pos="1380" w:val="left"/>
        </w:tabs>
        <w:numPr>
          <w:ilvl w:val="0"/>
          <w:numId w:val="19"/>
        </w:numPr>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Section 1350 Certifications.*</w:t>
        </w:r>
      </w:hyperlink>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101.INS</w:t>
            </w:r>
          </w:p>
        </w:tc>
        <w:tc>
          <w:tcPr>
            <w:tcW w:w="4840" w:type="dxa"/>
            <w:vAlign w:val="bottom"/>
          </w:tcPr>
          <w:p>
            <w:pPr>
              <w:ind w:left="340"/>
              <w:spacing w:after="0"/>
              <w:rPr>
                <w:sz w:val="20"/>
                <w:szCs w:val="20"/>
                <w:color w:val="auto"/>
              </w:rPr>
            </w:pPr>
            <w:r>
              <w:rPr>
                <w:rFonts w:ascii="Arial" w:cs="Arial" w:eastAsia="Arial" w:hAnsi="Arial"/>
                <w:sz w:val="18"/>
                <w:szCs w:val="18"/>
                <w:color w:val="auto"/>
              </w:rPr>
              <w:t>XBRL Instances Document</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101.SCH</w:t>
            </w:r>
          </w:p>
        </w:tc>
        <w:tc>
          <w:tcPr>
            <w:tcW w:w="4840" w:type="dxa"/>
            <w:vAlign w:val="bottom"/>
          </w:tcPr>
          <w:p>
            <w:pPr>
              <w:ind w:left="340"/>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101.CAL</w:t>
            </w:r>
          </w:p>
        </w:tc>
        <w:tc>
          <w:tcPr>
            <w:tcW w:w="4840" w:type="dxa"/>
            <w:vAlign w:val="bottom"/>
          </w:tcPr>
          <w:p>
            <w:pPr>
              <w:ind w:left="340"/>
              <w:spacing w:after="0"/>
              <w:rPr>
                <w:sz w:val="20"/>
                <w:szCs w:val="20"/>
                <w:color w:val="auto"/>
              </w:rPr>
            </w:pPr>
            <w:r>
              <w:rPr>
                <w:rFonts w:ascii="Arial" w:cs="Arial" w:eastAsia="Arial" w:hAnsi="Arial"/>
                <w:sz w:val="18"/>
                <w:szCs w:val="18"/>
                <w:color w:val="auto"/>
                <w:w w:val="93"/>
              </w:rPr>
              <w:t>XBRL Taxonomy Extension Calculation Linkbase Document</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101.DEF</w:t>
            </w:r>
          </w:p>
        </w:tc>
        <w:tc>
          <w:tcPr>
            <w:tcW w:w="4840" w:type="dxa"/>
            <w:vAlign w:val="bottom"/>
          </w:tcPr>
          <w:p>
            <w:pPr>
              <w:ind w:left="340"/>
              <w:spacing w:after="0"/>
              <w:rPr>
                <w:sz w:val="20"/>
                <w:szCs w:val="20"/>
                <w:color w:val="auto"/>
              </w:rPr>
            </w:pPr>
            <w:r>
              <w:rPr>
                <w:rFonts w:ascii="Arial" w:cs="Arial" w:eastAsia="Arial" w:hAnsi="Arial"/>
                <w:sz w:val="18"/>
                <w:szCs w:val="18"/>
                <w:color w:val="auto"/>
                <w:w w:val="96"/>
              </w:rPr>
              <w:t>XBRL Taxonomy Extension Definition Linkbase Document</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101.LAB</w:t>
            </w:r>
          </w:p>
        </w:tc>
        <w:tc>
          <w:tcPr>
            <w:tcW w:w="4840" w:type="dxa"/>
            <w:vAlign w:val="bottom"/>
          </w:tcPr>
          <w:p>
            <w:pPr>
              <w:ind w:left="340"/>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101.PRE</w:t>
            </w:r>
          </w:p>
        </w:tc>
        <w:tc>
          <w:tcPr>
            <w:tcW w:w="4840" w:type="dxa"/>
            <w:vAlign w:val="bottom"/>
          </w:tcPr>
          <w:p>
            <w:pPr>
              <w:ind w:left="340"/>
              <w:spacing w:after="0"/>
              <w:rPr>
                <w:sz w:val="20"/>
                <w:szCs w:val="20"/>
                <w:color w:val="auto"/>
              </w:rPr>
            </w:pPr>
            <w:r>
              <w:rPr>
                <w:rFonts w:ascii="Arial" w:cs="Arial" w:eastAsia="Arial" w:hAnsi="Arial"/>
                <w:sz w:val="18"/>
                <w:szCs w:val="18"/>
                <w:color w:val="auto"/>
                <w:w w:val="91"/>
              </w:rPr>
              <w:t>XBRL Taxonomy Extension Presentation Linkbase Document</w:t>
            </w:r>
          </w:p>
        </w:tc>
      </w:tr>
    </w:tbl>
    <w:p>
      <w:pPr>
        <w:spacing w:after="0" w:line="202" w:lineRule="exact"/>
        <w:rPr>
          <w:sz w:val="20"/>
          <w:szCs w:val="20"/>
          <w:color w:val="auto"/>
        </w:rPr>
      </w:pPr>
    </w:p>
    <w:p>
      <w:pPr>
        <w:jc w:val="both"/>
        <w:ind w:left="260" w:firstLine="319"/>
        <w:spacing w:after="0" w:line="259" w:lineRule="auto"/>
        <w:tabs>
          <w:tab w:leader="none" w:pos="7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These Certifications shall not be deemed “filed” for purposes of Section 18 of the Securities Exchange Act of 1934, as amended, or otherwise subject to the liability of that section. These Certifications shall not be deemed to be incorporated by reference into any filing under the Securities Act of 1933, as amended, or the Exchange Act, except to the extent that the registration statement specifically states that such Certifications are incorporated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CONSUMER PORTFOLIO SERVICES, INC.</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(Registrant)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May 8, 2019</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CHARLES E. BRADLEY, JR.</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Charles E. Bradley, Jr.</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May 8, 2019</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JEFFREY P. FRITZ</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Jeffrey P. Fritz</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36" w:name="page37"/>
    <w:bookmarkEnd w:id="36"/>
    <w:p>
      <w:pPr>
        <w:ind w:left="10480"/>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Charles E. Bradley, Jr., certify that:</w:t>
      </w:r>
    </w:p>
    <w:p>
      <w:pPr>
        <w:spacing w:after="0" w:line="225" w:lineRule="exact"/>
        <w:rPr>
          <w:sz w:val="20"/>
          <w:szCs w:val="20"/>
          <w:color w:val="auto"/>
        </w:rPr>
      </w:pPr>
    </w:p>
    <w:p>
      <w:pPr>
        <w:ind w:left="180" w:hanging="172"/>
        <w:spacing w:after="0"/>
        <w:tabs>
          <w:tab w:leader="none" w:pos="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March 31, 2019 of Consumer Portfolio Services, Inc.;</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9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949"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hanging="4"/>
        <w:spacing w:after="0" w:line="308" w:lineRule="auto"/>
        <w:tabs>
          <w:tab w:leader="none" w:pos="948" w:val="left"/>
        </w:tabs>
        <w:numPr>
          <w:ilvl w:val="1"/>
          <w:numId w:val="2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4"/>
        <w:spacing w:after="0" w:line="264" w:lineRule="auto"/>
        <w:tabs>
          <w:tab w:leader="none" w:pos="928"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308" w:lineRule="auto"/>
        <w:tabs>
          <w:tab w:leader="none" w:pos="2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4"/>
        <w:spacing w:after="0" w:line="277" w:lineRule="auto"/>
        <w:tabs>
          <w:tab w:leader="none" w:pos="915"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4"/>
        <w:spacing w:after="0" w:line="277" w:lineRule="auto"/>
        <w:tabs>
          <w:tab w:leader="none" w:pos="922"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8, 2019</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CHARLES E. BRADLEY, JR.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Charles E. Bradley, Jr.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7" w:name="page38"/>
    <w:bookmarkEnd w:id="37"/>
    <w:p>
      <w:pPr>
        <w:ind w:left="10480"/>
        <w:spacing w:after="0"/>
        <w:rPr>
          <w:sz w:val="20"/>
          <w:szCs w:val="20"/>
          <w:color w:val="auto"/>
        </w:rPr>
      </w:pPr>
      <w:r>
        <w:rPr>
          <w:rFonts w:ascii="Arial" w:cs="Arial" w:eastAsia="Arial" w:hAnsi="Arial"/>
          <w:sz w:val="16"/>
          <w:szCs w:val="16"/>
          <w:b w:val="1"/>
          <w:bCs w:val="1"/>
          <w:color w:val="auto"/>
        </w:rPr>
        <w:t>Exhibit 31.2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Jeffrey P. Fritz, certify that:</w:t>
      </w:r>
    </w:p>
    <w:p>
      <w:pPr>
        <w:spacing w:after="0" w:line="225" w:lineRule="exact"/>
        <w:rPr>
          <w:sz w:val="20"/>
          <w:szCs w:val="20"/>
          <w:color w:val="auto"/>
        </w:rPr>
      </w:pPr>
    </w:p>
    <w:p>
      <w:pPr>
        <w:ind w:left="180" w:hanging="172"/>
        <w:spacing w:after="0"/>
        <w:tabs>
          <w:tab w:leader="none" w:pos="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March 31, 2019 of Consumer Portfolio Services, Inc.;</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9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949"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hanging="4"/>
        <w:spacing w:after="0" w:line="308" w:lineRule="auto"/>
        <w:tabs>
          <w:tab w:leader="none" w:pos="948" w:val="left"/>
        </w:tabs>
        <w:numPr>
          <w:ilvl w:val="1"/>
          <w:numId w:val="2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4"/>
        <w:spacing w:after="0" w:line="264" w:lineRule="auto"/>
        <w:tabs>
          <w:tab w:leader="none" w:pos="928"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308" w:lineRule="auto"/>
        <w:tabs>
          <w:tab w:leader="none" w:pos="2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4"/>
        <w:spacing w:after="0" w:line="277" w:lineRule="auto"/>
        <w:tabs>
          <w:tab w:leader="none" w:pos="915"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4"/>
        <w:spacing w:after="0" w:line="277" w:lineRule="auto"/>
        <w:tabs>
          <w:tab w:leader="none" w:pos="922"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8, 2019</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JEFFREY P. FRITZ</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Jeffrey P. Fritz,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connection with the Quarterly Report on Form 10-Q of Consumer Portfolio Services, Inc. (the “Company”) for the quarterly period ended March 31, 2019, as filed with the Securities and Exchange Commission on the date hereof (the “Report”), Charles E. Bradley, Jr., as Chief Executive Officer of the Company, and Jeffrey P. Fritz, as Chief Financial Officer of the Company, each hereby certifies, pursuant to 18 U.S.C. §1350, as adopted pursuant to §906 of the Sarbanes-Oxley Act of 2002, that:</w:t>
      </w:r>
    </w:p>
    <w:p>
      <w:pPr>
        <w:spacing w:after="0" w:line="187" w:lineRule="exact"/>
        <w:rPr>
          <w:sz w:val="20"/>
          <w:szCs w:val="20"/>
          <w:color w:val="auto"/>
        </w:rPr>
      </w:pPr>
    </w:p>
    <w:p>
      <w:pPr>
        <w:ind w:left="1040" w:hanging="348"/>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40" w:hanging="348"/>
        <w:spacing w:after="0"/>
        <w:tabs>
          <w:tab w:leader="none" w:pos="10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8, 2019</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CHARLES E. BRADLEY, JR.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Charles E. Bradley,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 JEFFREY P. FRITZ</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Jeffrey P. Fritz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This certification accompanies each Report pursuant to § 906 of the Sarbanes-Oxley Act of 2002 and shall not, except to the extent required by the Sarbanes-Oxley Act of 2002, be deemed filed by the Company for purposes of §18 of the Securities Exchange Act of 1934, as amended.</w:t>
      </w:r>
    </w:p>
    <w:p>
      <w:pPr>
        <w:spacing w:after="0" w:line="14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1]"/>
      <w:numFmt w:val="upperLetter"/>
      <w:start w:val="24"/>
    </w:lvl>
  </w:abstractNum>
  <w:abstractNum w:abstractNumId="1">
    <w:nsid w:val="140E0F76"/>
    <w:multiLevelType w:val="hybridMultilevel"/>
    <w:lvl w:ilvl="0">
      <w:lvlJc w:val="left"/>
      <w:lvlText w:val="(%1)"/>
      <w:numFmt w:val="decimal"/>
      <w:start w:val="1"/>
    </w:lvl>
  </w:abstractNum>
  <w:abstractNum w:abstractNumId="2">
    <w:nsid w:val="3352255A"/>
    <w:multiLevelType w:val="hybridMultilevel"/>
    <w:lvl w:ilvl="0">
      <w:lvlJc w:val="left"/>
      <w:lvlText w:val="(%1)"/>
      <w:numFmt w:val="decimal"/>
      <w:start w:val="2"/>
    </w:lvl>
  </w:abstractNum>
  <w:abstractNum w:abstractNumId="3">
    <w:nsid w:val="109CF92E"/>
    <w:multiLevelType w:val="hybridMultilevel"/>
    <w:lvl w:ilvl="0">
      <w:lvlJc w:val="left"/>
      <w:lvlText w:val="(%1)"/>
      <w:numFmt w:val="decimal"/>
      <w:start w:val="3"/>
    </w:lvl>
  </w:abstractNum>
  <w:abstractNum w:abstractNumId="4">
    <w:nsid w:val="DED7263"/>
    <w:multiLevelType w:val="hybridMultilevel"/>
    <w:lvl w:ilvl="0">
      <w:lvlJc w:val="left"/>
      <w:lvlText w:val="(%1)"/>
      <w:numFmt w:val="decimal"/>
      <w:start w:val="1"/>
    </w:lvl>
  </w:abstractNum>
  <w:abstractNum w:abstractNumId="5">
    <w:nsid w:val="7FDCC233"/>
    <w:multiLevelType w:val="hybridMultilevel"/>
    <w:lvl w:ilvl="0">
      <w:lvlJc w:val="left"/>
      <w:lvlText w:val="(%1)"/>
      <w:numFmt w:val="decimal"/>
      <w:start w:val="4"/>
    </w:lvl>
  </w:abstractNum>
  <w:abstractNum w:abstractNumId="6">
    <w:nsid w:val="1BEFD79F"/>
    <w:multiLevelType w:val="hybridMultilevel"/>
    <w:lvl w:ilvl="0">
      <w:lvlJc w:val="left"/>
      <w:lvlText w:val="(%1)"/>
      <w:numFmt w:val="decimal"/>
      <w:start w:val="5"/>
    </w:lvl>
  </w:abstractNum>
  <w:abstractNum w:abstractNumId="7">
    <w:nsid w:val="41A7C4C9"/>
    <w:multiLevelType w:val="hybridMultilevel"/>
    <w:lvl w:ilvl="0">
      <w:lvlJc w:val="left"/>
      <w:lvlText w:val="(%1)"/>
      <w:numFmt w:val="decimal"/>
      <w:start w:val="6"/>
    </w:lvl>
  </w:abstractNum>
  <w:abstractNum w:abstractNumId="8">
    <w:nsid w:val="6B68079A"/>
    <w:multiLevelType w:val="hybridMultilevel"/>
    <w:lvl w:ilvl="0">
      <w:lvlJc w:val="left"/>
      <w:lvlText w:val="(%1)"/>
      <w:numFmt w:val="decimal"/>
      <w:start w:val="7"/>
    </w:lvl>
  </w:abstractNum>
  <w:abstractNum w:abstractNumId="9">
    <w:nsid w:val="4E6AFB66"/>
    <w:multiLevelType w:val="hybridMultilevel"/>
    <w:lvl w:ilvl="0">
      <w:lvlJc w:val="left"/>
      <w:lvlText w:val="(%1)"/>
      <w:numFmt w:val="decimal"/>
      <w:start w:val="8"/>
    </w:lvl>
  </w:abstractNum>
  <w:abstractNum w:abstractNumId="10">
    <w:nsid w:val="25E45D32"/>
    <w:multiLevelType w:val="hybridMultilevel"/>
    <w:lvl w:ilvl="0">
      <w:lvlJc w:val="left"/>
      <w:lvlText w:val="(%1)"/>
      <w:numFmt w:val="decimal"/>
      <w:start w:val="9"/>
    </w:lvl>
  </w:abstractNum>
  <w:abstractNum w:abstractNumId="11">
    <w:nsid w:val="519B500D"/>
    <w:multiLevelType w:val="hybridMultilevel"/>
    <w:lvl w:ilvl="0">
      <w:lvlJc w:val="left"/>
      <w:lvlText w:val="(%1)"/>
      <w:numFmt w:val="decimal"/>
      <w:start w:val="1"/>
    </w:lvl>
  </w:abstractNum>
  <w:abstractNum w:abstractNumId="12">
    <w:nsid w:val="431BD7B7"/>
    <w:multiLevelType w:val="hybridMultilevel"/>
    <w:lvl w:ilvl="0">
      <w:lvlJc w:val="left"/>
      <w:lvlText w:val="(%1)"/>
      <w:numFmt w:val="decimal"/>
      <w:start w:val="1"/>
    </w:lvl>
  </w:abstractNum>
  <w:abstractNum w:abstractNumId="13">
    <w:nsid w:val="3F2DBA31"/>
    <w:multiLevelType w:val="hybridMultilevel"/>
    <w:lvl w:ilvl="0">
      <w:lvlJc w:val="left"/>
      <w:lvlText w:val="(%1)"/>
      <w:numFmt w:val="decimal"/>
      <w:start w:val="1"/>
    </w:lvl>
  </w:abstractNum>
  <w:abstractNum w:abstractNumId="14">
    <w:nsid w:val="7C83E458"/>
    <w:multiLevelType w:val="hybridMultilevel"/>
    <w:lvl w:ilvl="0">
      <w:lvlJc w:val="left"/>
      <w:lvlText w:val="(%1)"/>
      <w:numFmt w:val="decimal"/>
      <w:start w:val="2"/>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1)"/>
      <w:numFmt w:val="decimal"/>
      <w:start w:val="1"/>
    </w:lvl>
  </w:abstractNum>
  <w:abstractNum w:abstractNumId="18">
    <w:nsid w:val="628C895D"/>
    <w:multiLevelType w:val="hybridMultilevel"/>
    <w:lvl w:ilvl="0">
      <w:lvlJc w:val="left"/>
      <w:lvlText w:val="%1"/>
      <w:numFmt w:val="decimal"/>
      <w:start w:val="32"/>
    </w:lvl>
  </w:abstractNum>
  <w:abstractNum w:abstractNumId="19">
    <w:nsid w:val="333AB105"/>
    <w:multiLevelType w:val="hybridMultilevel"/>
    <w:lvl w:ilvl="0">
      <w:lvlJc w:val="left"/>
      <w:lvlText w:val="*"/>
      <w:numFmt w:val="bullet"/>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lvl w:ilvl="1">
      <w:lvlJc w:val="left"/>
      <w:lvlText w:val="(%2)"/>
      <w:numFmt w:val="lowerLetter"/>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2019-12-28T12:41:01Z</dcterms:created>
  <dcterms:modified xsi:type="dcterms:W3CDTF">2019-12-28T12:41:01Z</dcterms:modified>
</cp:coreProperties>
</file>