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740" w:right="1680" w:hanging="3732"/>
        <w:spacing w:after="0" w:line="501" w:lineRule="auto"/>
        <w:tabs>
          <w:tab w:leader="none" w:pos="58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ind w:left="4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 Non-Accelerated Filer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4"/>
          <w:szCs w:val="24"/>
          <w:color w:val="auto"/>
        </w:rPr>
      </w:pPr>
    </w:p>
    <w:p>
      <w:pPr>
        <w:sectPr>
          <w:pgSz w:w="11900" w:h="16838" w:orient="portrait"/>
          <w:cols w:equalWidth="0" w:num="5">
            <w:col w:w="1820" w:space="40"/>
            <w:col w:w="60" w:space="40"/>
            <w:col w:w="3040" w:space="720"/>
            <w:col w:w="2180" w:space="140"/>
            <w:col w:w="33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23, 2015 the registrant had 25,934,696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60" w:type="dxa"/>
            <w:vAlign w:val="bottom"/>
            <w:vMerge w:val="restart"/>
          </w:tcPr>
          <w:p>
            <w:pPr>
              <w:ind w:left="3340"/>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Financial Statements</w:t>
            </w: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8"/>
                <w:szCs w:val="18"/>
                <w:color w:val="auto"/>
              </w:rPr>
              <w:t>Unaudited Condensed Consolidated Balance Sheets as of September 30, 2015 and December 31, 2014</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9760" w:type="dxa"/>
            <w:vAlign w:val="bottom"/>
            <w:shd w:val="clear" w:color="auto" w:fill="EEEEEE"/>
          </w:tcPr>
          <w:p>
            <w:pPr>
              <w:ind w:left="32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nine-month periods ended September 30,</w:t>
            </w:r>
          </w:p>
        </w:tc>
        <w:tc>
          <w:tcPr>
            <w:tcW w:w="2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9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2015 and 2014</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60" w:type="dxa"/>
            <w:vAlign w:val="bottom"/>
          </w:tcPr>
          <w:p>
            <w:pPr>
              <w:ind w:left="320"/>
              <w:spacing w:after="0" w:line="201" w:lineRule="exact"/>
              <w:rPr>
                <w:sz w:val="20"/>
                <w:szCs w:val="20"/>
                <w:color w:val="auto"/>
              </w:rPr>
            </w:pPr>
            <w:r>
              <w:rPr>
                <w:rFonts w:ascii="Arial" w:cs="Arial" w:eastAsia="Arial" w:hAnsi="Arial"/>
                <w:sz w:val="18"/>
                <w:szCs w:val="18"/>
                <w:color w:val="auto"/>
                <w:w w:val="93"/>
              </w:rPr>
              <w:t>Unaudited Condensed Consolidated Statements of Comprehensive Income for the three-month and nine-month periods ended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September 30, 2015 and 2014</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976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2"/>
              </w:rPr>
              <w:t>Unaudited Condensed Consolidated Statements of Cash Flows for the nine-month periods ended September 30, 2015 and 2014</w:t>
            </w:r>
          </w:p>
        </w:tc>
        <w:tc>
          <w:tcPr>
            <w:tcW w:w="60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79"/>
              </w:rPr>
              <w:t>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60" w:type="dxa"/>
            <w:vAlign w:val="bottom"/>
          </w:tcPr>
          <w:p>
            <w:pPr>
              <w:ind w:left="320"/>
              <w:spacing w:after="0"/>
              <w:rPr>
                <w:sz w:val="20"/>
                <w:szCs w:val="20"/>
                <w:color w:val="auto"/>
              </w:rPr>
            </w:pPr>
            <w:r>
              <w:rPr>
                <w:rFonts w:ascii="Arial" w:cs="Arial" w:eastAsia="Arial" w:hAnsi="Arial"/>
                <w:sz w:val="18"/>
                <w:szCs w:val="18"/>
                <w:color w:val="auto"/>
              </w:rPr>
              <w:t>Notes to Unaudited Condensed Consolidated Financial Statements</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79"/>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7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00" w:type="dxa"/>
            <w:vAlign w:val="bottom"/>
            <w:gridSpan w:val="2"/>
            <w:shd w:val="clear" w:color="auto" w:fill="EEEEEE"/>
          </w:tcPr>
          <w:p>
            <w:pPr>
              <w:jc w:val="center"/>
              <w:ind w:left="170"/>
              <w:spacing w:after="0"/>
              <w:rPr>
                <w:sz w:val="20"/>
                <w:szCs w:val="20"/>
                <w:color w:val="auto"/>
              </w:rPr>
            </w:pPr>
            <w:r>
              <w:rPr>
                <w:rFonts w:ascii="Arial" w:cs="Arial" w:eastAsia="Arial" w:hAnsi="Arial"/>
                <w:sz w:val="18"/>
                <w:szCs w:val="18"/>
                <w:color w:val="auto"/>
                <w:w w:val="89"/>
              </w:rPr>
              <w:t>23</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120" w:type="dxa"/>
            <w:vAlign w:val="bottom"/>
          </w:tcPr>
          <w:p>
            <w:pPr>
              <w:ind w:left="3440"/>
              <w:spacing w:after="0"/>
              <w:rPr>
                <w:sz w:val="20"/>
                <w:szCs w:val="20"/>
                <w:color w:val="auto"/>
              </w:rPr>
            </w:pPr>
            <w:r>
              <w:rPr>
                <w:rFonts w:ascii="Arial" w:cs="Arial" w:eastAsia="Arial" w:hAnsi="Arial"/>
                <w:sz w:val="18"/>
                <w:szCs w:val="18"/>
                <w:b w:val="1"/>
                <w:bCs w:val="1"/>
                <w:color w:val="auto"/>
              </w:rPr>
              <w:t>PART II. OTHER INFORMATION</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24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8120" w:type="dxa"/>
            <w:vAlign w:val="bottom"/>
          </w:tcPr>
          <w:p>
            <w:pPr>
              <w:ind w:left="260"/>
              <w:spacing w:after="0"/>
              <w:rPr>
                <w:sz w:val="20"/>
                <w:szCs w:val="20"/>
                <w:color w:val="auto"/>
              </w:rPr>
            </w:pPr>
            <w:r>
              <w:rPr>
                <w:rFonts w:ascii="Arial" w:cs="Arial" w:eastAsia="Arial" w:hAnsi="Arial"/>
                <w:sz w:val="18"/>
                <w:szCs w:val="18"/>
                <w:color w:val="auto"/>
              </w:rPr>
              <w:t>Risk Factors</w:t>
            </w:r>
          </w:p>
        </w:tc>
        <w:tc>
          <w:tcPr>
            <w:tcW w:w="240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24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8120" w:type="dxa"/>
            <w:vAlign w:val="bottom"/>
          </w:tcPr>
          <w:p>
            <w:pPr>
              <w:ind w:left="260"/>
              <w:spacing w:after="0"/>
              <w:rPr>
                <w:sz w:val="20"/>
                <w:szCs w:val="20"/>
                <w:color w:val="auto"/>
              </w:rPr>
            </w:pPr>
            <w:r>
              <w:rPr>
                <w:rFonts w:ascii="Arial" w:cs="Arial" w:eastAsia="Arial" w:hAnsi="Arial"/>
                <w:sz w:val="18"/>
                <w:szCs w:val="18"/>
                <w:color w:val="auto"/>
              </w:rPr>
              <w:t>Exhibits</w:t>
            </w:r>
          </w:p>
        </w:tc>
        <w:tc>
          <w:tcPr>
            <w:tcW w:w="240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81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240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4760"/>
              <w:spacing w:after="0"/>
              <w:rPr>
                <w:sz w:val="20"/>
                <w:szCs w:val="20"/>
                <w:color w:val="auto"/>
              </w:rPr>
            </w:pPr>
            <w:r>
              <w:rPr>
                <w:rFonts w:ascii="Arial" w:cs="Arial" w:eastAsia="Arial" w:hAnsi="Arial"/>
                <w:sz w:val="18"/>
                <w:szCs w:val="18"/>
                <w:color w:val="auto"/>
              </w:rPr>
              <w:t>2</w:t>
            </w: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20,915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206,626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1,902,156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1,595,956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(78,759)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1,823,397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1,534,496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1,719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14,412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44,173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31,807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17,210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2,160,394</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28,859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46,934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10,572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1,903,578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1,598,496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15,192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2,005,135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1,705,805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26,028,980 and 24,540,640 shares issued</w:t>
            </w: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September 30, 2015 and December 31, 2014, respectively</w:t>
            </w:r>
          </w:p>
        </w:tc>
        <w:tc>
          <w:tcPr>
            <w:tcW w:w="16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82,806</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77,504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(5,051)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155,259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2,160,394</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ind w:left="3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90,584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73,865</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257,843</w:t>
            </w:r>
          </w:p>
        </w:tc>
        <w:tc>
          <w:tcPr>
            <w:tcW w:w="5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207,082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3,334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10,215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93,991</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77,050</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268,341</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216,790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Employee costs</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15,254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12,733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42,884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5,804</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14,949</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14,848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12,239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41,709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37,411</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27,287</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106,533</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4,608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4,167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13,247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898</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78,342</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63,246</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222,743</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178,894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6,806</w:t>
            </w:r>
          </w:p>
        </w:tc>
        <w:tc>
          <w:tcPr>
            <w:tcW w:w="1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6,028</w:t>
            </w:r>
          </w:p>
        </w:tc>
        <w:tc>
          <w:tcPr>
            <w:tcW w:w="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19,885</w:t>
            </w:r>
          </w:p>
        </w:tc>
        <w:tc>
          <w:tcPr>
            <w:tcW w:w="1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16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Earnings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0.34</w:t>
            </w:r>
          </w:p>
        </w:tc>
        <w:tc>
          <w:tcPr>
            <w:tcW w:w="60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0.31</w:t>
            </w:r>
          </w:p>
        </w:tc>
        <w:tc>
          <w:tcPr>
            <w:tcW w:w="4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0.99</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26,093</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25,290</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25,989</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31,476</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32,040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31,796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32,021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40" w:type="dxa"/>
            <w:vAlign w:val="bottom"/>
            <w:gridSpan w:val="5"/>
          </w:tcPr>
          <w:p>
            <w:pPr>
              <w:jc w:val="right"/>
              <w:ind w:right="365"/>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625"/>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2014</w:t>
            </w: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8,843</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7,776</w:t>
            </w:r>
          </w:p>
        </w:tc>
        <w:tc>
          <w:tcPr>
            <w:tcW w:w="3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25,713</w:t>
            </w: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21,506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w:t>
            </w:r>
          </w:p>
        </w:tc>
        <w:tc>
          <w:tcPr>
            <w:tcW w:w="1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funded status of pension plan</w:t>
            </w:r>
          </w:p>
        </w:tc>
        <w:tc>
          <w:tcPr>
            <w:tcW w:w="11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1080" w:type="dxa"/>
            <w:vAlign w:val="bottom"/>
            <w:shd w:val="clear" w:color="auto" w:fill="EEEEEE"/>
          </w:tcPr>
          <w:p>
            <w:pPr>
              <w:spacing w:after="0"/>
              <w:rPr>
                <w:sz w:val="21"/>
                <w:szCs w:val="21"/>
                <w:color w:val="auto"/>
              </w:rPr>
            </w:pP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21"/>
                <w:szCs w:val="21"/>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580" w:type="dxa"/>
            <w:vAlign w:val="bottom"/>
            <w:shd w:val="clear" w:color="auto" w:fill="EEEEEE"/>
          </w:tcPr>
          <w:p>
            <w:pPr>
              <w:spacing w:after="0"/>
              <w:rPr>
                <w:sz w:val="21"/>
                <w:szCs w:val="21"/>
                <w:color w:val="auto"/>
              </w:rPr>
            </w:pPr>
          </w:p>
        </w:tc>
        <w:tc>
          <w:tcPr>
            <w:tcW w:w="10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Comprehensive income</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25,713</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25,713</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(7,345)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Mark to fair value on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Mark to fair value of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5,149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106,533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3,609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(8,435)</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(1,326)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6,501</w:t>
            </w:r>
          </w:p>
        </w:tc>
        <w:tc>
          <w:tcPr>
            <w:tcW w:w="1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7,199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138,037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100,974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(791,335)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(680,569)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403,246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1,529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Increases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(31,244)</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(418,544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(388,746</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795,000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1,153</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proceeds from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(9,905)</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(1,755)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(489,971)</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(7,199)</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1,530</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283,563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278,796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17,859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20,915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13,136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33,915</w:t>
            </w:r>
          </w:p>
        </w:tc>
        <w:tc>
          <w:tcPr>
            <w:tcW w:w="740" w:type="dxa"/>
            <w:vAlign w:val="bottom"/>
            <w:gridSpan w:val="2"/>
            <w:shd w:val="clear" w:color="auto" w:fill="EEEEEE"/>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13,690</w:t>
            </w:r>
          </w:p>
        </w:tc>
        <w:tc>
          <w:tcPr>
            <w:tcW w:w="7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788"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and nine month periods ended September 30, 2015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nine-month periods ending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6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84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2,416</w:t>
            </w:r>
          </w:p>
        </w:tc>
        <w:tc>
          <w:tcPr>
            <w:tcW w:w="1020" w:type="dxa"/>
            <w:vAlign w:val="bottom"/>
            <w:gridSpan w:val="2"/>
            <w:shd w:val="clear" w:color="auto" w:fill="EEEEEE"/>
          </w:tcPr>
          <w:p>
            <w:pPr>
              <w:jc w:val="right"/>
              <w:ind w:right="6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3"/>
              </w:rPr>
              <w:t>1,921</w:t>
            </w:r>
          </w:p>
        </w:tc>
        <w:tc>
          <w:tcPr>
            <w:tcW w:w="4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6,935</w:t>
            </w:r>
          </w:p>
        </w:tc>
        <w:tc>
          <w:tcPr>
            <w:tcW w:w="42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5,944</w:t>
            </w:r>
          </w:p>
        </w:tc>
        <w:tc>
          <w:tcPr>
            <w:tcW w:w="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2,060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2,450</w:t>
            </w: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8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666</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Sales tax refunds</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(325)</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Stock-based Compensation</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2015, we recorded stock-based compensation costs in the amount of $1.4 million and $3.6 million, respectively. These stock-based compensation costs were $1.1 million and $2.6 million for the three and nine months ended September 30, 2014. As of September 30, 2015, unrecognized stock-based compensation costs to be recognized over future periods equaled $15.2 million. This amount will be recognized as expense over a weighted-average period of 2.8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nine months ended September 30,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1,965</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1.38</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5.39</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11,447</w:t>
            </w:r>
          </w:p>
        </w:tc>
        <w:tc>
          <w:tcPr>
            <w:tcW w:w="34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4.61</w:t>
            </w:r>
          </w:p>
        </w:tc>
        <w:tc>
          <w:tcPr>
            <w:tcW w:w="160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5.71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6,172</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3.38</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4.94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September 30, 2015, the aggregate intrinsic value of options outstanding and exercisable was $16.4 million and $14.2 million, respectively. There were 1,033,000 options exercised for the nine months ended September 30, 2015 compared to 1,168,000 for the comparable period in 2014. The total intrinsic value of options exercised was $7.1 million and $10.6 million for the nine-month periods ended September 30, 2015 and 2014. There were 5.5 million shares available for future stock option grants under existing plans as of September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the nine-month period ended September 30, 2015, we purchased 544,521 shares of our common stock, at an average price of $6.21. We purchased 468,948 shares of our stock in the open market at an average price of $6.07. The remaining purchases of 75,573 shares were related to net exercises of outstanding options and warrants. In transactions during the nine-month period ended September 30, 2015, the holders of options and warrants to purchase 392,200 shares of our common stock paid the aggregate $535,000 exercise price by surrender to us of 75,573 of such 392,200 shares.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nine-month period ended September 30, 2014, we purchased 73,788 shares of our common stock, at an average price of $7.91. The purchases were related to net exercises of outstanding options and warrants. In transactions during the nine-month period ended September 30, 2014, the holder of options and warrants to purchase 395,000 shares of our common stock paid the aggregate $583,000 exercise price by surrender to us of 73,788 of such 395,000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2015, the FASB issued Accounting Standards Update No. 2015-03 (ASU 2015-03), Interest – Imputation of Interest (Subtopic 835-30). ASU 2015-03 changes the presentation of debt issuance costs in the financial statements to present such costs as a direct deduction from the related debt liability rather than as an asset. Amortization of debt issuance costs will be reported as interest expense. This standard is effective for interim and annual reporting periods beginning after December 15, 2015. ASU 2015-03 will not have a material impact on our consolidated financial position, results of operations, or cash flows.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2015, the Financial Accounting Standard Board (FASB) issued Accounting Standard Update (ASU) No. 2015-14, Revenue from Contracts with Customers (Topic 606) (ASU 2015-14). In May 2014, the FASB issued Accounting Standards Update No. 2014-09, Revenue from Contracts with Customers (Topic 606), with an original effective date for annual reporting periods beginning after December 15, 2016. The core principle of ASU 2014-09 is that an entity should recognize revenue to depict the transfer of promised goods or services to customers in an amount that reflects the consideration to which the entity expects to be entitled in exchange for those goods or services. ASU 2015-14 deferred the effective date of ASU 2014-09 to annual periods and interim periods within those annual periods beginning after December 15, 2017. The Company is currently evaluating the effects of ASU 2015-14 on its financial statements and disclosures, if 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September 30, 2015,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recorded a liability as of September 30, 2015,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66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1,910,581</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1,612,246</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Less: Unearned acquisition fees and originations costs</w:t>
            </w:r>
          </w:p>
        </w:tc>
        <w:tc>
          <w:tcPr>
            <w:tcW w:w="16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(8,425)</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(16,290)</w:t>
            </w:r>
          </w:p>
        </w:tc>
      </w:tr>
      <w:tr>
        <w:trPr>
          <w:trHeight w:val="223"/>
        </w:trPr>
        <w:tc>
          <w:tcPr>
            <w:tcW w:w="778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1,902,156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1,595,956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September 30, 2015 and December 31, 2014: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1,768,918</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1,523,020</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16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69,604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42,730</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160" w:type="dxa"/>
            <w:vAlign w:val="bottom"/>
          </w:tcPr>
          <w:p>
            <w:pPr>
              <w:spacing w:after="0"/>
              <w:rPr>
                <w:sz w:val="18"/>
                <w:szCs w:val="18"/>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38,940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23,300</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160" w:type="dxa"/>
            <w:vAlign w:val="bottom"/>
            <w:shd w:val="clear" w:color="auto" w:fill="EEEEEE"/>
          </w:tcPr>
          <w:p>
            <w:pPr>
              <w:spacing w:after="0"/>
              <w:rPr>
                <w:sz w:val="19"/>
                <w:szCs w:val="19"/>
                <w:color w:val="auto"/>
              </w:rPr>
            </w:pP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33,119</w:t>
            </w: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23,196</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1,910,581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Finance receivables totaling $33.1 million and $23.2 million at September 30, 2015 and December 31, 2014,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nine-month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74,541</w:t>
            </w:r>
          </w:p>
        </w:tc>
        <w:tc>
          <w:tcPr>
            <w:tcW w:w="56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53,326</w:t>
            </w:r>
          </w:p>
        </w:tc>
        <w:tc>
          <w:tcPr>
            <w:tcW w:w="4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61,460</w:t>
            </w:r>
          </w:p>
        </w:tc>
        <w:tc>
          <w:tcPr>
            <w:tcW w:w="54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39,626</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27,287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106,533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76,795</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2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(38,608)</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(29,988)</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(105,273)</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(80,514)</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Recoveries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5,415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3,996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18,714</w:t>
            </w:r>
          </w:p>
        </w:tc>
      </w:tr>
      <w:tr>
        <w:trPr>
          <w:trHeight w:val="223"/>
        </w:trPr>
        <w:tc>
          <w:tcPr>
            <w:tcW w:w="5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78,759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54,621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78,759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54,621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160" w:type="dxa"/>
            <w:vAlign w:val="bottom"/>
          </w:tcPr>
          <w:p>
            <w:pPr>
              <w:spacing w:after="0"/>
              <w:rPr>
                <w:sz w:val="16"/>
                <w:szCs w:val="16"/>
                <w:color w:val="auto"/>
              </w:rPr>
            </w:pPr>
          </w:p>
        </w:tc>
        <w:tc>
          <w:tcPr>
            <w:tcW w:w="338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29,232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28,234</w:t>
            </w:r>
          </w:p>
        </w:tc>
        <w:tc>
          <w:tcPr>
            <w:tcW w:w="40" w:type="dxa"/>
            <w:vAlign w:val="bottom"/>
          </w:tcPr>
          <w:p>
            <w:pPr>
              <w:spacing w:after="0"/>
              <w:rPr>
                <w:sz w:val="18"/>
                <w:szCs w:val="18"/>
                <w:color w:val="auto"/>
              </w:rPr>
            </w:pPr>
          </w:p>
        </w:tc>
      </w:tr>
      <w:tr>
        <w:trPr>
          <w:trHeight w:val="244"/>
        </w:trPr>
        <w:tc>
          <w:tcPr>
            <w:tcW w:w="160" w:type="dxa"/>
            <w:vAlign w:val="bottom"/>
          </w:tcPr>
          <w:p>
            <w:pPr>
              <w:spacing w:after="0"/>
              <w:rPr>
                <w:sz w:val="21"/>
                <w:szCs w:val="21"/>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(19,117)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(17,829)</w:t>
            </w:r>
          </w:p>
        </w:tc>
      </w:tr>
      <w:tr>
        <w:trPr>
          <w:trHeight w:val="223"/>
        </w:trPr>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10,405</w:t>
            </w:r>
          </w:p>
        </w:tc>
        <w:tc>
          <w:tcPr>
            <w:tcW w:w="40" w:type="dxa"/>
            <w:vAlign w:val="bottom"/>
          </w:tcPr>
          <w:p>
            <w:pPr>
              <w:spacing w:after="0"/>
              <w:rPr>
                <w:sz w:val="19"/>
                <w:szCs w:val="19"/>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877"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Final</w:t>
            </w: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Scheduled</w:t>
            </w:r>
          </w:p>
        </w:tc>
        <w:tc>
          <w:tcPr>
            <w:tcW w:w="10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Pledged at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at</w:t>
            </w:r>
          </w:p>
        </w:tc>
      </w:tr>
      <w:tr>
        <w:trPr>
          <w:trHeight w:val="230"/>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Initial</w:t>
            </w:r>
          </w:p>
        </w:tc>
        <w:tc>
          <w:tcPr>
            <w:tcW w:w="1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2000" w:type="dxa"/>
            <w:vAlign w:val="bottom"/>
            <w:gridSpan w:val="2"/>
          </w:tcPr>
          <w:p>
            <w:pPr>
              <w:ind w:left="660"/>
              <w:spacing w:after="0"/>
              <w:rPr>
                <w:sz w:val="20"/>
                <w:szCs w:val="20"/>
                <w:color w:val="auto"/>
              </w:rPr>
            </w:pPr>
            <w:r>
              <w:rPr>
                <w:rFonts w:ascii="Arial" w:cs="Arial" w:eastAsia="Arial" w:hAnsi="Arial"/>
                <w:sz w:val="18"/>
                <w:szCs w:val="18"/>
                <w:b w:val="1"/>
                <w:bCs w:val="1"/>
                <w:color w:val="auto"/>
              </w:rPr>
              <w:t>Series</w:t>
            </w: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(1)</w:t>
            </w:r>
          </w:p>
        </w:tc>
        <w:tc>
          <w:tcPr>
            <w:tcW w:w="10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2015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Principal</w:t>
            </w: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0"/>
        </w:trPr>
        <w:tc>
          <w:tcPr>
            <w:tcW w:w="1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(Dollars in thousands)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2011-A</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April 2018</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100,364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2011-B</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September 2018</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13,377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109,936</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12,772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22,985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2011-C</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2019</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18,242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119,400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18,157</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30,601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2012-A</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June 2019</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22,383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155,000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20,863</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35,923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2012-B</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2019</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32,755</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141,500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31,791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50,125</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3.05%</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2012-C</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December 2019</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37,358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147,000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36,281</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55,619</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2012-D</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2020</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45,427</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160,000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43,822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67,833</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2013-A</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June 2020</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66,889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185,000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65,182</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97,775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2013-B</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2020</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82,263</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205,000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80,244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118,692</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2013-C</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December 2020</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95,208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94,095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133,628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2013-D</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2021</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94,650</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183,000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93,291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132,150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2014-A</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June 2021</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104,926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103,290</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143,456</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2014-B</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2021</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135,749</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202,500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134,742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177,601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2014-C</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December 2021</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204,004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273,000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201,727</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256,151</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2014-D</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March 2022</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219,252</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267,500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216,362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267,500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2015-A</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June 2022</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220,214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245,000</w:t>
            </w: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215,598</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200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CPS 2015-B</w:t>
            </w:r>
          </w:p>
        </w:tc>
        <w:tc>
          <w:tcPr>
            <w:tcW w:w="17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2022</w:t>
            </w: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238,978</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235,361</w:t>
            </w:r>
          </w:p>
        </w:tc>
        <w:tc>
          <w:tcPr>
            <w:tcW w:w="1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2.52%</w:t>
            </w:r>
          </w:p>
        </w:tc>
      </w:tr>
      <w:tr>
        <w:trPr>
          <w:trHeight w:val="230"/>
        </w:trPr>
        <w:tc>
          <w:tcPr>
            <w:tcW w:w="2000" w:type="dxa"/>
            <w:vAlign w:val="bottom"/>
            <w:gridSpan w:val="2"/>
          </w:tcPr>
          <w:p>
            <w:pPr>
              <w:ind w:left="180"/>
              <w:spacing w:after="0"/>
              <w:rPr>
                <w:sz w:val="20"/>
                <w:szCs w:val="20"/>
                <w:color w:val="auto"/>
              </w:rPr>
            </w:pPr>
            <w:r>
              <w:rPr>
                <w:rFonts w:ascii="Arial" w:cs="Arial" w:eastAsia="Arial" w:hAnsi="Arial"/>
                <w:sz w:val="18"/>
                <w:szCs w:val="18"/>
                <w:color w:val="auto"/>
              </w:rPr>
              <w:t>CPS 2015-C (3)</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December 2022</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297,605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23"/>
        </w:trPr>
        <w:tc>
          <w:tcPr>
            <w:tcW w:w="178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1,929,280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3,429,200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1,903,578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-154940</wp:posOffset>
            </wp:positionV>
            <wp:extent cx="384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jc w:val="both"/>
        <w:ind w:left="380" w:hanging="372"/>
        <w:spacing w:after="0" w:line="264" w:lineRule="auto"/>
        <w:tabs>
          <w:tab w:leader="none" w:pos="38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$183.2 million in 2015, $664.4 million in 2016, $501.1 million in 2017, $316.4 million in 2018, $172.0 million in 2019, $63.2 million in 2020 and $3.3 million in 2021.</w:t>
      </w:r>
    </w:p>
    <w:p>
      <w:pPr>
        <w:spacing w:after="0" w:line="2" w:lineRule="exact"/>
        <w:rPr>
          <w:rFonts w:ascii="Arial" w:cs="Arial" w:eastAsia="Arial" w:hAnsi="Arial"/>
          <w:sz w:val="17"/>
          <w:szCs w:val="17"/>
          <w:i w:val="1"/>
          <w:iCs w:val="1"/>
          <w:color w:val="auto"/>
        </w:rPr>
      </w:pPr>
    </w:p>
    <w:p>
      <w:pPr>
        <w:ind w:left="380" w:hanging="372"/>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9" w:lineRule="exact"/>
        <w:rPr>
          <w:rFonts w:ascii="Arial" w:cs="Arial" w:eastAsia="Arial" w:hAnsi="Arial"/>
          <w:sz w:val="18"/>
          <w:szCs w:val="18"/>
          <w:i w:val="1"/>
          <w:iCs w:val="1"/>
          <w:color w:val="auto"/>
        </w:rPr>
      </w:pPr>
    </w:p>
    <w:p>
      <w:pPr>
        <w:ind w:left="380" w:hanging="372"/>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$102.1 million of receivables that were pledged to CPS 2015-C after September 30, 2015, on October 9, 2015.</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September 30, 2015, we were in compliance with all such covenants.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September 30, 2015, restricted cash under the various agreements totaled approximately $206.6 million, of which $102.1 million represented pre-funding proceeds.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September 30, 2015 and December 31, 2014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4"/>
          </w:tcPr>
          <w:p>
            <w:pPr>
              <w:jc w:val="right"/>
              <w:ind w:right="203"/>
              <w:spacing w:after="0"/>
              <w:rPr>
                <w:sz w:val="20"/>
                <w:szCs w:val="20"/>
                <w:color w:val="auto"/>
              </w:rPr>
            </w:pPr>
            <w:r>
              <w:rPr>
                <w:rFonts w:ascii="Arial" w:cs="Arial" w:eastAsia="Arial" w:hAnsi="Arial"/>
                <w:sz w:val="18"/>
                <w:szCs w:val="18"/>
                <w:b w:val="1"/>
                <w:bCs w:val="1"/>
                <w:color w:val="auto"/>
              </w:rPr>
              <w:t>Amount Outstanding at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20" w:type="dxa"/>
            <w:vAlign w:val="bottom"/>
          </w:tcPr>
          <w:p>
            <w:pPr>
              <w:spacing w:after="0"/>
              <w:rPr>
                <w:sz w:val="20"/>
                <w:szCs w:val="20"/>
                <w:color w:val="auto"/>
              </w:rPr>
            </w:pPr>
          </w:p>
        </w:tc>
        <w:tc>
          <w:tcPr>
            <w:tcW w:w="1660" w:type="dxa"/>
            <w:vAlign w:val="bottom"/>
            <w:gridSpan w:val="4"/>
          </w:tcPr>
          <w:p>
            <w:pPr>
              <w:ind w:left="2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3"/>
            <w:vMerge w:val="restart"/>
          </w:tcPr>
          <w:p>
            <w:pPr>
              <w:ind w:left="820"/>
              <w:spacing w:after="0"/>
              <w:rPr>
                <w:sz w:val="20"/>
                <w:szCs w:val="20"/>
                <w:color w:val="auto"/>
              </w:rPr>
            </w:pPr>
            <w:r>
              <w:rPr>
                <w:rFonts w:ascii="Arial" w:cs="Arial" w:eastAsia="Arial" w:hAnsi="Arial"/>
                <w:sz w:val="18"/>
                <w:szCs w:val="18"/>
                <w:color w:val="auto"/>
              </w:rPr>
              <w:t>Description</w:t>
            </w:r>
          </w:p>
        </w:tc>
        <w:tc>
          <w:tcPr>
            <w:tcW w:w="270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89"/>
              </w:rPr>
              <w:t>Interest Rate</w:t>
            </w:r>
          </w:p>
        </w:tc>
        <w:tc>
          <w:tcPr>
            <w:tcW w:w="920" w:type="dxa"/>
            <w:vAlign w:val="bottom"/>
          </w:tcPr>
          <w:p>
            <w:pPr>
              <w:spacing w:after="0"/>
              <w:rPr>
                <w:sz w:val="19"/>
                <w:szCs w:val="19"/>
                <w:color w:val="auto"/>
              </w:rPr>
            </w:pPr>
          </w:p>
        </w:tc>
        <w:tc>
          <w:tcPr>
            <w:tcW w:w="1700" w:type="dxa"/>
            <w:vAlign w:val="bottom"/>
            <w:gridSpan w:val="2"/>
            <w:vMerge w:val="restart"/>
          </w:tcPr>
          <w:p>
            <w:pPr>
              <w:jc w:val="center"/>
              <w:ind w:right="1060"/>
              <w:spacing w:after="0"/>
              <w:rPr>
                <w:sz w:val="20"/>
                <w:szCs w:val="20"/>
                <w:color w:val="auto"/>
              </w:rPr>
            </w:pPr>
            <w:r>
              <w:rPr>
                <w:rFonts w:ascii="Arial" w:cs="Arial" w:eastAsia="Arial" w:hAnsi="Arial"/>
                <w:sz w:val="18"/>
                <w:szCs w:val="18"/>
                <w:color w:val="auto"/>
                <w:w w:val="99"/>
              </w:rPr>
              <w:t>Maturity</w:t>
            </w:r>
          </w:p>
        </w:tc>
        <w:tc>
          <w:tcPr>
            <w:tcW w:w="180" w:type="dxa"/>
            <w:vAlign w:val="bottom"/>
          </w:tcPr>
          <w:p>
            <w:pPr>
              <w:spacing w:after="0"/>
              <w:rPr>
                <w:sz w:val="19"/>
                <w:szCs w:val="19"/>
                <w:color w:val="auto"/>
              </w:rPr>
            </w:pPr>
          </w:p>
        </w:tc>
        <w:tc>
          <w:tcPr>
            <w:tcW w:w="2780" w:type="dxa"/>
            <w:vAlign w:val="bottom"/>
            <w:gridSpan w:val="4"/>
          </w:tcPr>
          <w:p>
            <w:pPr>
              <w:jc w:val="right"/>
              <w:ind w:right="563"/>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gridSpan w:val="3"/>
            <w:vMerge w:val="continue"/>
          </w:tcPr>
          <w:p>
            <w:pPr>
              <w:spacing w:after="0"/>
              <w:rPr>
                <w:sz w:val="13"/>
                <w:szCs w:val="13"/>
                <w:color w:val="auto"/>
              </w:rPr>
            </w:pPr>
          </w:p>
        </w:tc>
        <w:tc>
          <w:tcPr>
            <w:tcW w:w="2700" w:type="dxa"/>
            <w:vAlign w:val="bottom"/>
            <w:gridSpan w:val="3"/>
            <w:vMerge w:val="continue"/>
          </w:tcPr>
          <w:p>
            <w:pPr>
              <w:spacing w:after="0"/>
              <w:rPr>
                <w:sz w:val="13"/>
                <w:szCs w:val="13"/>
                <w:color w:val="auto"/>
              </w:rPr>
            </w:pPr>
          </w:p>
        </w:tc>
        <w:tc>
          <w:tcPr>
            <w:tcW w:w="9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700" w:type="dxa"/>
            <w:vAlign w:val="bottom"/>
            <w:gridSpan w:val="3"/>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5.50% over one month Libor</w:t>
            </w:r>
          </w:p>
        </w:tc>
        <w:tc>
          <w:tcPr>
            <w:tcW w:w="9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96"/>
              </w:rPr>
              <w:t>(Minimum 6.50%)</w:t>
            </w:r>
          </w:p>
        </w:tc>
        <w:tc>
          <w:tcPr>
            <w:tcW w:w="26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96"/>
              </w:rPr>
              <w:t>April 2019</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20,798</w:t>
            </w:r>
          </w:p>
        </w:tc>
        <w:tc>
          <w:tcPr>
            <w:tcW w:w="1020" w:type="dxa"/>
            <w:vAlign w:val="bottom"/>
            <w:gridSpan w:val="2"/>
            <w:shd w:val="clear" w:color="auto" w:fill="EEEEEE"/>
          </w:tcPr>
          <w:p>
            <w:pPr>
              <w:jc w:val="right"/>
              <w:ind w:right="86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23,581</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700" w:type="dxa"/>
            <w:vAlign w:val="bottom"/>
            <w:gridSpan w:val="3"/>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5.50% over one month Libor</w:t>
            </w:r>
          </w:p>
        </w:tc>
        <w:tc>
          <w:tcPr>
            <w:tcW w:w="92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96"/>
              </w:rPr>
              <w:t>(Minimum 6.25%)</w:t>
            </w: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0"/>
              </w:rPr>
              <w:t>August 2017</w:t>
            </w:r>
          </w:p>
        </w:tc>
        <w:tc>
          <w:tcPr>
            <w:tcW w:w="180" w:type="dxa"/>
            <w:vAlign w:val="bottom"/>
            <w:shd w:val="clear" w:color="auto" w:fill="EEEEEE"/>
          </w:tcPr>
          <w:p>
            <w:pPr>
              <w:spacing w:after="0"/>
              <w:rPr>
                <w:sz w:val="20"/>
                <w:szCs w:val="20"/>
                <w:color w:val="auto"/>
              </w:rPr>
            </w:pP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26,136</w:t>
            </w:r>
          </w:p>
        </w:tc>
        <w:tc>
          <w:tcPr>
            <w:tcW w:w="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33,258</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91"/>
              </w:rPr>
              <w:t>11.75% over one month Libor</w:t>
            </w:r>
          </w:p>
        </w:tc>
        <w:tc>
          <w:tcPr>
            <w:tcW w:w="26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96"/>
              </w:rPr>
              <w:t>April 2018</w:t>
            </w: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10,572</w:t>
            </w: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12,327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20" w:type="dxa"/>
            <w:vAlign w:val="bottom"/>
            <w:gridSpan w:val="3"/>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87"/>
              </w:rPr>
              <w:t>Repayment is based on</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2"/>
              </w:rPr>
              <w:t>payments from underlying</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0"/>
              </w:rPr>
              <w:t>receivables. Final payment of</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0"/>
              </w:rPr>
              <w:t>the 8.00% loan was made in</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1"/>
              </w:rPr>
              <w:t>September 2013, while final</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Debt secured by receivables</w:t>
            </w:r>
          </w:p>
        </w:tc>
        <w:tc>
          <w:tcPr>
            <w:tcW w:w="9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89"/>
              </w:rPr>
              <w:t>residual payment was made in</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960" w:type="dxa"/>
            <w:vAlign w:val="bottom"/>
            <w:shd w:val="clear" w:color="auto" w:fill="EEEEEE"/>
          </w:tcPr>
          <w:p>
            <w:pPr>
              <w:spacing w:after="0"/>
              <w:rPr>
                <w:sz w:val="20"/>
                <w:szCs w:val="20"/>
                <w:color w:val="auto"/>
              </w:rPr>
            </w:pPr>
          </w:p>
        </w:tc>
        <w:tc>
          <w:tcPr>
            <w:tcW w:w="1740" w:type="dxa"/>
            <w:vAlign w:val="bottom"/>
            <w:gridSpan w:val="2"/>
            <w:shd w:val="clear" w:color="auto" w:fill="EEEEEE"/>
          </w:tcPr>
          <w:p>
            <w:pPr>
              <w:jc w:val="center"/>
              <w:ind w:right="840"/>
              <w:spacing w:after="0"/>
              <w:rPr>
                <w:sz w:val="20"/>
                <w:szCs w:val="20"/>
                <w:color w:val="auto"/>
              </w:rPr>
            </w:pPr>
            <w:r>
              <w:rPr>
                <w:rFonts w:ascii="Arial" w:cs="Arial" w:eastAsia="Arial" w:hAnsi="Arial"/>
                <w:sz w:val="18"/>
                <w:szCs w:val="18"/>
                <w:color w:val="auto"/>
                <w:w w:val="87"/>
              </w:rPr>
              <w:t>n/a</w:t>
            </w: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87"/>
              </w:rPr>
              <w:t>January 2015</w:t>
            </w:r>
          </w:p>
        </w:tc>
        <w:tc>
          <w:tcPr>
            <w:tcW w:w="180" w:type="dxa"/>
            <w:vAlign w:val="bottom"/>
            <w:shd w:val="clear" w:color="auto" w:fill="EEEEEE"/>
          </w:tcPr>
          <w:p>
            <w:pPr>
              <w:spacing w:after="0"/>
              <w:rPr>
                <w:sz w:val="20"/>
                <w:szCs w:val="20"/>
                <w:color w:val="auto"/>
              </w:rPr>
            </w:pP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620" w:type="dxa"/>
            <w:vAlign w:val="bottom"/>
            <w:gridSpan w:val="3"/>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Weighted average maturity of</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89"/>
              </w:rPr>
              <w:t>Weighted average rate of</w:t>
            </w: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0"/>
              </w:rPr>
              <w:t>March 2017 and October 2016</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89"/>
              </w:rPr>
              <w:t>9.45% and 10.7% at September</w:t>
            </w: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87"/>
              </w:rPr>
              <w:t>at September 30, 2015 and</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89"/>
              </w:rPr>
              <w:t>30, 2015 and December 31,</w:t>
            </w:r>
          </w:p>
        </w:tc>
        <w:tc>
          <w:tcPr>
            <w:tcW w:w="2620" w:type="dxa"/>
            <w:vAlign w:val="bottom"/>
            <w:gridSpan w:val="3"/>
            <w:shd w:val="clear" w:color="auto" w:fill="EEEEEE"/>
          </w:tcPr>
          <w:p>
            <w:pPr>
              <w:jc w:val="center"/>
              <w:ind w:right="120"/>
              <w:spacing w:after="0"/>
              <w:rPr>
                <w:sz w:val="20"/>
                <w:szCs w:val="20"/>
                <w:color w:val="auto"/>
              </w:rPr>
            </w:pPr>
            <w:r>
              <w:rPr>
                <w:rFonts w:ascii="Arial" w:cs="Arial" w:eastAsia="Arial" w:hAnsi="Arial"/>
                <w:sz w:val="18"/>
                <w:szCs w:val="18"/>
                <w:color w:val="auto"/>
                <w:w w:val="89"/>
              </w:rPr>
              <w:t>December 31, 2014,</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4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Subordinated renewable notes</w:t>
            </w:r>
          </w:p>
        </w:tc>
        <w:tc>
          <w:tcPr>
            <w:tcW w:w="2700" w:type="dxa"/>
            <w:vAlign w:val="bottom"/>
            <w:gridSpan w:val="3"/>
            <w:shd w:val="clear" w:color="auto" w:fill="EEEEEE"/>
          </w:tcPr>
          <w:p>
            <w:pPr>
              <w:jc w:val="center"/>
              <w:ind w:left="50"/>
              <w:spacing w:after="0"/>
              <w:rPr>
                <w:sz w:val="20"/>
                <w:szCs w:val="20"/>
                <w:color w:val="auto"/>
              </w:rPr>
            </w:pPr>
            <w:r>
              <w:rPr>
                <w:rFonts w:ascii="Arial" w:cs="Arial" w:eastAsia="Arial" w:hAnsi="Arial"/>
                <w:sz w:val="18"/>
                <w:szCs w:val="18"/>
                <w:color w:val="auto"/>
                <w:w w:val="90"/>
              </w:rPr>
              <w:t>2014 , respectively</w:t>
            </w:r>
          </w:p>
        </w:tc>
        <w:tc>
          <w:tcPr>
            <w:tcW w:w="2620" w:type="dxa"/>
            <w:vAlign w:val="bottom"/>
            <w:gridSpan w:val="3"/>
            <w:shd w:val="clear" w:color="auto" w:fill="EEEEEE"/>
          </w:tcPr>
          <w:p>
            <w:pPr>
              <w:jc w:val="center"/>
              <w:ind w:right="140"/>
              <w:spacing w:after="0"/>
              <w:rPr>
                <w:sz w:val="20"/>
                <w:szCs w:val="20"/>
                <w:color w:val="auto"/>
              </w:rPr>
            </w:pPr>
            <w:r>
              <w:rPr>
                <w:rFonts w:ascii="Arial" w:cs="Arial" w:eastAsia="Arial" w:hAnsi="Arial"/>
                <w:sz w:val="18"/>
                <w:szCs w:val="18"/>
                <w:color w:val="auto"/>
                <w:w w:val="92"/>
              </w:rPr>
              <w:t>respectively</w:t>
            </w:r>
          </w:p>
        </w:tc>
        <w:tc>
          <w:tcPr>
            <w:tcW w:w="180" w:type="dxa"/>
            <w:vAlign w:val="bottom"/>
            <w:shd w:val="clear" w:color="auto" w:fill="EEEEEE"/>
          </w:tcPr>
          <w:p>
            <w:pPr>
              <w:spacing w:after="0"/>
              <w:rPr>
                <w:sz w:val="21"/>
                <w:szCs w:val="21"/>
                <w:color w:val="auto"/>
              </w:rPr>
            </w:pPr>
          </w:p>
        </w:tc>
        <w:tc>
          <w:tcPr>
            <w:tcW w:w="17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15,192</w:t>
            </w:r>
          </w:p>
        </w:tc>
        <w:tc>
          <w:tcPr>
            <w:tcW w:w="2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15,233</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72,698</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6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2015 we entered into a new $100 million warehouse credit line with affiliates of Fortress Investment Group. The facility is structured to allow us to fund a portion of the purchase price of automobile contracts by borrowing from a credit facility to our consolidated subsidiary Page Six Funding LLC. The facility, which replaces a revolving credit facility that we have used since December 2010, provides for advances up to 88% of eligible finance receivables and the loans under it accrue interest at a rate of one-month LIBOR plus 5.50% per annum, with a minimum rate of 6.50% per annum. There was $20.8 million outstanding under this new facility at September 30, 2015 which has a revolving period through April 2017 and an amortization period through April 2019 for any receivables pledged to the facility at the end of the revolving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ectPr>
          <w:pgSz w:w="11900" w:h="16838" w:orient="portrait"/>
          <w:cols w:equalWidth="0" w:num="1">
            <w:col w:w="11420"/>
          </w:cols>
          <w:pgMar w:left="240" w:top="8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Interest on finance receivables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195"/>
        </w:trPr>
        <w:tc>
          <w:tcPr>
            <w:tcW w:w="280" w:type="dxa"/>
            <w:vAlign w:val="bottom"/>
          </w:tcPr>
          <w:p>
            <w:pPr>
              <w:spacing w:after="0"/>
              <w:rPr>
                <w:sz w:val="16"/>
                <w:szCs w:val="16"/>
                <w:color w:val="auto"/>
              </w:rPr>
            </w:pPr>
          </w:p>
        </w:tc>
        <w:tc>
          <w:tcPr>
            <w:tcW w:w="1760" w:type="dxa"/>
            <w:vAlign w:val="bottom"/>
            <w:gridSpan w:val="4"/>
          </w:tcPr>
          <w:p>
            <w:pPr>
              <w:jc w:val="center"/>
              <w:ind w:left="47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left="47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90,564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73,781</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257,757</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206,761</w:t>
            </w:r>
          </w:p>
        </w:tc>
      </w:tr>
      <w:tr>
        <w:trPr>
          <w:trHeight w:val="230"/>
        </w:trPr>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30"/>
        </w:trPr>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257,843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207,082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-599440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-325120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877" w:right="2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12,466</w:t>
            </w:r>
          </w:p>
        </w:tc>
        <w:tc>
          <w:tcPr>
            <w:tcW w:w="60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9,582</w:t>
            </w:r>
          </w:p>
        </w:tc>
        <w:tc>
          <w:tcPr>
            <w:tcW w:w="44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35,012</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28,279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1,644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1,531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4,376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3,646</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514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1,758</w:t>
            </w:r>
          </w:p>
        </w:tc>
      </w:tr>
      <w:tr>
        <w:trPr>
          <w:trHeight w:val="223"/>
        </w:trPr>
        <w:tc>
          <w:tcPr>
            <w:tcW w:w="5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14,848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12,239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41,709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nine-month periods ended September 30, 2015 and 2014 were calculated using the weighted average number of shares outstanding for the related period. The following table reconciles the number of shares used in the computations of basic and diluted earnings per share for the three-month and nine-month periods ended September 30, 2015 and 2014:</w:t>
      </w:r>
    </w:p>
    <w:p>
      <w:pPr>
        <w:sectPr>
          <w:pgSz w:w="11900" w:h="16838" w:orient="portrait"/>
          <w:cols w:equalWidth="0" w:num="1">
            <w:col w:w="11420"/>
          </w:cols>
          <w:pgMar w:left="240" w:top="87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100" w:hanging="179"/>
        <w:spacing w:after="0" w:line="308"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spacing w:after="0" w:line="147" w:lineRule="exact"/>
        <w:rPr>
          <w:sz w:val="20"/>
          <w:szCs w:val="20"/>
          <w:color w:val="auto"/>
        </w:rPr>
      </w:pPr>
    </w:p>
    <w:p>
      <w:pPr>
        <w:ind w:left="180" w:right="22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04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28"/>
        </w:trPr>
        <w:tc>
          <w:tcPr>
            <w:tcW w:w="20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9"/>
                <w:szCs w:val="19"/>
                <w:color w:val="auto"/>
              </w:rPr>
            </w:pPr>
          </w:p>
        </w:tc>
      </w:tr>
      <w:tr>
        <w:trPr>
          <w:trHeight w:val="40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26,093</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25,290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25,989</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24,895</w:t>
            </w:r>
          </w:p>
        </w:tc>
      </w:tr>
      <w:tr>
        <w:trPr>
          <w:trHeight w:val="23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FFFFFF"/>
              </w:rPr>
              <w:t>$</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5,383</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6,750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5,807</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7,126</w:t>
            </w:r>
          </w:p>
        </w:tc>
      </w:tr>
      <w:tr>
        <w:trPr>
          <w:trHeight w:val="224"/>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FFFFFF"/>
              </w:rPr>
              <w:t>$</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45"/>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31,476</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32,040</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31,796</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32,021</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-1156970</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-745490</wp:posOffset>
            </wp:positionV>
            <wp:extent cx="7246620"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-316865</wp:posOffset>
            </wp:positionV>
            <wp:extent cx="724662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240"/>
            <w:col w:w="6160"/>
          </w:cols>
          <w:pgMar w:left="240" w:top="877" w:right="239" w:bottom="1440" w:gutter="0" w:footer="0" w:header="0"/>
          <w:type w:val="continuous"/>
        </w:sectPr>
      </w:pPr>
    </w:p>
    <w:p>
      <w:pPr>
        <w:spacing w:after="0" w:line="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nine-month periods ended September 30, 2015 would have included an additional 6.7 million and 5.8 million shares, respectively attributable to the exercise of outstanding options and warrants. For the three-month and nine-month periods ended September 30, 2014, an additional 4.0 and 3.1 million shares, respectively, would be included in the diluted earnings per share calculation.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2011.</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2015 and December 31, 2014,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$44.2 million as of September 30, 2015 is more likely than not based on forecasted future net earnings. Our net deferred tax asset of $44.2 million consists of approximately $34.0 million of net U.S. federal deferred tax assets and $10.2 million of net state deferred tax assets. We estimate that we would need to generate approximately $102 million of taxable income during the applicable carryforward periods to realize fully our federal and state net deferred tax assets.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$6.8 million and $19.9 million for the three months and nine months ended September 30, 2015 and represents an effective income tax rate of 43% and 44%, respectively, compared to income tax expense of $6.0 million and $16.4 million for the three and nine months ended September 30, 2014, and represents an effective income tax rate of and 44% and 43%, respectively.</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first of those two has been settled by agreement with the plaintiffs, with the settlement remaining subject to approval by the court. In the second, the California court of appeals ruled in March 2015 that the plaintiff may assert his claim only in arbitration, on an individual basis and not on a class basis. That ruling was vacated when the California supreme court accepted the plaintiff’s petition for review, ordering the matter held pending that court’s decision in a case to which we are not a party. The August 2015 decision in the case to which we were not a party generally upheld arbitration clauses, and the California supreme court has ordered our case returned to the court of appeals. We expect that the court of appeals will reaffirm its prior ruling; however, there can be no assurance as to the outcome.</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most part, we have legal and factual defenses to consumer claims, which we routinely contest or settle (for immaterial amounts) depending on the particular circumstances of each case. We have recorded a liability as of September 30, 2015 with respect to such matters, in the aggregate.</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FTC Action</w:t>
      </w:r>
      <w:r>
        <w:rPr>
          <w:rFonts w:ascii="Arial" w:cs="Arial" w:eastAsia="Arial" w:hAnsi="Arial"/>
          <w:sz w:val="16"/>
          <w:szCs w:val="16"/>
          <w:color w:val="auto"/>
        </w:rPr>
        <w:t>. In July 2013, the staff of the U.S. Federal Trade Commission (“FTC”) advised us that they were prepared to recommend that the FTC</w:t>
      </w:r>
      <w:r>
        <w:rPr>
          <w:rFonts w:ascii="Arial" w:cs="Arial" w:eastAsia="Arial" w:hAnsi="Arial"/>
          <w:sz w:val="16"/>
          <w:szCs w:val="16"/>
          <w:i w:val="1"/>
          <w:iCs w:val="1"/>
          <w:color w:val="auto"/>
        </w:rPr>
        <w:t xml:space="preserve"> </w:t>
      </w:r>
      <w:r>
        <w:rPr>
          <w:rFonts w:ascii="Arial" w:cs="Arial" w:eastAsia="Arial" w:hAnsi="Arial"/>
          <w:sz w:val="16"/>
          <w:szCs w:val="16"/>
          <w:color w:val="auto"/>
        </w:rPr>
        <w:t>initiate a lawsuit against us relating to allegedly unfair trade practices, and simultaneously advised that settlement of such issues by consent decree might be achieved. On May 29,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paid a $2 million penalty to the federal government in June 2014, and implemented procedural changes, all pursuant to a consent decree that was entered by the court in June 2014.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contracts and the representations and warranties relating to those underwriting criteria that were made in connection with the securitization of the automobile contracts. We are investigating these matters internally and are cooperating with the request. Such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September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September 30, 2015, and in excess of the liability we have recorded, is from $0 to $250,000.</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nine-month periods ended September 30,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500" w:type="dxa"/>
            <w:vAlign w:val="bottom"/>
            <w:gridSpan w:val="5"/>
          </w:tcPr>
          <w:p>
            <w:pPr>
              <w:jc w:val="center"/>
              <w:ind w:left="29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37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jc w:val="center"/>
              <w:ind w:right="390"/>
              <w:spacing w:after="0"/>
              <w:rPr>
                <w:sz w:val="20"/>
                <w:szCs w:val="20"/>
                <w:color w:val="auto"/>
              </w:rPr>
            </w:pPr>
            <w:r>
              <w:rPr>
                <w:rFonts w:ascii="Arial" w:cs="Arial" w:eastAsia="Arial" w:hAnsi="Arial"/>
                <w:sz w:val="18"/>
                <w:szCs w:val="18"/>
                <w:b w:val="1"/>
                <w:bCs w:val="1"/>
                <w:color w:val="auto"/>
                <w:w w:val="90"/>
              </w:rPr>
              <w:t>(In thousands)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Service cost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8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transition (asset)/obligation</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Amortization of net (gain) / loss</w:t>
            </w:r>
          </w:p>
        </w:tc>
        <w:tc>
          <w:tcPr>
            <w:tcW w:w="8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periodic cost (benefit)</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make any contributions to the Plan during the nine-month period ended September 30, 2015 and we do not anticipate making any contributions for the remainder of 2015. We contributed $237,000 during the nine-month period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1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5,686</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1,664</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(3,057)</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(1,529)</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Mark to fair value</w:t>
            </w:r>
          </w:p>
        </w:tc>
        <w:tc>
          <w:tcPr>
            <w:tcW w:w="8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3,202</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8"/>
              </w:rPr>
              <w:t>Debt Secured by Finance Receivables Measured at Fair Value:</w:t>
            </w: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5,392</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1,250</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(2,363)</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(1,250)</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Premium accretion</w:t>
            </w:r>
          </w:p>
        </w:tc>
        <w:tc>
          <w:tcPr>
            <w:tcW w:w="8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balance at end of period</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September 30, 2015</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4"/>
          </w:tcPr>
          <w:p>
            <w:pPr>
              <w:ind w:left="56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25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1100" w:type="dxa"/>
            <w:vAlign w:val="bottom"/>
            <w:tcBorders>
              <w:top w:val="single" w:sz="8" w:color="auto"/>
            </w:tcBorders>
          </w:tcPr>
          <w:p>
            <w:pPr>
              <w:jc w:val="center"/>
              <w:ind w:left="450"/>
              <w:spacing w:after="0" w:line="205" w:lineRule="exact"/>
              <w:rPr>
                <w:sz w:val="20"/>
                <w:szCs w:val="20"/>
                <w:color w:val="auto"/>
              </w:rPr>
            </w:pPr>
            <w:r>
              <w:rPr>
                <w:rFonts w:ascii="Arial" w:cs="Arial" w:eastAsia="Arial" w:hAnsi="Arial"/>
                <w:sz w:val="18"/>
                <w:szCs w:val="18"/>
                <w:b w:val="1"/>
                <w:bCs w:val="1"/>
                <w:color w:val="auto"/>
                <w:w w:val="96"/>
              </w:rPr>
              <w:t>Fair</w:t>
            </w:r>
          </w:p>
        </w:tc>
        <w:tc>
          <w:tcPr>
            <w:tcW w:w="3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23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Balance</w:t>
            </w:r>
          </w:p>
        </w:tc>
        <w:tc>
          <w:tcPr>
            <w:tcW w:w="11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Value</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4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6"/>
          </w:tcPr>
          <w:p>
            <w:pPr>
              <w:jc w:val="right"/>
              <w:ind w:right="970"/>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135</w:t>
            </w:r>
          </w:p>
        </w:tc>
        <w:tc>
          <w:tcPr>
            <w:tcW w:w="110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1,664</w:t>
            </w:r>
          </w:p>
        </w:tc>
        <w:tc>
          <w:tcPr>
            <w:tcW w:w="42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4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 The final residual payment was made in January 2015.</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September 30, 2015, the finance receivables related to the repossessed vehicles in inventory totaled $29.2 million. We have applied a valuation adjustment, or loss allowance, of $19.1 million, which is based on a recovery rate of approximately 36%, resulting in an estimated fair value and carrying amount of $10.1 million. The fair value and carrying amount of the repossessed inventory at December 31, 2014 was $10.4 million after applying a valuation adjustment of $17.8 million.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nine months ended September 30, 2015 and 2014. We have no level 3 assets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certain qualitative information about our level 3 fair value measurements for assets and liabilities carried at fair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Fair Values as of</w:t>
            </w: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Valuation</w:t>
            </w:r>
          </w:p>
        </w:tc>
        <w:tc>
          <w:tcPr>
            <w:tcW w:w="22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2380" w:type="dxa"/>
            <w:vAlign w:val="bottom"/>
            <w:gridSpan w:val="3"/>
          </w:tcPr>
          <w:p>
            <w:pPr>
              <w:ind w:left="74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260" w:type="dxa"/>
            <w:vAlign w:val="bottom"/>
            <w:gridSpan w:val="2"/>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2"/>
          </w:tcPr>
          <w:p>
            <w:pPr>
              <w:jc w:val="right"/>
              <w:ind w:right="110"/>
              <w:spacing w:after="0" w:line="205" w:lineRule="exact"/>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17"/>
                <w:szCs w:val="17"/>
                <w:color w:val="auto"/>
              </w:rPr>
            </w:pPr>
          </w:p>
        </w:tc>
        <w:tc>
          <w:tcPr>
            <w:tcW w:w="1160" w:type="dxa"/>
            <w:vAlign w:val="bottom"/>
          </w:tcPr>
          <w:p>
            <w:pPr>
              <w:jc w:val="center"/>
              <w:ind w:right="1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240" w:type="dxa"/>
            <w:vAlign w:val="bottom"/>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9"/>
              </w:rPr>
              <w:t>September 30,</w:t>
            </w:r>
          </w:p>
        </w:tc>
        <w:tc>
          <w:tcPr>
            <w:tcW w:w="114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Techniques</w:t>
            </w: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w:t>
            </w:r>
          </w:p>
        </w:tc>
        <w:tc>
          <w:tcPr>
            <w:tcW w:w="280" w:type="dxa"/>
            <w:vAlign w:val="bottom"/>
            <w:gridSpan w:val="2"/>
            <w:shd w:val="clear" w:color="auto" w:fill="EEEEEE"/>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EEEEEE"/>
          </w:tcPr>
          <w:p>
            <w:pPr>
              <w:jc w:val="right"/>
              <w:ind w:right="30"/>
              <w:spacing w:after="0" w:line="201" w:lineRule="exact"/>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40"/>
              <w:spacing w:after="0" w:line="201" w:lineRule="exact"/>
              <w:rPr>
                <w:sz w:val="20"/>
                <w:szCs w:val="20"/>
                <w:color w:val="auto"/>
              </w:rPr>
            </w:pPr>
            <w:r>
              <w:rPr>
                <w:rFonts w:ascii="Arial" w:cs="Arial" w:eastAsia="Arial" w:hAnsi="Arial"/>
                <w:sz w:val="18"/>
                <w:szCs w:val="18"/>
                <w:color w:val="auto"/>
              </w:rPr>
              <w:t>1,664</w:t>
            </w:r>
          </w:p>
        </w:tc>
        <w:tc>
          <w:tcPr>
            <w:tcW w:w="1580" w:type="dxa"/>
            <w:vAlign w:val="bottom"/>
            <w:gridSpan w:val="2"/>
            <w:shd w:val="clear" w:color="auto" w:fill="EEEEEE"/>
          </w:tcPr>
          <w:p>
            <w:pPr>
              <w:jc w:val="center"/>
              <w:ind w:right="240"/>
              <w:spacing w:after="0" w:line="201" w:lineRule="exact"/>
              <w:rPr>
                <w:sz w:val="20"/>
                <w:szCs w:val="20"/>
                <w:color w:val="auto"/>
              </w:rPr>
            </w:pPr>
            <w:r>
              <w:rPr>
                <w:rFonts w:ascii="Arial" w:cs="Arial" w:eastAsia="Arial" w:hAnsi="Arial"/>
                <w:sz w:val="18"/>
                <w:szCs w:val="18"/>
                <w:color w:val="auto"/>
                <w:w w:val="88"/>
              </w:rPr>
              <w:t>Discounted cash</w:t>
            </w: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1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15.4%</w:t>
            </w: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0"/>
              </w:rPr>
              <w:t>15.4%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7"/>
              </w:rPr>
              <w:t>flows</w:t>
            </w:r>
          </w:p>
        </w:tc>
        <w:tc>
          <w:tcPr>
            <w:tcW w:w="20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Cumulative net losses</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6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3"/>
              </w:rPr>
              <w:t>Monthly average</w:t>
            </w:r>
          </w:p>
        </w:tc>
        <w:tc>
          <w:tcPr>
            <w:tcW w:w="11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0.5%</w:t>
            </w: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3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6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prepayments</w:t>
            </w: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w w:val="88"/>
              </w:rPr>
              <w:t xml:space="preserve">Debt secured by receivables </w:t>
            </w:r>
            <w:r>
              <w:rPr>
                <w:rFonts w:ascii="Arial" w:cs="Arial" w:eastAsia="Arial" w:hAnsi="Arial"/>
                <w:sz w:val="18"/>
                <w:szCs w:val="18"/>
                <w:color w:val="FFFFFF"/>
                <w:w w:val="88"/>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1,250</w:t>
            </w:r>
          </w:p>
        </w:tc>
        <w:tc>
          <w:tcPr>
            <w:tcW w:w="15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88"/>
              </w:rPr>
              <w:t>Discounted cash</w:t>
            </w:r>
          </w:p>
        </w:tc>
        <w:tc>
          <w:tcPr>
            <w:tcW w:w="22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0"/>
              </w:rPr>
              <w:t>Discount rate</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7"/>
              </w:rPr>
              <w:t>n/a</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0"/>
              </w:rPr>
              <w:t>12.2%</w:t>
            </w: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measured at fair value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flows</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gridSpan w:val="16"/>
          </w:tcPr>
          <w:p>
            <w:pPr>
              <w:ind w:left="660"/>
              <w:spacing w:after="0"/>
              <w:rPr>
                <w:sz w:val="20"/>
                <w:szCs w:val="20"/>
                <w:color w:val="auto"/>
              </w:rPr>
            </w:pPr>
            <w:r>
              <w:rPr>
                <w:rFonts w:ascii="Arial" w:cs="Arial" w:eastAsia="Arial" w:hAnsi="Arial"/>
                <w:sz w:val="18"/>
                <w:szCs w:val="18"/>
                <w:color w:val="auto"/>
                <w:w w:val="93"/>
              </w:rPr>
              <w:t>The estimated fair values of financial assets and liabilities at September 30, 2015 and December 31, 2014, were as follows: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910"/>
              <w:spacing w:after="0"/>
              <w:rPr>
                <w:sz w:val="20"/>
                <w:szCs w:val="20"/>
                <w:color w:val="auto"/>
              </w:rPr>
            </w:pPr>
            <w:r>
              <w:rPr>
                <w:rFonts w:ascii="Arial" w:cs="Arial" w:eastAsia="Arial" w:hAnsi="Arial"/>
                <w:sz w:val="18"/>
                <w:szCs w:val="18"/>
                <w:b w:val="1"/>
                <w:bCs w:val="1"/>
                <w:color w:val="auto"/>
                <w:w w:val="88"/>
              </w:rPr>
              <w:t>As of September 30, 2015</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20,915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20,915</w:t>
            </w:r>
          </w:p>
        </w:tc>
        <w:tc>
          <w:tcPr>
            <w:tcW w:w="13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20,915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206,626</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206,626</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206,626</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1,823,397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1,808,306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1,808,306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31,807</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31,807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46,934</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46,934</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46,934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3,205</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10,572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10,572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10,572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1,903,578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1,912,826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1,912,826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15,192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15,192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15,192</w:t>
            </w:r>
          </w:p>
        </w:tc>
        <w:tc>
          <w:tcPr>
            <w:tcW w:w="0" w:type="dxa"/>
            <w:vAlign w:val="bottom"/>
          </w:tcPr>
          <w:p>
            <w:pPr>
              <w:spacing w:after="0"/>
              <w:rPr>
                <w:sz w:val="1"/>
                <w:szCs w:val="1"/>
                <w:color w:val="auto"/>
              </w:rPr>
            </w:pPr>
          </w:p>
        </w:tc>
      </w:tr>
      <w:tr>
        <w:trPr>
          <w:trHeight w:val="47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910"/>
              <w:spacing w:after="0"/>
              <w:rPr>
                <w:sz w:val="20"/>
                <w:szCs w:val="20"/>
                <w:color w:val="auto"/>
              </w:rPr>
            </w:pPr>
            <w:r>
              <w:rPr>
                <w:rFonts w:ascii="Arial" w:cs="Arial" w:eastAsia="Arial" w:hAnsi="Arial"/>
                <w:sz w:val="18"/>
                <w:szCs w:val="18"/>
                <w:b w:val="1"/>
                <w:bCs w:val="1"/>
                <w:color w:val="auto"/>
                <w:w w:val="89"/>
              </w:rPr>
              <w:t>As of December 31, 2014</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17,859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17,859</w:t>
            </w:r>
          </w:p>
        </w:tc>
        <w:tc>
          <w:tcPr>
            <w:tcW w:w="132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175,382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175,382</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1,534,496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1,512,567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1,512,567</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1,664</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23,372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23,372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56,839</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56,839</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2,613</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12,327</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12,327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02"/>
        </w:trPr>
        <w:tc>
          <w:tcPr>
            <w:tcW w:w="3660" w:type="dxa"/>
            <w:vAlign w:val="bottom"/>
            <w:gridSpan w:val="2"/>
          </w:tcPr>
          <w:p>
            <w:pPr>
              <w:spacing w:after="0" w:line="201" w:lineRule="exact"/>
              <w:rPr>
                <w:sz w:val="20"/>
                <w:szCs w:val="20"/>
                <w:color w:val="auto"/>
              </w:rPr>
            </w:pPr>
            <w:r>
              <w:rPr>
                <w:rFonts w:ascii="Arial" w:cs="Arial" w:eastAsia="Arial" w:hAnsi="Arial"/>
                <w:sz w:val="18"/>
                <w:szCs w:val="18"/>
                <w:color w:val="auto"/>
              </w:rPr>
              <w:t>Debt secured by receivables measured at fair</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1,619,742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1,619,742</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15,233</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661"/>
        </w:trPr>
        <w:tc>
          <w:tcPr>
            <w:tcW w:w="16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September 30, 2015 and December 31, 2014,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September 30, 2015, we have purchased a total of approximately $12.1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0"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8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Managed</w:t>
            </w:r>
          </w:p>
        </w:tc>
        <w:tc>
          <w:tcPr>
            <w:tcW w:w="8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Purchased in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5900" w:type="dxa"/>
            <w:vAlign w:val="bottom"/>
          </w:tcPr>
          <w:p>
            <w:pPr>
              <w:ind w:left="2680"/>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5900" w:type="dxa"/>
            <w:vAlign w:val="bottom"/>
            <w:tcBorders>
              <w:top w:val="single" w:sz="8" w:color="auto"/>
            </w:tcBorders>
            <w:shd w:val="clear" w:color="auto" w:fill="EEEEEE"/>
          </w:tcPr>
          <w:p>
            <w:pPr>
              <w:jc w:val="center"/>
              <w:ind w:left="1770"/>
              <w:spacing w:after="0"/>
              <w:rPr>
                <w:sz w:val="20"/>
                <w:szCs w:val="20"/>
                <w:color w:val="auto"/>
              </w:rPr>
            </w:pPr>
            <w:r>
              <w:rPr>
                <w:rFonts w:ascii="Arial" w:cs="Arial" w:eastAsia="Arial" w:hAnsi="Arial"/>
                <w:sz w:val="18"/>
                <w:szCs w:val="18"/>
                <w:color w:val="333333"/>
                <w:w w:val="89"/>
              </w:rPr>
              <w:t>2008</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900" w:type="dxa"/>
            <w:vAlign w:val="bottom"/>
          </w:tcPr>
          <w:p>
            <w:pPr>
              <w:jc w:val="center"/>
              <w:ind w:left="1770"/>
              <w:spacing w:after="0"/>
              <w:rPr>
                <w:sz w:val="20"/>
                <w:szCs w:val="20"/>
                <w:color w:val="auto"/>
              </w:rPr>
            </w:pPr>
            <w:r>
              <w:rPr>
                <w:rFonts w:ascii="Arial" w:cs="Arial" w:eastAsia="Arial" w:hAnsi="Arial"/>
                <w:sz w:val="18"/>
                <w:szCs w:val="18"/>
                <w:color w:val="333333"/>
                <w:w w:val="89"/>
              </w:rPr>
              <w:t>2009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1,194,722</w:t>
            </w:r>
          </w:p>
        </w:tc>
        <w:tc>
          <w:tcPr>
            <w:tcW w:w="80" w:type="dxa"/>
            <w:vAlign w:val="bottom"/>
          </w:tcPr>
          <w:p>
            <w:pPr>
              <w:spacing w:after="0"/>
              <w:rPr>
                <w:sz w:val="18"/>
                <w:szCs w:val="18"/>
                <w:color w:val="auto"/>
              </w:rPr>
            </w:pPr>
          </w:p>
        </w:tc>
      </w:tr>
      <w:tr>
        <w:trPr>
          <w:trHeight w:val="216"/>
        </w:trPr>
        <w:tc>
          <w:tcPr>
            <w:tcW w:w="5900" w:type="dxa"/>
            <w:vAlign w:val="bottom"/>
            <w:shd w:val="clear" w:color="auto" w:fill="EEEEEE"/>
          </w:tcPr>
          <w:p>
            <w:pPr>
              <w:jc w:val="center"/>
              <w:ind w:left="1770"/>
              <w:spacing w:after="0"/>
              <w:rPr>
                <w:sz w:val="20"/>
                <w:szCs w:val="20"/>
                <w:color w:val="auto"/>
              </w:rPr>
            </w:pPr>
            <w:r>
              <w:rPr>
                <w:rFonts w:ascii="Arial" w:cs="Arial" w:eastAsia="Arial" w:hAnsi="Arial"/>
                <w:sz w:val="18"/>
                <w:szCs w:val="18"/>
                <w:color w:val="333333"/>
                <w:w w:val="89"/>
              </w:rPr>
              <w:t>2010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80" w:type="dxa"/>
            <w:vAlign w:val="bottom"/>
            <w:shd w:val="clear" w:color="auto" w:fill="EEEEEE"/>
          </w:tcPr>
          <w:p>
            <w:pPr>
              <w:spacing w:after="0"/>
              <w:rPr>
                <w:sz w:val="18"/>
                <w:szCs w:val="18"/>
                <w:color w:val="auto"/>
              </w:rPr>
            </w:pPr>
          </w:p>
        </w:tc>
      </w:tr>
      <w:tr>
        <w:trPr>
          <w:trHeight w:val="216"/>
        </w:trPr>
        <w:tc>
          <w:tcPr>
            <w:tcW w:w="5900" w:type="dxa"/>
            <w:vAlign w:val="bottom"/>
          </w:tcPr>
          <w:p>
            <w:pPr>
              <w:jc w:val="center"/>
              <w:ind w:left="1770"/>
              <w:spacing w:after="0"/>
              <w:rPr>
                <w:sz w:val="20"/>
                <w:szCs w:val="20"/>
                <w:color w:val="auto"/>
              </w:rPr>
            </w:pPr>
            <w:r>
              <w:rPr>
                <w:rFonts w:ascii="Arial" w:cs="Arial" w:eastAsia="Arial" w:hAnsi="Arial"/>
                <w:sz w:val="18"/>
                <w:szCs w:val="18"/>
                <w:color w:val="333333"/>
                <w:w w:val="89"/>
              </w:rPr>
              <w:t>2011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284,236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794,649</w:t>
            </w:r>
          </w:p>
        </w:tc>
        <w:tc>
          <w:tcPr>
            <w:tcW w:w="80" w:type="dxa"/>
            <w:vAlign w:val="bottom"/>
          </w:tcPr>
          <w:p>
            <w:pPr>
              <w:spacing w:after="0"/>
              <w:rPr>
                <w:sz w:val="18"/>
                <w:szCs w:val="18"/>
                <w:color w:val="auto"/>
              </w:rPr>
            </w:pPr>
          </w:p>
        </w:tc>
      </w:tr>
      <w:tr>
        <w:trPr>
          <w:trHeight w:val="216"/>
        </w:trPr>
        <w:tc>
          <w:tcPr>
            <w:tcW w:w="5900" w:type="dxa"/>
            <w:vAlign w:val="bottom"/>
            <w:shd w:val="clear" w:color="auto" w:fill="EEEEEE"/>
          </w:tcPr>
          <w:p>
            <w:pPr>
              <w:jc w:val="center"/>
              <w:ind w:left="1770"/>
              <w:spacing w:after="0"/>
              <w:rPr>
                <w:sz w:val="20"/>
                <w:szCs w:val="20"/>
                <w:color w:val="auto"/>
              </w:rPr>
            </w:pPr>
            <w:r>
              <w:rPr>
                <w:rFonts w:ascii="Arial" w:cs="Arial" w:eastAsia="Arial" w:hAnsi="Arial"/>
                <w:sz w:val="18"/>
                <w:szCs w:val="18"/>
                <w:color w:val="333333"/>
                <w:w w:val="89"/>
              </w:rPr>
              <w:t>2012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80" w:type="dxa"/>
            <w:vAlign w:val="bottom"/>
            <w:shd w:val="clear" w:color="auto" w:fill="EEEEEE"/>
          </w:tcPr>
          <w:p>
            <w:pPr>
              <w:spacing w:after="0"/>
              <w:rPr>
                <w:sz w:val="18"/>
                <w:szCs w:val="18"/>
                <w:color w:val="auto"/>
              </w:rPr>
            </w:pPr>
          </w:p>
        </w:tc>
      </w:tr>
      <w:tr>
        <w:trPr>
          <w:trHeight w:val="216"/>
        </w:trPr>
        <w:tc>
          <w:tcPr>
            <w:tcW w:w="5900" w:type="dxa"/>
            <w:vAlign w:val="bottom"/>
          </w:tcPr>
          <w:p>
            <w:pPr>
              <w:jc w:val="center"/>
              <w:ind w:left="1770"/>
              <w:spacing w:after="0"/>
              <w:rPr>
                <w:sz w:val="20"/>
                <w:szCs w:val="20"/>
                <w:color w:val="auto"/>
              </w:rPr>
            </w:pPr>
            <w:r>
              <w:rPr>
                <w:rFonts w:ascii="Arial" w:cs="Arial" w:eastAsia="Arial" w:hAnsi="Arial"/>
                <w:sz w:val="18"/>
                <w:szCs w:val="18"/>
                <w:color w:val="333333"/>
                <w:w w:val="89"/>
              </w:rPr>
              <w:t>2013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764,087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1,231,422</w:t>
            </w:r>
          </w:p>
        </w:tc>
        <w:tc>
          <w:tcPr>
            <w:tcW w:w="80" w:type="dxa"/>
            <w:vAlign w:val="bottom"/>
          </w:tcPr>
          <w:p>
            <w:pPr>
              <w:spacing w:after="0"/>
              <w:rPr>
                <w:sz w:val="18"/>
                <w:szCs w:val="18"/>
                <w:color w:val="auto"/>
              </w:rPr>
            </w:pPr>
          </w:p>
        </w:tc>
      </w:tr>
      <w:tr>
        <w:trPr>
          <w:trHeight w:val="216"/>
        </w:trPr>
        <w:tc>
          <w:tcPr>
            <w:tcW w:w="5900" w:type="dxa"/>
            <w:vAlign w:val="bottom"/>
            <w:shd w:val="clear" w:color="auto" w:fill="EEEEEE"/>
          </w:tcPr>
          <w:p>
            <w:pPr>
              <w:jc w:val="center"/>
              <w:ind w:left="1770"/>
              <w:spacing w:after="0"/>
              <w:rPr>
                <w:sz w:val="20"/>
                <w:szCs w:val="20"/>
                <w:color w:val="auto"/>
              </w:rPr>
            </w:pPr>
            <w:r>
              <w:rPr>
                <w:rFonts w:ascii="Arial" w:cs="Arial" w:eastAsia="Arial" w:hAnsi="Arial"/>
                <w:sz w:val="18"/>
                <w:szCs w:val="18"/>
                <w:color w:val="333333"/>
                <w:w w:val="89"/>
              </w:rPr>
              <w:t>2014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80" w:type="dxa"/>
            <w:vAlign w:val="bottom"/>
            <w:shd w:val="clear" w:color="auto" w:fill="EEEEEE"/>
          </w:tcPr>
          <w:p>
            <w:pPr>
              <w:spacing w:after="0"/>
              <w:rPr>
                <w:sz w:val="18"/>
                <w:szCs w:val="18"/>
                <w:color w:val="auto"/>
              </w:rPr>
            </w:pPr>
          </w:p>
        </w:tc>
      </w:tr>
      <w:tr>
        <w:trPr>
          <w:trHeight w:val="230"/>
        </w:trPr>
        <w:tc>
          <w:tcPr>
            <w:tcW w:w="5900" w:type="dxa"/>
            <w:vAlign w:val="bottom"/>
          </w:tcPr>
          <w:p>
            <w:pPr>
              <w:jc w:val="center"/>
              <w:ind w:left="1790"/>
              <w:spacing w:after="0"/>
              <w:rPr>
                <w:sz w:val="20"/>
                <w:szCs w:val="20"/>
                <w:color w:val="auto"/>
              </w:rPr>
            </w:pPr>
            <w:r>
              <w:rPr>
                <w:rFonts w:ascii="Arial" w:cs="Arial" w:eastAsia="Arial" w:hAnsi="Arial"/>
                <w:sz w:val="18"/>
                <w:szCs w:val="18"/>
                <w:color w:val="auto"/>
                <w:w w:val="89"/>
              </w:rPr>
              <w:t>Nine months ended September 30, 2015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791,335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1,940,529</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suspended contract purchases under our TFC program.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1994 we have conducted 68 term securitizations (generally quarterly) of automobile contracts that we purchased from dealers under our regular programs. As of September 30, 2015, 19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Asset-Backed Term Securitizations</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5"/>
          </w:tcPr>
          <w:p>
            <w:pPr>
              <w:ind w:left="9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6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Amount of Term</w:t>
            </w:r>
          </w:p>
        </w:tc>
        <w:tc>
          <w:tcPr>
            <w:tcW w:w="80" w:type="dxa"/>
            <w:vAlign w:val="bottom"/>
          </w:tcPr>
          <w:p>
            <w:pPr>
              <w:spacing w:after="0"/>
              <w:rPr>
                <w:sz w:val="16"/>
                <w:szCs w:val="16"/>
                <w:color w:val="auto"/>
              </w:rPr>
            </w:pPr>
          </w:p>
        </w:tc>
      </w:tr>
      <w:tr>
        <w:trPr>
          <w:trHeight w:val="234"/>
        </w:trPr>
        <w:tc>
          <w:tcPr>
            <w:tcW w:w="6160" w:type="dxa"/>
            <w:vAlign w:val="bottom"/>
            <w:gridSpan w:val="2"/>
          </w:tcPr>
          <w:p>
            <w:pPr>
              <w:ind w:left="2740"/>
              <w:spacing w:after="0"/>
              <w:rPr>
                <w:sz w:val="20"/>
                <w:szCs w:val="20"/>
                <w:color w:val="auto"/>
              </w:rPr>
            </w:pPr>
            <w:r>
              <w:rPr>
                <w:rFonts w:ascii="Arial" w:cs="Arial" w:eastAsia="Arial" w:hAnsi="Arial"/>
                <w:sz w:val="18"/>
                <w:szCs w:val="18"/>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Securitizations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6000" w:type="dxa"/>
            <w:vAlign w:val="bottom"/>
            <w:tcBorders>
              <w:top w:val="single" w:sz="8" w:color="auto"/>
            </w:tcBorders>
            <w:shd w:val="clear" w:color="auto" w:fill="EEEEEE"/>
          </w:tcPr>
          <w:p>
            <w:pPr>
              <w:jc w:val="center"/>
              <w:ind w:left="1790"/>
              <w:spacing w:after="0"/>
              <w:rPr>
                <w:sz w:val="20"/>
                <w:szCs w:val="20"/>
                <w:color w:val="auto"/>
              </w:rPr>
            </w:pPr>
            <w:r>
              <w:rPr>
                <w:rFonts w:ascii="Arial" w:cs="Arial" w:eastAsia="Arial" w:hAnsi="Arial"/>
                <w:sz w:val="18"/>
                <w:szCs w:val="18"/>
                <w:color w:val="auto"/>
                <w:w w:val="89"/>
              </w:rPr>
              <w:t>2006</w:t>
            </w:r>
          </w:p>
        </w:tc>
        <w:tc>
          <w:tcPr>
            <w:tcW w:w="16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6000" w:type="dxa"/>
            <w:vAlign w:val="bottom"/>
          </w:tcPr>
          <w:p>
            <w:pPr>
              <w:jc w:val="center"/>
              <w:ind w:left="1790"/>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1,118,097</w:t>
            </w:r>
          </w:p>
        </w:tc>
        <w:tc>
          <w:tcPr>
            <w:tcW w:w="80" w:type="dxa"/>
            <w:vAlign w:val="bottom"/>
          </w:tcPr>
          <w:p>
            <w:pPr>
              <w:spacing w:after="0"/>
              <w:rPr>
                <w:sz w:val="18"/>
                <w:szCs w:val="18"/>
                <w:color w:val="auto"/>
              </w:rPr>
            </w:pPr>
          </w:p>
        </w:tc>
      </w:tr>
      <w:tr>
        <w:trPr>
          <w:trHeight w:val="216"/>
        </w:trPr>
        <w:tc>
          <w:tcPr>
            <w:tcW w:w="6000" w:type="dxa"/>
            <w:vAlign w:val="bottom"/>
            <w:shd w:val="clear" w:color="auto" w:fill="EEEEEE"/>
          </w:tcPr>
          <w:p>
            <w:pPr>
              <w:jc w:val="center"/>
              <w:ind w:left="1790"/>
              <w:spacing w:after="0"/>
              <w:rPr>
                <w:sz w:val="20"/>
                <w:szCs w:val="20"/>
                <w:color w:val="auto"/>
              </w:rPr>
            </w:pPr>
            <w:r>
              <w:rPr>
                <w:rFonts w:ascii="Arial" w:cs="Arial" w:eastAsia="Arial" w:hAnsi="Arial"/>
                <w:sz w:val="18"/>
                <w:szCs w:val="18"/>
                <w:color w:val="333333"/>
                <w:w w:val="89"/>
              </w:rPr>
              <w:t>2008</w:t>
            </w:r>
          </w:p>
        </w:tc>
        <w:tc>
          <w:tcPr>
            <w:tcW w:w="16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80" w:type="dxa"/>
            <w:vAlign w:val="bottom"/>
            <w:shd w:val="clear" w:color="auto" w:fill="EEEEEE"/>
          </w:tcPr>
          <w:p>
            <w:pPr>
              <w:spacing w:after="0"/>
              <w:rPr>
                <w:sz w:val="18"/>
                <w:szCs w:val="18"/>
                <w:color w:val="auto"/>
              </w:rPr>
            </w:pPr>
          </w:p>
        </w:tc>
      </w:tr>
      <w:tr>
        <w:trPr>
          <w:trHeight w:val="216"/>
        </w:trPr>
        <w:tc>
          <w:tcPr>
            <w:tcW w:w="6000" w:type="dxa"/>
            <w:vAlign w:val="bottom"/>
          </w:tcPr>
          <w:p>
            <w:pPr>
              <w:jc w:val="center"/>
              <w:ind w:left="1790"/>
              <w:spacing w:after="0"/>
              <w:rPr>
                <w:sz w:val="20"/>
                <w:szCs w:val="20"/>
                <w:color w:val="auto"/>
              </w:rPr>
            </w:pPr>
            <w:r>
              <w:rPr>
                <w:rFonts w:ascii="Arial" w:cs="Arial" w:eastAsia="Arial" w:hAnsi="Arial"/>
                <w:sz w:val="18"/>
                <w:szCs w:val="18"/>
                <w:color w:val="333333"/>
                <w:w w:val="89"/>
              </w:rPr>
              <w:t>2009</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EEEEEE"/>
          </w:tcPr>
          <w:p>
            <w:pPr>
              <w:jc w:val="center"/>
              <w:ind w:left="1790"/>
              <w:spacing w:after="0"/>
              <w:rPr>
                <w:sz w:val="20"/>
                <w:szCs w:val="20"/>
                <w:color w:val="auto"/>
              </w:rPr>
            </w:pPr>
            <w:r>
              <w:rPr>
                <w:rFonts w:ascii="Arial" w:cs="Arial" w:eastAsia="Arial" w:hAnsi="Arial"/>
                <w:sz w:val="18"/>
                <w:szCs w:val="18"/>
                <w:color w:val="333333"/>
                <w:w w:val="89"/>
              </w:rPr>
              <w:t>2010</w:t>
            </w:r>
          </w:p>
        </w:tc>
        <w:tc>
          <w:tcPr>
            <w:tcW w:w="16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103,772</w:t>
            </w:r>
          </w:p>
        </w:tc>
        <w:tc>
          <w:tcPr>
            <w:tcW w:w="80" w:type="dxa"/>
            <w:vAlign w:val="bottom"/>
            <w:shd w:val="clear" w:color="auto" w:fill="EEEEEE"/>
          </w:tcPr>
          <w:p>
            <w:pPr>
              <w:spacing w:after="0"/>
              <w:rPr>
                <w:sz w:val="18"/>
                <w:szCs w:val="18"/>
                <w:color w:val="auto"/>
              </w:rPr>
            </w:pPr>
          </w:p>
        </w:tc>
      </w:tr>
      <w:tr>
        <w:trPr>
          <w:trHeight w:val="216"/>
        </w:trPr>
        <w:tc>
          <w:tcPr>
            <w:tcW w:w="6000" w:type="dxa"/>
            <w:vAlign w:val="bottom"/>
          </w:tcPr>
          <w:p>
            <w:pPr>
              <w:jc w:val="center"/>
              <w:ind w:left="1770"/>
              <w:spacing w:after="0"/>
              <w:rPr>
                <w:sz w:val="20"/>
                <w:szCs w:val="20"/>
                <w:color w:val="auto"/>
              </w:rPr>
            </w:pPr>
            <w:r>
              <w:rPr>
                <w:rFonts w:ascii="Arial" w:cs="Arial" w:eastAsia="Arial" w:hAnsi="Arial"/>
                <w:sz w:val="18"/>
                <w:szCs w:val="18"/>
                <w:color w:val="333333"/>
                <w:w w:val="84"/>
              </w:rPr>
              <w:t>2011</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335,593</w:t>
            </w:r>
          </w:p>
        </w:tc>
        <w:tc>
          <w:tcPr>
            <w:tcW w:w="80" w:type="dxa"/>
            <w:vAlign w:val="bottom"/>
          </w:tcPr>
          <w:p>
            <w:pPr>
              <w:spacing w:after="0"/>
              <w:rPr>
                <w:sz w:val="18"/>
                <w:szCs w:val="18"/>
                <w:color w:val="auto"/>
              </w:rPr>
            </w:pPr>
          </w:p>
        </w:tc>
      </w:tr>
      <w:tr>
        <w:trPr>
          <w:trHeight w:val="216"/>
        </w:trPr>
        <w:tc>
          <w:tcPr>
            <w:tcW w:w="6000" w:type="dxa"/>
            <w:vAlign w:val="bottom"/>
            <w:shd w:val="clear" w:color="auto" w:fill="EEEEEE"/>
          </w:tcPr>
          <w:p>
            <w:pPr>
              <w:jc w:val="center"/>
              <w:ind w:left="1790"/>
              <w:spacing w:after="0"/>
              <w:rPr>
                <w:sz w:val="20"/>
                <w:szCs w:val="20"/>
                <w:color w:val="auto"/>
              </w:rPr>
            </w:pPr>
            <w:r>
              <w:rPr>
                <w:rFonts w:ascii="Arial" w:cs="Arial" w:eastAsia="Arial" w:hAnsi="Arial"/>
                <w:sz w:val="18"/>
                <w:szCs w:val="18"/>
                <w:color w:val="333333"/>
                <w:w w:val="89"/>
              </w:rPr>
              <w:t>2012</w:t>
            </w:r>
          </w:p>
        </w:tc>
        <w:tc>
          <w:tcPr>
            <w:tcW w:w="16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80" w:type="dxa"/>
            <w:vAlign w:val="bottom"/>
            <w:shd w:val="clear" w:color="auto" w:fill="EEEEEE"/>
          </w:tcPr>
          <w:p>
            <w:pPr>
              <w:spacing w:after="0"/>
              <w:rPr>
                <w:sz w:val="18"/>
                <w:szCs w:val="18"/>
                <w:color w:val="auto"/>
              </w:rPr>
            </w:pPr>
          </w:p>
        </w:tc>
      </w:tr>
      <w:tr>
        <w:trPr>
          <w:trHeight w:val="216"/>
        </w:trPr>
        <w:tc>
          <w:tcPr>
            <w:tcW w:w="6000" w:type="dxa"/>
            <w:vAlign w:val="bottom"/>
          </w:tcPr>
          <w:p>
            <w:pPr>
              <w:jc w:val="center"/>
              <w:ind w:left="1790"/>
              <w:spacing w:after="0"/>
              <w:rPr>
                <w:sz w:val="20"/>
                <w:szCs w:val="20"/>
                <w:color w:val="auto"/>
              </w:rPr>
            </w:pPr>
            <w:r>
              <w:rPr>
                <w:rFonts w:ascii="Arial" w:cs="Arial" w:eastAsia="Arial" w:hAnsi="Arial"/>
                <w:sz w:val="18"/>
                <w:szCs w:val="18"/>
                <w:color w:val="333333"/>
                <w:w w:val="89"/>
              </w:rPr>
              <w:t>2013</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778,000</w:t>
            </w:r>
          </w:p>
        </w:tc>
        <w:tc>
          <w:tcPr>
            <w:tcW w:w="80" w:type="dxa"/>
            <w:vAlign w:val="bottom"/>
          </w:tcPr>
          <w:p>
            <w:pPr>
              <w:spacing w:after="0"/>
              <w:rPr>
                <w:sz w:val="18"/>
                <w:szCs w:val="18"/>
                <w:color w:val="auto"/>
              </w:rPr>
            </w:pPr>
          </w:p>
        </w:tc>
      </w:tr>
      <w:tr>
        <w:trPr>
          <w:trHeight w:val="216"/>
        </w:trPr>
        <w:tc>
          <w:tcPr>
            <w:tcW w:w="6000" w:type="dxa"/>
            <w:vAlign w:val="bottom"/>
            <w:shd w:val="clear" w:color="auto" w:fill="EEEEEE"/>
          </w:tcPr>
          <w:p>
            <w:pPr>
              <w:jc w:val="center"/>
              <w:ind w:left="1790"/>
              <w:spacing w:after="0"/>
              <w:rPr>
                <w:sz w:val="20"/>
                <w:szCs w:val="20"/>
                <w:color w:val="auto"/>
              </w:rPr>
            </w:pPr>
            <w:r>
              <w:rPr>
                <w:rFonts w:ascii="Arial" w:cs="Arial" w:eastAsia="Arial" w:hAnsi="Arial"/>
                <w:sz w:val="18"/>
                <w:szCs w:val="18"/>
                <w:color w:val="333333"/>
                <w:w w:val="89"/>
              </w:rPr>
              <w:t>2014</w:t>
            </w:r>
          </w:p>
        </w:tc>
        <w:tc>
          <w:tcPr>
            <w:tcW w:w="160" w:type="dxa"/>
            <w:vAlign w:val="bottom"/>
            <w:shd w:val="clear" w:color="auto" w:fill="EEEEEE"/>
          </w:tcPr>
          <w:p>
            <w:pPr>
              <w:spacing w:after="0"/>
              <w:rPr>
                <w:sz w:val="18"/>
                <w:szCs w:val="18"/>
                <w:color w:val="auto"/>
              </w:rPr>
            </w:pPr>
          </w:p>
        </w:tc>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c>
          <w:tcPr>
            <w:tcW w:w="80" w:type="dxa"/>
            <w:vAlign w:val="bottom"/>
            <w:shd w:val="clear" w:color="auto" w:fill="EEEEEE"/>
          </w:tcPr>
          <w:p>
            <w:pPr>
              <w:spacing w:after="0"/>
              <w:rPr>
                <w:sz w:val="18"/>
                <w:szCs w:val="18"/>
                <w:color w:val="auto"/>
              </w:rPr>
            </w:pPr>
          </w:p>
        </w:tc>
      </w:tr>
      <w:tr>
        <w:trPr>
          <w:trHeight w:val="230"/>
        </w:trPr>
        <w:tc>
          <w:tcPr>
            <w:tcW w:w="6160" w:type="dxa"/>
            <w:vAlign w:val="bottom"/>
            <w:gridSpan w:val="2"/>
          </w:tcPr>
          <w:p>
            <w:pPr>
              <w:jc w:val="center"/>
              <w:ind w:left="1610"/>
              <w:spacing w:after="0"/>
              <w:rPr>
                <w:sz w:val="20"/>
                <w:szCs w:val="20"/>
                <w:color w:val="auto"/>
              </w:rPr>
            </w:pPr>
            <w:r>
              <w:rPr>
                <w:rFonts w:ascii="Arial" w:cs="Arial" w:eastAsia="Arial" w:hAnsi="Arial"/>
                <w:sz w:val="18"/>
                <w:szCs w:val="18"/>
                <w:color w:val="333333"/>
                <w:w w:val="89"/>
              </w:rPr>
              <w:t>Nine months ended September 30, 2015</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795,000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2010 securitization was, in substance, a re-securitization of the receivables from our second securitization of 2008, which allowed us to take advantage of a lower interest rate environment at that time. Our 2012 securitizations included $58.2 million in contracts that were repurchased in 2012 from securitizations closed in 2006 and 2007. Our 2013 securitizations included $7.4 million in contracts that were repurchased from a securitization closed in 2008.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we have one such residual interest financing outstanding.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jc w:val="both"/>
        <w:ind w:firstLine="648"/>
        <w:spacing w:after="0" w:line="302"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September 30, 2015 included $102.1 million from the proceeds of the sale of the asset-backed notes that were held by the trustee pending delivery of the remaining receivables. In October 2015, the requisite additional receivables were delivered to the trust and we received the related restricted cash, most of which was used to repay amounts owed under our warehouse credit facilities.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current short-term funding capacity is $200 million, comprising two credit facilities. The first $100 million credit facility was established in December 2010. This facility was renewed in March 2013, extending the revolving period to March 2015, and extended again in March 2015 to April 2015, when it was repaid in full. Our second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September 30, 2015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September 30, 2015 with the three months ended September 30, 2014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September 30, 2015, our revenues were $94.0 million, an increase of $16.9 million, or 22.0%,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revenue of $77.1 million. The primary reason for the increase in revenues is an increase in interest income. Interest income for the three months ended September 30, 2015 increased $16.7 million, or 22.6%, to $90.6 million from $73.9 million in the prior year. The primary reason for the increase in interest income is the increase in finance receivables held by consolidated subsidiaries, which increased from $1515.9 million at September 30, 2014 to $1,939.8 million at September 30, 2015. The table below shows the average balances of our portfolio held by consolidated subsidiaries for the three months ended September 30, 2015 and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100" w:type="dxa"/>
            <w:vAlign w:val="bottom"/>
            <w:gridSpan w:val="7"/>
          </w:tcPr>
          <w:p>
            <w:pPr>
              <w:ind w:left="200"/>
              <w:spacing w:after="0"/>
              <w:rPr>
                <w:sz w:val="20"/>
                <w:szCs w:val="20"/>
                <w:color w:val="auto"/>
              </w:rPr>
            </w:pPr>
            <w:r>
              <w:rPr>
                <w:rFonts w:ascii="Arial" w:cs="Arial" w:eastAsia="Arial" w:hAnsi="Arial"/>
                <w:sz w:val="18"/>
                <w:szCs w:val="18"/>
                <w:b w:val="1"/>
                <w:bCs w:val="1"/>
                <w:color w:val="auto"/>
                <w:w w:val="97"/>
              </w:rPr>
              <w:t>Average Balances for the Three Months Ended</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020" w:type="dxa"/>
            <w:vAlign w:val="bottom"/>
            <w:vMerge w:val="restart"/>
          </w:tcPr>
          <w:p>
            <w:pPr>
              <w:jc w:val="right"/>
              <w:ind w:right="2490"/>
              <w:spacing w:after="0"/>
              <w:rPr>
                <w:sz w:val="20"/>
                <w:szCs w:val="20"/>
                <w:color w:val="auto"/>
              </w:rPr>
            </w:pPr>
            <w:r>
              <w:rPr>
                <w:rFonts w:ascii="Arial" w:cs="Arial" w:eastAsia="Arial" w:hAnsi="Arial"/>
                <w:sz w:val="18"/>
                <w:szCs w:val="18"/>
                <w:b w:val="1"/>
                <w:bCs w:val="1"/>
                <w:color w:val="auto"/>
                <w:w w:val="90"/>
              </w:rPr>
              <w:t>Finance Receivables Owned by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50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gridSpan w:val="5"/>
          </w:tcPr>
          <w:p>
            <w:pPr>
              <w:jc w:val="right"/>
              <w:ind w:right="139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6280" w:type="dxa"/>
            <w:vAlign w:val="bottom"/>
            <w:gridSpan w:val="2"/>
          </w:tcPr>
          <w:p>
            <w:pPr>
              <w:jc w:val="right"/>
              <w:ind w:right="3954"/>
              <w:spacing w:after="0"/>
              <w:rPr>
                <w:sz w:val="20"/>
                <w:szCs w:val="20"/>
                <w:color w:val="auto"/>
              </w:rPr>
            </w:pPr>
            <w:r>
              <w:rPr>
                <w:rFonts w:ascii="Arial" w:cs="Arial" w:eastAsia="Arial" w:hAnsi="Arial"/>
                <w:sz w:val="18"/>
                <w:szCs w:val="18"/>
                <w:b w:val="1"/>
                <w:bCs w:val="1"/>
                <w:color w:val="auto"/>
                <w:w w:val="98"/>
              </w:rPr>
              <w:t>Consolidated Subsidiaries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1"/>
              </w:rPr>
              <w:t>CPS Originated Receivables</w:t>
            </w:r>
          </w:p>
        </w:tc>
        <w:tc>
          <w:tcPr>
            <w:tcW w:w="6280" w:type="dxa"/>
            <w:vAlign w:val="bottom"/>
            <w:gridSpan w:val="2"/>
            <w:shd w:val="clear" w:color="auto" w:fill="EEEEEE"/>
          </w:tcPr>
          <w:p>
            <w:pPr>
              <w:jc w:val="right"/>
              <w:ind w:right="1094"/>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1,902.2</w:t>
            </w:r>
          </w:p>
        </w:tc>
        <w:tc>
          <w:tcPr>
            <w:tcW w:w="16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5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3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ind w:right="109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1,902.4</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1,466.2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20" w:type="dxa"/>
            <w:vAlign w:val="bottom"/>
            <w:vMerge w:val="restart"/>
          </w:tcPr>
          <w:p>
            <w:pPr>
              <w:jc w:val="right"/>
              <w:ind w:right="1430"/>
              <w:spacing w:after="0"/>
              <w:rPr>
                <w:sz w:val="20"/>
                <w:szCs w:val="20"/>
                <w:color w:val="auto"/>
              </w:rPr>
            </w:pPr>
            <w:r>
              <w:rPr>
                <w:rFonts w:ascii="Arial" w:cs="Arial" w:eastAsia="Arial" w:hAnsi="Arial"/>
                <w:sz w:val="18"/>
                <w:szCs w:val="18"/>
                <w:color w:val="auto"/>
              </w:rPr>
              <w:t>25</w:t>
            </w: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5" w:name="page26"/>
    <w:bookmarkEnd w:id="25"/>
    <w:p>
      <w:pPr>
        <w:jc w:val="both"/>
        <w:ind w:firstLine="648"/>
        <w:spacing w:after="0" w:line="279" w:lineRule="auto"/>
        <w:rPr>
          <w:sz w:val="20"/>
          <w:szCs w:val="20"/>
          <w:color w:val="auto"/>
        </w:rPr>
      </w:pPr>
      <w:r>
        <w:rPr>
          <w:rFonts w:ascii="Arial" w:cs="Arial" w:eastAsia="Arial" w:hAnsi="Arial"/>
          <w:sz w:val="17"/>
          <w:szCs w:val="17"/>
          <w:color w:val="auto"/>
        </w:rPr>
        <w:t>Servicing fees totaling $73,000 for the three months ended September 30, 2015 decreased $205,000, or 73.8%, from $278,000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September 30, 2015 and 2014, our managed portfolio owned by consolidated vs. non-consolidated subsidiaries and other third parties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 2014</w:t>
            </w:r>
          </w:p>
        </w:tc>
        <w:tc>
          <w:tcPr>
            <w:tcW w:w="0" w:type="dxa"/>
            <w:vAlign w:val="bottom"/>
          </w:tcPr>
          <w:p>
            <w:pPr>
              <w:spacing w:after="0"/>
              <w:rPr>
                <w:sz w:val="1"/>
                <w:szCs w:val="1"/>
                <w:color w:val="auto"/>
              </w:rPr>
            </w:pPr>
          </w:p>
        </w:tc>
      </w:tr>
      <w:tr>
        <w:trPr>
          <w:trHeight w:val="223"/>
        </w:trPr>
        <w:tc>
          <w:tcPr>
            <w:tcW w:w="482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Total Managed Portfolio</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6"/>
          </w:tcPr>
          <w:p>
            <w:pPr>
              <w:ind w:left="100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1,939.8</w:t>
            </w:r>
          </w:p>
        </w:tc>
        <w:tc>
          <w:tcPr>
            <w:tcW w:w="3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1,512.7</w:t>
            </w:r>
          </w:p>
        </w:tc>
        <w:tc>
          <w:tcPr>
            <w:tcW w:w="3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0.5</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1,940.5</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September 30, 2015, we were generating income and fees on a managed portfolio with an outstanding principal balance of $1,940.6 million (this amount includes $64,000 of automobile contracts on which we earn servicing fees and own a residual interest and also includes another $517,000 of automobile contracts on which we earn base and incentive servicing fees), compared to a managed portfolio with an outstanding principal balance of $1,518.6 million as of September 30, 2014. At September 30, 2015 and 2014,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3"/>
          </w:tcPr>
          <w:p>
            <w:pPr>
              <w:ind w:left="640"/>
              <w:spacing w:after="0"/>
              <w:rPr>
                <w:sz w:val="20"/>
                <w:szCs w:val="20"/>
                <w:color w:val="auto"/>
              </w:rPr>
            </w:pPr>
            <w:r>
              <w:rPr>
                <w:rFonts w:ascii="Arial" w:cs="Arial" w:eastAsia="Arial" w:hAnsi="Arial"/>
                <w:sz w:val="18"/>
                <w:szCs w:val="18"/>
                <w:b w:val="1"/>
                <w:bCs w:val="1"/>
                <w:color w:val="auto"/>
                <w:w w:val="95"/>
              </w:rPr>
              <w:t>September 30, 2015</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 2014</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8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20" w:type="dxa"/>
            <w:vAlign w:val="bottom"/>
            <w:gridSpan w:val="6"/>
          </w:tcPr>
          <w:p>
            <w:pPr>
              <w:ind w:left="36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1,940.3</w:t>
            </w: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1,514.6</w:t>
            </w: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Fireside</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1,940.5</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three months ended September 30, 2015, other income of $3.3 million increased by $426,000, or 14.7% compared to the prior year. The three-month period ended September 30, 2015 includes an increase of $496,000 in revenue associated with direct mail and other related products and services that we offer to our dealers, a net increase of $152,000 on payments to us for our interest in certain sold charge off portfolios and acquired third-party portfolios and an increase of $9,000 in sales tax refunds. In addition, in the prior year period, we incurred a markdown of $43,000 in the fair value of the principal balance and related debt of the Fireside portfolio. The increases were somewhat offset by a decrease of $274,000 in payments from third-party providers of convenience fees paid by our customers for web based and other electronic payments.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$78.3 million for the three months ended September 30, 2015, compared to $63.2 million for the prior year, an increase of $15.1 million, or 23.9%. The increase is primarily due to costs associated with the increase in the amount of new contracts we purchased, the resulting increase in our consolidated portfolio and associated servicing costs, and the related increases in interest expense and in our provision for credit losses.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$2.5 million or 19.8%, to $15.3 million during the three months ended September 30, 2015, representing 19.5% of total operating expenses, from $12.7 million for the prior year, or 20.1%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September 30, 2015 and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2015</w:t>
            </w:r>
          </w:p>
        </w:tc>
        <w:tc>
          <w:tcPr>
            <w:tcW w:w="18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287.5</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279.3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17,019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16,925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143,036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115,870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$5.0 million, a decrease of $799,000, or 13.8% compared to the previous year and represented 6.4% of total operating expenses. In the prior year period, we incurred $990,000 in expenses to settle a long standing legal matter we referred to as the Stanwich matter.</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three months ended September 30, 2015 increased by $2.6 million to $14.8 million, or 19.0% of total operating expenses, compared to $12.2 million in the previous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debt on the Fireside portfolio was repaid in full in January 2015. As a result, we incurred no interest expense on that debt compared to $150,000 in the prior year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$2.9 million, or 30.1%, for the three months ended September 30, 2015 compared to the prior year. The average balance of securitization trust debt increased 32.2% to $1,785.4 million at September 30, 2015 compared to $1,330.2 million at September 30, 2014. However, the blended interest rates on term securitizations completed since 2012 are significantly less than the blended interest rates on securitization trust debt incurred prior to 2012. As a result, the cost of securitization debt during the three month period ended September 30, 2015 was 2.8%, compared to 2.9% in the prior year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$114,000. The decrease is due to a decrease in the average balance from $16.2 million to $15.1 million and a decrease in the average cost from 12.7% to 10.6%. Interest expense on residual interest financing decreased $125,000 in the three months ended September 30, 2015 compared to the prior year. The decrease is due to repayments of $2.2 million during the twelve months ended September 30, 2015.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48"/>
        <w:spacing w:after="0" w:line="312" w:lineRule="auto"/>
        <w:rPr>
          <w:sz w:val="20"/>
          <w:szCs w:val="20"/>
          <w:color w:val="auto"/>
        </w:rPr>
      </w:pPr>
      <w:r>
        <w:rPr>
          <w:rFonts w:ascii="Arial" w:cs="Arial" w:eastAsia="Arial" w:hAnsi="Arial"/>
          <w:sz w:val="16"/>
          <w:szCs w:val="16"/>
          <w:color w:val="auto"/>
        </w:rPr>
        <w:t>Interest expense on warehouse debt increased by $113,000 for the three months ended September 30, 2015 compared to the prior year. We increased our contract purchases to $287.5 million for the three months ended September 30, 2015 compared to $279.3 million in the prior period. However, when possible, we hold contracts with our own cash rather than pledging them to one of our warehouse facilities to minimize interest expense.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September 30,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ind w:left="940"/>
              <w:spacing w:after="0"/>
              <w:rPr>
                <w:sz w:val="20"/>
                <w:szCs w:val="20"/>
                <w:color w:val="auto"/>
              </w:rPr>
            </w:pPr>
            <w:r>
              <w:rPr>
                <w:rFonts w:ascii="Arial" w:cs="Arial" w:eastAsia="Arial" w:hAnsi="Arial"/>
                <w:sz w:val="18"/>
                <w:szCs w:val="18"/>
                <w:b w:val="1"/>
                <w:bCs w:val="1"/>
                <w:color w:val="auto"/>
                <w:w w:val="96"/>
              </w:rPr>
              <w:t>Three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vMerge w:val="restart"/>
          </w:tcPr>
          <w:p>
            <w:pPr>
              <w:jc w:val="center"/>
              <w:ind w:right="840"/>
              <w:spacing w:after="0"/>
              <w:rPr>
                <w:sz w:val="20"/>
                <w:szCs w:val="20"/>
                <w:color w:val="auto"/>
              </w:rPr>
            </w:pPr>
            <w:r>
              <w:rPr>
                <w:rFonts w:ascii="Arial" w:cs="Arial" w:eastAsia="Arial" w:hAnsi="Arial"/>
                <w:sz w:val="18"/>
                <w:szCs w:val="18"/>
                <w:b w:val="1"/>
                <w:bCs w:val="1"/>
                <w:color w:val="auto"/>
                <w:w w:val="88"/>
              </w:rPr>
              <w:t>Interest Earning Assets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1,876,508</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90,514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1,430,557</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73,654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w w:val="96"/>
              </w:rPr>
              <w:t>Finance receivables measured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1,876,688</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90,584</w:t>
            </w:r>
          </w:p>
        </w:tc>
        <w:tc>
          <w:tcPr>
            <w:tcW w:w="220" w:type="dxa"/>
            <w:vAlign w:val="bottom"/>
            <w:vMerge w:val="continue"/>
            <w:shd w:val="clear" w:color="auto" w:fill="EEEEEE"/>
          </w:tcPr>
          <w:p>
            <w:pPr>
              <w:spacing w:after="0"/>
              <w:rPr>
                <w:sz w:val="20"/>
                <w:szCs w:val="20"/>
                <w:color w:val="auto"/>
              </w:rPr>
            </w:pPr>
          </w:p>
        </w:tc>
        <w:tc>
          <w:tcPr>
            <w:tcW w:w="1240" w:type="dxa"/>
            <w:vAlign w:val="bottom"/>
            <w:gridSpan w:val="2"/>
            <w:vMerge w:val="continue"/>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1,434,496</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73,865</w:t>
            </w:r>
          </w:p>
        </w:tc>
        <w:tc>
          <w:tcPr>
            <w:tcW w:w="220" w:type="dxa"/>
            <w:vAlign w:val="bottom"/>
            <w:vMerge w:val="continue"/>
            <w:shd w:val="clear" w:color="auto" w:fill="EEEEEE"/>
          </w:tcPr>
          <w:p>
            <w:pPr>
              <w:spacing w:after="0"/>
              <w:rPr>
                <w:sz w:val="20"/>
                <w:szCs w:val="20"/>
                <w:color w:val="auto"/>
              </w:rPr>
            </w:pPr>
          </w:p>
        </w:tc>
        <w:tc>
          <w:tcPr>
            <w:tcW w:w="12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bottom w:val="single" w:sz="8" w:color="EEEEEE"/>
            </w:tcBorders>
            <w:gridSpan w:val="6"/>
            <w:vMerge w:val="restart"/>
          </w:tcPr>
          <w:p>
            <w:pPr>
              <w:jc w:val="center"/>
              <w:ind w:right="140"/>
              <w:spacing w:after="0"/>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32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26,233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1,644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74,043</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1,531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13,051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6"/>
            <w:shd w:val="clear" w:color="auto" w:fill="EEEEEE"/>
          </w:tcPr>
          <w:p>
            <w:pPr>
              <w:spacing w:after="0" w:line="201" w:lineRule="exact"/>
              <w:rPr>
                <w:sz w:val="20"/>
                <w:szCs w:val="20"/>
                <w:color w:val="auto"/>
              </w:rPr>
            </w:pPr>
            <w:r>
              <w:rPr>
                <w:rFonts w:ascii="Arial" w:cs="Arial" w:eastAsia="Arial" w:hAnsi="Arial"/>
                <w:sz w:val="18"/>
                <w:szCs w:val="18"/>
                <w:color w:val="auto"/>
                <w:w w:val="99"/>
              </w:rPr>
              <w:t>Debt secured by receivables measured at</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6"/>
            <w:shd w:val="clear" w:color="auto" w:fill="EEEEEE"/>
          </w:tcPr>
          <w:p>
            <w:pPr>
              <w:ind w:left="80"/>
              <w:spacing w:after="0"/>
              <w:rPr>
                <w:sz w:val="20"/>
                <w:szCs w:val="20"/>
                <w:color w:val="auto"/>
              </w:rPr>
            </w:pPr>
            <w:r>
              <w:rPr>
                <w:rFonts w:ascii="Arial" w:cs="Arial" w:eastAsia="Arial" w:hAnsi="Arial"/>
                <w:sz w:val="18"/>
                <w:szCs w:val="18"/>
                <w:color w:val="auto"/>
              </w:rPr>
              <w:t>fair value</w:t>
            </w: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3,844</w:t>
            </w:r>
          </w:p>
        </w:tc>
        <w:tc>
          <w:tcPr>
            <w:tcW w:w="1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1,758,434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15,102</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16,230</w:t>
            </w:r>
          </w:p>
        </w:tc>
        <w:tc>
          <w:tcPr>
            <w:tcW w:w="2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1,810,674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14,848</w:t>
            </w:r>
          </w:p>
        </w:tc>
        <w:tc>
          <w:tcPr>
            <w:tcW w:w="22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1,437,371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12,238</w:t>
            </w:r>
          </w:p>
        </w:tc>
        <w:tc>
          <w:tcPr>
            <w:tcW w:w="22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7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5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80" w:type="dxa"/>
            <w:vAlign w:val="bottom"/>
            <w:tcBorders>
              <w:top w:val="single" w:sz="8" w:color="EEEEEE"/>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bottom w:val="single" w:sz="8" w:color="auto"/>
            </w:tcBorders>
            <w:shd w:val="clear" w:color="auto" w:fill="EEEEEE"/>
          </w:tcPr>
          <w:p>
            <w:pPr>
              <w:spacing w:after="0"/>
              <w:rPr>
                <w:sz w:val="17"/>
                <w:szCs w:val="17"/>
                <w:color w:val="auto"/>
              </w:rPr>
            </w:pPr>
          </w:p>
        </w:tc>
        <w:tc>
          <w:tcPr>
            <w:tcW w:w="960" w:type="dxa"/>
            <w:vAlign w:val="bottom"/>
            <w:tcBorders>
              <w:top w:val="single" w:sz="8" w:color="EEEEEE"/>
              <w:bottom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40" w:type="dxa"/>
            <w:vAlign w:val="bottom"/>
            <w:gridSpan w:val="7"/>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75,736</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61,627</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EEEEEE"/>
            </w:tcBorders>
            <w:gridSpan w:val="6"/>
            <w:shd w:val="clear" w:color="auto" w:fill="EEEEEE"/>
          </w:tcPr>
          <w:p>
            <w:pPr>
              <w:spacing w:after="0" w:line="196" w:lineRule="exact"/>
              <w:rPr>
                <w:sz w:val="20"/>
                <w:szCs w:val="20"/>
                <w:color w:val="auto"/>
              </w:rPr>
            </w:pPr>
            <w:r>
              <w:rPr>
                <w:rFonts w:ascii="Arial" w:cs="Arial" w:eastAsia="Arial" w:hAnsi="Arial"/>
                <w:sz w:val="18"/>
                <w:szCs w:val="18"/>
                <w:color w:val="auto"/>
              </w:rPr>
              <w:t>Net interest yield (4)</w:t>
            </w:r>
          </w:p>
        </w:tc>
        <w:tc>
          <w:tcPr>
            <w:tcW w:w="10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16.0%</w:t>
            </w:r>
          </w:p>
        </w:tc>
        <w:tc>
          <w:tcPr>
            <w:tcW w:w="12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04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240" w:type="dxa"/>
            <w:vAlign w:val="bottom"/>
            <w:tcBorders>
              <w:top w:val="single" w:sz="8" w:color="EEEEEE"/>
            </w:tcBorders>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6"/>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800" w:hanging="400"/>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9"/>
          </w:tcPr>
          <w:p>
            <w:pPr>
              <w:jc w:val="center"/>
              <w:ind w:right="160"/>
              <w:spacing w:after="0"/>
              <w:rPr>
                <w:sz w:val="20"/>
                <w:szCs w:val="20"/>
                <w:color w:val="auto"/>
              </w:rPr>
            </w:pPr>
            <w:r>
              <w:rPr>
                <w:rFonts w:ascii="Arial" w:cs="Arial" w:eastAsia="Arial" w:hAnsi="Arial"/>
                <w:sz w:val="18"/>
                <w:szCs w:val="18"/>
                <w:b w:val="1"/>
                <w:bCs w:val="1"/>
                <w:color w:val="auto"/>
                <w:w w:val="90"/>
              </w:rPr>
              <w:t>Three Months Ended September 30, 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0"/>
              </w:rPr>
              <w:t>Compared to September 30,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Change Due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00" w:type="dxa"/>
            <w:vAlign w:val="bottom"/>
            <w:gridSpan w:val="4"/>
            <w:vMerge w:val="restart"/>
          </w:tcPr>
          <w:p>
            <w:pPr>
              <w:jc w:val="center"/>
              <w:ind w:right="2360"/>
              <w:spacing w:after="0"/>
              <w:rPr>
                <w:sz w:val="20"/>
                <w:szCs w:val="20"/>
                <w:color w:val="auto"/>
              </w:rPr>
            </w:pPr>
            <w:r>
              <w:rPr>
                <w:rFonts w:ascii="Arial" w:cs="Arial" w:eastAsia="Arial" w:hAnsi="Arial"/>
                <w:sz w:val="18"/>
                <w:szCs w:val="18"/>
                <w:b w:val="1"/>
                <w:bCs w:val="1"/>
                <w:color w:val="auto"/>
                <w:w w:val="89"/>
              </w:rPr>
              <w:t>Interest Earning Assets</w:t>
            </w:r>
          </w:p>
        </w:tc>
        <w:tc>
          <w:tcPr>
            <w:tcW w:w="12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Total 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0" w:type="dxa"/>
            <w:vAlign w:val="bottom"/>
            <w:gridSpan w:val="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center"/>
              <w:ind w:right="4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16,860</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22,960</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16,719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22,759</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400" w:type="dxa"/>
            <w:vAlign w:val="bottom"/>
            <w:gridSpan w:val="4"/>
          </w:tcPr>
          <w:p>
            <w:pPr>
              <w:jc w:val="center"/>
              <w:ind w:right="23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rPr>
          <w:sz w:val="20"/>
          <w:szCs w:val="20"/>
          <w:color w:val="auto"/>
        </w:rPr>
      </w:pPr>
      <w:r>
        <w:rPr>
          <w:rFonts w:ascii="Arial" w:cs="Arial" w:eastAsia="Arial" w:hAnsi="Arial"/>
          <w:sz w:val="18"/>
          <w:szCs w:val="18"/>
          <w:color w:val="auto"/>
        </w:rPr>
        <w:t>Warehouse lines of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Debt secured by receivables measured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Subordinated renewable 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right"/>
              <w:ind w:right="590"/>
              <w:spacing w:after="0"/>
              <w:rPr>
                <w:sz w:val="20"/>
                <w:szCs w:val="20"/>
                <w:color w:val="auto"/>
              </w:rPr>
            </w:pPr>
            <w:r>
              <w:rPr>
                <w:rFonts w:ascii="Arial" w:cs="Arial" w:eastAsia="Arial" w:hAnsi="Arial"/>
                <w:sz w:val="18"/>
                <w:szCs w:val="18"/>
                <w:color w:val="auto"/>
              </w:rPr>
              <w:t>113</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(989)</w:t>
            </w:r>
          </w:p>
        </w:tc>
        <w:tc>
          <w:tcPr>
            <w:tcW w:w="108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30"/>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(124)</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(76)</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(150)</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(150)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jc w:val="right"/>
              <w:ind w:right="590"/>
              <w:spacing w:after="0"/>
              <w:rPr>
                <w:sz w:val="20"/>
                <w:szCs w:val="20"/>
                <w:color w:val="auto"/>
              </w:rPr>
            </w:pPr>
            <w:r>
              <w:rPr>
                <w:rFonts w:ascii="Arial" w:cs="Arial" w:eastAsia="Arial" w:hAnsi="Arial"/>
                <w:sz w:val="18"/>
                <w:szCs w:val="18"/>
                <w:color w:val="auto"/>
                <w:w w:val="84"/>
              </w:rPr>
              <w:t>2,885</w:t>
            </w:r>
          </w:p>
        </w:tc>
        <w:tc>
          <w:tcPr>
            <w:tcW w:w="1720" w:type="dxa"/>
            <w:vAlign w:val="bottom"/>
          </w:tcPr>
          <w:p>
            <w:pPr>
              <w:jc w:val="right"/>
              <w:ind w:right="590"/>
              <w:spacing w:after="0"/>
              <w:rPr>
                <w:sz w:val="20"/>
                <w:szCs w:val="20"/>
                <w:color w:val="auto"/>
              </w:rPr>
            </w:pPr>
            <w:r>
              <w:rPr>
                <w:rFonts w:ascii="Arial" w:cs="Arial" w:eastAsia="Arial" w:hAnsi="Arial"/>
                <w:sz w:val="18"/>
                <w:szCs w:val="18"/>
                <w:color w:val="auto"/>
              </w:rPr>
              <w:t>3,084</w:t>
            </w: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4"/>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(114)</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(36)</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-728345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-436880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-145415</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80" w:space="720"/>
            <w:col w:w="392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6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2,610</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2"/>
          </w:tcPr>
          <w:p>
            <w:pPr>
              <w:jc w:val="right"/>
              <w:ind w:right="340"/>
              <w:spacing w:after="0" w:line="189" w:lineRule="exact"/>
              <w:rPr>
                <w:sz w:val="20"/>
                <w:szCs w:val="20"/>
                <w:color w:val="auto"/>
              </w:rPr>
            </w:pPr>
            <w:r>
              <w:rPr>
                <w:rFonts w:ascii="Arial" w:cs="Arial" w:eastAsia="Arial" w:hAnsi="Arial"/>
                <w:sz w:val="18"/>
                <w:szCs w:val="18"/>
                <w:color w:val="auto"/>
              </w:rPr>
              <w:t>1,833</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777</w:t>
            </w:r>
          </w:p>
        </w:tc>
        <w:tc>
          <w:tcPr>
            <w:tcW w:w="80" w:type="dxa"/>
            <w:vAlign w:val="bottom"/>
          </w:tcPr>
          <w:p>
            <w:pPr>
              <w:spacing w:after="0"/>
              <w:rPr>
                <w:sz w:val="16"/>
                <w:szCs w:val="16"/>
                <w:color w:val="auto"/>
              </w:rPr>
            </w:pPr>
          </w:p>
        </w:tc>
      </w:tr>
      <w:tr>
        <w:trPr>
          <w:trHeight w:val="230"/>
        </w:trPr>
        <w:tc>
          <w:tcPr>
            <w:tcW w:w="6520" w:type="dxa"/>
            <w:vAlign w:val="bottom"/>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0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Net interest income/spread</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14,109</w:t>
            </w:r>
          </w:p>
        </w:tc>
        <w:tc>
          <w:tcPr>
            <w:tcW w:w="3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20,926</w:t>
            </w:r>
          </w:p>
        </w:tc>
        <w:tc>
          <w:tcPr>
            <w:tcW w:w="3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(6,817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6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September 30, 2015 compared to the prior year period is the result of our decision to offer dealers slightly lower acquisition fees and also to require slightly lower contract interest rates on a portion of the contracts we purchase.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Provision for credit losses was $37.4 million for the three months ended September 30, 2015, an increase of $10.1 million, or 37.1% compared to the prior year and represented 47.8%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$441,000, or 10.6%, to $4.6 million during the three months ended September 30, 2015, compared to $4.2 million in the prior year period, and represented 5.9% of total operating expenses. For the three months ended September 30, 2015, we purchased 17,019 contracts representing $287.5 million in receivables compared to 16,925 contracts representing $279.3 million in receivables in the prior year.</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Occupancy expenses increased by $149,000 or 16.6%, to $1.0 million compared to $898,000 in the previous year and represented 1.4% of total operating expenses. During the three months ended September 30, 2015, we entered into a lease for additional office space in Irvine, California.</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$52,000 or 44.3%, to $170,000 compared to $118,000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September 30, 2015, we recorded income tax expense of $6.8 million, representing a 43.5% effective income tax rate. In the prior year period, we recorded $6.0 million in income tax expense, representing a 43.7%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nine months ended September 30, 2015 with the nine months ended September 30, 2014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nine months ended September 30, 2015, our revenues were $286.3 million, an increase of $51.5 million, or 23.8%,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revenue of $216.8 million. The primary reason for the increase in revenues is an increase in interest income. Interest income for the nine months ended September 30, 2015 increased $50.8 million, or 24.5%, to $257.8 million from $207.1 million in the prior year. The primary reason for the increase in interest income is the increase in finance receivables held by consolidated subsidiaries, which increased from $1,515.9 million at September 30, 2014 to $1,940.6 million at September 30, 2015. The table below shows the average balances of our portfolio held by consolidated subsidiaries for the nine months ended September 30, 2015 and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100" w:type="dxa"/>
            <w:vAlign w:val="bottom"/>
            <w:gridSpan w:val="7"/>
          </w:tcPr>
          <w:p>
            <w:pPr>
              <w:ind w:left="240"/>
              <w:spacing w:after="0"/>
              <w:rPr>
                <w:sz w:val="20"/>
                <w:szCs w:val="20"/>
                <w:color w:val="auto"/>
              </w:rPr>
            </w:pPr>
            <w:r>
              <w:rPr>
                <w:rFonts w:ascii="Arial" w:cs="Arial" w:eastAsia="Arial" w:hAnsi="Arial"/>
                <w:sz w:val="18"/>
                <w:szCs w:val="18"/>
                <w:b w:val="1"/>
                <w:bCs w:val="1"/>
                <w:color w:val="auto"/>
                <w:w w:val="98"/>
              </w:rPr>
              <w:t>Average Balances for the Nine Months Ended</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0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020" w:type="dxa"/>
            <w:vAlign w:val="bottom"/>
            <w:vMerge w:val="restart"/>
          </w:tcPr>
          <w:p>
            <w:pPr>
              <w:jc w:val="right"/>
              <w:ind w:right="2490"/>
              <w:spacing w:after="0"/>
              <w:rPr>
                <w:sz w:val="20"/>
                <w:szCs w:val="20"/>
                <w:color w:val="auto"/>
              </w:rPr>
            </w:pPr>
            <w:r>
              <w:rPr>
                <w:rFonts w:ascii="Arial" w:cs="Arial" w:eastAsia="Arial" w:hAnsi="Arial"/>
                <w:sz w:val="18"/>
                <w:szCs w:val="18"/>
                <w:b w:val="1"/>
                <w:bCs w:val="1"/>
                <w:color w:val="auto"/>
                <w:w w:val="90"/>
              </w:rPr>
              <w:t>Finance Receivables Owned by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5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50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gridSpan w:val="5"/>
          </w:tcPr>
          <w:p>
            <w:pPr>
              <w:jc w:val="right"/>
              <w:ind w:right="139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6280" w:type="dxa"/>
            <w:vAlign w:val="bottom"/>
            <w:gridSpan w:val="2"/>
          </w:tcPr>
          <w:p>
            <w:pPr>
              <w:jc w:val="right"/>
              <w:ind w:right="3954"/>
              <w:spacing w:after="0"/>
              <w:rPr>
                <w:sz w:val="20"/>
                <w:szCs w:val="20"/>
                <w:color w:val="auto"/>
              </w:rPr>
            </w:pPr>
            <w:r>
              <w:rPr>
                <w:rFonts w:ascii="Arial" w:cs="Arial" w:eastAsia="Arial" w:hAnsi="Arial"/>
                <w:sz w:val="18"/>
                <w:szCs w:val="18"/>
                <w:b w:val="1"/>
                <w:bCs w:val="1"/>
                <w:color w:val="auto"/>
                <w:w w:val="98"/>
              </w:rPr>
              <w:t>Consolidated Subsidiaries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2"/>
              </w:rPr>
              <w:t>CPS Originated Receivables</w:t>
            </w:r>
          </w:p>
        </w:tc>
        <w:tc>
          <w:tcPr>
            <w:tcW w:w="6280" w:type="dxa"/>
            <w:vAlign w:val="bottom"/>
            <w:gridSpan w:val="2"/>
            <w:shd w:val="clear" w:color="auto" w:fill="EEEEEE"/>
          </w:tcPr>
          <w:p>
            <w:pPr>
              <w:jc w:val="right"/>
              <w:ind w:right="1094"/>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1,792.8</w:t>
            </w:r>
          </w:p>
        </w:tc>
        <w:tc>
          <w:tcPr>
            <w:tcW w:w="16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Fireside</w:t>
            </w:r>
          </w:p>
        </w:tc>
        <w:tc>
          <w:tcPr>
            <w:tcW w:w="5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3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502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ind w:right="109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1,793.3</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1,358.8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20" w:type="dxa"/>
            <w:vAlign w:val="bottom"/>
            <w:vMerge w:val="restart"/>
          </w:tcPr>
          <w:p>
            <w:pPr>
              <w:jc w:val="right"/>
              <w:ind w:right="1430"/>
              <w:spacing w:after="0"/>
              <w:rPr>
                <w:sz w:val="20"/>
                <w:szCs w:val="20"/>
                <w:color w:val="auto"/>
              </w:rPr>
            </w:pPr>
            <w:r>
              <w:rPr>
                <w:rFonts w:ascii="Arial" w:cs="Arial" w:eastAsia="Arial" w:hAnsi="Arial"/>
                <w:sz w:val="18"/>
                <w:szCs w:val="18"/>
                <w:color w:val="auto"/>
              </w:rPr>
              <w:t>29</w:t>
            </w: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3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9" w:name="page30"/>
    <w:bookmarkEnd w:id="29"/>
    <w:p>
      <w:pPr>
        <w:jc w:val="both"/>
        <w:ind w:firstLine="648"/>
        <w:spacing w:after="0" w:line="279" w:lineRule="auto"/>
        <w:rPr>
          <w:sz w:val="20"/>
          <w:szCs w:val="20"/>
          <w:color w:val="auto"/>
        </w:rPr>
      </w:pPr>
      <w:r>
        <w:rPr>
          <w:rFonts w:ascii="Arial" w:cs="Arial" w:eastAsia="Arial" w:hAnsi="Arial"/>
          <w:sz w:val="17"/>
          <w:szCs w:val="17"/>
          <w:color w:val="auto"/>
        </w:rPr>
        <w:t>Servicing fees totaling $283,000 for the nine months ended September 30, 2015 decreased $877,000, or 75.6%, from $1.2 million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As of September 30, 2015 and 2014, our managed portfolio owned by consolidated vs. non-consolidated subsidiaries and other third parties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September 30, 2015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 2014</w:t>
            </w:r>
          </w:p>
        </w:tc>
        <w:tc>
          <w:tcPr>
            <w:tcW w:w="0" w:type="dxa"/>
            <w:vAlign w:val="bottom"/>
          </w:tcPr>
          <w:p>
            <w:pPr>
              <w:spacing w:after="0"/>
              <w:rPr>
                <w:sz w:val="1"/>
                <w:szCs w:val="1"/>
                <w:color w:val="auto"/>
              </w:rPr>
            </w:pPr>
          </w:p>
        </w:tc>
      </w:tr>
      <w:tr>
        <w:trPr>
          <w:trHeight w:val="223"/>
        </w:trPr>
        <w:tc>
          <w:tcPr>
            <w:tcW w:w="4820" w:type="dxa"/>
            <w:vAlign w:val="bottom"/>
            <w:vMerge w:val="restart"/>
          </w:tcPr>
          <w:p>
            <w:pPr>
              <w:ind w:left="1360"/>
              <w:spacing w:after="0"/>
              <w:rPr>
                <w:sz w:val="20"/>
                <w:szCs w:val="20"/>
                <w:color w:val="auto"/>
              </w:rPr>
            </w:pPr>
            <w:r>
              <w:rPr>
                <w:rFonts w:ascii="Arial" w:cs="Arial" w:eastAsia="Arial" w:hAnsi="Arial"/>
                <w:sz w:val="18"/>
                <w:szCs w:val="18"/>
                <w:b w:val="1"/>
                <w:bCs w:val="1"/>
                <w:color w:val="auto"/>
              </w:rPr>
              <w:t>Total Managed Portfolio</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6"/>
          </w:tcPr>
          <w:p>
            <w:pPr>
              <w:ind w:left="100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1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CPS Originated Receivables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1,939.8</w:t>
            </w:r>
          </w:p>
        </w:tc>
        <w:tc>
          <w:tcPr>
            <w:tcW w:w="3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1,512.7</w:t>
            </w:r>
          </w:p>
        </w:tc>
        <w:tc>
          <w:tcPr>
            <w:tcW w:w="3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Fireside</w:t>
            </w:r>
          </w:p>
        </w:tc>
        <w:tc>
          <w:tcPr>
            <w:tcW w:w="16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0.5</w:t>
            </w:r>
          </w:p>
        </w:tc>
        <w:tc>
          <w:tcPr>
            <w:tcW w:w="15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1,940.5</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September 30, 2015, we were generating income and fees on a managed portfolio with an outstanding principal balance of $1,940.5 million (this amount includes $64,000 of automobile contracts on which we earn servicing fees and own a residual interest and also includes another $517,000 of automobile contracts on which we earn base and incentive servicing fees), compared to a managed portfolio with an outstanding principal balance of $1,518.6 million as of September 30, 2014. At September 30, 2015 and 2014,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3"/>
          </w:tcPr>
          <w:p>
            <w:pPr>
              <w:ind w:left="640"/>
              <w:spacing w:after="0"/>
              <w:rPr>
                <w:sz w:val="20"/>
                <w:szCs w:val="20"/>
                <w:color w:val="auto"/>
              </w:rPr>
            </w:pPr>
            <w:r>
              <w:rPr>
                <w:rFonts w:ascii="Arial" w:cs="Arial" w:eastAsia="Arial" w:hAnsi="Arial"/>
                <w:sz w:val="18"/>
                <w:szCs w:val="18"/>
                <w:b w:val="1"/>
                <w:bCs w:val="1"/>
                <w:color w:val="auto"/>
                <w:w w:val="95"/>
              </w:rPr>
              <w:t>September 30, 2015</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 2014</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Originating Entity</w:t>
            </w: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20" w:type="dxa"/>
            <w:vAlign w:val="bottom"/>
            <w:gridSpan w:val="6"/>
          </w:tcPr>
          <w:p>
            <w:pPr>
              <w:ind w:left="300"/>
              <w:spacing w:after="0"/>
              <w:rPr>
                <w:sz w:val="20"/>
                <w:szCs w:val="20"/>
                <w:color w:val="auto"/>
              </w:rPr>
            </w:pPr>
            <w:r>
              <w:rPr>
                <w:rFonts w:ascii="Arial" w:cs="Arial" w:eastAsia="Arial" w:hAnsi="Arial"/>
                <w:sz w:val="18"/>
                <w:szCs w:val="18"/>
                <w:b w:val="1"/>
                <w:bCs w:val="1"/>
                <w:color w:val="auto"/>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34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1,940.3</w:t>
            </w:r>
          </w:p>
        </w:tc>
        <w:tc>
          <w:tcPr>
            <w:tcW w:w="3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1,514.6</w:t>
            </w:r>
          </w:p>
        </w:tc>
        <w:tc>
          <w:tcPr>
            <w:tcW w:w="32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Fireside</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0.1</w:t>
            </w:r>
          </w:p>
        </w:tc>
        <w:tc>
          <w:tcPr>
            <w:tcW w:w="7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EEEEEE"/>
          </w:tcPr>
          <w:p>
            <w:pPr>
              <w:spacing w:after="0"/>
              <w:rPr>
                <w:sz w:val="20"/>
                <w:szCs w:val="20"/>
                <w:color w:val="auto"/>
              </w:rPr>
            </w:pPr>
            <w:r>
              <w:rPr>
                <w:rFonts w:ascii="Arial" w:cs="Arial" w:eastAsia="Arial" w:hAnsi="Arial"/>
                <w:sz w:val="18"/>
                <w:szCs w:val="18"/>
                <w:color w:val="auto"/>
                <w:w w:val="96"/>
              </w:rPr>
              <w:t>Third Party Portfolio</w:t>
            </w:r>
          </w:p>
        </w:tc>
        <w:tc>
          <w:tcPr>
            <w:tcW w:w="32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1,940.5</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1,518.6</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nine months ended September 30, 2015 other income of $10.2 million increased by $1.7 million, or 19.5% compared to the prior year. The nine-month period ended September 30, 2015 includes an increase of $992,000 in revenue associated with direct mail and other related products and services that we offer to our dealers, a net increase of $610,000 on payments to us for our interest in certain sold charge off portfolios and acquired third-party portfolios and an increase of $72,000 in sales tax refunds. In addition, in the prior year period, we incurred a markdown of $390,000 in the fair value of the principal balance and related debt of the Fireside portfolio. The increases were somewhat offset by a decrease of $364,000 in payments from third-party providers of convenience fees paid by our customers for web based and other electronic payments.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operating expenses were $222.7 million for the nine months ended September 30, 2015, compared to $178.9 million for the prior year, an increase of $43.8 million, or 24.5%. The increase is primarily due to costs associated with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$7.5 million or 21.2%, to $42.9 million during the nine months ended September 30, 2015, representing 19.8% of total operating expenses, from $35.4 million for the prior year, or 19.8%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nine-month periods ended, September 30, 2015 and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September 30, 2015</w:t>
            </w:r>
          </w:p>
        </w:tc>
        <w:tc>
          <w:tcPr>
            <w:tcW w:w="180" w:type="dxa"/>
            <w:vAlign w:val="bottom"/>
          </w:tcPr>
          <w:p>
            <w:pPr>
              <w:spacing w:after="0"/>
              <w:rPr>
                <w:sz w:val="20"/>
                <w:szCs w:val="20"/>
                <w:color w:val="auto"/>
              </w:rPr>
            </w:pPr>
          </w:p>
        </w:tc>
        <w:tc>
          <w:tcPr>
            <w:tcW w:w="168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791.3</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680.6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48,046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42,911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1,940.6</w:t>
            </w:r>
          </w:p>
        </w:tc>
        <w:tc>
          <w:tcPr>
            <w:tcW w:w="1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1,518.6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145,036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115,870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$14.9 million, an increase of $467,000, or 3.2% compared to the previous year and represented 6.7% of total operating expenses.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nine months ended September 30, 2015 increased by $4.1 million to $41.7 million, or 18.7% of total operating expenses, compared to $37.6 million in the previous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debt on the Fireside portfolio was repaid in full in January 2015. As a result, we incurred no interest expense on that debt compared to $683,000 in the prior year period.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$6.7 million, or 23.8%, for the nine months ended September 30, 2015 compared to the prior year. The average balance of securitization trust debt increased 34.4% to $1,668.9 million at September 30, 2015 compared to $1,242.1 million at September 30, 2014. However, the blended interest rates on term securitizations completed since 2012 are significantly less than the blended interest rates on securitization trust debt incurred prior to 2012. As a result, the cost of securitization debt during the nine-month period ended September 30, 2015 was 2.8%, compared to 3.0% in the prior year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648"/>
        <w:spacing w:after="0" w:line="312" w:lineRule="auto"/>
        <w:rPr>
          <w:sz w:val="20"/>
          <w:szCs w:val="20"/>
          <w:color w:val="auto"/>
        </w:rPr>
      </w:pPr>
      <w:r>
        <w:rPr>
          <w:rFonts w:ascii="Arial" w:cs="Arial" w:eastAsia="Arial" w:hAnsi="Arial"/>
          <w:sz w:val="16"/>
          <w:szCs w:val="16"/>
          <w:color w:val="auto"/>
        </w:rPr>
        <w:t>Interest expense on warehouse debt increased by $730,000 for the nine months ended September 30, 2015 compared to the prior year. We increased our contract purchases to $791.3 million for the nine months ended September 30, 2015 compared to $680.6 million in the prior period. However, when possible, we hold contracts with our own cash rather than pledging them to one of our warehouse facilities to minimize interest expense.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nine-month periods ended September 30, 2015 and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4"/>
            <w:vMerge w:val="restart"/>
          </w:tcPr>
          <w:p>
            <w:pPr>
              <w:jc w:val="center"/>
              <w:ind w:right="840"/>
              <w:spacing w:after="0"/>
              <w:rPr>
                <w:sz w:val="20"/>
                <w:szCs w:val="20"/>
                <w:color w:val="auto"/>
              </w:rPr>
            </w:pPr>
            <w:r>
              <w:rPr>
                <w:rFonts w:ascii="Arial" w:cs="Arial" w:eastAsia="Arial" w:hAnsi="Arial"/>
                <w:sz w:val="18"/>
                <w:szCs w:val="18"/>
                <w:b w:val="1"/>
                <w:bCs w:val="1"/>
                <w:color w:val="auto"/>
                <w:w w:val="88"/>
              </w:rPr>
              <w:t>Interest Earning Assets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4"/>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1,770,694</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257,535</w:t>
            </w: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19.4%</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1,320,985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205,708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w w:val="96"/>
              </w:rPr>
              <w:t>Finance receivables measured at fair value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gridSpan w:val="3"/>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1,771,237</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257,843</w:t>
            </w:r>
          </w:p>
        </w:tc>
        <w:tc>
          <w:tcPr>
            <w:tcW w:w="1460" w:type="dxa"/>
            <w:vAlign w:val="bottom"/>
            <w:gridSpan w:val="3"/>
            <w:vMerge w:val="continue"/>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1,328,169</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207,082</w:t>
            </w:r>
          </w:p>
        </w:tc>
        <w:tc>
          <w:tcPr>
            <w:tcW w:w="220" w:type="dxa"/>
            <w:vAlign w:val="bottom"/>
            <w:vMerge w:val="continue"/>
            <w:shd w:val="clear" w:color="auto" w:fill="EEEEEE"/>
          </w:tcPr>
          <w:p>
            <w:pPr>
              <w:spacing w:after="0"/>
              <w:rPr>
                <w:sz w:val="20"/>
                <w:szCs w:val="20"/>
                <w:color w:val="auto"/>
              </w:rPr>
            </w:pPr>
          </w:p>
        </w:tc>
        <w:tc>
          <w:tcPr>
            <w:tcW w:w="12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bottom w:val="single" w:sz="8" w:color="EEEEEE"/>
            </w:tcBorders>
            <w:gridSpan w:val="6"/>
            <w:vMerge w:val="restart"/>
          </w:tcPr>
          <w:p>
            <w:pPr>
              <w:jc w:val="center"/>
              <w:ind w:right="140"/>
              <w:spacing w:after="0"/>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32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51,723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4,376</w:t>
            </w: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11.3%</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46,929</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3,646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11,512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1,111</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14,772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6"/>
            <w:shd w:val="clear" w:color="auto" w:fill="EEEEEE"/>
          </w:tcPr>
          <w:p>
            <w:pPr>
              <w:spacing w:after="0" w:line="201" w:lineRule="exact"/>
              <w:rPr>
                <w:sz w:val="20"/>
                <w:szCs w:val="20"/>
                <w:color w:val="auto"/>
              </w:rPr>
            </w:pPr>
            <w:r>
              <w:rPr>
                <w:rFonts w:ascii="Arial" w:cs="Arial" w:eastAsia="Arial" w:hAnsi="Arial"/>
                <w:sz w:val="18"/>
                <w:szCs w:val="18"/>
                <w:color w:val="auto"/>
                <w:w w:val="99"/>
              </w:rPr>
              <w:t>Debt secured by receivables measured at</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6"/>
            <w:shd w:val="clear" w:color="auto" w:fill="EEEEEE"/>
          </w:tcPr>
          <w:p>
            <w:pPr>
              <w:ind w:left="80"/>
              <w:spacing w:after="0"/>
              <w:rPr>
                <w:sz w:val="20"/>
                <w:szCs w:val="20"/>
                <w:color w:val="auto"/>
              </w:rPr>
            </w:pPr>
            <w:r>
              <w:rPr>
                <w:rFonts w:ascii="Arial" w:cs="Arial" w:eastAsia="Arial" w:hAnsi="Arial"/>
                <w:sz w:val="18"/>
                <w:szCs w:val="18"/>
                <w:color w:val="auto"/>
              </w:rPr>
              <w:t>fair value</w:t>
            </w: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6,754</w:t>
            </w:r>
          </w:p>
        </w:tc>
        <w:tc>
          <w:tcPr>
            <w:tcW w:w="1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1,668,934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35,012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1,242,059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28,278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6"/>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9,471</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6"/>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60" w:type="dxa"/>
            <w:vAlign w:val="bottom"/>
            <w:gridSpan w:val="3"/>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24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1,747,270</w:t>
            </w:r>
          </w:p>
        </w:tc>
        <w:tc>
          <w:tcPr>
            <w:tcW w:w="1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41,709</w:t>
            </w:r>
          </w:p>
        </w:tc>
        <w:tc>
          <w:tcPr>
            <w:tcW w:w="1460" w:type="dxa"/>
            <w:vAlign w:val="bottom"/>
            <w:gridSpan w:val="3"/>
            <w:vMerge w:val="continue"/>
            <w:shd w:val="clear" w:color="auto" w:fill="EEEEEE"/>
          </w:tcPr>
          <w:p>
            <w:pPr>
              <w:spacing w:after="0"/>
              <w:rPr>
                <w:sz w:val="20"/>
                <w:szCs w:val="20"/>
                <w:color w:val="auto"/>
              </w:rPr>
            </w:pP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1,337,690</w:t>
            </w:r>
          </w:p>
        </w:tc>
        <w:tc>
          <w:tcPr>
            <w:tcW w:w="20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37,561</w:t>
            </w:r>
          </w:p>
        </w:tc>
        <w:tc>
          <w:tcPr>
            <w:tcW w:w="220" w:type="dxa"/>
            <w:vAlign w:val="bottom"/>
            <w:vMerge w:val="continue"/>
            <w:shd w:val="clear" w:color="auto" w:fill="EEEEEE"/>
          </w:tcPr>
          <w:p>
            <w:pPr>
              <w:spacing w:after="0"/>
              <w:rPr>
                <w:sz w:val="20"/>
                <w:szCs w:val="20"/>
                <w:color w:val="auto"/>
              </w:rPr>
            </w:pPr>
          </w:p>
        </w:tc>
        <w:tc>
          <w:tcPr>
            <w:tcW w:w="124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7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EEEEEE"/>
            </w:tcBorders>
            <w:gridSpan w:val="6"/>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8"/>
                <w:szCs w:val="18"/>
                <w:color w:val="auto"/>
              </w:rPr>
            </w:pPr>
          </w:p>
        </w:tc>
        <w:tc>
          <w:tcPr>
            <w:tcW w:w="106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216,134</w:t>
            </w:r>
          </w:p>
        </w:tc>
        <w:tc>
          <w:tcPr>
            <w:tcW w:w="22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104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169,521</w:t>
            </w:r>
          </w:p>
        </w:tc>
        <w:tc>
          <w:tcPr>
            <w:tcW w:w="22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7"/>
            <w:vMerge w:val="restart"/>
          </w:tcPr>
          <w:p>
            <w:pPr>
              <w:spacing w:after="0"/>
              <w:rPr>
                <w:sz w:val="20"/>
                <w:szCs w:val="20"/>
                <w:color w:val="auto"/>
              </w:rPr>
            </w:pPr>
            <w:r>
              <w:rPr>
                <w:rFonts w:ascii="Arial" w:cs="Arial" w:eastAsia="Arial" w:hAnsi="Arial"/>
                <w:sz w:val="18"/>
                <w:szCs w:val="18"/>
                <w:color w:val="auto"/>
              </w:rPr>
              <w:t>Net interest yield (4)</w:t>
            </w: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line="20" w:lineRule="exact"/>
              <w:rPr>
                <w:sz w:val="1"/>
                <w:szCs w:val="1"/>
                <w:color w:val="auto"/>
              </w:rPr>
            </w:pPr>
          </w:p>
        </w:tc>
      </w:tr>
      <w:tr>
        <w:trPr>
          <w:trHeight w:val="197"/>
        </w:trPr>
        <w:tc>
          <w:tcPr>
            <w:tcW w:w="3340" w:type="dxa"/>
            <w:vAlign w:val="bottom"/>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6"/>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6"/>
            <w:shd w:val="clear" w:color="auto" w:fill="EEEEEE"/>
          </w:tcPr>
          <w:p>
            <w:pPr>
              <w:ind w:left="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80" w:type="dxa"/>
            <w:vAlign w:val="bottom"/>
            <w:gridSpan w:val="9"/>
          </w:tcPr>
          <w:p>
            <w:pPr>
              <w:jc w:val="right"/>
              <w:ind w:right="1220"/>
              <w:spacing w:after="0"/>
              <w:rPr>
                <w:sz w:val="20"/>
                <w:szCs w:val="20"/>
                <w:color w:val="auto"/>
              </w:rPr>
            </w:pPr>
            <w:r>
              <w:rPr>
                <w:rFonts w:ascii="Arial" w:cs="Arial" w:eastAsia="Arial" w:hAnsi="Arial"/>
                <w:sz w:val="18"/>
                <w:szCs w:val="18"/>
                <w:b w:val="1"/>
                <w:bCs w:val="1"/>
                <w:color w:val="auto"/>
              </w:rPr>
              <w:t>Nine Months Ended September 30, 2015</w:t>
            </w:r>
          </w:p>
        </w:tc>
        <w:tc>
          <w:tcPr>
            <w:tcW w:w="0" w:type="dxa"/>
            <w:vAlign w:val="bottom"/>
          </w:tcPr>
          <w:p>
            <w:pPr>
              <w:spacing w:after="0"/>
              <w:rPr>
                <w:sz w:val="1"/>
                <w:szCs w:val="1"/>
                <w:color w:val="auto"/>
              </w:rPr>
            </w:pPr>
          </w:p>
        </w:tc>
      </w:tr>
      <w:tr>
        <w:trPr>
          <w:trHeight w:val="234"/>
        </w:trPr>
        <w:tc>
          <w:tcPr>
            <w:tcW w:w="1780" w:type="dxa"/>
            <w:vAlign w:val="bottom"/>
            <w:gridSpan w:val="2"/>
            <w:vMerge w:val="restart"/>
          </w:tcPr>
          <w:p>
            <w:pPr>
              <w:spacing w:after="0"/>
              <w:rPr>
                <w:sz w:val="20"/>
                <w:szCs w:val="20"/>
                <w:color w:val="auto"/>
              </w:rPr>
            </w:pPr>
            <w:r>
              <w:rPr>
                <w:rFonts w:ascii="Arial" w:cs="Arial" w:eastAsia="Arial" w:hAnsi="Arial"/>
                <w:sz w:val="18"/>
                <w:szCs w:val="18"/>
                <w:color w:val="FFFFFF"/>
              </w:rPr>
              <w:t>$</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 Compared to September 30, 2014</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4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Change Due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5"/>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80" w:type="dxa"/>
            <w:vAlign w:val="bottom"/>
            <w:gridSpan w:val="2"/>
          </w:tcPr>
          <w:p>
            <w:pPr>
              <w:spacing w:after="0"/>
              <w:rPr>
                <w:sz w:val="20"/>
                <w:szCs w:val="20"/>
                <w:color w:val="auto"/>
              </w:rPr>
            </w:pPr>
            <w:r>
              <w:rPr>
                <w:rFonts w:ascii="Arial" w:cs="Arial" w:eastAsia="Arial" w:hAnsi="Arial"/>
                <w:sz w:val="18"/>
                <w:szCs w:val="18"/>
                <w:color w:val="FFFFFF"/>
              </w:rPr>
              <w:t>$</w:t>
            </w:r>
          </w:p>
        </w:tc>
        <w:tc>
          <w:tcPr>
            <w:tcW w:w="2960" w:type="dxa"/>
            <w:vAlign w:val="bottom"/>
            <w:gridSpan w:val="4"/>
            <w:vMerge w:val="restart"/>
          </w:tcPr>
          <w:p>
            <w:pPr>
              <w:jc w:val="center"/>
              <w:ind w:right="900"/>
              <w:spacing w:after="0"/>
              <w:rPr>
                <w:sz w:val="20"/>
                <w:szCs w:val="20"/>
                <w:color w:val="auto"/>
              </w:rPr>
            </w:pPr>
            <w:r>
              <w:rPr>
                <w:rFonts w:ascii="Arial" w:cs="Arial" w:eastAsia="Arial" w:hAnsi="Arial"/>
                <w:sz w:val="18"/>
                <w:szCs w:val="18"/>
                <w:b w:val="1"/>
                <w:bCs w:val="1"/>
                <w:color w:val="auto"/>
                <w:w w:val="88"/>
              </w:rPr>
              <w:t>Interest Earning Assets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to Volume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7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51,827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63,962</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(1,066)</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50,761</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62,760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(11,999)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72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91"/>
              </w:rPr>
              <w:t>Interest Bearing Liabilities</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492</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6,734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8,724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(1,651)</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4,148</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6,155</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46,613</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nine months ended September 30, 2015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$106.5 million for the nine months ended September 30, 2015, an increase of $29.7 million, or 38.7% compared to the prior year and represented 47.8%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$1.4 million, or 12.0%, to $13.2 million during the nine months ended September 30, 2015, compared to $11.8 million in the prior year period, and represented 5.9% of total operating expenses. For the nine months ended September 30, 2015, we purchased 48,046 contracts representing $791.3 million in receivables compared to 42,911 contracts representing $680.6 million in receivables in the prior year.</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Occupancy expenses increased by $400,000 or 18.3%, to $2.9 million compared to $2.5 million in the previous year and represented 1.3% of total operating expenses. During the three months ended September 30, 2015, we entered into a lease for additional office space in Irvine, California.</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$132,000 or 38.9%, to $471,000 compared to $339,000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nine months ended September 30, 2015, we recorded income tax expense of $19.9 million, representing a 43.6% effective income tax rate. In the prior year period, we recorded $16.4 million in income tax expense, representing a 43.3%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Portfolio Excluding Fireside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ind w:left="520"/>
              <w:spacing w:after="0"/>
              <w:rPr>
                <w:sz w:val="20"/>
                <w:szCs w:val="20"/>
                <w:color w:val="auto"/>
              </w:rPr>
            </w:pPr>
            <w:r>
              <w:rPr>
                <w:rFonts w:ascii="Arial" w:cs="Arial" w:eastAsia="Arial" w:hAnsi="Arial"/>
                <w:sz w:val="18"/>
                <w:szCs w:val="18"/>
                <w:b w:val="1"/>
                <w:bCs w:val="1"/>
                <w:color w:val="auto"/>
              </w:rPr>
              <w:t>September 30, 2015</w:t>
            </w: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September 30, 2014</w:t>
            </w:r>
          </w:p>
        </w:tc>
        <w:tc>
          <w:tcPr>
            <w:tcW w:w="2600" w:type="dxa"/>
            <w:vAlign w:val="bottom"/>
            <w:gridSpan w:val="6"/>
          </w:tcPr>
          <w:p>
            <w:pPr>
              <w:ind w:left="52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142,913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1,940,311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114,136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1,514,619</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123,033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31-60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69,608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38,961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61-90 days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38,940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1,408</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17,459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91+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11,089</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141,672</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5,368</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69,232</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89,396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31,301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160" w:type="dxa"/>
            <w:vAlign w:val="bottom"/>
            <w:tcBorders>
              <w:top w:val="single" w:sz="8" w:color="auto"/>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13,424</w:t>
            </w:r>
          </w:p>
        </w:tc>
        <w:tc>
          <w:tcPr>
            <w:tcW w:w="120" w:type="dxa"/>
            <w:vAlign w:val="bottom"/>
            <w:shd w:val="clear" w:color="auto" w:fill="EEEEEE"/>
          </w:tcPr>
          <w:p>
            <w:pPr>
              <w:spacing w:after="0"/>
              <w:rPr>
                <w:sz w:val="22"/>
                <w:szCs w:val="22"/>
                <w:color w:val="auto"/>
              </w:rPr>
            </w:pP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170,919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8,594</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100,533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9,938</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as a percentage of gross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w w:val="98"/>
              </w:rPr>
              <w:t>Contracts with one extension, accruing (4)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24,679</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333,576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16,934</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223,693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18,165</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accruing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191,760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76,346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39,296</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525,336</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23,399</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300,039</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25,702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331,487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Contracts with one extension, non-accrual</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16,584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11,809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1,268</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non-accrual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4,483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27,866</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16,292</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21,169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41,441</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553,202</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316,331</w:t>
            </w:r>
          </w:p>
        </w:tc>
        <w:tc>
          <w:tcPr>
            <w:tcW w:w="2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27,564</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352,656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ind w:left="520"/>
              <w:spacing w:after="0"/>
              <w:rPr>
                <w:sz w:val="20"/>
                <w:szCs w:val="20"/>
                <w:color w:val="auto"/>
              </w:rPr>
            </w:pPr>
            <w:r>
              <w:rPr>
                <w:rFonts w:ascii="Arial" w:cs="Arial" w:eastAsia="Arial" w:hAnsi="Arial"/>
                <w:sz w:val="18"/>
                <w:szCs w:val="18"/>
                <w:b w:val="1"/>
                <w:bCs w:val="1"/>
                <w:color w:val="auto"/>
              </w:rPr>
              <w:t>September 30, 2015</w:t>
            </w: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September 30, 2014</w:t>
            </w:r>
          </w:p>
        </w:tc>
        <w:tc>
          <w:tcPr>
            <w:tcW w:w="2600" w:type="dxa"/>
            <w:vAlign w:val="bottom"/>
            <w:gridSpan w:val="6"/>
          </w:tcPr>
          <w:p>
            <w:pPr>
              <w:ind w:left="52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31-60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61-90 days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91+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160" w:type="dxa"/>
            <w:vAlign w:val="bottom"/>
            <w:tcBorders>
              <w:top w:val="single" w:sz="8" w:color="auto"/>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EEEEEE"/>
          </w:tcPr>
          <w:p>
            <w:pPr>
              <w:spacing w:after="0"/>
              <w:rPr>
                <w:sz w:val="22"/>
                <w:szCs w:val="22"/>
                <w:color w:val="auto"/>
              </w:rPr>
            </w:pP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281</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as a percentage of gross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w w:val="98"/>
              </w:rPr>
              <w:t>Contracts with one extension, accruing (4)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EEEEEE"/>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w:t>
            </w:r>
          </w:p>
        </w:tc>
        <w:tc>
          <w:tcPr>
            <w:tcW w:w="52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w:t>
            </w:r>
          </w:p>
        </w:tc>
        <w:tc>
          <w:tcPr>
            <w:tcW w:w="520" w:type="dxa"/>
            <w:vAlign w:val="bottom"/>
            <w:gridSpan w:val="2"/>
            <w:shd w:val="clear" w:color="auto" w:fill="EEEEEE"/>
          </w:tcPr>
          <w:p>
            <w:pPr>
              <w:jc w:val="right"/>
              <w:ind w:right="24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accruing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2,055</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Contracts with one extension, non-accrual</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non-accrual (4)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EEEEEE"/>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80" w:type="dxa"/>
            <w:vAlign w:val="bottom"/>
            <w:tcBorders>
              <w:bottom w:val="single" w:sz="8" w:color="auto"/>
            </w:tcBorders>
            <w:shd w:val="clear" w:color="auto" w:fill="EEEEEE"/>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w:t>
            </w:r>
          </w:p>
        </w:tc>
        <w:tc>
          <w:tcPr>
            <w:tcW w:w="2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jc w:val="right"/>
              <w:ind w:right="2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Originated and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ind w:left="520"/>
              <w:spacing w:after="0"/>
              <w:rPr>
                <w:sz w:val="20"/>
                <w:szCs w:val="20"/>
                <w:color w:val="auto"/>
              </w:rPr>
            </w:pPr>
            <w:r>
              <w:rPr>
                <w:rFonts w:ascii="Arial" w:cs="Arial" w:eastAsia="Arial" w:hAnsi="Arial"/>
                <w:sz w:val="18"/>
                <w:szCs w:val="18"/>
                <w:b w:val="1"/>
                <w:bCs w:val="1"/>
                <w:color w:val="auto"/>
              </w:rPr>
              <w:t>September 30, 2015</w:t>
            </w:r>
          </w:p>
        </w:tc>
        <w:tc>
          <w:tcPr>
            <w:tcW w:w="2700" w:type="dxa"/>
            <w:vAlign w:val="bottom"/>
            <w:gridSpan w:val="6"/>
          </w:tcPr>
          <w:p>
            <w:pPr>
              <w:ind w:left="500"/>
              <w:spacing w:after="0"/>
              <w:rPr>
                <w:sz w:val="20"/>
                <w:szCs w:val="20"/>
                <w:color w:val="auto"/>
              </w:rPr>
            </w:pPr>
            <w:r>
              <w:rPr>
                <w:rFonts w:ascii="Arial" w:cs="Arial" w:eastAsia="Arial" w:hAnsi="Arial"/>
                <w:sz w:val="18"/>
                <w:szCs w:val="18"/>
                <w:b w:val="1"/>
                <w:bCs w:val="1"/>
                <w:color w:val="auto"/>
              </w:rPr>
              <w:t>September 30, 2014</w:t>
            </w:r>
          </w:p>
        </w:tc>
        <w:tc>
          <w:tcPr>
            <w:tcW w:w="2600" w:type="dxa"/>
            <w:vAlign w:val="bottom"/>
            <w:gridSpan w:val="6"/>
          </w:tcPr>
          <w:p>
            <w:pPr>
              <w:ind w:left="52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80" w:type="dxa"/>
            <w:vAlign w:val="bottom"/>
            <w:tcBorders>
              <w:top w:val="single" w:sz="8" w:color="auto"/>
            </w:tcBorders>
            <w:gridSpan w:val="2"/>
          </w:tcPr>
          <w:p>
            <w:pPr>
              <w:jc w:val="center"/>
              <w:ind w:right="1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Borders>
              <w:top w:val="single" w:sz="8" w:color="auto"/>
            </w:tcBorders>
            <w:gridSpan w:val="2"/>
          </w:tcPr>
          <w:p>
            <w:pPr>
              <w:jc w:val="right"/>
              <w:ind w:right="240"/>
              <w:spacing w:after="0" w:line="205"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6"/>
          </w:tcPr>
          <w:p>
            <w:pPr>
              <w:ind w:left="36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143,057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1,940,546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115,623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1,517,821</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123,944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31-60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69,651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39,256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61-90 days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3,142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38,964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1,484</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17,543</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91+ days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11,152</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141,763</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69,651</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7,485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89,793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29,256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31,365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160" w:type="dxa"/>
            <w:vAlign w:val="bottom"/>
            <w:tcBorders>
              <w:top w:val="single" w:sz="8" w:color="auto"/>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8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20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1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8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(2)</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13,492</w:t>
            </w:r>
          </w:p>
        </w:tc>
        <w:tc>
          <w:tcPr>
            <w:tcW w:w="120" w:type="dxa"/>
            <w:vAlign w:val="bottom"/>
            <w:shd w:val="clear" w:color="auto" w:fill="EEEEEE"/>
          </w:tcPr>
          <w:p>
            <w:pPr>
              <w:spacing w:after="0"/>
              <w:rPr>
                <w:sz w:val="22"/>
                <w:szCs w:val="22"/>
                <w:color w:val="auto"/>
              </w:rPr>
            </w:pP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171,019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8,875</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101,016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10,150</w:t>
            </w:r>
          </w:p>
        </w:tc>
        <w:tc>
          <w:tcPr>
            <w:tcW w:w="2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as a percentage of gross</w:t>
            </w: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servicing portfolio</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 accruing (4)</w:t>
            </w: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8"/>
              </w:rPr>
              <w:t>24,685</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333,585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17,313</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224,458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18,377</w:t>
            </w:r>
          </w:p>
        </w:tc>
        <w:tc>
          <w:tcPr>
            <w:tcW w:w="44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gridSpan w:val="2"/>
          </w:tcPr>
          <w:p>
            <w:pPr>
              <w:ind w:left="80"/>
              <w:spacing w:after="0"/>
              <w:rPr>
                <w:sz w:val="20"/>
                <w:szCs w:val="20"/>
                <w:color w:val="auto"/>
              </w:rPr>
            </w:pPr>
            <w:r>
              <w:rPr>
                <w:rFonts w:ascii="Arial" w:cs="Arial" w:eastAsia="Arial" w:hAnsi="Arial"/>
                <w:sz w:val="18"/>
                <w:szCs w:val="18"/>
                <w:color w:val="auto"/>
              </w:rPr>
              <w:t>accruing (4)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14,666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191,837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77,636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39,351</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525,422</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24,215</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302,094</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26,217</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332,678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2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Contracts with one extension, non-accrual</w:t>
            </w:r>
          </w:p>
        </w:tc>
        <w:tc>
          <w:tcPr>
            <w:tcW w:w="5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80"/>
              <w:spacing w:after="0"/>
              <w:rPr>
                <w:sz w:val="20"/>
                <w:szCs w:val="20"/>
                <w:color w:val="auto"/>
              </w:rPr>
            </w:pPr>
            <w:r>
              <w:rPr>
                <w:rFonts w:ascii="Arial" w:cs="Arial" w:eastAsia="Arial" w:hAnsi="Arial"/>
                <w:sz w:val="18"/>
                <w:szCs w:val="18"/>
                <w:color w:val="auto"/>
              </w:rPr>
              <w:t>(4)</w:t>
            </w:r>
          </w:p>
        </w:tc>
        <w:tc>
          <w:tcPr>
            <w:tcW w:w="600" w:type="dxa"/>
            <w:vAlign w:val="bottom"/>
            <w:shd w:val="clear" w:color="auto" w:fill="EEEEEE"/>
          </w:tcPr>
          <w:p>
            <w:pPr>
              <w:spacing w:after="0"/>
              <w:rPr>
                <w:sz w:val="20"/>
                <w:szCs w:val="20"/>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16,586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11,825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gridSpan w:val="2"/>
          </w:tcPr>
          <w:p>
            <w:pPr>
              <w:ind w:left="80"/>
              <w:spacing w:after="0"/>
              <w:rPr>
                <w:sz w:val="20"/>
                <w:szCs w:val="20"/>
                <w:color w:val="auto"/>
              </w:rPr>
            </w:pPr>
            <w:r>
              <w:rPr>
                <w:rFonts w:ascii="Arial" w:cs="Arial" w:eastAsia="Arial" w:hAnsi="Arial"/>
                <w:sz w:val="18"/>
                <w:szCs w:val="18"/>
                <w:color w:val="auto"/>
              </w:rPr>
              <w:t>non-accrual (4)</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11,304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4,532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27,890</w:t>
            </w:r>
          </w:p>
        </w:tc>
        <w:tc>
          <w:tcPr>
            <w:tcW w:w="22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16,357</w:t>
            </w:r>
          </w:p>
        </w:tc>
        <w:tc>
          <w:tcPr>
            <w:tcW w:w="20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EEEEEE"/>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contracts with extensions</w:t>
            </w:r>
          </w:p>
        </w:tc>
        <w:tc>
          <w:tcPr>
            <w:tcW w:w="600" w:type="dxa"/>
            <w:vAlign w:val="bottom"/>
            <w:tcBorders>
              <w:bottom w:val="single" w:sz="8" w:color="auto"/>
            </w:tcBorders>
            <w:shd w:val="clear" w:color="auto" w:fill="EEEEEE"/>
          </w:tcPr>
          <w:p>
            <w:pPr>
              <w:spacing w:after="0"/>
              <w:rPr>
                <w:sz w:val="19"/>
                <w:szCs w:val="19"/>
                <w:color w:val="auto"/>
              </w:rPr>
            </w:pPr>
          </w:p>
        </w:tc>
        <w:tc>
          <w:tcPr>
            <w:tcW w:w="5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41,508</w:t>
            </w: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553,312</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25,826</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318,451</w:t>
            </w:r>
          </w:p>
        </w:tc>
        <w:tc>
          <w:tcPr>
            <w:tcW w:w="20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353,899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22"/>
                <w:szCs w:val="22"/>
                <w:color w:val="auto"/>
                <w:w w:val="75"/>
              </w:rPr>
              <w:t>____________________________________</w:t>
            </w: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34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firstLine="8"/>
        <w:spacing w:after="0" w:line="250" w:lineRule="auto"/>
        <w:tabs>
          <w:tab w:leader="none" w:pos="278"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19"/>
                <w:szCs w:val="19"/>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1,796,461</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1,463,261</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1,415,667</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482"/>
        </w:trPr>
        <w:tc>
          <w:tcPr>
            <w:tcW w:w="7620" w:type="dxa"/>
            <w:vAlign w:val="bottom"/>
            <w:gridSpan w:val="4"/>
          </w:tcPr>
          <w:p>
            <w:pPr>
              <w:jc w:val="center"/>
              <w:ind w:left="3706"/>
              <w:spacing w:after="0"/>
              <w:rPr>
                <w:sz w:val="20"/>
                <w:szCs w:val="20"/>
                <w:color w:val="auto"/>
              </w:rPr>
            </w:pPr>
            <w:r>
              <w:rPr>
                <w:rFonts w:ascii="Arial" w:cs="Arial" w:eastAsia="Arial" w:hAnsi="Arial"/>
                <w:sz w:val="22"/>
                <w:szCs w:val="22"/>
                <w:b w:val="1"/>
                <w:bCs w:val="1"/>
                <w:color w:val="auto"/>
                <w:w w:val="89"/>
              </w:rPr>
              <w:t>Fireside Portfolio</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543</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3,939</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5,919</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20"/>
                <w:szCs w:val="20"/>
                <w:color w:val="auto"/>
              </w:rPr>
            </w:pPr>
          </w:p>
        </w:tc>
        <w:tc>
          <w:tcPr>
            <w:tcW w:w="16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427"/>
        </w:trPr>
        <w:tc>
          <w:tcPr>
            <w:tcW w:w="7620" w:type="dxa"/>
            <w:vAlign w:val="bottom"/>
            <w:gridSpan w:val="4"/>
          </w:tcPr>
          <w:p>
            <w:pPr>
              <w:jc w:val="center"/>
              <w:ind w:left="3726"/>
              <w:spacing w:after="0"/>
              <w:rPr>
                <w:sz w:val="20"/>
                <w:szCs w:val="20"/>
                <w:color w:val="auto"/>
              </w:rPr>
            </w:pPr>
            <w:r>
              <w:rPr>
                <w:rFonts w:ascii="Arial" w:cs="Arial" w:eastAsia="Arial" w:hAnsi="Arial"/>
                <w:sz w:val="18"/>
                <w:szCs w:val="18"/>
                <w:b w:val="1"/>
                <w:bCs w:val="1"/>
                <w:color w:val="auto"/>
                <w:w w:val="92"/>
              </w:rPr>
              <w:t>Net Charge-Off Experience (1)</w:t>
            </w: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20" w:type="dxa"/>
            <w:vAlign w:val="bottom"/>
            <w:gridSpan w:val="4"/>
          </w:tcPr>
          <w:p>
            <w:pPr>
              <w:jc w:val="center"/>
              <w:ind w:left="3726"/>
              <w:spacing w:after="0"/>
              <w:rPr>
                <w:sz w:val="20"/>
                <w:szCs w:val="20"/>
                <w:color w:val="auto"/>
              </w:rPr>
            </w:pPr>
            <w:r>
              <w:rPr>
                <w:rFonts w:ascii="Arial" w:cs="Arial" w:eastAsia="Arial" w:hAnsi="Arial"/>
                <w:sz w:val="18"/>
                <w:szCs w:val="18"/>
                <w:b w:val="1"/>
                <w:bCs w:val="1"/>
                <w:color w:val="auto"/>
                <w:w w:val="91"/>
              </w:rPr>
              <w:t>Total Owned Portfolio Including Fireside</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4"/>
                <w:szCs w:val="24"/>
                <w:color w:val="auto"/>
              </w:rPr>
            </w:pPr>
          </w:p>
        </w:tc>
        <w:tc>
          <w:tcPr>
            <w:tcW w:w="160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9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3"/>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1,797,004</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1,467,200</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1,421,586</w:t>
            </w:r>
          </w:p>
        </w:tc>
      </w:tr>
      <w:tr>
        <w:trPr>
          <w:trHeight w:val="195"/>
        </w:trPr>
        <w:tc>
          <w:tcPr>
            <w:tcW w:w="5700" w:type="dxa"/>
            <w:vAlign w:val="bottom"/>
          </w:tcPr>
          <w:p>
            <w:pPr>
              <w:spacing w:after="0" w:line="195" w:lineRule="exact"/>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6.5%</w:t>
            </w:r>
          </w:p>
        </w:tc>
        <w:tc>
          <w:tcPr>
            <w:tcW w:w="360" w:type="dxa"/>
            <w:vAlign w:val="bottom"/>
          </w:tcPr>
          <w:p>
            <w:pPr>
              <w:spacing w:after="0"/>
              <w:rPr>
                <w:sz w:val="16"/>
                <w:szCs w:val="16"/>
                <w:color w:val="auto"/>
              </w:rPr>
            </w:pPr>
          </w:p>
        </w:tc>
        <w:tc>
          <w:tcPr>
            <w:tcW w:w="1600" w:type="dxa"/>
            <w:vAlign w:val="bottom"/>
          </w:tcPr>
          <w:p>
            <w:pPr>
              <w:jc w:val="right"/>
              <w:ind w:right="90"/>
              <w:spacing w:after="0" w:line="195" w:lineRule="exact"/>
              <w:rPr>
                <w:sz w:val="20"/>
                <w:szCs w:val="20"/>
                <w:color w:val="auto"/>
              </w:rPr>
            </w:pPr>
            <w:r>
              <w:rPr>
                <w:rFonts w:ascii="Arial" w:cs="Arial" w:eastAsia="Arial" w:hAnsi="Arial"/>
                <w:sz w:val="18"/>
                <w:szCs w:val="18"/>
                <w:color w:val="auto"/>
              </w:rPr>
              <w:t>5.6%</w:t>
            </w:r>
          </w:p>
        </w:tc>
        <w:tc>
          <w:tcPr>
            <w:tcW w:w="320" w:type="dxa"/>
            <w:vAlign w:val="bottom"/>
          </w:tcPr>
          <w:p>
            <w:pPr>
              <w:spacing w:after="0"/>
              <w:rPr>
                <w:sz w:val="16"/>
                <w:szCs w:val="16"/>
                <w:color w:val="auto"/>
              </w:rPr>
            </w:pPr>
          </w:p>
        </w:tc>
        <w:tc>
          <w:tcPr>
            <w:tcW w:w="152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5.8%</w:t>
            </w:r>
          </w:p>
        </w:tc>
      </w:tr>
      <w:tr>
        <w:trPr>
          <w:trHeight w:val="266"/>
        </w:trPr>
        <w:tc>
          <w:tcPr>
            <w:tcW w:w="5700" w:type="dxa"/>
            <w:vAlign w:val="bottom"/>
          </w:tcPr>
          <w:p>
            <w:pPr>
              <w:spacing w:after="0"/>
              <w:rPr>
                <w:sz w:val="20"/>
                <w:szCs w:val="20"/>
                <w:color w:val="auto"/>
              </w:rPr>
            </w:pPr>
            <w:r>
              <w:rPr>
                <w:rFonts w:ascii="Arial" w:cs="Arial" w:eastAsia="Arial" w:hAnsi="Arial"/>
                <w:sz w:val="22"/>
                <w:szCs w:val="22"/>
                <w:i w:val="1"/>
                <w:iCs w:val="1"/>
                <w:color w:val="auto"/>
              </w:rPr>
              <w:t>_________________________</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bl>
    <w:p>
      <w:pPr>
        <w:ind w:firstLine="8"/>
        <w:spacing w:after="0" w:line="249" w:lineRule="auto"/>
        <w:tabs>
          <w:tab w:leader="none" w:pos="278"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September 30, 2015 and September 30, 2014 percentage represents nine months ended September 30, 2015 and September 30, 2014 annualized. December 31, 2014 represents 12 months ended December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7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September 30, 2015, for accounts that received extensions from 2008 through 2014 (2015 extension data are not included at this time due to insufficient passage of time for meaningful evaluation of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8"/>
                <w:szCs w:val="18"/>
                <w:color w:val="auto"/>
                <w:w w:val="93"/>
              </w:rPr>
              <w:t>Active or Paid</w:t>
            </w:r>
          </w:p>
        </w:tc>
        <w:tc>
          <w:tcPr>
            <w:tcW w:w="1260" w:type="dxa"/>
            <w:vAlign w:val="bottom"/>
            <w:gridSpan w:val="8"/>
          </w:tcPr>
          <w:p>
            <w:pPr>
              <w:jc w:val="center"/>
              <w:ind w:right="200"/>
              <w:spacing w:after="0"/>
              <w:rPr>
                <w:sz w:val="20"/>
                <w:szCs w:val="20"/>
                <w:color w:val="auto"/>
              </w:rPr>
            </w:pPr>
            <w:r>
              <w:rPr>
                <w:rFonts w:ascii="Arial" w:cs="Arial" w:eastAsia="Arial" w:hAnsi="Arial"/>
                <w:sz w:val="18"/>
                <w:szCs w:val="18"/>
                <w:color w:val="auto"/>
                <w:w w:val="94"/>
              </w:rPr>
              <w:t>% Active or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center"/>
              <w:ind w:right="300"/>
              <w:spacing w:after="0" w:line="196" w:lineRule="exact"/>
              <w:rPr>
                <w:sz w:val="20"/>
                <w:szCs w:val="20"/>
                <w:color w:val="auto"/>
              </w:rPr>
            </w:pPr>
            <w:r>
              <w:rPr>
                <w:rFonts w:ascii="Arial" w:cs="Arial" w:eastAsia="Arial" w:hAnsi="Arial"/>
                <w:sz w:val="18"/>
                <w:szCs w:val="18"/>
                <w:color w:val="auto"/>
                <w:w w:val="90"/>
              </w:rPr>
              <w:t>Off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4"/>
          </w:tcPr>
          <w:p>
            <w:pPr>
              <w:jc w:val="center"/>
              <w:ind w:right="40"/>
              <w:spacing w:after="0" w:line="196" w:lineRule="exact"/>
              <w:rPr>
                <w:sz w:val="20"/>
                <w:szCs w:val="20"/>
                <w:color w:val="auto"/>
              </w:rPr>
            </w:pPr>
            <w:r>
              <w:rPr>
                <w:rFonts w:ascii="Arial" w:cs="Arial" w:eastAsia="Arial" w:hAnsi="Arial"/>
                <w:sz w:val="18"/>
                <w:szCs w:val="18"/>
                <w:color w:val="auto"/>
                <w:w w:val="91"/>
              </w:rPr>
              <w:t>Paid Off at</w:t>
            </w:r>
          </w:p>
        </w:tc>
        <w:tc>
          <w:tcPr>
            <w:tcW w:w="300" w:type="dxa"/>
            <w:vAlign w:val="bottom"/>
            <w:gridSpan w:val="2"/>
          </w:tcPr>
          <w:p>
            <w:pPr>
              <w:spacing w:after="0"/>
              <w:rPr>
                <w:sz w:val="17"/>
                <w:szCs w:val="17"/>
                <w:color w:val="auto"/>
              </w:rPr>
            </w:pPr>
          </w:p>
        </w:tc>
        <w:tc>
          <w:tcPr>
            <w:tcW w:w="116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91"/>
              </w:rPr>
              <w:t>Charged Off &gt;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right"/>
              <w:ind w:right="160"/>
              <w:spacing w:after="0" w:line="196" w:lineRule="exact"/>
              <w:rPr>
                <w:sz w:val="20"/>
                <w:szCs w:val="20"/>
                <w:color w:val="auto"/>
              </w:rPr>
            </w:pPr>
            <w:r>
              <w:rPr>
                <w:rFonts w:ascii="Arial" w:cs="Arial" w:eastAsia="Arial" w:hAnsi="Arial"/>
                <w:sz w:val="18"/>
                <w:szCs w:val="18"/>
                <w:color w:val="auto"/>
                <w:w w:val="88"/>
              </w:rPr>
              <w:t>% Charged Off</w:t>
            </w:r>
          </w:p>
        </w:tc>
        <w:tc>
          <w:tcPr>
            <w:tcW w:w="124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90"/>
              </w:rPr>
              <w:t>Charged Off &lt;=</w:t>
            </w:r>
          </w:p>
        </w:tc>
        <w:tc>
          <w:tcPr>
            <w:tcW w:w="20" w:type="dxa"/>
            <w:vAlign w:val="bottom"/>
          </w:tcPr>
          <w:p>
            <w:pPr>
              <w:spacing w:after="0"/>
              <w:rPr>
                <w:sz w:val="17"/>
                <w:szCs w:val="17"/>
                <w:color w:val="auto"/>
              </w:rPr>
            </w:pPr>
          </w:p>
        </w:tc>
        <w:tc>
          <w:tcPr>
            <w:tcW w:w="1200" w:type="dxa"/>
            <w:vAlign w:val="bottom"/>
            <w:gridSpan w:val="5"/>
          </w:tcPr>
          <w:p>
            <w:pPr>
              <w:jc w:val="center"/>
              <w:ind w:right="100"/>
              <w:spacing w:after="0" w:line="196" w:lineRule="exact"/>
              <w:rPr>
                <w:sz w:val="20"/>
                <w:szCs w:val="20"/>
                <w:color w:val="auto"/>
              </w:rPr>
            </w:pPr>
            <w:r>
              <w:rPr>
                <w:rFonts w:ascii="Arial" w:cs="Arial" w:eastAsia="Arial" w:hAnsi="Arial"/>
                <w:sz w:val="18"/>
                <w:szCs w:val="18"/>
                <w:color w:val="auto"/>
                <w:w w:val="92"/>
              </w:rPr>
              <w:t>% Charged Off</w:t>
            </w:r>
          </w:p>
        </w:tc>
        <w:tc>
          <w:tcPr>
            <w:tcW w:w="1220" w:type="dxa"/>
            <w:vAlign w:val="bottom"/>
            <w:gridSpan w:val="5"/>
          </w:tcPr>
          <w:p>
            <w:pPr>
              <w:jc w:val="center"/>
              <w:ind w:right="20"/>
              <w:spacing w:after="0" w:line="196" w:lineRule="exact"/>
              <w:rPr>
                <w:sz w:val="20"/>
                <w:szCs w:val="20"/>
                <w:color w:val="auto"/>
              </w:rPr>
            </w:pPr>
            <w:r>
              <w:rPr>
                <w:rFonts w:ascii="Arial" w:cs="Arial" w:eastAsia="Arial" w:hAnsi="Arial"/>
                <w:sz w:val="18"/>
                <w:szCs w:val="18"/>
                <w:color w:val="auto"/>
                <w:w w:val="93"/>
              </w:rPr>
              <w:t>Avg Months to</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1"/>
              </w:rPr>
              <w:t>Period of</w:t>
            </w:r>
          </w:p>
        </w:tc>
        <w:tc>
          <w:tcPr>
            <w:tcW w:w="1360" w:type="dxa"/>
            <w:vAlign w:val="bottom"/>
            <w:gridSpan w:val="5"/>
          </w:tcPr>
          <w:p>
            <w:pPr>
              <w:jc w:val="right"/>
              <w:ind w:right="180"/>
              <w:spacing w:after="0" w:line="196" w:lineRule="exact"/>
              <w:rPr>
                <w:sz w:val="20"/>
                <w:szCs w:val="20"/>
                <w:color w:val="auto"/>
              </w:rPr>
            </w:pPr>
            <w:r>
              <w:rPr>
                <w:rFonts w:ascii="Arial" w:cs="Arial" w:eastAsia="Arial" w:hAnsi="Arial"/>
                <w:sz w:val="18"/>
                <w:szCs w:val="18"/>
                <w:color w:val="auto"/>
              </w:rPr>
              <w:t># Extensions</w:t>
            </w:r>
          </w:p>
        </w:tc>
        <w:tc>
          <w:tcPr>
            <w:tcW w:w="1340" w:type="dxa"/>
            <w:vAlign w:val="bottom"/>
            <w:gridSpan w:val="5"/>
          </w:tcPr>
          <w:p>
            <w:pPr>
              <w:jc w:val="center"/>
              <w:ind w:right="140"/>
              <w:spacing w:after="0" w:line="196" w:lineRule="exact"/>
              <w:rPr>
                <w:sz w:val="20"/>
                <w:szCs w:val="20"/>
                <w:color w:val="auto"/>
              </w:rPr>
            </w:pPr>
            <w:r>
              <w:rPr>
                <w:rFonts w:ascii="Arial" w:cs="Arial" w:eastAsia="Arial" w:hAnsi="Arial"/>
                <w:sz w:val="18"/>
                <w:szCs w:val="18"/>
                <w:color w:val="auto"/>
                <w:w w:val="88"/>
              </w:rPr>
              <w:t>September 30,</w:t>
            </w:r>
          </w:p>
        </w:tc>
        <w:tc>
          <w:tcPr>
            <w:tcW w:w="1260" w:type="dxa"/>
            <w:vAlign w:val="bottom"/>
            <w:gridSpan w:val="8"/>
          </w:tcPr>
          <w:p>
            <w:pPr>
              <w:jc w:val="center"/>
              <w:ind w:right="220"/>
              <w:spacing w:after="0" w:line="196" w:lineRule="exact"/>
              <w:rPr>
                <w:sz w:val="20"/>
                <w:szCs w:val="20"/>
                <w:color w:val="auto"/>
              </w:rPr>
            </w:pPr>
            <w:r>
              <w:rPr>
                <w:rFonts w:ascii="Arial" w:cs="Arial" w:eastAsia="Arial" w:hAnsi="Arial"/>
                <w:sz w:val="18"/>
                <w:szCs w:val="18"/>
                <w:color w:val="auto"/>
                <w:w w:val="88"/>
              </w:rPr>
              <w:t>September 30,</w:t>
            </w:r>
          </w:p>
        </w:tc>
        <w:tc>
          <w:tcPr>
            <w:tcW w:w="11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auto"/>
                <w:w w:val="92"/>
              </w:rPr>
              <w:t>6 Months After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5"/>
          </w:tcPr>
          <w:p>
            <w:pPr>
              <w:jc w:val="right"/>
              <w:ind w:right="280"/>
              <w:spacing w:after="0" w:line="196" w:lineRule="exact"/>
              <w:rPr>
                <w:sz w:val="20"/>
                <w:szCs w:val="20"/>
                <w:color w:val="auto"/>
              </w:rPr>
            </w:pPr>
            <w:r>
              <w:rPr>
                <w:rFonts w:ascii="Arial" w:cs="Arial" w:eastAsia="Arial" w:hAnsi="Arial"/>
                <w:sz w:val="18"/>
                <w:szCs w:val="18"/>
                <w:color w:val="auto"/>
              </w:rPr>
              <w:t>&gt; 6 Months</w:t>
            </w:r>
          </w:p>
        </w:tc>
        <w:tc>
          <w:tcPr>
            <w:tcW w:w="1240" w:type="dxa"/>
            <w:vAlign w:val="bottom"/>
            <w:gridSpan w:val="4"/>
          </w:tcPr>
          <w:p>
            <w:pPr>
              <w:jc w:val="center"/>
              <w:ind w:right="140"/>
              <w:spacing w:after="0" w:line="196" w:lineRule="exact"/>
              <w:rPr>
                <w:sz w:val="20"/>
                <w:szCs w:val="20"/>
                <w:color w:val="auto"/>
              </w:rPr>
            </w:pPr>
            <w:r>
              <w:rPr>
                <w:rFonts w:ascii="Arial" w:cs="Arial" w:eastAsia="Arial" w:hAnsi="Arial"/>
                <w:sz w:val="18"/>
                <w:szCs w:val="18"/>
                <w:color w:val="auto"/>
                <w:w w:val="93"/>
              </w:rPr>
              <w:t>6 Months After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4"/>
          </w:tcPr>
          <w:p>
            <w:pPr>
              <w:jc w:val="center"/>
              <w:ind w:right="180"/>
              <w:spacing w:after="0" w:line="196" w:lineRule="exact"/>
              <w:rPr>
                <w:sz w:val="20"/>
                <w:szCs w:val="20"/>
                <w:color w:val="auto"/>
              </w:rPr>
            </w:pPr>
            <w:r>
              <w:rPr>
                <w:rFonts w:ascii="Arial" w:cs="Arial" w:eastAsia="Arial" w:hAnsi="Arial"/>
                <w:sz w:val="18"/>
                <w:szCs w:val="18"/>
                <w:color w:val="auto"/>
                <w:w w:val="93"/>
              </w:rPr>
              <w:t>&lt;= 6 Months</w:t>
            </w:r>
          </w:p>
        </w:tc>
        <w:tc>
          <w:tcPr>
            <w:tcW w:w="60" w:type="dxa"/>
            <w:vAlign w:val="bottom"/>
          </w:tcPr>
          <w:p>
            <w:pPr>
              <w:spacing w:after="0"/>
              <w:rPr>
                <w:sz w:val="17"/>
                <w:szCs w:val="17"/>
                <w:color w:val="auto"/>
              </w:rPr>
            </w:pPr>
          </w:p>
        </w:tc>
        <w:tc>
          <w:tcPr>
            <w:tcW w:w="11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auto"/>
                <w:w w:val="90"/>
              </w:rPr>
              <w:t>Charge Off</w:t>
            </w: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300" w:type="dxa"/>
            <w:vAlign w:val="bottom"/>
            <w:gridSpan w:val="5"/>
          </w:tcPr>
          <w:p>
            <w:pPr>
              <w:jc w:val="center"/>
              <w:ind w:left="10"/>
              <w:spacing w:after="0" w:line="196" w:lineRule="exact"/>
              <w:rPr>
                <w:sz w:val="20"/>
                <w:szCs w:val="20"/>
                <w:color w:val="auto"/>
              </w:rPr>
            </w:pPr>
            <w:r>
              <w:rPr>
                <w:rFonts w:ascii="Arial" w:cs="Arial" w:eastAsia="Arial" w:hAnsi="Arial"/>
                <w:sz w:val="18"/>
                <w:szCs w:val="18"/>
                <w:color w:val="auto"/>
                <w:w w:val="91"/>
              </w:rPr>
              <w:t>Extension</w:t>
            </w:r>
          </w:p>
        </w:tc>
        <w:tc>
          <w:tcPr>
            <w:tcW w:w="260" w:type="dxa"/>
            <w:vAlign w:val="bottom"/>
          </w:tcPr>
          <w:p>
            <w:pPr>
              <w:spacing w:after="0"/>
              <w:rPr>
                <w:sz w:val="17"/>
                <w:szCs w:val="17"/>
                <w:color w:val="auto"/>
              </w:rPr>
            </w:pPr>
          </w:p>
        </w:tc>
        <w:tc>
          <w:tcPr>
            <w:tcW w:w="1100" w:type="dxa"/>
            <w:vAlign w:val="bottom"/>
            <w:gridSpan w:val="4"/>
          </w:tcPr>
          <w:p>
            <w:pPr>
              <w:jc w:val="right"/>
              <w:ind w:right="360"/>
              <w:spacing w:after="0" w:line="196" w:lineRule="exact"/>
              <w:rPr>
                <w:sz w:val="20"/>
                <w:szCs w:val="20"/>
                <w:color w:val="auto"/>
              </w:rPr>
            </w:pPr>
            <w:r>
              <w:rPr>
                <w:rFonts w:ascii="Arial" w:cs="Arial" w:eastAsia="Arial" w:hAnsi="Arial"/>
                <w:sz w:val="18"/>
                <w:szCs w:val="18"/>
                <w:color w:val="auto"/>
              </w:rPr>
              <w:t>Granted</w:t>
            </w:r>
          </w:p>
        </w:tc>
        <w:tc>
          <w:tcPr>
            <w:tcW w:w="820" w:type="dxa"/>
            <w:vAlign w:val="bottom"/>
            <w:gridSpan w:val="3"/>
          </w:tcPr>
          <w:p>
            <w:pPr>
              <w:jc w:val="center"/>
              <w:ind w:left="290"/>
              <w:spacing w:after="0" w:line="196" w:lineRule="exact"/>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5"/>
          </w:tcPr>
          <w:p>
            <w:pPr>
              <w:jc w:val="center"/>
              <w:ind w:left="30"/>
              <w:spacing w:after="0" w:line="196" w:lineRule="exact"/>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280"/>
              <w:spacing w:after="0" w:line="196" w:lineRule="exact"/>
              <w:rPr>
                <w:sz w:val="20"/>
                <w:szCs w:val="20"/>
                <w:color w:val="auto"/>
              </w:rPr>
            </w:pPr>
            <w:r>
              <w:rPr>
                <w:rFonts w:ascii="Arial" w:cs="Arial" w:eastAsia="Arial" w:hAnsi="Arial"/>
                <w:sz w:val="18"/>
                <w:szCs w:val="18"/>
                <w:color w:val="auto"/>
                <w:w w:val="91"/>
              </w:rPr>
              <w:t>Extension</w:t>
            </w:r>
          </w:p>
        </w:tc>
        <w:tc>
          <w:tcPr>
            <w:tcW w:w="1320" w:type="dxa"/>
            <w:vAlign w:val="bottom"/>
            <w:gridSpan w:val="7"/>
          </w:tcPr>
          <w:p>
            <w:pPr>
              <w:jc w:val="right"/>
              <w:ind w:right="120"/>
              <w:spacing w:after="0" w:line="196" w:lineRule="exact"/>
              <w:rPr>
                <w:sz w:val="20"/>
                <w:szCs w:val="20"/>
                <w:color w:val="auto"/>
              </w:rPr>
            </w:pPr>
            <w:r>
              <w:rPr>
                <w:rFonts w:ascii="Arial" w:cs="Arial" w:eastAsia="Arial" w:hAnsi="Arial"/>
                <w:sz w:val="18"/>
                <w:szCs w:val="18"/>
                <w:color w:val="auto"/>
                <w:w w:val="96"/>
              </w:rPr>
              <w:t>After Extension</w:t>
            </w:r>
          </w:p>
        </w:tc>
        <w:tc>
          <w:tcPr>
            <w:tcW w:w="1240" w:type="dxa"/>
            <w:vAlign w:val="bottom"/>
            <w:gridSpan w:val="4"/>
          </w:tcPr>
          <w:p>
            <w:pPr>
              <w:jc w:val="center"/>
              <w:ind w:right="120"/>
              <w:spacing w:after="0" w:line="196" w:lineRule="exact"/>
              <w:rPr>
                <w:sz w:val="20"/>
                <w:szCs w:val="20"/>
                <w:color w:val="auto"/>
              </w:rPr>
            </w:pPr>
            <w:r>
              <w:rPr>
                <w:rFonts w:ascii="Arial" w:cs="Arial" w:eastAsia="Arial" w:hAnsi="Arial"/>
                <w:sz w:val="18"/>
                <w:szCs w:val="18"/>
                <w:color w:val="auto"/>
                <w:w w:val="91"/>
              </w:rPr>
              <w:t>Extension</w:t>
            </w:r>
          </w:p>
        </w:tc>
        <w:tc>
          <w:tcPr>
            <w:tcW w:w="1220" w:type="dxa"/>
            <w:vAlign w:val="bottom"/>
            <w:gridSpan w:val="6"/>
          </w:tcPr>
          <w:p>
            <w:pPr>
              <w:jc w:val="center"/>
              <w:ind w:right="80"/>
              <w:spacing w:after="0" w:line="196" w:lineRule="exact"/>
              <w:rPr>
                <w:sz w:val="20"/>
                <w:szCs w:val="20"/>
                <w:color w:val="auto"/>
              </w:rPr>
            </w:pPr>
            <w:r>
              <w:rPr>
                <w:rFonts w:ascii="Arial" w:cs="Arial" w:eastAsia="Arial" w:hAnsi="Arial"/>
                <w:sz w:val="18"/>
                <w:szCs w:val="18"/>
                <w:color w:val="auto"/>
                <w:w w:val="93"/>
              </w:rPr>
              <w:t>After Extension</w:t>
            </w:r>
          </w:p>
        </w:tc>
        <w:tc>
          <w:tcPr>
            <w:tcW w:w="60" w:type="dxa"/>
            <w:vAlign w:val="bottom"/>
          </w:tcPr>
          <w:p>
            <w:pPr>
              <w:spacing w:after="0"/>
              <w:rPr>
                <w:sz w:val="17"/>
                <w:szCs w:val="17"/>
                <w:color w:val="auto"/>
              </w:rPr>
            </w:pPr>
          </w:p>
        </w:tc>
        <w:tc>
          <w:tcPr>
            <w:tcW w:w="1160" w:type="dxa"/>
            <w:vAlign w:val="bottom"/>
            <w:gridSpan w:val="4"/>
          </w:tcPr>
          <w:p>
            <w:pPr>
              <w:jc w:val="center"/>
              <w:ind w:right="80"/>
              <w:spacing w:after="0" w:line="196" w:lineRule="exact"/>
              <w:rPr>
                <w:sz w:val="20"/>
                <w:szCs w:val="20"/>
                <w:color w:val="auto"/>
              </w:rPr>
            </w:pPr>
            <w:r>
              <w:rPr>
                <w:rFonts w:ascii="Arial" w:cs="Arial" w:eastAsia="Arial" w:hAnsi="Arial"/>
                <w:sz w:val="18"/>
                <w:szCs w:val="18"/>
                <w:color w:val="auto"/>
                <w:w w:val="89"/>
              </w:rPr>
              <w:t>Post Extension</w:t>
            </w:r>
          </w:p>
        </w:tc>
      </w:tr>
      <w:tr>
        <w:trPr>
          <w:trHeight w:val="237"/>
        </w:trPr>
        <w:tc>
          <w:tcPr>
            <w:tcW w:w="3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2008</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35,588</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10,739</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30.2%</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20,030</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56.3%</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4,819</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13.5%</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2009</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32,226</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10,304</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32.0%</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16,139</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50.1%</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5,783</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17.9%</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17</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2010</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26,167</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12,212</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46.7%</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11,956</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45.7%</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1,999</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7.6%</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2011</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18,786</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11,072</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58.9%</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6,782</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36.1%</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932</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2012</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18,783</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11,913</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63.4%</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6,074</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32.3%</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796</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2013</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23,398</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15,361</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65.7%</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7,061</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30.2%</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976</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4.2%</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14</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20" w:type="dxa"/>
            <w:vAlign w:val="bottom"/>
            <w:gridSpan w:val="3"/>
            <w:shd w:val="clear" w:color="auto" w:fill="EEEEEE"/>
          </w:tcPr>
          <w:p>
            <w:pPr>
              <w:jc w:val="center"/>
              <w:ind w:left="290"/>
              <w:spacing w:after="0"/>
              <w:rPr>
                <w:sz w:val="20"/>
                <w:szCs w:val="20"/>
                <w:color w:val="auto"/>
              </w:rPr>
            </w:pPr>
            <w:r>
              <w:rPr>
                <w:rFonts w:ascii="Arial" w:cs="Arial" w:eastAsia="Arial" w:hAnsi="Arial"/>
                <w:sz w:val="18"/>
                <w:szCs w:val="18"/>
                <w:color w:val="auto"/>
                <w:w w:val="89"/>
              </w:rPr>
              <w:t>2014</w:t>
            </w: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gridSpan w:val="5"/>
            <w:shd w:val="clear" w:color="auto" w:fill="EEEEEE"/>
          </w:tcPr>
          <w:p>
            <w:pPr>
              <w:jc w:val="right"/>
              <w:ind w:right="80"/>
              <w:spacing w:after="0"/>
              <w:rPr>
                <w:sz w:val="20"/>
                <w:szCs w:val="20"/>
                <w:color w:val="auto"/>
              </w:rPr>
            </w:pPr>
            <w:r>
              <w:rPr>
                <w:rFonts w:ascii="Arial" w:cs="Arial" w:eastAsia="Arial" w:hAnsi="Arial"/>
                <w:sz w:val="18"/>
                <w:szCs w:val="18"/>
                <w:color w:val="auto"/>
              </w:rPr>
              <w:t>25,773</w:t>
            </w:r>
          </w:p>
        </w:tc>
        <w:tc>
          <w:tcPr>
            <w:tcW w:w="1340" w:type="dxa"/>
            <w:vAlign w:val="bottom"/>
            <w:gridSpan w:val="5"/>
            <w:shd w:val="clear" w:color="auto" w:fill="EEEEEE"/>
          </w:tcPr>
          <w:p>
            <w:pPr>
              <w:jc w:val="right"/>
              <w:ind w:right="160"/>
              <w:spacing w:after="0"/>
              <w:rPr>
                <w:sz w:val="20"/>
                <w:szCs w:val="20"/>
                <w:color w:val="auto"/>
              </w:rPr>
            </w:pPr>
            <w:r>
              <w:rPr>
                <w:rFonts w:ascii="Arial" w:cs="Arial" w:eastAsia="Arial" w:hAnsi="Arial"/>
                <w:sz w:val="18"/>
                <w:szCs w:val="18"/>
                <w:color w:val="auto"/>
              </w:rPr>
              <w:t>20,631</w:t>
            </w:r>
          </w:p>
        </w:tc>
        <w:tc>
          <w:tcPr>
            <w:tcW w:w="1260" w:type="dxa"/>
            <w:vAlign w:val="bottom"/>
            <w:tcBorders>
              <w:right w:val="single" w:sz="8" w:color="EEEEEE"/>
            </w:tcBorders>
            <w:gridSpan w:val="8"/>
            <w:shd w:val="clear" w:color="auto" w:fill="EEEEEE"/>
          </w:tcPr>
          <w:p>
            <w:pPr>
              <w:jc w:val="right"/>
              <w:ind w:right="160"/>
              <w:spacing w:after="0"/>
              <w:rPr>
                <w:sz w:val="20"/>
                <w:szCs w:val="20"/>
                <w:color w:val="auto"/>
              </w:rPr>
            </w:pPr>
            <w:r>
              <w:rPr>
                <w:rFonts w:ascii="Arial" w:cs="Arial" w:eastAsia="Arial" w:hAnsi="Arial"/>
                <w:sz w:val="18"/>
                <w:szCs w:val="18"/>
                <w:color w:val="auto"/>
              </w:rPr>
              <w:t>80.0%</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4,316</w:t>
            </w:r>
          </w:p>
        </w:tc>
        <w:tc>
          <w:tcPr>
            <w:tcW w:w="1320" w:type="dxa"/>
            <w:vAlign w:val="bottom"/>
            <w:tcBorders>
              <w:right w:val="single" w:sz="8" w:color="EEEEEE"/>
            </w:tcBorders>
            <w:gridSpan w:val="7"/>
            <w:shd w:val="clear" w:color="auto" w:fill="EEEEEE"/>
          </w:tcPr>
          <w:p>
            <w:pPr>
              <w:jc w:val="right"/>
              <w:ind w:right="120"/>
              <w:spacing w:after="0"/>
              <w:rPr>
                <w:sz w:val="20"/>
                <w:szCs w:val="20"/>
                <w:color w:val="auto"/>
              </w:rPr>
            </w:pPr>
            <w:r>
              <w:rPr>
                <w:rFonts w:ascii="Arial" w:cs="Arial" w:eastAsia="Arial" w:hAnsi="Arial"/>
                <w:sz w:val="18"/>
                <w:szCs w:val="18"/>
                <w:color w:val="auto"/>
              </w:rPr>
              <w:t>16.7%</w:t>
            </w:r>
          </w:p>
        </w:tc>
        <w:tc>
          <w:tcPr>
            <w:tcW w:w="124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826</w:t>
            </w:r>
          </w:p>
        </w:tc>
        <w:tc>
          <w:tcPr>
            <w:tcW w:w="1220" w:type="dxa"/>
            <w:vAlign w:val="bottom"/>
            <w:gridSpan w:val="6"/>
            <w:shd w:val="clear" w:color="auto" w:fill="EEEEEE"/>
          </w:tcPr>
          <w:p>
            <w:pPr>
              <w:jc w:val="right"/>
              <w:ind w:right="80"/>
              <w:spacing w:after="0"/>
              <w:rPr>
                <w:sz w:val="20"/>
                <w:szCs w:val="20"/>
                <w:color w:val="auto"/>
              </w:rPr>
            </w:pPr>
            <w:r>
              <w:rPr>
                <w:rFonts w:ascii="Arial" w:cs="Arial" w:eastAsia="Arial" w:hAnsi="Arial"/>
                <w:sz w:val="18"/>
                <w:szCs w:val="18"/>
                <w:color w:val="auto"/>
              </w:rPr>
              <w:t>3.2%</w:t>
            </w:r>
          </w:p>
        </w:tc>
        <w:tc>
          <w:tcPr>
            <w:tcW w:w="1000" w:type="dxa"/>
            <w:vAlign w:val="bottom"/>
            <w:gridSpan w:val="3"/>
            <w:shd w:val="clear" w:color="auto" w:fill="EEEEEE"/>
          </w:tcPr>
          <w:p>
            <w:pPr>
              <w:jc w:val="center"/>
              <w:ind w:left="90"/>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2011, 58.9% were either paid in full or active and performing at September 30, 2015.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2011 that subsequently charged off, such charge offs occurred, on average, 19 months after the extension, indicating that even in the cases of an ultimate loss, the obligor serviced the account with additional payments of principal and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40" w:type="dxa"/>
            <w:vAlign w:val="bottom"/>
            <w:gridSpan w:val="2"/>
          </w:tcPr>
          <w:p>
            <w:pPr>
              <w:jc w:val="right"/>
              <w:ind w:right="71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760" w:type="dxa"/>
            <w:vAlign w:val="bottom"/>
            <w:gridSpan w:val="5"/>
          </w:tcPr>
          <w:p>
            <w:pPr>
              <w:ind w:left="460"/>
              <w:spacing w:after="0"/>
              <w:rPr>
                <w:sz w:val="20"/>
                <w:szCs w:val="20"/>
                <w:color w:val="auto"/>
              </w:rPr>
            </w:pPr>
            <w:r>
              <w:rPr>
                <w:rFonts w:ascii="Arial" w:cs="Arial" w:eastAsia="Arial" w:hAnsi="Arial"/>
                <w:sz w:val="18"/>
                <w:szCs w:val="18"/>
                <w:color w:val="auto"/>
              </w:rPr>
              <w:t>Nine Months Ended September 30,</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4,276</w:t>
            </w:r>
          </w:p>
        </w:tc>
        <w:tc>
          <w:tcPr>
            <w:tcW w:w="1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2,033</w:t>
            </w: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134,057</w:t>
            </w:r>
          </w:p>
        </w:tc>
        <w:tc>
          <w:tcPr>
            <w:tcW w:w="1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106,686</w:t>
            </w: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w:t>
            </w:r>
          </w:p>
        </w:tc>
        <w:tc>
          <w:tcPr>
            <w:tcW w:w="18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w:t>
            </w:r>
          </w:p>
        </w:tc>
        <w:tc>
          <w:tcPr>
            <w:tcW w:w="1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ind w:left="560"/>
              <w:spacing w:after="0"/>
              <w:rPr>
                <w:sz w:val="20"/>
                <w:szCs w:val="20"/>
                <w:color w:val="auto"/>
              </w:rPr>
            </w:pPr>
            <w:r>
              <w:rPr>
                <w:rFonts w:ascii="Arial" w:cs="Arial" w:eastAsia="Arial" w:hAnsi="Arial"/>
                <w:sz w:val="18"/>
                <w:szCs w:val="18"/>
                <w:color w:val="auto"/>
              </w:rPr>
              <w:t>September 30, 2015</w:t>
            </w:r>
          </w:p>
        </w:tc>
        <w:tc>
          <w:tcPr>
            <w:tcW w:w="2700" w:type="dxa"/>
            <w:vAlign w:val="bottom"/>
            <w:gridSpan w:val="6"/>
          </w:tcPr>
          <w:p>
            <w:pPr>
              <w:ind w:left="520"/>
              <w:spacing w:after="0"/>
              <w:rPr>
                <w:sz w:val="20"/>
                <w:szCs w:val="20"/>
                <w:color w:val="auto"/>
              </w:rPr>
            </w:pPr>
            <w:r>
              <w:rPr>
                <w:rFonts w:ascii="Arial" w:cs="Arial" w:eastAsia="Arial" w:hAnsi="Arial"/>
                <w:sz w:val="18"/>
                <w:szCs w:val="18"/>
                <w:color w:val="auto"/>
              </w:rPr>
              <w:t>September 30, 2014</w:t>
            </w:r>
          </w:p>
        </w:tc>
        <w:tc>
          <w:tcPr>
            <w:tcW w:w="2600" w:type="dxa"/>
            <w:vAlign w:val="bottom"/>
            <w:gridSpan w:val="6"/>
          </w:tcPr>
          <w:p>
            <w:pPr>
              <w:ind w:left="540"/>
              <w:spacing w:after="0"/>
              <w:rPr>
                <w:sz w:val="20"/>
                <w:szCs w:val="20"/>
                <w:color w:val="auto"/>
              </w:rPr>
            </w:pPr>
            <w:r>
              <w:rPr>
                <w:rFonts w:ascii="Arial" w:cs="Arial" w:eastAsia="Arial" w:hAnsi="Arial"/>
                <w:sz w:val="18"/>
                <w:szCs w:val="18"/>
                <w:color w:val="auto"/>
              </w:rPr>
              <w:t>December 31, 2014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Borders>
              <w:top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25,946</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350,169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18,426</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236,282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19,662</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136,634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66,667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50,652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12,485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2,064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41,508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553,312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25,826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318,451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 originated</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owned by 3rd parties)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143,057</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1,940,546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115,623</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1,517,821</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123,944</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1,643,471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Table excludes portfolios originated and owned by third parties.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nine-month period ended September 30, 2015 was $138.0 million compared to net cash provided by operating activities for the nine-month period ended September 30, 2014 of $101.0 million. Cash provided by operating activities is significantly affected by our net income before provisions for credit losses. The increase is due primarily to the increase in net income of $4.2 million and the increase in provision for credit losses of $29.7 million.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for the nine-month period ended September 30, 2015 was $418.5 million compared to net cash used in investing activities of $388.7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$791.3 million and $680.6 million during the first nine months of 2015 and 2014, respectively.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Net cash provided by financing activities for the three months ended September 30, 2015 was $283.6 million compared to net cash provided by financing activities of $278.8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nine months of 2015, we issued $795.0 million in new securitization trust debt compared to $655.5 million in the same period of 2014. In addition, we repaid $490.0 million in securitization trust debt and $1.3 million in debt associated with the Fireside portfolio in the nine months ended September 30, 2015 compared to repayments of securitization trust debt of $363.5 million and repayment of $10.9 million in debt associated with the Fireside portfolio in the prior year period. In the nine months ended September 30, 2015, we had net repayments on warehouse lines of credit of $10.0 million, compared to net proceeds of $50.0 million in the prior year’s period. During the first nine months of 2014, we repaid in full $39.2 million of senior secured related party debt.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September 30, 2015, we had unrestricted cash of $20.9 million, $79.2 million available under one warehouse credit facility and $73.9 million available under another warehouse credit facility (such figures assume the availability of sufficient eligible collateral). As of September 30, 2015 we had approximately $41.6 million of such eligible collateral. During the nine-month period ended September 30, 2015, we completed three securitizations aggregating $795.0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September 30, 2015, we were in compliance with all such financial covenants.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September 30, 2015, we had approximately $1,976.3 million of debt outstanding. Such debt consisted primarily of $1,903.6 million of securitization trust debt, and also included $46.9 million of warehouse lines of credit, $10.6 million of residual interest financing and $15.2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recent operating results include pre-tax earnings of $45.6 million for the nine months ended September 30, 2015 and $52.2 million, $37.2 million and $9.2 for the years ended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9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February 25, 2015.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September 30, 2015, we had approximately $1,976.3 million of debt outstanding. Such debt consisted primarily of $1,903.6 million of securitization trust debt, and also included $46.9 million of warehouse lines of credit, $10.6 million of residual interest financing and $15.2 million in subordinated renewable notes. We are also currently offering the subordinated notes to the public on a continuous basis, and such notes have maturities that range from three months to 10 years. Our substantial indebtedness could adversely affect our financial condition by, among other things:</w:t>
      </w:r>
    </w:p>
    <w:p>
      <w:pPr>
        <w:spacing w:after="0" w:line="21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September 30, 2015, we repurchased 183,475 shares from existing shareholders, as reflected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w w:val="92"/>
              </w:rPr>
              <w:t>Issuer Purchases of Equity Securities</w:t>
            </w: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2"/>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Shares Purchased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of Shares that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9"/>
              </w:rPr>
              <w:t>as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0"/>
              </w:rPr>
              <w:t>Average</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Shares</w:t>
            </w:r>
          </w:p>
        </w:tc>
        <w:tc>
          <w:tcPr>
            <w:tcW w:w="300" w:type="dxa"/>
            <w:vAlign w:val="bottom"/>
          </w:tcPr>
          <w:p>
            <w:pPr>
              <w:spacing w:after="0"/>
              <w:rPr>
                <w:sz w:val="18"/>
                <w:szCs w:val="18"/>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Price Paid</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3000" w:type="dxa"/>
            <w:vAlign w:val="bottom"/>
            <w:gridSpan w:val="2"/>
          </w:tcPr>
          <w:p>
            <w:pPr>
              <w:ind w:left="1020"/>
              <w:spacing w:after="0"/>
              <w:rPr>
                <w:sz w:val="20"/>
                <w:szCs w:val="20"/>
                <w:color w:val="auto"/>
              </w:rPr>
            </w:pPr>
            <w:r>
              <w:rPr>
                <w:rFonts w:ascii="Arial" w:cs="Arial" w:eastAsia="Arial" w:hAnsi="Arial"/>
                <w:sz w:val="18"/>
                <w:szCs w:val="18"/>
                <w:b w:val="1"/>
                <w:bCs w:val="1"/>
                <w:color w:val="auto"/>
              </w:rPr>
              <w:t>Period(1)</w:t>
            </w: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Purchased</w:t>
            </w:r>
          </w:p>
        </w:tc>
        <w:tc>
          <w:tcPr>
            <w:tcW w:w="300" w:type="dxa"/>
            <w:vAlign w:val="bottom"/>
          </w:tcPr>
          <w:p>
            <w:pPr>
              <w:spacing w:after="0"/>
              <w:rPr>
                <w:sz w:val="20"/>
                <w:szCs w:val="20"/>
                <w:color w:val="auto"/>
              </w:rPr>
            </w:pPr>
          </w:p>
        </w:tc>
        <w:tc>
          <w:tcPr>
            <w:tcW w:w="18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per Share</w:t>
            </w:r>
          </w:p>
        </w:tc>
        <w:tc>
          <w:tcPr>
            <w:tcW w:w="1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Programs (2)</w:t>
            </w: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July 2015</w:t>
            </w:r>
          </w:p>
        </w:tc>
        <w:tc>
          <w:tcPr>
            <w:tcW w:w="26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113,502</w:t>
            </w:r>
          </w:p>
        </w:tc>
        <w:tc>
          <w:tcPr>
            <w:tcW w:w="3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6.18</w:t>
            </w:r>
          </w:p>
        </w:tc>
        <w:tc>
          <w:tcPr>
            <w:tcW w:w="34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113,502</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3,511,004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August 2015</w:t>
            </w:r>
          </w:p>
        </w:tc>
        <w:tc>
          <w:tcPr>
            <w:tcW w:w="2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3,511,004</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September 2015</w:t>
            </w:r>
          </w:p>
        </w:tc>
        <w:tc>
          <w:tcPr>
            <w:tcW w:w="2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69,973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5.30</w:t>
            </w:r>
          </w:p>
        </w:tc>
        <w:tc>
          <w:tcPr>
            <w:tcW w:w="1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69,973</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3,140,043</w:t>
            </w:r>
          </w:p>
        </w:tc>
        <w:tc>
          <w:tcPr>
            <w:tcW w:w="0" w:type="dxa"/>
            <w:vAlign w:val="bottom"/>
          </w:tcPr>
          <w:p>
            <w:pPr>
              <w:spacing w:after="0"/>
              <w:rPr>
                <w:sz w:val="1"/>
                <w:szCs w:val="1"/>
                <w:color w:val="auto"/>
              </w:rPr>
            </w:pPr>
          </w:p>
        </w:tc>
      </w:tr>
      <w:tr>
        <w:trPr>
          <w:trHeight w:val="210"/>
        </w:trPr>
        <w:tc>
          <w:tcPr>
            <w:tcW w:w="3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183,475</w:t>
            </w:r>
          </w:p>
        </w:tc>
        <w:tc>
          <w:tcPr>
            <w:tcW w:w="3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40" w:type="dxa"/>
            <w:vAlign w:val="bottom"/>
          </w:tcPr>
          <w:p>
            <w:pPr>
              <w:spacing w:after="0"/>
              <w:rPr>
                <w:sz w:val="18"/>
                <w:szCs w:val="18"/>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183,475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vMerge w:val="restart"/>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Through September 30, 2015, our board of directors had authorized the purchase of up to $39.5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April 2015 increased the aggregate authorization from $34.5 million to $39.5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exclusion set forth in subdivisions (b)(iv)(iii)(A) and (b)(v) of Item 601 of Regulation S-K (17 CFR 229.601).  The registrant agrees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4.63</w:t>
            </w:r>
          </w:p>
        </w:tc>
        <w:tc>
          <w:tcPr>
            <w:tcW w:w="10500" w:type="dxa"/>
            <w:vAlign w:val="bottom"/>
          </w:tcPr>
          <w:p>
            <w:pPr>
              <w:ind w:left="240"/>
              <w:spacing w:after="0" w:line="201" w:lineRule="exact"/>
              <w:rPr>
                <w:sz w:val="20"/>
                <w:szCs w:val="20"/>
                <w:color w:val="auto"/>
              </w:rPr>
            </w:pPr>
            <w:r>
              <w:rPr>
                <w:rFonts w:ascii="Arial" w:cs="Arial" w:eastAsia="Arial" w:hAnsi="Arial"/>
                <w:sz w:val="18"/>
                <w:szCs w:val="18"/>
                <w:color w:val="auto"/>
                <w:w w:val="92"/>
              </w:rPr>
              <w:t>Indenture dated September 1, 2015 re Notes issued by CPS Auto Receivables Trust 2015-C. Incorporated by reference to exhibit 4.63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with the registrant’s Form 8-K on September 22,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4.64</w:t>
            </w:r>
          </w:p>
        </w:tc>
        <w:tc>
          <w:tcPr>
            <w:tcW w:w="10500" w:type="dxa"/>
            <w:vAlign w:val="bottom"/>
            <w:shd w:val="clear" w:color="auto" w:fill="EEEEEE"/>
          </w:tcPr>
          <w:p>
            <w:pPr>
              <w:ind w:left="240"/>
              <w:spacing w:after="0" w:line="201" w:lineRule="exact"/>
              <w:rPr>
                <w:sz w:val="20"/>
                <w:szCs w:val="20"/>
                <w:color w:val="auto"/>
              </w:rPr>
            </w:pPr>
            <w:r>
              <w:rPr>
                <w:rFonts w:ascii="Arial" w:cs="Arial" w:eastAsia="Arial" w:hAnsi="Arial"/>
                <w:sz w:val="18"/>
                <w:szCs w:val="18"/>
                <w:color w:val="auto"/>
                <w:w w:val="92"/>
              </w:rPr>
              <w:t>Sale and Servicing Agreement dated as of September 1, 2015. Incorporated by reference to exhibit 4.64 filed with the registrant’s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on September 22,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0500" w:type="dxa"/>
            <w:vAlign w:val="bottom"/>
          </w:tcPr>
          <w:p>
            <w:pPr>
              <w:ind w:left="24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900" w:type="dxa"/>
            <w:vAlign w:val="bottom"/>
          </w:tcPr>
          <w:p>
            <w:pPr>
              <w:spacing w:after="0"/>
              <w:rPr>
                <w:sz w:val="24"/>
                <w:szCs w:val="24"/>
                <w:color w:val="auto"/>
              </w:rPr>
            </w:pPr>
          </w:p>
        </w:tc>
        <w:tc>
          <w:tcPr>
            <w:tcW w:w="10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Instances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5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56"/>
        <w:spacing w:after="0" w:line="312" w:lineRule="auto"/>
        <w:tabs>
          <w:tab w:leader="none" w:pos="8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5" w:name="page46"/>
    <w:bookmarkEnd w:id="45"/>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ind w:left="1044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2015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September 30, 2015,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7"/>
    </w:lvl>
  </w:abstractNum>
  <w:abstractNum w:abstractNumId="8">
    <w:nsid w:val="519B500D"/>
    <w:multiLevelType w:val="hybridMultilevel"/>
    <w:lvl w:ilvl="0">
      <w:lvlJc w:val="left"/>
      <w:lvlText w:val="(%1)"/>
      <w:numFmt w:val="decimal"/>
      <w:start w:val="8"/>
    </w:lvl>
  </w:abstractNum>
  <w:abstractNum w:abstractNumId="9">
    <w:nsid w:val="431BD7B7"/>
    <w:multiLevelType w:val="hybridMultilevel"/>
    <w:lvl w:ilvl="0">
      <w:lvlJc w:val="left"/>
      <w:lvlText w:val="(%1)"/>
      <w:numFmt w:val="decimal"/>
      <w:start w:val="9"/>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2"/>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2019-12-06T07:24:05Z</dcterms:created>
  <dcterms:modified xsi:type="dcterms:W3CDTF">2019-12-06T07:24:05Z</dcterms:modified>
</cp:coreProperties>
</file>