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84"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1-11416</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4"/>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0"/>
              </w:rPr>
              <w:t>3800 Howard Hughes Parkway, Suite 1400,</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7"/>
              </w:rPr>
              <w:t>Las Vegas, Nevada</w:t>
            </w:r>
          </w:p>
        </w:tc>
        <w:tc>
          <w:tcPr>
            <w:tcW w:w="3640" w:type="dxa"/>
            <w:vAlign w:val="bottom"/>
          </w:tcPr>
          <w:p>
            <w:pPr>
              <w:spacing w:after="0"/>
              <w:rPr>
                <w:sz w:val="18"/>
                <w:szCs w:val="18"/>
                <w:color w:val="auto"/>
              </w:rPr>
            </w:pP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(1) filed all reports required to be filed by Section 13 or 15(d) of the Securities Exchange Act of 1934 during</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the preceding 12 months (or for such shorter period that the registrant was required to file such reports) and (2) has been subject to such filing requirements</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[_]</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[_]</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Large Accelerated Filer [_] Accelerated Filer [X]</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Non-Accelerated Filer [_] Smaller Reporting Company [_]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[_]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April 26, 2016 the registrant had 24,748,115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10100" w:type="dxa"/>
            <w:vAlign w:val="bottom"/>
          </w:tcPr>
          <w:p>
            <w:pPr>
              <w:spacing w:after="0"/>
              <w:rPr>
                <w:sz w:val="17"/>
                <w:szCs w:val="17"/>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b w:val="1"/>
                <w:bCs w:val="1"/>
                <w:color w:val="auto"/>
              </w:rPr>
              <w:t>Page</w:t>
            </w:r>
          </w:p>
        </w:tc>
      </w:tr>
      <w:tr>
        <w:trPr>
          <w:trHeight w:val="453"/>
        </w:trPr>
        <w:tc>
          <w:tcPr>
            <w:tcW w:w="720" w:type="dxa"/>
            <w:vAlign w:val="bottom"/>
          </w:tcPr>
          <w:p>
            <w:pPr>
              <w:spacing w:after="0"/>
              <w:rPr>
                <w:sz w:val="24"/>
                <w:szCs w:val="24"/>
                <w:color w:val="auto"/>
              </w:rPr>
            </w:pPr>
          </w:p>
        </w:tc>
        <w:tc>
          <w:tcPr>
            <w:tcW w:w="10100" w:type="dxa"/>
            <w:vAlign w:val="bottom"/>
          </w:tcPr>
          <w:p>
            <w:pPr>
              <w:ind w:left="346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1010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20" w:type="dxa"/>
            <w:vAlign w:val="bottom"/>
            <w:shd w:val="clear" w:color="auto" w:fill="EEEEEE"/>
          </w:tcPr>
          <w:p>
            <w:pPr>
              <w:spacing w:after="0"/>
              <w:rPr>
                <w:sz w:val="18"/>
                <w:szCs w:val="18"/>
                <w:color w:val="auto"/>
              </w:rPr>
            </w:pPr>
          </w:p>
        </w:tc>
        <w:tc>
          <w:tcPr>
            <w:tcW w:w="10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Unaudited Condensed Consolidated Balance Sheets as of March 31, 2016 and December 31, 2015</w:t>
            </w:r>
          </w:p>
        </w:tc>
        <w:tc>
          <w:tcPr>
            <w:tcW w:w="50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EEEEEE"/>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10100" w:type="dxa"/>
            <w:vAlign w:val="bottom"/>
          </w:tcPr>
          <w:p>
            <w:pPr>
              <w:ind w:left="200"/>
              <w:spacing w:after="0"/>
              <w:rPr>
                <w:sz w:val="20"/>
                <w:szCs w:val="20"/>
                <w:color w:val="auto"/>
              </w:rPr>
            </w:pPr>
            <w:r>
              <w:rPr>
                <w:rFonts w:ascii="Arial" w:cs="Arial" w:eastAsia="Arial" w:hAnsi="Arial"/>
                <w:sz w:val="18"/>
                <w:szCs w:val="18"/>
                <w:color w:val="auto"/>
              </w:rPr>
              <w:t>Unaudited Condensed Consolidated Statements of Operations for the three-month periods ended March 31, 2016 and 2015</w:t>
            </w:r>
          </w:p>
        </w:tc>
        <w:tc>
          <w:tcPr>
            <w:tcW w:w="500" w:type="dxa"/>
            <w:vAlign w:val="bottom"/>
            <w:gridSpan w:val="2"/>
          </w:tcPr>
          <w:p>
            <w:pPr>
              <w:jc w:val="center"/>
              <w:ind w:left="50"/>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r>
      <w:tr>
        <w:trPr>
          <w:trHeight w:val="216"/>
        </w:trPr>
        <w:tc>
          <w:tcPr>
            <w:tcW w:w="720" w:type="dxa"/>
            <w:vAlign w:val="bottom"/>
            <w:shd w:val="clear" w:color="auto" w:fill="EEEEEE"/>
          </w:tcPr>
          <w:p>
            <w:pPr>
              <w:spacing w:after="0"/>
              <w:rPr>
                <w:sz w:val="18"/>
                <w:szCs w:val="18"/>
                <w:color w:val="auto"/>
              </w:rPr>
            </w:pPr>
          </w:p>
        </w:tc>
        <w:tc>
          <w:tcPr>
            <w:tcW w:w="101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0"/>
              </w:rPr>
              <w:t>Unaudited Condensed Consolidated Statements of Comprehensive Income for the three-month periods ended March 31, 2016 and 2015</w:t>
            </w:r>
          </w:p>
        </w:tc>
        <w:tc>
          <w:tcPr>
            <w:tcW w:w="50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79"/>
              </w:rPr>
              <w:t>5</w:t>
            </w:r>
          </w:p>
        </w:tc>
        <w:tc>
          <w:tcPr>
            <w:tcW w:w="100" w:type="dxa"/>
            <w:vAlign w:val="bottom"/>
            <w:shd w:val="clear" w:color="auto" w:fill="EEEEEE"/>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10100" w:type="dxa"/>
            <w:vAlign w:val="bottom"/>
          </w:tcPr>
          <w:p>
            <w:pPr>
              <w:ind w:left="200"/>
              <w:spacing w:after="0"/>
              <w:rPr>
                <w:sz w:val="20"/>
                <w:szCs w:val="20"/>
                <w:color w:val="auto"/>
              </w:rPr>
            </w:pPr>
            <w:r>
              <w:rPr>
                <w:rFonts w:ascii="Arial" w:cs="Arial" w:eastAsia="Arial" w:hAnsi="Arial"/>
                <w:sz w:val="18"/>
                <w:szCs w:val="18"/>
                <w:color w:val="auto"/>
                <w:w w:val="99"/>
              </w:rPr>
              <w:t>Unaudited Condensed Consolidated Statements of Cash Flows for the three-month periods ended March 31, 2016 and 2015</w:t>
            </w:r>
          </w:p>
        </w:tc>
        <w:tc>
          <w:tcPr>
            <w:tcW w:w="500" w:type="dxa"/>
            <w:vAlign w:val="bottom"/>
            <w:gridSpan w:val="2"/>
          </w:tcPr>
          <w:p>
            <w:pPr>
              <w:jc w:val="center"/>
              <w:ind w:left="50"/>
              <w:spacing w:after="0"/>
              <w:rPr>
                <w:sz w:val="20"/>
                <w:szCs w:val="20"/>
                <w:color w:val="auto"/>
              </w:rPr>
            </w:pPr>
            <w:r>
              <w:rPr>
                <w:rFonts w:ascii="Arial" w:cs="Arial" w:eastAsia="Arial" w:hAnsi="Arial"/>
                <w:sz w:val="18"/>
                <w:szCs w:val="18"/>
                <w:color w:val="auto"/>
                <w:w w:val="79"/>
              </w:rPr>
              <w:t>6</w:t>
            </w:r>
          </w:p>
        </w:tc>
        <w:tc>
          <w:tcPr>
            <w:tcW w:w="100" w:type="dxa"/>
            <w:vAlign w:val="bottom"/>
          </w:tcPr>
          <w:p>
            <w:pPr>
              <w:spacing w:after="0"/>
              <w:rPr>
                <w:sz w:val="18"/>
                <w:szCs w:val="18"/>
                <w:color w:val="auto"/>
              </w:rPr>
            </w:pPr>
          </w:p>
        </w:tc>
      </w:tr>
      <w:tr>
        <w:trPr>
          <w:trHeight w:val="216"/>
        </w:trPr>
        <w:tc>
          <w:tcPr>
            <w:tcW w:w="720" w:type="dxa"/>
            <w:vAlign w:val="bottom"/>
            <w:shd w:val="clear" w:color="auto" w:fill="EEEEEE"/>
          </w:tcPr>
          <w:p>
            <w:pPr>
              <w:spacing w:after="0"/>
              <w:rPr>
                <w:sz w:val="18"/>
                <w:szCs w:val="18"/>
                <w:color w:val="auto"/>
              </w:rPr>
            </w:pPr>
          </w:p>
        </w:tc>
        <w:tc>
          <w:tcPr>
            <w:tcW w:w="10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Notes to Unaudited Condensed Consolidated Financial Statements</w:t>
            </w:r>
          </w:p>
        </w:tc>
        <w:tc>
          <w:tcPr>
            <w:tcW w:w="500" w:type="dxa"/>
            <w:vAlign w:val="bottom"/>
            <w:gridSpan w:val="2"/>
            <w:shd w:val="clear" w:color="auto" w:fill="EEEEEE"/>
          </w:tcPr>
          <w:p>
            <w:pPr>
              <w:jc w:val="center"/>
              <w:ind w:left="50"/>
              <w:spacing w:after="0"/>
              <w:rPr>
                <w:sz w:val="20"/>
                <w:szCs w:val="20"/>
                <w:color w:val="auto"/>
              </w:rPr>
            </w:pPr>
            <w:r>
              <w:rPr>
                <w:rFonts w:ascii="Arial" w:cs="Arial" w:eastAsia="Arial" w:hAnsi="Arial"/>
                <w:sz w:val="18"/>
                <w:szCs w:val="18"/>
                <w:color w:val="auto"/>
                <w:w w:val="79"/>
              </w:rPr>
              <w:t>7</w:t>
            </w:r>
          </w:p>
        </w:tc>
        <w:tc>
          <w:tcPr>
            <w:tcW w:w="100" w:type="dxa"/>
            <w:vAlign w:val="bottom"/>
            <w:shd w:val="clear" w:color="auto" w:fill="EEEEEE"/>
          </w:tcPr>
          <w:p>
            <w:pPr>
              <w:spacing w:after="0"/>
              <w:rPr>
                <w:sz w:val="18"/>
                <w:szCs w:val="18"/>
                <w:color w:val="auto"/>
              </w:rPr>
            </w:pP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10100" w:type="dxa"/>
            <w:vAlign w:val="bottom"/>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18</w:t>
            </w:r>
          </w:p>
        </w:tc>
        <w:tc>
          <w:tcPr>
            <w:tcW w:w="100" w:type="dxa"/>
            <w:vAlign w:val="bottom"/>
          </w:tcPr>
          <w:p>
            <w:pPr>
              <w:spacing w:after="0"/>
              <w:rPr>
                <w:sz w:val="18"/>
                <w:szCs w:val="18"/>
                <w:color w:val="auto"/>
              </w:rPr>
            </w:pPr>
          </w:p>
        </w:tc>
      </w:tr>
      <w:tr>
        <w:trPr>
          <w:trHeight w:val="216"/>
        </w:trPr>
        <w:tc>
          <w:tcPr>
            <w:tcW w:w="72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10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Controls and Procedure</w:t>
            </w:r>
          </w:p>
        </w:tc>
        <w:tc>
          <w:tcPr>
            <w:tcW w:w="500" w:type="dxa"/>
            <w:vAlign w:val="bottom"/>
            <w:gridSpan w:val="2"/>
            <w:shd w:val="clear" w:color="auto" w:fill="EEEEEE"/>
          </w:tcPr>
          <w:p>
            <w:pPr>
              <w:jc w:val="center"/>
              <w:ind w:left="30"/>
              <w:spacing w:after="0"/>
              <w:rPr>
                <w:sz w:val="20"/>
                <w:szCs w:val="20"/>
                <w:color w:val="auto"/>
              </w:rPr>
            </w:pPr>
            <w:r>
              <w:rPr>
                <w:rFonts w:ascii="Arial" w:cs="Arial" w:eastAsia="Arial" w:hAnsi="Arial"/>
                <w:sz w:val="18"/>
                <w:szCs w:val="18"/>
                <w:color w:val="auto"/>
                <w:w w:val="89"/>
              </w:rPr>
              <w:t>29</w:t>
            </w:r>
          </w:p>
        </w:tc>
        <w:tc>
          <w:tcPr>
            <w:tcW w:w="10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300" w:type="dxa"/>
            <w:vAlign w:val="bottom"/>
          </w:tcPr>
          <w:p>
            <w:pPr>
              <w:ind w:left="3560"/>
              <w:spacing w:after="0"/>
              <w:rPr>
                <w:sz w:val="20"/>
                <w:szCs w:val="20"/>
                <w:color w:val="auto"/>
              </w:rPr>
            </w:pPr>
            <w:r>
              <w:rPr>
                <w:rFonts w:ascii="Arial" w:cs="Arial" w:eastAsia="Arial" w:hAnsi="Arial"/>
                <w:sz w:val="18"/>
                <w:szCs w:val="18"/>
                <w:b w:val="1"/>
                <w:bCs w:val="1"/>
                <w:color w:val="auto"/>
              </w:rPr>
              <w:t>PART II. OTHER INFORMATION</w:t>
            </w: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83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Legal Proceedings</w:t>
            </w:r>
          </w:p>
        </w:tc>
        <w:tc>
          <w:tcPr>
            <w:tcW w:w="23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830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234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83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23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8300" w:type="dxa"/>
            <w:vAlign w:val="bottom"/>
          </w:tcPr>
          <w:p>
            <w:pPr>
              <w:ind w:left="140"/>
              <w:spacing w:after="0"/>
              <w:rPr>
                <w:sz w:val="20"/>
                <w:szCs w:val="20"/>
                <w:color w:val="auto"/>
              </w:rPr>
            </w:pPr>
            <w:r>
              <w:rPr>
                <w:rFonts w:ascii="Arial" w:cs="Arial" w:eastAsia="Arial" w:hAnsi="Arial"/>
                <w:sz w:val="18"/>
                <w:szCs w:val="18"/>
                <w:color w:val="auto"/>
              </w:rPr>
              <w:t>Exhibits</w:t>
            </w:r>
          </w:p>
        </w:tc>
        <w:tc>
          <w:tcPr>
            <w:tcW w:w="234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830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Signatures</w:t>
            </w:r>
          </w:p>
        </w:tc>
        <w:tc>
          <w:tcPr>
            <w:tcW w:w="234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053"/>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Financial Statement</w:t>
      </w:r>
      <w:r>
        <w:rPr>
          <w:rFonts w:ascii="Arial" w:cs="Arial" w:eastAsia="Arial" w:hAnsi="Arial"/>
          <w:sz w:val="22"/>
          <w:szCs w:val="22"/>
          <w:b w:val="1"/>
          <w:bCs w:val="1"/>
          <w:color w:val="auto"/>
        </w:rPr>
        <w:t>s</w:t>
      </w:r>
    </w:p>
    <w:p>
      <w:pPr>
        <w:spacing w:after="0" w:line="233" w:lineRule="exact"/>
        <w:rPr>
          <w:sz w:val="20"/>
          <w:szCs w:val="20"/>
          <w:color w:val="auto"/>
        </w:rPr>
      </w:pPr>
    </w:p>
    <w:p>
      <w:pPr>
        <w:jc w:val="center"/>
        <w:ind w:left="260" w:right="2440"/>
        <w:spacing w:after="0" w:line="261" w:lineRule="auto"/>
        <w:rPr>
          <w:sz w:val="20"/>
          <w:szCs w:val="20"/>
          <w:color w:val="auto"/>
        </w:rPr>
      </w:pPr>
      <w:r>
        <w:rPr>
          <w:rFonts w:ascii="Arial" w:cs="Arial" w:eastAsia="Arial" w:hAnsi="Arial"/>
          <w:sz w:val="21"/>
          <w:szCs w:val="21"/>
          <w:b w:val="1"/>
          <w:bCs w:val="1"/>
          <w:color w:val="auto"/>
        </w:rPr>
        <w:t>CONSUMER PORTFOLIO SERVICES, INC. AND SUBSIDIARIES UNAUDITED CONDENSED CONSOLIDATED BALANCE SHEETS (In thousands, except share and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16,191</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Restricted cash and equivalents</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126,011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106,054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Finance receivables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2,098,243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1,985,093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Less: Allowance for finance credit losses</w:t>
            </w:r>
          </w:p>
        </w:tc>
        <w:tc>
          <w:tcPr>
            <w:tcW w:w="2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(79,867)</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(75,603)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2,018,376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Finance receivables measured at fair value</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1,661</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37,543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37,597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30,617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31,547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19,536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2,249,958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2,128,925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32,890</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170,299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194,056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8,336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1,856,396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1,720,021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4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15,348</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2,083,269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1,967,766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24,926,465 and 25,616,460 shares issued</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and outstanding at March 31, 2016 and December 31, 2015, respectively</w:t>
            </w:r>
          </w:p>
        </w:tc>
        <w:tc>
          <w:tcPr>
            <w:tcW w:w="24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79,653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81,337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93,686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86,472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(6,650)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166,689</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161,159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760" w:type="dxa"/>
            <w:vAlign w:val="bottom"/>
            <w:shd w:val="clear" w:color="auto" w:fill="EEEEEE"/>
          </w:tcPr>
          <w:p>
            <w:pPr>
              <w:spacing w:after="0"/>
              <w:rPr>
                <w:sz w:val="21"/>
                <w:szCs w:val="21"/>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2,249,958</w:t>
            </w:r>
          </w:p>
        </w:tc>
        <w:tc>
          <w:tcPr>
            <w:tcW w:w="200" w:type="dxa"/>
            <w:vAlign w:val="bottom"/>
            <w:shd w:val="clear" w:color="auto" w:fill="EEEEEE"/>
          </w:tcPr>
          <w:p>
            <w:pPr>
              <w:spacing w:after="0"/>
              <w:rPr>
                <w:sz w:val="21"/>
                <w:szCs w:val="21"/>
                <w:color w:val="auto"/>
              </w:rPr>
            </w:pP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2,128,925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3" w:name="page4"/>
    <w:bookmarkEnd w:id="3"/>
    <w:p>
      <w:pPr>
        <w:jc w:val="center"/>
        <w:spacing w:after="0" w:line="243" w:lineRule="auto"/>
        <w:rPr>
          <w:sz w:val="20"/>
          <w:szCs w:val="20"/>
          <w:color w:val="auto"/>
        </w:rPr>
      </w:pPr>
      <w:r>
        <w:rPr>
          <w:rFonts w:ascii="Arial" w:cs="Arial" w:eastAsia="Arial" w:hAnsi="Arial"/>
          <w:sz w:val="22"/>
          <w:szCs w:val="22"/>
          <w:b w:val="1"/>
          <w:bCs w:val="1"/>
          <w:color w:val="auto"/>
        </w:rPr>
        <w:t>CONSUMER PORTFOLIO SERVICES, INC. AND SUBSIDIARIES UNAUDITED CONDENSED CONSOLIDATED STATEMENTS OF OPERATIONS (In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96,663</w:t>
            </w:r>
          </w:p>
        </w:tc>
        <w:tc>
          <w:tcPr>
            <w:tcW w:w="820" w:type="dxa"/>
            <w:vAlign w:val="bottom"/>
            <w:gridSpan w:val="2"/>
            <w:shd w:val="clear" w:color="auto" w:fill="EEEEEE"/>
          </w:tcPr>
          <w:p>
            <w:pPr>
              <w:jc w:val="right"/>
              <w:ind w:right="4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Servicing fees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3,963</w:t>
            </w:r>
          </w:p>
        </w:tc>
        <w:tc>
          <w:tcPr>
            <w:tcW w:w="1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100,649</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85,989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Employee costs</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15,143</w:t>
            </w: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5,331</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17,821</w:t>
            </w: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44,197</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Marketing</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4,670</w:t>
            </w: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1,083</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88,420</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71,240</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 expense</w:t>
            </w: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12,229</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14,749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5,015</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bottom w:val="single" w:sz="8" w:color="auto"/>
            </w:tcBorders>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7,214</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640" w:type="dxa"/>
            <w:vAlign w:val="bottom"/>
            <w:tcBorders>
              <w:top w:val="single" w:sz="8" w:color="auto"/>
              <w:bottom w:val="single" w:sz="8" w:color="auto"/>
            </w:tcBorders>
            <w:shd w:val="clear" w:color="auto" w:fill="EEEEEE"/>
          </w:tcPr>
          <w:p>
            <w:pPr>
              <w:jc w:val="right"/>
              <w:ind w:right="4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8,333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0.29</w:t>
            </w:r>
          </w:p>
        </w:tc>
        <w:tc>
          <w:tcPr>
            <w:tcW w:w="82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25,296</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30,154</w:t>
            </w:r>
          </w:p>
        </w:tc>
        <w:tc>
          <w:tcPr>
            <w:tcW w:w="1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31,991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4" w:name="page5"/>
    <w:bookmarkEnd w:id="4"/>
    <w:p>
      <w:pPr>
        <w:jc w:val="center"/>
        <w:spacing w:after="0" w:line="243" w:lineRule="auto"/>
        <w:rPr>
          <w:sz w:val="20"/>
          <w:szCs w:val="20"/>
          <w:color w:val="auto"/>
        </w:rPr>
      </w:pPr>
      <w:r>
        <w:rPr>
          <w:rFonts w:ascii="Arial" w:cs="Arial" w:eastAsia="Arial" w:hAnsi="Arial"/>
          <w:sz w:val="22"/>
          <w:szCs w:val="22"/>
          <w:b w:val="1"/>
          <w:bCs w:val="1"/>
          <w:color w:val="auto"/>
        </w:rPr>
        <w:t>CONSUMER PORTFOLIO SERVICES, INC. AND SUBSIDIARIES UNAUDITED CONDENSED CONSOLIDATED STATEMENTS OF COMPREHENSIVE INCOME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9"/>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EEEEEE"/>
          </w:tcPr>
          <w:p>
            <w:pPr>
              <w:jc w:val="right"/>
              <w:ind w:right="22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7,214</w:t>
            </w:r>
          </w:p>
        </w:tc>
        <w:tc>
          <w:tcPr>
            <w:tcW w:w="640" w:type="dxa"/>
            <w:vAlign w:val="bottom"/>
            <w:gridSpan w:val="2"/>
            <w:shd w:val="clear" w:color="auto" w:fill="EEEEEE"/>
          </w:tcPr>
          <w:p>
            <w:pPr>
              <w:jc w:val="right"/>
              <w:ind w:right="51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8,333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income/(loss); change in funded status of pension plan</w:t>
            </w:r>
          </w:p>
        </w:tc>
        <w:tc>
          <w:tcPr>
            <w:tcW w:w="38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10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5" w:name="page6"/>
    <w:bookmarkEnd w:id="5"/>
    <w:p>
      <w:pPr>
        <w:jc w:val="center"/>
        <w:spacing w:after="0" w:line="243" w:lineRule="auto"/>
        <w:rPr>
          <w:sz w:val="20"/>
          <w:szCs w:val="20"/>
          <w:color w:val="auto"/>
        </w:rPr>
      </w:pPr>
      <w:r>
        <w:rPr>
          <w:rFonts w:ascii="Arial" w:cs="Arial" w:eastAsia="Arial" w:hAnsi="Arial"/>
          <w:sz w:val="22"/>
          <w:szCs w:val="22"/>
          <w:b w:val="1"/>
          <w:bCs w:val="1"/>
          <w:color w:val="auto"/>
        </w:rPr>
        <w:t>CONSUMER PORTFOLIO SERVICES, INC. AND SUBSIDIARIES UNAUDITED CONDENSED CONSOLIDATED STATEMENTS OF CASH FLOWS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8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96"/>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7,214</w:t>
            </w:r>
          </w:p>
        </w:tc>
        <w:tc>
          <w:tcPr>
            <w:tcW w:w="5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Accretion of deferred acquisition fees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(1,253)</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2,003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44,197</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1,249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930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Deferred tax assets, net</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2,561</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3,381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5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60,526</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49,816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(312,300)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(233,890)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160,470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122,066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Payments received on receivables portfolio at fair value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1,042</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Change in restricted cash and cash equivalents, net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(19,957)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3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(170,828</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(108,494</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329,460</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715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repayments of warehouse lines of credit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(24,209)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Repayments of residual interest financing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(706)</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(192,622)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debt secured by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 of financing costs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(2,029)</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common stock</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(2,949)</w:t>
            </w:r>
          </w:p>
        </w:tc>
        <w:tc>
          <w:tcPr>
            <w:tcW w:w="1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107,171</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bottom w:val="single" w:sz="8" w:color="auto"/>
            </w:tcBorders>
            <w:shd w:val="clear" w:color="auto" w:fill="EEEEEE"/>
          </w:tcPr>
          <w:p>
            <w:pPr>
              <w:spacing w:after="0"/>
              <w:rPr>
                <w:sz w:val="18"/>
                <w:szCs w:val="18"/>
                <w:color w:val="auto"/>
              </w:rPr>
            </w:pPr>
          </w:p>
        </w:tc>
        <w:tc>
          <w:tcPr>
            <w:tcW w:w="1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61,021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87"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Increase (decrease) in cash and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beginning of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2,343</w:t>
            </w:r>
          </w:p>
        </w:tc>
      </w:tr>
      <w:tr>
        <w:trPr>
          <w:trHeight w:val="446"/>
        </w:trPr>
        <w:tc>
          <w:tcPr>
            <w:tcW w:w="60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19,322</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17,859</w:t>
            </w:r>
          </w:p>
        </w:tc>
      </w:tr>
      <w:tr>
        <w:trPr>
          <w:trHeight w:val="223"/>
        </w:trPr>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16,191</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20,202</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-599440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-325120</wp:posOffset>
            </wp:positionV>
            <wp:extent cx="72466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060" w:space="720"/>
            <w:col w:w="3640"/>
          </w:cols>
          <w:pgMar w:left="240" w:top="787"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720" w:type="dxa"/>
            <w:vAlign w:val="bottom"/>
            <w:shd w:val="clear" w:color="auto" w:fill="EEEEEE"/>
          </w:tcPr>
          <w:p>
            <w:pPr>
              <w:spacing w:after="0"/>
              <w:rPr>
                <w:sz w:val="17"/>
                <w:szCs w:val="17"/>
                <w:color w:val="auto"/>
              </w:rPr>
            </w:pPr>
          </w:p>
        </w:tc>
        <w:tc>
          <w:tcPr>
            <w:tcW w:w="26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72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Cash paid during the period for:</w:t>
            </w:r>
          </w:p>
        </w:tc>
        <w:tc>
          <w:tcPr>
            <w:tcW w:w="26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r>
      <w:tr>
        <w:trPr>
          <w:trHeight w:val="216"/>
        </w:trPr>
        <w:tc>
          <w:tcPr>
            <w:tcW w:w="5720" w:type="dxa"/>
            <w:vAlign w:val="bottom"/>
          </w:tcPr>
          <w:p>
            <w:pPr>
              <w:ind w:left="400"/>
              <w:spacing w:after="0"/>
              <w:rPr>
                <w:sz w:val="20"/>
                <w:szCs w:val="20"/>
                <w:color w:val="auto"/>
              </w:rPr>
            </w:pPr>
            <w:r>
              <w:rPr>
                <w:rFonts w:ascii="Arial" w:cs="Arial" w:eastAsia="Arial" w:hAnsi="Arial"/>
                <w:sz w:val="18"/>
                <w:szCs w:val="18"/>
                <w:color w:val="auto"/>
              </w:rPr>
              <w:t>Interest</w:t>
            </w:r>
          </w:p>
        </w:tc>
        <w:tc>
          <w:tcPr>
            <w:tcW w:w="26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15,518</w:t>
            </w:r>
          </w:p>
        </w:tc>
        <w:tc>
          <w:tcPr>
            <w:tcW w:w="7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11,415</w:t>
            </w:r>
          </w:p>
        </w:tc>
      </w:tr>
      <w:tr>
        <w:trPr>
          <w:trHeight w:val="216"/>
        </w:trPr>
        <w:tc>
          <w:tcPr>
            <w:tcW w:w="57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Income taxes</w:t>
            </w:r>
          </w:p>
        </w:tc>
        <w:tc>
          <w:tcPr>
            <w:tcW w:w="266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2,043</w:t>
            </w:r>
          </w:p>
        </w:tc>
        <w:tc>
          <w:tcPr>
            <w:tcW w:w="760" w:type="dxa"/>
            <w:vAlign w:val="bottom"/>
            <w:shd w:val="clear" w:color="auto" w:fill="EEEEEE"/>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CONSUMER PORTFOLIO SERVICES,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195"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72"/>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72"/>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three month period ended March 31, 2016 are not necessarily indicative of the operating results to be expected for the full year.</w:t>
      </w:r>
    </w:p>
    <w:p>
      <w:pPr>
        <w:spacing w:after="0" w:line="188" w:lineRule="exact"/>
        <w:rPr>
          <w:sz w:val="20"/>
          <w:szCs w:val="20"/>
          <w:color w:val="auto"/>
        </w:rPr>
      </w:pPr>
    </w:p>
    <w:p>
      <w:pPr>
        <w:jc w:val="both"/>
        <w:ind w:firstLine="72"/>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table presents the primary components of Other Income for the three-month periods ending March 31, 2016 and 2015: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gridSpan w:val="4"/>
          </w:tcPr>
          <w:p>
            <w:pPr>
              <w:jc w:val="right"/>
              <w:ind w:right="125"/>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84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2,845</w:t>
            </w:r>
          </w:p>
        </w:tc>
        <w:tc>
          <w:tcPr>
            <w:tcW w:w="700" w:type="dxa"/>
            <w:vAlign w:val="bottom"/>
            <w:gridSpan w:val="2"/>
            <w:shd w:val="clear" w:color="auto" w:fill="EEEEEE"/>
          </w:tcPr>
          <w:p>
            <w:pPr>
              <w:jc w:val="right"/>
              <w:ind w:right="525"/>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2,137</w:t>
            </w:r>
          </w:p>
        </w:tc>
        <w:tc>
          <w:tcPr>
            <w:tcW w:w="80" w:type="dxa"/>
            <w:vAlign w:val="bottom"/>
            <w:shd w:val="clear" w:color="auto" w:fill="EEEEEE"/>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950</w:t>
            </w:r>
          </w:p>
        </w:tc>
      </w:tr>
      <w:tr>
        <w:trPr>
          <w:trHeight w:val="216"/>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4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243</w:t>
            </w:r>
          </w:p>
        </w:tc>
        <w:tc>
          <w:tcPr>
            <w:tcW w:w="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192</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Sales tax refunds</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r>
      <w:tr>
        <w:trPr>
          <w:trHeight w:val="230"/>
        </w:trPr>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EEEEEE"/>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4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72"/>
        <w:spacing w:after="0" w:line="259"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for $4,071,429. The warrants represent the right to purchase 2,500,000 CPS common shares at a nominal exercise price, at any time prior to July 10, 2018. In March 2010 we repurchased warrants for 500,000 of these shares for $1.0 million. Warrants to purchase 2,000,000 shares remain outstanding as of March 31, 2016.</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CONSUMER PORTFOLIO SERVICES,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For the three months ended March 31, 2016 and 2015, we recorded stock-based compensation costs in the amount of $1.2 million and $1.1 million, respectively. As of March 31, 2016, unrecognized stock-based compensation costs to be recognized over future periods equaled $11.9 million. This amount will be recognized as expense over a weighted-average period of 2.4 years.</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represents stock option activity for the three months ended March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Average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20"/>
                <w:szCs w:val="20"/>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Exercise Price</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11,228</w:t>
            </w:r>
          </w:p>
        </w:tc>
        <w:tc>
          <w:tcPr>
            <w:tcW w:w="3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4.66</w:t>
            </w:r>
          </w:p>
        </w:tc>
        <w:tc>
          <w:tcPr>
            <w:tcW w:w="320" w:type="dxa"/>
            <w:vAlign w:val="bottom"/>
            <w:tcBorders>
              <w:top w:val="single" w:sz="8" w:color="EEEEEE"/>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5.55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0.99</w:t>
            </w: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160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EEEEE"/>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11,214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4.67</w:t>
            </w: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5.31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6,333</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3.61</w:t>
            </w:r>
          </w:p>
        </w:tc>
        <w:tc>
          <w:tcPr>
            <w:tcW w:w="1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4.70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EEEEEE"/>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2"/>
        <w:spacing w:after="0" w:line="259" w:lineRule="auto"/>
        <w:rPr>
          <w:sz w:val="20"/>
          <w:szCs w:val="20"/>
          <w:color w:val="auto"/>
        </w:rPr>
      </w:pPr>
      <w:r>
        <w:rPr>
          <w:rFonts w:ascii="Arial" w:cs="Arial" w:eastAsia="Arial" w:hAnsi="Arial"/>
          <w:sz w:val="18"/>
          <w:szCs w:val="18"/>
          <w:color w:val="auto"/>
        </w:rPr>
        <w:t>At March 31, 2016, the aggregate intrinsic value of options outstanding and exercisable was $12.4 million and $10.8 million, respectively. There were 14,000 options exercised for the three months ended March 31, 2016 compared to 209,000 for the comparable period in 2015. The total intrinsic value of options exercised was $51,000 and $1.2 million for the three-month periods ended March 31, 2016 and 2015. There were 5.5 million shares available for future stock option grants under existing plans as of March 31,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During the three-month period ended March 31, 2016, we purchased 703,745 shares of our stock in the open market at an average price of $4.19. We did not purchase any shares of our common stock during the three months ended March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72"/>
        <w:spacing w:after="0" w:line="257" w:lineRule="auto"/>
        <w:rPr>
          <w:sz w:val="20"/>
          <w:szCs w:val="20"/>
          <w:color w:val="auto"/>
        </w:rPr>
      </w:pPr>
      <w:r>
        <w:rPr>
          <w:rFonts w:ascii="Arial" w:cs="Arial" w:eastAsia="Arial" w:hAnsi="Arial"/>
          <w:sz w:val="18"/>
          <w:szCs w:val="18"/>
          <w:color w:val="auto"/>
        </w:rPr>
        <w:t>In February 2016, the FASB issued ASU 2016-02, Leases (Topic 842). The main provision of ASU 2016-02 requires the recognition of lease assets and lease liabilities by lessees for those leases classified as operating leases under previous GAAP. The effective date of ASU 2016-02 is for interim and annual reporting periods beginning after December 15, 2018. The ASU has not yet been adopted. The Company is currently evaluating the provisions of ASU No. 2016-02 and will be closely monitoring developments and additional guidance to determine the potential impact the new standard will have on the Company's Consolidated Financial Statements.</w:t>
      </w:r>
    </w:p>
    <w:p>
      <w:pPr>
        <w:spacing w:after="0" w:line="188" w:lineRule="exact"/>
        <w:rPr>
          <w:sz w:val="20"/>
          <w:szCs w:val="20"/>
          <w:color w:val="auto"/>
        </w:rPr>
      </w:pPr>
    </w:p>
    <w:p>
      <w:pPr>
        <w:jc w:val="both"/>
        <w:ind w:firstLine="72"/>
        <w:spacing w:after="0" w:line="276" w:lineRule="auto"/>
        <w:rPr>
          <w:sz w:val="20"/>
          <w:szCs w:val="20"/>
          <w:color w:val="auto"/>
        </w:rPr>
      </w:pPr>
      <w:r>
        <w:rPr>
          <w:rFonts w:ascii="Arial" w:cs="Arial" w:eastAsia="Arial" w:hAnsi="Arial"/>
          <w:sz w:val="17"/>
          <w:szCs w:val="17"/>
          <w:color w:val="auto"/>
        </w:rPr>
        <w:t>In March 2016, the FASB issued ASU 2016-09, Stock Compensation (Topic 718): Improvements to Employee Share-Based Payment Accounting. ASU 2016-09 simplifies and improves several aspects of the accounting for share-based payment transactions, including the income tax consequences, classification of awards as either equity or liabilities, and classification on the statement of cash flows. The effective date of ASU 2016-09 is for interim and annual reporting periods beginning after December 15, 2016. The Company is currently evaluating the provisions of ASU No. 2016-09 to determine the potential impact the new standard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CONSUMER PORTFOLIO SERVICES,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72"/>
        <w:spacing w:after="0" w:line="302"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March 31, 2016, we were in compliance with all such covenants. In addition, certain securitization and non-securitization related debt agreements contain cross-default provisions that would allow certain creditors to declare a default if a default occurred under a different facility.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We have recorded a liability as of March 31, 2016, which represents our best estimate of probable incurred losses for legal contingencies. The amount of losses that may ultimately be incurred cannot be estimated with certainty.</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72"/>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Finance Receivables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5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328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2,102,093</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1,990,913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180"/>
              <w:spacing w:after="0"/>
              <w:rPr>
                <w:sz w:val="20"/>
                <w:szCs w:val="20"/>
                <w:color w:val="auto"/>
              </w:rPr>
            </w:pPr>
            <w:r>
              <w:rPr>
                <w:rFonts w:ascii="Arial" w:cs="Arial" w:eastAsia="Arial" w:hAnsi="Arial"/>
                <w:sz w:val="18"/>
                <w:szCs w:val="18"/>
                <w:color w:val="auto"/>
              </w:rPr>
              <w:t>Less: Unearned acquisition fees and originations costs</w:t>
            </w: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(3,850)</w:t>
            </w: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EEEEEE"/>
              <w:bottom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Finance Receivables</w:t>
            </w: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2,098,243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1,985,093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2"/>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March 31, 2016 and December 31,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300" w:type="dxa"/>
            <w:vAlign w:val="bottom"/>
            <w:gridSpan w:val="2"/>
            <w:vMerge w:val="restart"/>
          </w:tcPr>
          <w:p>
            <w:pPr>
              <w:spacing w:after="0"/>
              <w:rPr>
                <w:sz w:val="20"/>
                <w:szCs w:val="20"/>
                <w:color w:val="auto"/>
              </w:rPr>
            </w:pPr>
            <w:r>
              <w:rPr>
                <w:rFonts w:ascii="Arial" w:cs="Arial" w:eastAsia="Arial" w:hAnsi="Arial"/>
                <w:sz w:val="18"/>
                <w:szCs w:val="18"/>
                <w:color w:val="auto"/>
              </w:rPr>
              <w:t>Delinquency Status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2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30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112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1,948,923</w:t>
            </w: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1,836,267</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31</w:t>
            </w:r>
          </w:p>
        </w:tc>
        <w:tc>
          <w:tcPr>
            <w:tcW w:w="2080" w:type="dxa"/>
            <w:vAlign w:val="bottom"/>
          </w:tcPr>
          <w:p>
            <w:pPr>
              <w:ind w:left="20"/>
              <w:spacing w:after="0"/>
              <w:rPr>
                <w:sz w:val="20"/>
                <w:szCs w:val="20"/>
                <w:color w:val="auto"/>
              </w:rPr>
            </w:pPr>
            <w:r>
              <w:rPr>
                <w:rFonts w:ascii="Arial" w:cs="Arial" w:eastAsia="Arial" w:hAnsi="Arial"/>
                <w:sz w:val="18"/>
                <w:szCs w:val="18"/>
                <w:color w:val="auto"/>
              </w:rPr>
              <w:t>- 60 days</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89,123</w:t>
            </w:r>
          </w:p>
        </w:tc>
        <w:tc>
          <w:tcPr>
            <w:tcW w:w="20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70,036</w:t>
            </w:r>
          </w:p>
        </w:tc>
        <w:tc>
          <w:tcPr>
            <w:tcW w:w="0" w:type="dxa"/>
            <w:vAlign w:val="bottom"/>
          </w:tcPr>
          <w:p>
            <w:pPr>
              <w:spacing w:after="0"/>
              <w:rPr>
                <w:sz w:val="1"/>
                <w:szCs w:val="1"/>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61</w:t>
            </w:r>
          </w:p>
        </w:tc>
        <w:tc>
          <w:tcPr>
            <w:tcW w:w="20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32,816</w:t>
            </w:r>
          </w:p>
        </w:tc>
        <w:tc>
          <w:tcPr>
            <w:tcW w:w="2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41,136</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w w:val="99"/>
              </w:rPr>
              <w:t>91</w:t>
            </w:r>
          </w:p>
        </w:tc>
        <w:tc>
          <w:tcPr>
            <w:tcW w:w="2080" w:type="dxa"/>
            <w:vAlign w:val="bottom"/>
          </w:tcPr>
          <w:p>
            <w:pPr>
              <w:ind w:left="20"/>
              <w:spacing w:after="0"/>
              <w:rPr>
                <w:sz w:val="20"/>
                <w:szCs w:val="20"/>
                <w:color w:val="auto"/>
              </w:rPr>
            </w:pPr>
            <w:r>
              <w:rPr>
                <w:rFonts w:ascii="Arial" w:cs="Arial" w:eastAsia="Arial" w:hAnsi="Arial"/>
                <w:sz w:val="18"/>
                <w:szCs w:val="18"/>
                <w:color w:val="auto"/>
              </w:rPr>
              <w:t>+ days</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31,231</w:t>
            </w:r>
          </w:p>
        </w:tc>
        <w:tc>
          <w:tcPr>
            <w:tcW w:w="20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43,474</w:t>
            </w:r>
          </w:p>
        </w:tc>
        <w:tc>
          <w:tcPr>
            <w:tcW w:w="0" w:type="dxa"/>
            <w:vAlign w:val="bottom"/>
          </w:tcPr>
          <w:p>
            <w:pPr>
              <w:spacing w:after="0"/>
              <w:rPr>
                <w:sz w:val="1"/>
                <w:szCs w:val="1"/>
                <w:color w:val="auto"/>
              </w:rPr>
            </w:pP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80" w:type="dxa"/>
            <w:vAlign w:val="bottom"/>
            <w:tcBorders>
              <w:top w:val="single" w:sz="8" w:color="EEEEEE"/>
              <w:bottom w:val="single" w:sz="8" w:color="EEEEEE"/>
            </w:tcBorders>
            <w:shd w:val="clear" w:color="auto" w:fill="EEEEEE"/>
          </w:tcPr>
          <w:p>
            <w:pPr>
              <w:spacing w:after="0"/>
              <w:rPr>
                <w:sz w:val="19"/>
                <w:szCs w:val="19"/>
                <w:color w:val="auto"/>
              </w:rPr>
            </w:pPr>
          </w:p>
        </w:tc>
        <w:tc>
          <w:tcPr>
            <w:tcW w:w="86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2,102,093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1,990,913</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059"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CONSUMER PORTFOLIO SERVICES,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195" w:lineRule="exact"/>
        <w:rPr>
          <w:sz w:val="20"/>
          <w:szCs w:val="20"/>
          <w:color w:val="auto"/>
        </w:rPr>
      </w:pPr>
    </w:p>
    <w:p>
      <w:pPr>
        <w:jc w:val="both"/>
        <w:ind w:right="20" w:firstLine="72"/>
        <w:spacing w:after="0" w:line="277" w:lineRule="auto"/>
        <w:rPr>
          <w:sz w:val="20"/>
          <w:szCs w:val="20"/>
          <w:color w:val="auto"/>
        </w:rPr>
      </w:pPr>
      <w:r>
        <w:rPr>
          <w:rFonts w:ascii="Arial" w:cs="Arial" w:eastAsia="Arial" w:hAnsi="Arial"/>
          <w:sz w:val="18"/>
          <w:szCs w:val="18"/>
          <w:color w:val="auto"/>
        </w:rPr>
        <w:t>Finance receivables totaling $31.2 million and $43.5 million at March 31, 2016 and December 31, 2015,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72"/>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losses is charged to our consolidated statement of operations. Net losses incurred on finance receivables are charged to the allowance. We establish the allowance for new receivables over the 12-month period following their acquisition.</w:t>
      </w:r>
    </w:p>
    <w:p>
      <w:pPr>
        <w:spacing w:after="0" w:line="193"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periods ended March 31, 2016 and 2015: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2015</w:t>
            </w:r>
          </w:p>
        </w:tc>
        <w:tc>
          <w:tcPr>
            <w:tcW w:w="100" w:type="dxa"/>
            <w:vAlign w:val="bottom"/>
          </w:tcPr>
          <w:p>
            <w:pPr>
              <w:spacing w:after="0"/>
              <w:rPr>
                <w:sz w:val="19"/>
                <w:szCs w:val="19"/>
                <w:color w:val="auto"/>
              </w:rPr>
            </w:pPr>
          </w:p>
        </w:tc>
      </w:tr>
      <w:tr>
        <w:trPr>
          <w:trHeight w:val="210"/>
        </w:trPr>
        <w:tc>
          <w:tcPr>
            <w:tcW w:w="3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78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75,603</w:t>
            </w:r>
          </w:p>
        </w:tc>
        <w:tc>
          <w:tcPr>
            <w:tcW w:w="820" w:type="dxa"/>
            <w:vAlign w:val="bottom"/>
            <w:gridSpan w:val="2"/>
            <w:shd w:val="clear" w:color="auto" w:fill="EEEEEE"/>
          </w:tcPr>
          <w:p>
            <w:pPr>
              <w:jc w:val="right"/>
              <w:ind w:right="5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61,460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Provision for credit losses on finance receivables</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44,197</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33,439</w:t>
            </w:r>
          </w:p>
        </w:tc>
      </w:tr>
      <w:tr>
        <w:trPr>
          <w:trHeight w:val="216"/>
        </w:trPr>
        <w:tc>
          <w:tcPr>
            <w:tcW w:w="394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4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(45,933)</w:t>
            </w:r>
          </w:p>
        </w:tc>
        <w:tc>
          <w:tcPr>
            <w:tcW w:w="1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(31,829)</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Recoveries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5,072</w:t>
            </w:r>
          </w:p>
        </w:tc>
      </w:tr>
      <w:tr>
        <w:trPr>
          <w:trHeight w:val="223"/>
        </w:trPr>
        <w:tc>
          <w:tcPr>
            <w:tcW w:w="39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top w:val="single" w:sz="8" w:color="EEEEEE"/>
              <w:bottom w:val="single" w:sz="8" w:color="EEEEEE"/>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79,867</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700" w:type="dxa"/>
            <w:vAlign w:val="bottom"/>
            <w:tcBorders>
              <w:top w:val="single" w:sz="8" w:color="auto"/>
              <w:bottom w:val="single" w:sz="8" w:color="auto"/>
            </w:tcBorders>
            <w:shd w:val="clear" w:color="auto" w:fill="EEEEEE"/>
          </w:tcPr>
          <w:p>
            <w:pPr>
              <w:jc w:val="right"/>
              <w:ind w:right="5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68,142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gridSpan w:val="4"/>
          </w:tcPr>
          <w:p>
            <w:pPr>
              <w:jc w:val="right"/>
              <w:ind w:right="111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r>
      <w:tr>
        <w:trPr>
          <w:trHeight w:val="216"/>
        </w:trPr>
        <w:tc>
          <w:tcPr>
            <w:tcW w:w="550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38,807</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39,728</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(27,075)</w:t>
            </w:r>
          </w:p>
        </w:tc>
        <w:tc>
          <w:tcPr>
            <w:tcW w:w="18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(26,954)</w:t>
            </w:r>
          </w:p>
        </w:tc>
      </w:tr>
      <w:tr>
        <w:trPr>
          <w:trHeight w:val="223"/>
        </w:trPr>
        <w:tc>
          <w:tcPr>
            <w:tcW w:w="55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11,732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12,774</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CONSUMER PORTFOLIO SERVICES,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195" w:lineRule="exact"/>
        <w:rPr>
          <w:sz w:val="20"/>
          <w:szCs w:val="20"/>
          <w:color w:val="auto"/>
        </w:rPr>
      </w:pPr>
    </w:p>
    <w:p>
      <w:pPr>
        <w:ind w:left="200" w:hanging="192"/>
        <w:spacing w:after="0"/>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Receivables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46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Pledged at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Principal at</w:t>
            </w:r>
          </w:p>
        </w:tc>
        <w:tc>
          <w:tcPr>
            <w:tcW w:w="100" w:type="dxa"/>
            <w:vAlign w:val="bottom"/>
          </w:tcPr>
          <w:p>
            <w:pPr>
              <w:spacing w:after="0"/>
              <w:rPr>
                <w:sz w:val="18"/>
                <w:szCs w:val="18"/>
                <w:color w:val="auto"/>
              </w:rPr>
            </w:pPr>
          </w:p>
        </w:tc>
        <w:tc>
          <w:tcPr>
            <w:tcW w:w="136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2"/>
              </w:rPr>
              <w:t>Principal at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Final Scheduled Payment Date</w:t>
            </w:r>
          </w:p>
        </w:tc>
        <w:tc>
          <w:tcPr>
            <w:tcW w:w="12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Initial</w:t>
            </w:r>
          </w:p>
        </w:tc>
        <w:tc>
          <w:tcPr>
            <w:tcW w:w="1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31,</w:t>
            </w:r>
          </w:p>
        </w:tc>
        <w:tc>
          <w:tcPr>
            <w:tcW w:w="14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at March 31,</w:t>
            </w:r>
          </w:p>
        </w:tc>
      </w:tr>
      <w:tr>
        <w:trPr>
          <w:trHeight w:val="234"/>
        </w:trPr>
        <w:tc>
          <w:tcPr>
            <w:tcW w:w="15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Series</w:t>
            </w:r>
          </w:p>
        </w:tc>
        <w:tc>
          <w:tcPr>
            <w:tcW w:w="2740" w:type="dxa"/>
            <w:vAlign w:val="bottom"/>
          </w:tcPr>
          <w:p>
            <w:pPr>
              <w:jc w:val="right"/>
              <w:ind w:right="129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2016 (2)</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Principal</w:t>
            </w: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r>
      <w:tr>
        <w:trPr>
          <w:trHeight w:val="210"/>
        </w:trPr>
        <w:tc>
          <w:tcPr>
            <w:tcW w:w="11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20" w:type="dxa"/>
            <w:vAlign w:val="bottom"/>
            <w:gridSpan w:val="2"/>
            <w:shd w:val="clear" w:color="auto" w:fill="EEEEEE"/>
          </w:tcPr>
          <w:p>
            <w:pPr>
              <w:jc w:val="center"/>
              <w:ind w:right="380"/>
              <w:spacing w:after="0"/>
              <w:rPr>
                <w:sz w:val="20"/>
                <w:szCs w:val="20"/>
                <w:color w:val="auto"/>
              </w:rPr>
            </w:pPr>
            <w:r>
              <w:rPr>
                <w:rFonts w:ascii="Arial" w:cs="Arial" w:eastAsia="Arial" w:hAnsi="Arial"/>
                <w:sz w:val="18"/>
                <w:szCs w:val="18"/>
                <w:color w:val="auto"/>
                <w:w w:val="89"/>
              </w:rPr>
              <w:t>CPS 2011-B</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September 2018</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109,936</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10,023</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CPS 2011-C</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March 2019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11,958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119,400</w:t>
            </w: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14,785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2012-A</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2019</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14,785</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13,461</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16,795</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3.09%</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2012-B</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September 2019</w:t>
            </w: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22,682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22,490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26,758</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2012-C</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December 2019</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26,217</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26,004</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30,653</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2.36%</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2012-D</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March 2020</w:t>
            </w: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33,015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31,916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37,464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2013-A</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2020</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50,001</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48,693</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56,583</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2013-B</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September 2020</w:t>
            </w: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62,166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60,768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70,332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2013-C</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December 2020</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73,202</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72,651</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82,851</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3.68%</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2013-D</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March 2021</w:t>
            </w: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72,948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71,963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82,337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2014-A</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2021</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82,550</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82,371</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92,571</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2014-B</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September 2021</w:t>
            </w: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108,109</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108,183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121,515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2014-C</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December 2021</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165,468</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273,000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165,152</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183,802</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2014-D</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March 2022</w:t>
            </w: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178,281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179,567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198,533</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2015-A</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June 2022</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184,209</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245,000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183,802</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201,527</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2.57%</w:t>
            </w:r>
          </w:p>
        </w:tc>
      </w:tr>
      <w:tr>
        <w:trPr>
          <w:trHeight w:val="216"/>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2015-B</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September 2022</w:t>
            </w:r>
          </w:p>
        </w:tc>
        <w:tc>
          <w:tcPr>
            <w:tcW w:w="1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207,940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206,213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221,587</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r>
      <w:tr>
        <w:trPr>
          <w:trHeight w:val="216"/>
        </w:trPr>
        <w:tc>
          <w:tcPr>
            <w:tcW w:w="1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1"/>
              </w:rPr>
              <w:t>CPS 2015-C</w:t>
            </w:r>
          </w:p>
        </w:tc>
        <w:tc>
          <w:tcPr>
            <w:tcW w:w="274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rPr>
              <w:t>December 2022</w:t>
            </w:r>
          </w:p>
        </w:tc>
        <w:tc>
          <w:tcPr>
            <w:tcW w:w="1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271,082</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266,817</w:t>
            </w:r>
          </w:p>
        </w:tc>
        <w:tc>
          <w:tcPr>
            <w:tcW w:w="1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283,482</w:t>
            </w:r>
          </w:p>
        </w:tc>
        <w:tc>
          <w:tcPr>
            <w:tcW w:w="22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3.03%</w:t>
            </w:r>
          </w:p>
        </w:tc>
      </w:tr>
      <w:tr>
        <w:trPr>
          <w:trHeight w:val="230"/>
        </w:trPr>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CPS 2016-A</w:t>
            </w:r>
          </w:p>
        </w:tc>
        <w:tc>
          <w:tcPr>
            <w:tcW w:w="2740" w:type="dxa"/>
            <w:vAlign w:val="bottom"/>
          </w:tcPr>
          <w:p>
            <w:pPr>
              <w:jc w:val="right"/>
              <w:ind w:right="130"/>
              <w:spacing w:after="0"/>
              <w:rPr>
                <w:sz w:val="20"/>
                <w:szCs w:val="20"/>
                <w:color w:val="auto"/>
              </w:rPr>
            </w:pPr>
            <w:r>
              <w:rPr>
                <w:rFonts w:ascii="Arial" w:cs="Arial" w:eastAsia="Arial" w:hAnsi="Arial"/>
                <w:sz w:val="18"/>
                <w:szCs w:val="18"/>
                <w:color w:val="auto"/>
              </w:rPr>
              <w:t>March 2023</w:t>
            </w:r>
          </w:p>
        </w:tc>
        <w:tc>
          <w:tcPr>
            <w:tcW w:w="120" w:type="dxa"/>
            <w:vAlign w:val="bottom"/>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328,330</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329,460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316,400</w:t>
            </w:r>
          </w:p>
        </w:tc>
        <w:tc>
          <w:tcPr>
            <w:tcW w:w="10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23"/>
        </w:trPr>
        <w:tc>
          <w:tcPr>
            <w:tcW w:w="116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7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1,892,943</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3,658,296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1,868,451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1,731,598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3" w:lineRule="exact"/>
        <w:rPr>
          <w:sz w:val="20"/>
          <w:szCs w:val="20"/>
          <w:color w:val="auto"/>
        </w:rPr>
      </w:pPr>
    </w:p>
    <w:p>
      <w:pPr>
        <w:jc w:val="both"/>
        <w:ind w:left="340" w:hanging="332"/>
        <w:spacing w:after="0" w:line="254"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$555.0 million in 2016, $594.2 million in 2017, $385.4 million in 2018, $216.8 million in 2019, $97.9 million in 2020, $19.2 million in 2021.</w:t>
      </w:r>
    </w:p>
    <w:p>
      <w:pPr>
        <w:spacing w:after="0" w:line="216" w:lineRule="exact"/>
        <w:rPr>
          <w:rFonts w:ascii="Arial" w:cs="Arial" w:eastAsia="Arial" w:hAnsi="Arial"/>
          <w:sz w:val="18"/>
          <w:szCs w:val="18"/>
          <w:i w:val="1"/>
          <w:iCs w:val="1"/>
          <w:color w:val="auto"/>
        </w:rPr>
      </w:pPr>
    </w:p>
    <w:p>
      <w:pPr>
        <w:ind w:left="340" w:hanging="332"/>
        <w:spacing w:after="0"/>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52"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Debt issuance costs of $12.1 million and $11.6 million as of March 31, 2016 and December 31, 2015, respectively, have been excluded from the table above. These debt issuance costs are presented as a direct deduction to the carrying amount of the Securitization trust debt on our Unaudited Condensed Consolidated Balance Sheets.</w:t>
      </w:r>
    </w:p>
    <w:p>
      <w:pPr>
        <w:spacing w:after="0" w:line="181"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72"/>
        <w:spacing w:after="0" w:line="257" w:lineRule="auto"/>
        <w:rPr>
          <w:sz w:val="20"/>
          <w:szCs w:val="20"/>
          <w:color w:val="auto"/>
        </w:rPr>
      </w:pPr>
      <w:r>
        <w:rPr>
          <w:rFonts w:ascii="Arial" w:cs="Arial" w:eastAsia="Arial" w:hAnsi="Arial"/>
          <w:sz w:val="18"/>
          <w:szCs w:val="18"/>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In addition, certain securitization and non-securitization related debt contain cross-default provisions, which would allow certain creditors to declare a default if a default were declared under a different facility. As of March 31, 2016, we were in compliance with all such covenants.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CONSUMER PORTFOLIO SERVICES,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195" w:lineRule="exact"/>
        <w:rPr>
          <w:sz w:val="20"/>
          <w:szCs w:val="20"/>
          <w:color w:val="auto"/>
        </w:rPr>
      </w:pPr>
    </w:p>
    <w:p>
      <w:pPr>
        <w:jc w:val="both"/>
        <w:ind w:firstLine="72"/>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March 31, 2016, restricted cash under the various agreements totaled approximately $126.0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8" w:lineRule="exact"/>
        <w:rPr>
          <w:sz w:val="20"/>
          <w:szCs w:val="20"/>
          <w:color w:val="auto"/>
        </w:rPr>
      </w:pPr>
    </w:p>
    <w:p>
      <w:pPr>
        <w:jc w:val="both"/>
        <w:ind w:firstLine="72"/>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3"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terms and amounts of our other debt outstanding at March 31, 2016 and December 31, 2015 are summarized below:</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42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ind w:left="100"/>
              <w:spacing w:after="0" w:line="205" w:lineRule="exact"/>
              <w:rPr>
                <w:sz w:val="20"/>
                <w:szCs w:val="20"/>
                <w:color w:val="auto"/>
              </w:rPr>
            </w:pPr>
            <w:r>
              <w:rPr>
                <w:rFonts w:ascii="Arial" w:cs="Arial" w:eastAsia="Arial" w:hAnsi="Arial"/>
                <w:sz w:val="18"/>
                <w:szCs w:val="18"/>
                <w:b w:val="1"/>
                <w:bCs w:val="1"/>
                <w:color w:val="auto"/>
              </w:rPr>
              <w:t>March 31,</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80" w:type="dxa"/>
            <w:vAlign w:val="bottom"/>
            <w:gridSpan w:val="2"/>
            <w:vMerge w:val="restart"/>
          </w:tcPr>
          <w:p>
            <w:pPr>
              <w:ind w:left="1000"/>
              <w:spacing w:after="0"/>
              <w:rPr>
                <w:sz w:val="20"/>
                <w:szCs w:val="20"/>
                <w:color w:val="auto"/>
              </w:rPr>
            </w:pPr>
            <w:r>
              <w:rPr>
                <w:rFonts w:ascii="Arial" w:cs="Arial" w:eastAsia="Arial" w:hAnsi="Arial"/>
                <w:sz w:val="18"/>
                <w:szCs w:val="18"/>
                <w:color w:val="auto"/>
              </w:rPr>
              <w:t>Description</w:t>
            </w:r>
          </w:p>
        </w:tc>
        <w:tc>
          <w:tcPr>
            <w:tcW w:w="252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7"/>
              </w:rPr>
              <w:t>Interest Rate</w:t>
            </w:r>
          </w:p>
        </w:tc>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6"/>
              </w:rPr>
              <w:t>Maturity</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080" w:type="dxa"/>
            <w:vAlign w:val="bottom"/>
            <w:gridSpan w:val="2"/>
            <w:vMerge w:val="continue"/>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3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520" w:type="dxa"/>
            <w:vAlign w:val="bottom"/>
            <w:gridSpan w:val="2"/>
            <w:shd w:val="clear" w:color="auto" w:fill="EEEEEE"/>
          </w:tcPr>
          <w:p>
            <w:pPr>
              <w:jc w:val="center"/>
              <w:ind w:right="340"/>
              <w:spacing w:after="0" w:line="201" w:lineRule="exact"/>
              <w:rPr>
                <w:sz w:val="20"/>
                <w:szCs w:val="20"/>
                <w:color w:val="auto"/>
              </w:rPr>
            </w:pPr>
            <w:r>
              <w:rPr>
                <w:rFonts w:ascii="Arial" w:cs="Arial" w:eastAsia="Arial" w:hAnsi="Arial"/>
                <w:sz w:val="18"/>
                <w:szCs w:val="18"/>
                <w:color w:val="auto"/>
                <w:w w:val="92"/>
              </w:rPr>
              <w:t>5.50% over one month Libor</w:t>
            </w:r>
          </w:p>
        </w:tc>
        <w:tc>
          <w:tcPr>
            <w:tcW w:w="2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80" w:type="dxa"/>
            <w:vAlign w:val="bottom"/>
            <w:gridSpan w:val="2"/>
            <w:vMerge w:val="continue"/>
            <w:shd w:val="clear" w:color="auto" w:fill="EEEEEE"/>
          </w:tcPr>
          <w:p>
            <w:pPr>
              <w:spacing w:after="0"/>
              <w:rPr>
                <w:sz w:val="10"/>
                <w:szCs w:val="10"/>
                <w:color w:val="auto"/>
              </w:rPr>
            </w:pPr>
          </w:p>
        </w:tc>
        <w:tc>
          <w:tcPr>
            <w:tcW w:w="2520" w:type="dxa"/>
            <w:vAlign w:val="bottom"/>
            <w:gridSpan w:val="2"/>
            <w:vMerge w:val="restart"/>
            <w:shd w:val="clear" w:color="auto" w:fill="EEEEEE"/>
          </w:tcPr>
          <w:p>
            <w:pPr>
              <w:jc w:val="center"/>
              <w:ind w:right="340"/>
              <w:spacing w:after="0"/>
              <w:rPr>
                <w:sz w:val="20"/>
                <w:szCs w:val="20"/>
                <w:color w:val="auto"/>
              </w:rPr>
            </w:pPr>
            <w:r>
              <w:rPr>
                <w:rFonts w:ascii="Arial" w:cs="Arial" w:eastAsia="Arial" w:hAnsi="Arial"/>
                <w:sz w:val="18"/>
                <w:szCs w:val="18"/>
                <w:color w:val="auto"/>
                <w:w w:val="94"/>
              </w:rPr>
              <w:t>(Minimum 6.50%)</w:t>
            </w:r>
          </w:p>
        </w:tc>
        <w:tc>
          <w:tcPr>
            <w:tcW w:w="2300" w:type="dxa"/>
            <w:vAlign w:val="bottom"/>
            <w:vMerge w:val="restart"/>
            <w:shd w:val="clear" w:color="auto" w:fill="EEEEEE"/>
          </w:tcPr>
          <w:p>
            <w:pPr>
              <w:jc w:val="center"/>
              <w:spacing w:after="0"/>
              <w:rPr>
                <w:sz w:val="20"/>
                <w:szCs w:val="20"/>
                <w:color w:val="auto"/>
              </w:rPr>
            </w:pPr>
            <w:r>
              <w:rPr>
                <w:rFonts w:ascii="Arial" w:cs="Arial" w:eastAsia="Arial" w:hAnsi="Arial"/>
                <w:sz w:val="18"/>
                <w:szCs w:val="18"/>
                <w:color w:val="auto"/>
                <w:w w:val="96"/>
              </w:rPr>
              <w:t>April 2019</w:t>
            </w:r>
          </w:p>
        </w:tc>
        <w:tc>
          <w:tcPr>
            <w:tcW w:w="540" w:type="dxa"/>
            <w:vAlign w:val="bottom"/>
            <w:gridSpan w:val="2"/>
            <w:vMerge w:val="restart"/>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00" w:type="dxa"/>
            <w:vAlign w:val="bottom"/>
            <w:gridSpan w:val="2"/>
            <w:vMerge w:val="restart"/>
            <w:shd w:val="clear" w:color="auto" w:fill="EEEEEE"/>
          </w:tcPr>
          <w:p>
            <w:pPr>
              <w:jc w:val="right"/>
              <w:ind w:right="320"/>
              <w:spacing w:after="0"/>
              <w:rPr>
                <w:sz w:val="20"/>
                <w:szCs w:val="20"/>
                <w:color w:val="auto"/>
              </w:rPr>
            </w:pPr>
            <w:r>
              <w:rPr>
                <w:rFonts w:ascii="Arial" w:cs="Arial" w:eastAsia="Arial" w:hAnsi="Arial"/>
                <w:sz w:val="18"/>
                <w:szCs w:val="18"/>
                <w:color w:val="auto"/>
              </w:rPr>
              <w:t>90,492</w:t>
            </w:r>
          </w:p>
        </w:tc>
        <w:tc>
          <w:tcPr>
            <w:tcW w:w="12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EEEEEE"/>
          </w:tcPr>
          <w:p>
            <w:pPr>
              <w:jc w:val="right"/>
              <w:ind w:right="20"/>
              <w:spacing w:after="0"/>
              <w:rPr>
                <w:sz w:val="20"/>
                <w:szCs w:val="20"/>
                <w:color w:val="auto"/>
              </w:rPr>
            </w:pPr>
            <w:r>
              <w:rPr>
                <w:rFonts w:ascii="Arial" w:cs="Arial" w:eastAsia="Arial" w:hAnsi="Arial"/>
                <w:sz w:val="18"/>
                <w:szCs w:val="18"/>
                <w:color w:val="auto"/>
              </w:rPr>
              <w:t>91,504</w:t>
            </w:r>
          </w:p>
        </w:tc>
        <w:tc>
          <w:tcPr>
            <w:tcW w:w="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2520" w:type="dxa"/>
            <w:vAlign w:val="bottom"/>
            <w:gridSpan w:val="2"/>
            <w:vMerge w:val="continue"/>
            <w:shd w:val="clear" w:color="auto" w:fill="EEEEEE"/>
          </w:tcPr>
          <w:p>
            <w:pPr>
              <w:spacing w:after="0"/>
              <w:rPr>
                <w:sz w:val="9"/>
                <w:szCs w:val="9"/>
                <w:color w:val="auto"/>
              </w:rPr>
            </w:pPr>
          </w:p>
        </w:tc>
        <w:tc>
          <w:tcPr>
            <w:tcW w:w="2300" w:type="dxa"/>
            <w:vAlign w:val="bottom"/>
            <w:vMerge w:val="continue"/>
            <w:shd w:val="clear" w:color="auto" w:fill="EEEEEE"/>
          </w:tcPr>
          <w:p>
            <w:pPr>
              <w:spacing w:after="0"/>
              <w:rPr>
                <w:sz w:val="9"/>
                <w:szCs w:val="9"/>
                <w:color w:val="auto"/>
              </w:rPr>
            </w:pPr>
          </w:p>
        </w:tc>
        <w:tc>
          <w:tcPr>
            <w:tcW w:w="540" w:type="dxa"/>
            <w:vAlign w:val="bottom"/>
            <w:gridSpan w:val="2"/>
            <w:vMerge w:val="continue"/>
            <w:shd w:val="clear" w:color="auto" w:fill="EEEEEE"/>
          </w:tcPr>
          <w:p>
            <w:pPr>
              <w:spacing w:after="0"/>
              <w:rPr>
                <w:sz w:val="9"/>
                <w:szCs w:val="9"/>
                <w:color w:val="auto"/>
              </w:rPr>
            </w:pPr>
          </w:p>
        </w:tc>
        <w:tc>
          <w:tcPr>
            <w:tcW w:w="1500" w:type="dxa"/>
            <w:vAlign w:val="bottom"/>
            <w:gridSpan w:val="2"/>
            <w:vMerge w:val="continue"/>
            <w:shd w:val="clear" w:color="auto" w:fill="EEEEEE"/>
          </w:tcPr>
          <w:p>
            <w:pPr>
              <w:spacing w:after="0"/>
              <w:rPr>
                <w:sz w:val="9"/>
                <w:szCs w:val="9"/>
                <w:color w:val="auto"/>
              </w:rPr>
            </w:pPr>
          </w:p>
        </w:tc>
        <w:tc>
          <w:tcPr>
            <w:tcW w:w="120" w:type="dxa"/>
            <w:vAlign w:val="bottom"/>
            <w:vMerge w:val="continue"/>
            <w:shd w:val="clear" w:color="auto" w:fill="EEEEEE"/>
          </w:tcPr>
          <w:p>
            <w:pPr>
              <w:spacing w:after="0"/>
              <w:rPr>
                <w:sz w:val="9"/>
                <w:szCs w:val="9"/>
                <w:color w:val="auto"/>
              </w:rPr>
            </w:pPr>
          </w:p>
        </w:tc>
        <w:tc>
          <w:tcPr>
            <w:tcW w:w="1260" w:type="dxa"/>
            <w:vAlign w:val="bottom"/>
            <w:gridSpan w:val="2"/>
            <w:vMerge w:val="continue"/>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520" w:type="dxa"/>
            <w:vAlign w:val="bottom"/>
            <w:gridSpan w:val="2"/>
            <w:shd w:val="clear" w:color="auto" w:fill="EEEEEE"/>
          </w:tcPr>
          <w:p>
            <w:pPr>
              <w:jc w:val="center"/>
              <w:ind w:right="340"/>
              <w:spacing w:after="0" w:line="201" w:lineRule="exact"/>
              <w:rPr>
                <w:sz w:val="20"/>
                <w:szCs w:val="20"/>
                <w:color w:val="auto"/>
              </w:rPr>
            </w:pPr>
            <w:r>
              <w:rPr>
                <w:rFonts w:ascii="Arial" w:cs="Arial" w:eastAsia="Arial" w:hAnsi="Arial"/>
                <w:sz w:val="18"/>
                <w:szCs w:val="18"/>
                <w:color w:val="auto"/>
                <w:w w:val="92"/>
              </w:rPr>
              <w:t>5.50% over one month Libor</w:t>
            </w:r>
          </w:p>
        </w:tc>
        <w:tc>
          <w:tcPr>
            <w:tcW w:w="2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52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auto"/>
                <w:w w:val="94"/>
              </w:rPr>
              <w:t>(Minimum 6.25%)</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August 2017</w:t>
            </w:r>
          </w:p>
        </w:tc>
        <w:tc>
          <w:tcPr>
            <w:tcW w:w="3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43,558</w:t>
            </w:r>
          </w:p>
        </w:tc>
        <w:tc>
          <w:tcPr>
            <w:tcW w:w="12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73,940</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520" w:type="dxa"/>
            <w:vAlign w:val="bottom"/>
            <w:gridSpan w:val="2"/>
            <w:shd w:val="clear" w:color="auto" w:fill="EEEEEE"/>
          </w:tcPr>
          <w:p>
            <w:pPr>
              <w:jc w:val="center"/>
              <w:ind w:right="340"/>
              <w:spacing w:after="0" w:line="201" w:lineRule="exact"/>
              <w:rPr>
                <w:sz w:val="20"/>
                <w:szCs w:val="20"/>
                <w:color w:val="auto"/>
              </w:rPr>
            </w:pPr>
            <w:r>
              <w:rPr>
                <w:rFonts w:ascii="Arial" w:cs="Arial" w:eastAsia="Arial" w:hAnsi="Arial"/>
                <w:sz w:val="18"/>
                <w:szCs w:val="18"/>
                <w:color w:val="auto"/>
                <w:w w:val="91"/>
              </w:rPr>
              <w:t>6.75% over a commercial</w:t>
            </w:r>
          </w:p>
        </w:tc>
        <w:tc>
          <w:tcPr>
            <w:tcW w:w="23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52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auto"/>
                <w:w w:val="92"/>
              </w:rPr>
              <w:t>paper rate (Minimum 7.75%)</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November 2019</w:t>
            </w:r>
          </w:p>
        </w:tc>
        <w:tc>
          <w:tcPr>
            <w:tcW w:w="3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38,202</w:t>
            </w:r>
          </w:p>
        </w:tc>
        <w:tc>
          <w:tcPr>
            <w:tcW w:w="12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31,017</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52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auto"/>
                <w:w w:val="92"/>
              </w:rPr>
              <w:t>11.75% over one month Libor</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6"/>
              </w:rPr>
              <w:t>April 2018</w:t>
            </w:r>
          </w:p>
        </w:tc>
        <w:tc>
          <w:tcPr>
            <w:tcW w:w="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8,336</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9,042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520" w:type="dxa"/>
            <w:vAlign w:val="bottom"/>
            <w:gridSpan w:val="2"/>
            <w:shd w:val="clear" w:color="auto" w:fill="EEEEEE"/>
          </w:tcPr>
          <w:p>
            <w:pPr>
              <w:jc w:val="center"/>
              <w:ind w:right="360"/>
              <w:spacing w:after="0" w:line="201" w:lineRule="exact"/>
              <w:rPr>
                <w:sz w:val="20"/>
                <w:szCs w:val="20"/>
                <w:color w:val="auto"/>
              </w:rPr>
            </w:pPr>
            <w:r>
              <w:rPr>
                <w:rFonts w:ascii="Arial" w:cs="Arial" w:eastAsia="Arial" w:hAnsi="Arial"/>
                <w:sz w:val="18"/>
                <w:szCs w:val="18"/>
                <w:color w:val="auto"/>
                <w:w w:val="89"/>
              </w:rPr>
              <w:t>Weighted average rate of</w:t>
            </w:r>
          </w:p>
        </w:tc>
        <w:tc>
          <w:tcPr>
            <w:tcW w:w="230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91"/>
              </w:rPr>
              <w:t>Weighted average maturity of</w:t>
            </w:r>
          </w:p>
        </w:tc>
        <w:tc>
          <w:tcPr>
            <w:tcW w:w="3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52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auto"/>
                <w:w w:val="91"/>
              </w:rPr>
              <w:t>8.67% and 9.04% at March</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December 2017 and October</w:t>
            </w:r>
          </w:p>
        </w:tc>
        <w:tc>
          <w:tcPr>
            <w:tcW w:w="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520" w:type="dxa"/>
            <w:vAlign w:val="bottom"/>
            <w:gridSpan w:val="2"/>
            <w:shd w:val="clear" w:color="auto" w:fill="EEEEEE"/>
          </w:tcPr>
          <w:p>
            <w:pPr>
              <w:jc w:val="center"/>
              <w:ind w:right="340"/>
              <w:spacing w:after="0"/>
              <w:rPr>
                <w:sz w:val="20"/>
                <w:szCs w:val="20"/>
                <w:color w:val="auto"/>
              </w:rPr>
            </w:pPr>
            <w:r>
              <w:rPr>
                <w:rFonts w:ascii="Arial" w:cs="Arial" w:eastAsia="Arial" w:hAnsi="Arial"/>
                <w:sz w:val="18"/>
                <w:szCs w:val="18"/>
                <w:color w:val="auto"/>
                <w:w w:val="88"/>
              </w:rPr>
              <w:t>31, 2016 and December 31,</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 at March 31, 2016 and</w:t>
            </w:r>
          </w:p>
        </w:tc>
        <w:tc>
          <w:tcPr>
            <w:tcW w:w="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520" w:type="dxa"/>
            <w:vAlign w:val="bottom"/>
            <w:gridSpan w:val="2"/>
            <w:shd w:val="clear" w:color="auto" w:fill="EEEEEE"/>
          </w:tcPr>
          <w:p>
            <w:pPr>
              <w:jc w:val="center"/>
              <w:ind w:right="360"/>
              <w:spacing w:after="0"/>
              <w:rPr>
                <w:sz w:val="20"/>
                <w:szCs w:val="20"/>
                <w:color w:val="auto"/>
              </w:rPr>
            </w:pPr>
            <w:r>
              <w:rPr>
                <w:rFonts w:ascii="Arial" w:cs="Arial" w:eastAsia="Arial" w:hAnsi="Arial"/>
                <w:sz w:val="18"/>
                <w:szCs w:val="18"/>
                <w:color w:val="auto"/>
                <w:w w:val="90"/>
              </w:rPr>
              <w:t>2015, respectively</w:t>
            </w: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December 31, 2015,</w:t>
            </w:r>
          </w:p>
        </w:tc>
        <w:tc>
          <w:tcPr>
            <w:tcW w:w="3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2180" w:type="dxa"/>
            <w:vAlign w:val="bottom"/>
            <w:shd w:val="clear" w:color="auto" w:fill="EEEEEE"/>
          </w:tcPr>
          <w:p>
            <w:pPr>
              <w:spacing w:after="0"/>
              <w:rPr>
                <w:sz w:val="21"/>
                <w:szCs w:val="21"/>
                <w:color w:val="auto"/>
              </w:rPr>
            </w:pPr>
          </w:p>
        </w:tc>
        <w:tc>
          <w:tcPr>
            <w:tcW w:w="340" w:type="dxa"/>
            <w:vAlign w:val="bottom"/>
            <w:shd w:val="clear" w:color="auto" w:fill="EEEEEE"/>
          </w:tcPr>
          <w:p>
            <w:pPr>
              <w:spacing w:after="0"/>
              <w:rPr>
                <w:sz w:val="21"/>
                <w:szCs w:val="21"/>
                <w:color w:val="auto"/>
              </w:rPr>
            </w:pPr>
          </w:p>
        </w:tc>
        <w:tc>
          <w:tcPr>
            <w:tcW w:w="23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respectively</w:t>
            </w:r>
          </w:p>
        </w:tc>
        <w:tc>
          <w:tcPr>
            <w:tcW w:w="36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5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15,348</w:t>
            </w:r>
          </w:p>
        </w:tc>
        <w:tc>
          <w:tcPr>
            <w:tcW w:w="12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15,138</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195,936</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Debt issuance costs of $2.0 million and $2.4 million as of March 31, 2016 and December 31, 2015, respectively, have been excluded from the table above. These debt issuance costs are presented as a direct deduction to the carrying amount of the Warehouse lines of credit on our Unaudited Condensed Consolidated Balance Sheets.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2"/>
          <w:szCs w:val="22"/>
          <w:b w:val="1"/>
          <w:bCs w:val="1"/>
          <w:color w:val="auto"/>
        </w:rPr>
        <w:t>CONSUMER PORTFOLIO SERVICES,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19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table presents the components of interest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80" w:type="dxa"/>
            <w:vAlign w:val="bottom"/>
            <w:gridSpan w:val="5"/>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405"/>
              <w:spacing w:after="0"/>
              <w:rPr>
                <w:sz w:val="20"/>
                <w:szCs w:val="20"/>
                <w:color w:val="auto"/>
              </w:rPr>
            </w:pPr>
            <w:r>
              <w:rPr>
                <w:rFonts w:ascii="Arial" w:cs="Arial" w:eastAsia="Arial" w:hAnsi="Arial"/>
                <w:sz w:val="18"/>
                <w:szCs w:val="18"/>
                <w:b w:val="1"/>
                <w:bCs w:val="1"/>
                <w:color w:val="auto"/>
                <w:w w:val="93"/>
              </w:rPr>
              <w:t>March 31,</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40" w:type="dxa"/>
            <w:vAlign w:val="bottom"/>
            <w:gridSpan w:val="4"/>
          </w:tcPr>
          <w:p>
            <w:pPr>
              <w:jc w:val="center"/>
              <w:ind w:right="385"/>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210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8"/>
              </w:rPr>
              <w:t>96,628</w:t>
            </w:r>
          </w:p>
        </w:tc>
        <w:tc>
          <w:tcPr>
            <w:tcW w:w="1080" w:type="dxa"/>
            <w:vAlign w:val="bottom"/>
            <w:gridSpan w:val="2"/>
            <w:shd w:val="clear" w:color="auto" w:fill="EEEEEE"/>
          </w:tcPr>
          <w:p>
            <w:pPr>
              <w:jc w:val="right"/>
              <w:ind w:right="905"/>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8"/>
              </w:rPr>
              <w:t>82,321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Residual interest income</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106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5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Interest income</w:t>
            </w:r>
          </w:p>
        </w:tc>
        <w:tc>
          <w:tcPr>
            <w:tcW w:w="10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96,663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82,359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table presents the components of interest expense: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980" w:type="dxa"/>
            <w:vAlign w:val="bottom"/>
            <w:gridSpan w:val="5"/>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center"/>
              <w:ind w:right="390"/>
              <w:spacing w:after="0"/>
              <w:rPr>
                <w:sz w:val="20"/>
                <w:szCs w:val="20"/>
                <w:color w:val="auto"/>
              </w:rPr>
            </w:pPr>
            <w:r>
              <w:rPr>
                <w:rFonts w:ascii="Arial" w:cs="Arial" w:eastAsia="Arial" w:hAnsi="Arial"/>
                <w:sz w:val="18"/>
                <w:szCs w:val="18"/>
                <w:b w:val="1"/>
                <w:bCs w:val="1"/>
                <w:color w:val="auto"/>
                <w:w w:val="93"/>
              </w:rPr>
              <w:t>March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40" w:type="dxa"/>
            <w:vAlign w:val="bottom"/>
            <w:gridSpan w:val="4"/>
          </w:tcPr>
          <w:p>
            <w:pPr>
              <w:jc w:val="center"/>
              <w:ind w:right="37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12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8"/>
              </w:rPr>
              <w:t>14,764</w:t>
            </w:r>
          </w:p>
        </w:tc>
        <w:tc>
          <w:tcPr>
            <w:tcW w:w="1220" w:type="dxa"/>
            <w:vAlign w:val="bottom"/>
            <w:gridSpan w:val="2"/>
            <w:shd w:val="clear" w:color="auto" w:fill="EEEEEE"/>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8"/>
              </w:rPr>
              <w:t>10,876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2,422</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271</w:t>
            </w:r>
          </w:p>
        </w:tc>
        <w:tc>
          <w:tcPr>
            <w:tcW w:w="1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108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17,821</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13,173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b w:val="1"/>
          <w:bCs w:val="1"/>
          <w:i w:val="1"/>
          <w:iCs w:val="1"/>
          <w:color w:val="auto"/>
        </w:rPr>
        <w:t>Earnings Per Share</w:t>
      </w:r>
    </w:p>
    <w:p>
      <w:pPr>
        <w:spacing w:after="0" w:line="229"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Earnings per share for the three-month periods ended March 31, 2016 and 2015 were calculated using the weighted average number of shares outstanding for the related period. The following table reconciles the number of shares used in the computations of basic and diluted earnings per share for the three-month periods ended March 30, 2016 and 2015:</w:t>
      </w:r>
    </w:p>
    <w:p>
      <w:pPr>
        <w:sectPr>
          <w:pgSz w:w="11900" w:h="16838" w:orient="portrait"/>
          <w:cols w:equalWidth="0" w:num="1">
            <w:col w:w="11420"/>
          </w:cols>
          <w:pgMar w:left="240" w:top="78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right="640" w:hanging="197"/>
        <w:spacing w:after="0" w:line="277" w:lineRule="auto"/>
        <w:rPr>
          <w:sz w:val="20"/>
          <w:szCs w:val="20"/>
          <w:color w:val="auto"/>
        </w:rPr>
      </w:pPr>
      <w:r>
        <w:rPr>
          <w:rFonts w:ascii="Arial" w:cs="Arial" w:eastAsia="Arial" w:hAnsi="Arial"/>
          <w:sz w:val="18"/>
          <w:szCs w:val="18"/>
          <w:color w:val="auto"/>
        </w:rPr>
        <w:t>Weighted average number of common shares outstanding during the period used to compute 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number of common shares used to compute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14605</wp:posOffset>
            </wp:positionV>
            <wp:extent cx="2263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1"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2015</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-130810</wp:posOffset>
            </wp:positionV>
            <wp:extent cx="2263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4" w:lineRule="exact"/>
        <w:rPr>
          <w:sz w:val="20"/>
          <w:szCs w:val="20"/>
          <w:color w:val="auto"/>
        </w:rPr>
      </w:pPr>
    </w:p>
    <w:p>
      <w:pPr>
        <w:jc w:val="both"/>
        <w:ind w:left="360"/>
        <w:spacing w:after="0"/>
        <w:tabs>
          <w:tab w:leader="none" w:pos="2480" w:val="left"/>
        </w:tabs>
        <w:rPr>
          <w:sz w:val="20"/>
          <w:szCs w:val="20"/>
          <w:color w:val="auto"/>
        </w:rPr>
      </w:pPr>
      <w:r>
        <w:rPr>
          <w:rFonts w:ascii="Arial" w:cs="Arial" w:eastAsia="Arial" w:hAnsi="Arial"/>
          <w:sz w:val="18"/>
          <w:szCs w:val="18"/>
          <w:color w:val="auto"/>
        </w:rPr>
        <w:t>25,296</w:t>
      </w:r>
      <w:r>
        <w:rPr>
          <w:sz w:val="20"/>
          <w:szCs w:val="20"/>
          <w:color w:val="auto"/>
        </w:rPr>
        <w:tab/>
      </w:r>
      <w:r>
        <w:rPr>
          <w:rFonts w:ascii="Arial" w:cs="Arial" w:eastAsia="Arial" w:hAnsi="Arial"/>
          <w:sz w:val="18"/>
          <w:szCs w:val="18"/>
          <w:color w:val="auto"/>
        </w:rPr>
        <w:t>25,635</w:t>
      </w:r>
    </w:p>
    <w:p>
      <w:pPr>
        <w:spacing w:after="0" w:line="239" w:lineRule="exact"/>
        <w:rPr>
          <w:sz w:val="20"/>
          <w:szCs w:val="20"/>
          <w:color w:val="auto"/>
        </w:rPr>
      </w:pPr>
    </w:p>
    <w:p>
      <w:pPr>
        <w:ind w:left="460"/>
        <w:spacing w:after="0"/>
        <w:tabs>
          <w:tab w:leader="none" w:pos="2580" w:val="left"/>
        </w:tabs>
        <w:rPr>
          <w:sz w:val="20"/>
          <w:szCs w:val="20"/>
          <w:color w:val="auto"/>
        </w:rPr>
      </w:pPr>
      <w:r>
        <w:rPr>
          <w:rFonts w:ascii="Arial" w:cs="Arial" w:eastAsia="Arial" w:hAnsi="Arial"/>
          <w:sz w:val="15"/>
          <w:szCs w:val="15"/>
          <w:color w:val="auto"/>
        </w:rPr>
        <w:t>4,858</w:t>
      </w:r>
      <w:r>
        <w:rPr>
          <w:sz w:val="20"/>
          <w:szCs w:val="20"/>
          <w:color w:val="auto"/>
        </w:rPr>
        <w:tab/>
      </w:r>
      <w:r>
        <w:rPr>
          <w:rFonts w:ascii="Arial" w:cs="Arial" w:eastAsia="Arial" w:hAnsi="Arial"/>
          <w:sz w:val="15"/>
          <w:szCs w:val="15"/>
          <w:color w:val="auto"/>
        </w:rPr>
        <w:t>6,356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36830</wp:posOffset>
            </wp:positionV>
            <wp:extent cx="2263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80" w:lineRule="exact"/>
        <w:rPr>
          <w:sz w:val="20"/>
          <w:szCs w:val="20"/>
          <w:color w:val="auto"/>
        </w:rPr>
      </w:pPr>
    </w:p>
    <w:p>
      <w:pPr>
        <w:jc w:val="both"/>
        <w:ind w:left="420"/>
        <w:spacing w:after="0"/>
        <w:tabs>
          <w:tab w:leader="none" w:pos="2480" w:val="left"/>
        </w:tabs>
        <w:rPr>
          <w:sz w:val="20"/>
          <w:szCs w:val="20"/>
          <w:color w:val="auto"/>
        </w:rPr>
      </w:pPr>
      <w:r>
        <w:rPr>
          <w:rFonts w:ascii="Arial" w:cs="Arial" w:eastAsia="Arial" w:hAnsi="Arial"/>
          <w:sz w:val="18"/>
          <w:szCs w:val="18"/>
          <w:color w:val="auto"/>
        </w:rPr>
        <w:t>30,154</w:t>
      </w:r>
      <w:r>
        <w:rPr>
          <w:sz w:val="20"/>
          <w:szCs w:val="20"/>
          <w:color w:val="auto"/>
        </w:rPr>
        <w:tab/>
      </w:r>
      <w:r>
        <w:rPr>
          <w:rFonts w:ascii="Arial" w:cs="Arial" w:eastAsia="Arial" w:hAnsi="Arial"/>
          <w:sz w:val="18"/>
          <w:szCs w:val="18"/>
          <w:color w:val="auto"/>
        </w:rPr>
        <w:t>31,991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31750</wp:posOffset>
            </wp:positionV>
            <wp:extent cx="2263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00" w:space="720"/>
            <w:col w:w="3000"/>
          </w:cols>
          <w:pgMar w:left="240" w:top="787" w:right="239" w:bottom="1440" w:gutter="0" w:footer="0" w:header="0"/>
          <w:type w:val="continuous"/>
        </w:sectPr>
      </w:pPr>
    </w:p>
    <w:p>
      <w:pPr>
        <w:spacing w:after="0" w:line="66"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periods ended March 31, 2016 and 2015 would have included an additional 6.8 million and 4.7 million shares, respectively attributable to the exercise of outstanding options and warrants.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CONSUMER PORTFOLIO SERVICES, INC. AND SUBSIDIARIES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195"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2012.</w:t>
      </w:r>
    </w:p>
    <w:p>
      <w:pPr>
        <w:spacing w:after="0" w:line="170" w:lineRule="exact"/>
        <w:rPr>
          <w:sz w:val="20"/>
          <w:szCs w:val="20"/>
          <w:color w:val="auto"/>
        </w:rPr>
      </w:pPr>
    </w:p>
    <w:p>
      <w:pPr>
        <w:jc w:val="both"/>
        <w:ind w:firstLine="72"/>
        <w:spacing w:after="0" w:line="308" w:lineRule="auto"/>
        <w:rPr>
          <w:sz w:val="20"/>
          <w:szCs w:val="20"/>
          <w:color w:val="auto"/>
        </w:rPr>
      </w:pPr>
      <w:r>
        <w:rPr>
          <w:rFonts w:ascii="Arial" w:cs="Arial" w:eastAsia="Arial" w:hAnsi="Arial"/>
          <w:sz w:val="17"/>
          <w:szCs w:val="17"/>
          <w:color w:val="auto"/>
        </w:rPr>
        <w:t>As of March 31, 2016 and December 31, 2015,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72"/>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72"/>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$37.5 million as of March 31, 2016 is more likely than not based on forecasted future net earnings. Our net deferred tax asset of $37.5 million consists of approximately $29.9 million of net U.S. federal deferred tax assets and $7.6 million of net state deferred tax assets.</w:t>
      </w:r>
    </w:p>
    <w:p>
      <w:pPr>
        <w:spacing w:after="0" w:line="193"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Income tax expense was $5.0 million and $6.4 million for the three months ended March 31, 2016 and 2015, which represents an effective income tax rate of 41% and 44%, respectively.</w:t>
      </w:r>
    </w:p>
    <w:p>
      <w:pPr>
        <w:spacing w:after="0" w:line="17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We are currently subject to one such class action, which has been settled by agreement with the plaintiffs. The settlement remains subject to final court approval. (The court has approved the settlement, but an objecting member of the settlement class has appealed that approval.)</w:t>
      </w:r>
    </w:p>
    <w:p>
      <w:pPr>
        <w:spacing w:after="0" w:line="170" w:lineRule="exact"/>
        <w:rPr>
          <w:sz w:val="20"/>
          <w:szCs w:val="20"/>
          <w:color w:val="auto"/>
        </w:rPr>
      </w:pPr>
    </w:p>
    <w:p>
      <w:pPr>
        <w:jc w:val="both"/>
        <w:ind w:right="20" w:firstLine="72"/>
        <w:spacing w:after="0" w:line="308" w:lineRule="auto"/>
        <w:rPr>
          <w:sz w:val="20"/>
          <w:szCs w:val="20"/>
          <w:color w:val="auto"/>
        </w:rPr>
      </w:pPr>
      <w:r>
        <w:rPr>
          <w:rFonts w:ascii="Arial" w:cs="Arial" w:eastAsia="Arial" w:hAnsi="Arial"/>
          <w:sz w:val="17"/>
          <w:szCs w:val="17"/>
          <w:color w:val="auto"/>
        </w:rPr>
        <w:t>For the most part, we have legal and factual defenses to consumer claims, which we routinely contest or settle (for immaterial amounts) depending on the particular circumstances of each case. We have recorded a liability as of March 31, 2016 with respect to such matters, in the aggregate.</w:t>
      </w:r>
    </w:p>
    <w:p>
      <w:pPr>
        <w:spacing w:after="0" w:line="147" w:lineRule="exact"/>
        <w:rPr>
          <w:sz w:val="20"/>
          <w:szCs w:val="20"/>
          <w:color w:val="auto"/>
        </w:rPr>
      </w:pPr>
    </w:p>
    <w:p>
      <w:pPr>
        <w:jc w:val="both"/>
        <w:ind w:firstLine="72"/>
        <w:spacing w:after="0" w:line="270" w:lineRule="auto"/>
        <w:rPr>
          <w:sz w:val="20"/>
          <w:szCs w:val="20"/>
          <w:color w:val="auto"/>
        </w:rPr>
      </w:pPr>
      <w:r>
        <w:rPr>
          <w:rFonts w:ascii="Arial" w:cs="Arial" w:eastAsia="Arial" w:hAnsi="Arial"/>
          <w:sz w:val="17"/>
          <w:szCs w:val="17"/>
          <w:i w:val="1"/>
          <w:iCs w:val="1"/>
          <w:color w:val="auto"/>
        </w:rPr>
        <w:t xml:space="preserve">Department of Justice Subpoena. </w:t>
      </w:r>
      <w:r>
        <w:rPr>
          <w:rFonts w:ascii="Arial" w:cs="Arial" w:eastAsia="Arial" w:hAnsi="Arial"/>
          <w:sz w:val="17"/>
          <w:szCs w:val="17"/>
          <w:color w:val="auto"/>
        </w:rPr>
        <w:t>In January 2015, we were served with a subpoena by the U.S. Department of Justice directing us to produce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We are among several other securitizers of sub-prime automobile receivables who received such subpoenas in 2014 and 2015. Among other matters, the subpoena required information relating to the underwriting criteria used to originate these automobile contracts and the representations and warranties relating to those underwriting criteria that were made in connection with the securitization of the automobile contracts. We provided the required documents in March 2015, and are unaware of any subsequent material developments in the government’s investigation. The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182" w:lineRule="exact"/>
        <w:rPr>
          <w:sz w:val="20"/>
          <w:szCs w:val="20"/>
          <w:color w:val="auto"/>
        </w:rPr>
      </w:pPr>
    </w:p>
    <w:p>
      <w:pPr>
        <w:jc w:val="both"/>
        <w:ind w:firstLine="72"/>
        <w:spacing w:after="0" w:line="257"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the matters referenced above. We have recorded a liability as of March 31, 2016,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March 31, 2016, and in excess of the liability we have recorded, is from $0 to $250,000.</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2"/>
          <w:szCs w:val="22"/>
          <w:b w:val="1"/>
          <w:bCs w:val="1"/>
          <w:color w:val="auto"/>
        </w:rPr>
        <w:t>CONSUMER PORTFOLIO SERVICES,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195" w:lineRule="exact"/>
        <w:rPr>
          <w:sz w:val="20"/>
          <w:szCs w:val="20"/>
          <w:color w:val="auto"/>
        </w:rPr>
      </w:pPr>
    </w:p>
    <w:p>
      <w:pPr>
        <w:jc w:val="both"/>
        <w:ind w:firstLine="72"/>
        <w:spacing w:after="0" w:line="273" w:lineRule="auto"/>
        <w:rPr>
          <w:sz w:val="20"/>
          <w:szCs w:val="20"/>
          <w:color w:val="auto"/>
        </w:rPr>
      </w:pPr>
      <w:r>
        <w:rPr>
          <w:rFonts w:ascii="Arial" w:cs="Arial" w:eastAsia="Arial" w:hAnsi="Arial"/>
          <w:sz w:val="17"/>
          <w:szCs w:val="17"/>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 wide discretion vested in the U.S. Department of Justice and other government agencies, and the deference that courts may give to assertions made by government litigants,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7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periods ended March 31, 2016 and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19"/>
                <w:szCs w:val="19"/>
                <w:color w:val="auto"/>
              </w:rPr>
            </w:pPr>
          </w:p>
        </w:tc>
        <w:tc>
          <w:tcPr>
            <w:tcW w:w="3060" w:type="dxa"/>
            <w:vAlign w:val="bottom"/>
            <w:gridSpan w:val="5"/>
          </w:tcPr>
          <w:p>
            <w:pPr>
              <w:jc w:val="center"/>
              <w:ind w:left="377"/>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ind w:right="590"/>
              <w:spacing w:after="0"/>
              <w:rPr>
                <w:sz w:val="20"/>
                <w:szCs w:val="20"/>
                <w:color w:val="auto"/>
              </w:rPr>
            </w:pPr>
            <w:r>
              <w:rPr>
                <w:rFonts w:ascii="Arial" w:cs="Arial" w:eastAsia="Arial" w:hAnsi="Arial"/>
                <w:sz w:val="18"/>
                <w:szCs w:val="18"/>
                <w:b w:val="1"/>
                <w:bCs w:val="1"/>
                <w:color w:val="auto"/>
                <w:w w:val="96"/>
              </w:rPr>
              <w:t>March 31,</w:t>
            </w:r>
          </w:p>
        </w:tc>
        <w:tc>
          <w:tcPr>
            <w:tcW w:w="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1100" w:type="dxa"/>
            <w:vAlign w:val="bottom"/>
          </w:tcPr>
          <w:p>
            <w:pPr>
              <w:spacing w:after="0"/>
              <w:rPr>
                <w:sz w:val="19"/>
                <w:szCs w:val="19"/>
                <w:color w:val="auto"/>
              </w:rPr>
            </w:pPr>
          </w:p>
        </w:tc>
        <w:tc>
          <w:tcPr>
            <w:tcW w:w="1960" w:type="dxa"/>
            <w:vAlign w:val="bottom"/>
            <w:gridSpan w:val="4"/>
          </w:tcPr>
          <w:p>
            <w:pPr>
              <w:jc w:val="center"/>
              <w:ind w:right="590"/>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7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1100" w:type="dxa"/>
            <w:vAlign w:val="bottom"/>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970"/>
              <w:spacing w:after="0"/>
              <w:rPr>
                <w:sz w:val="20"/>
                <w:szCs w:val="20"/>
                <w:color w:val="auto"/>
              </w:rPr>
            </w:pPr>
            <w:r>
              <w:rPr>
                <w:rFonts w:ascii="Arial" w:cs="Arial" w:eastAsia="Arial" w:hAnsi="Arial"/>
                <w:sz w:val="15"/>
                <w:szCs w:val="15"/>
                <w:color w:val="auto"/>
                <w:w w:val="71"/>
              </w:rPr>
              <w:t>$</w:t>
            </w:r>
          </w:p>
        </w:tc>
        <w:tc>
          <w:tcPr>
            <w:tcW w:w="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221</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11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(300)</w:t>
            </w:r>
          </w:p>
        </w:tc>
        <w:tc>
          <w:tcPr>
            <w:tcW w:w="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Amortization of transition (asset)/obligation</w:t>
            </w:r>
          </w:p>
        </w:tc>
        <w:tc>
          <w:tcPr>
            <w:tcW w:w="1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(gain) / loss</w:t>
            </w:r>
          </w:p>
        </w:tc>
        <w:tc>
          <w:tcPr>
            <w:tcW w:w="110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138</w:t>
            </w:r>
          </w:p>
        </w:tc>
        <w:tc>
          <w:tcPr>
            <w:tcW w:w="2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0"/>
              <w:spacing w:after="0"/>
              <w:rPr>
                <w:sz w:val="20"/>
                <w:szCs w:val="20"/>
                <w:color w:val="auto"/>
              </w:rPr>
            </w:pPr>
            <w:r>
              <w:rPr>
                <w:rFonts w:ascii="Arial" w:cs="Arial" w:eastAsia="Arial" w:hAnsi="Arial"/>
                <w:sz w:val="18"/>
                <w:szCs w:val="18"/>
                <w:color w:val="auto"/>
              </w:rPr>
              <w:t>Net periodic cost (benefit)</w:t>
            </w:r>
          </w:p>
        </w:tc>
        <w:tc>
          <w:tcPr>
            <w:tcW w:w="1100" w:type="dxa"/>
            <w:vAlign w:val="bottom"/>
            <w:tcBorders>
              <w:top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top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We did not make any contributions to the Plan during the three-month periods ended March 31, 2016 and 2015. We do not anticipate making any contributions for the remainder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Fair Value Measurements</w:t>
      </w:r>
    </w:p>
    <w:p>
      <w:pPr>
        <w:spacing w:after="0" w:line="225"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72"/>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58" w:lineRule="exact"/>
        <w:rPr>
          <w:sz w:val="20"/>
          <w:szCs w:val="20"/>
          <w:color w:val="auto"/>
        </w:rPr>
      </w:pPr>
    </w:p>
    <w:p>
      <w:pPr>
        <w:jc w:val="both"/>
        <w:ind w:firstLine="72"/>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March 31, 2016 the finance receivables related to the repossessed vehicles in inventory totaled $38.8 million. We have applied a valuation adjustment, or loss allowance, of $27.1 million, which is based on a recovery rate of approximately 30%, resulting in an estimated fair value and carrying amount of $11.7 million. The fair value and carrying amount of the repossessed inventory at December 31, 2015 was $12.8 million after applying a valuation adjustment of $26.9 million.</w:t>
      </w:r>
    </w:p>
    <w:p>
      <w:pPr>
        <w:spacing w:after="0" w:line="173" w:lineRule="exact"/>
        <w:rPr>
          <w:sz w:val="20"/>
          <w:szCs w:val="20"/>
          <w:color w:val="auto"/>
        </w:rPr>
      </w:pPr>
    </w:p>
    <w:p>
      <w:pPr>
        <w:jc w:val="both"/>
        <w:ind w:right="20" w:firstLine="72"/>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the three months ended March 31, 2016 and 2015. We have no level 3 assets that are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auto"/>
        </w:rPr>
        <w:t>CONSUMER PORTFOLIO SERVICES,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20" w:type="dxa"/>
            <w:vAlign w:val="bottom"/>
            <w:gridSpan w:val="12"/>
          </w:tcPr>
          <w:p>
            <w:pPr>
              <w:ind w:left="80"/>
              <w:spacing w:after="0"/>
              <w:rPr>
                <w:sz w:val="20"/>
                <w:szCs w:val="20"/>
                <w:color w:val="auto"/>
              </w:rPr>
            </w:pPr>
            <w:r>
              <w:rPr>
                <w:rFonts w:ascii="Arial" w:cs="Arial" w:eastAsia="Arial" w:hAnsi="Arial"/>
                <w:sz w:val="18"/>
                <w:szCs w:val="18"/>
                <w:color w:val="auto"/>
                <w:w w:val="91"/>
              </w:rPr>
              <w:t>The estimated fair values of financial assets and liabilities at March 31, 2016 and December 31, 2015, were as follows: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0"/>
              </w:rPr>
              <w:t>As of March 31, 2016</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Pr>
          <w:p>
            <w:pPr>
              <w:spacing w:after="0"/>
              <w:rPr>
                <w:sz w:val="19"/>
                <w:szCs w:val="19"/>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16,191</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16,191</w:t>
            </w:r>
          </w:p>
        </w:tc>
        <w:tc>
          <w:tcPr>
            <w:tcW w:w="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16,191</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126,011</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126,011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126,011</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2,018,376</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1,956,634</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1,956,634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30,617</w:t>
            </w: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30,617</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30,617</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172,252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172,252</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172,252</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8,336</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8,336</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8,336</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1,868,451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1,854,242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1,854,242</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15,348</w:t>
            </w: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15,348</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15,348</w:t>
            </w:r>
          </w:p>
        </w:tc>
        <w:tc>
          <w:tcPr>
            <w:tcW w:w="0" w:type="dxa"/>
            <w:vAlign w:val="bottom"/>
          </w:tcPr>
          <w:p>
            <w:pPr>
              <w:spacing w:after="0"/>
              <w:rPr>
                <w:sz w:val="1"/>
                <w:szCs w:val="1"/>
                <w:color w:val="auto"/>
              </w:rPr>
            </w:pPr>
          </w:p>
        </w:tc>
      </w:tr>
      <w:tr>
        <w:trPr>
          <w:trHeight w:val="446"/>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790"/>
              <w:spacing w:after="0"/>
              <w:rPr>
                <w:sz w:val="20"/>
                <w:szCs w:val="20"/>
                <w:color w:val="auto"/>
              </w:rPr>
            </w:pPr>
            <w:r>
              <w:rPr>
                <w:rFonts w:ascii="Arial" w:cs="Arial" w:eastAsia="Arial" w:hAnsi="Arial"/>
                <w:sz w:val="18"/>
                <w:szCs w:val="18"/>
                <w:b w:val="1"/>
                <w:bCs w:val="1"/>
                <w:color w:val="auto"/>
                <w:w w:val="89"/>
              </w:rPr>
              <w:t>As of December 31, 2015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160" w:type="dxa"/>
            <w:vAlign w:val="bottom"/>
          </w:tcPr>
          <w:p>
            <w:pPr>
              <w:spacing w:after="0"/>
              <w:rPr>
                <w:sz w:val="19"/>
                <w:szCs w:val="19"/>
                <w:color w:val="auto"/>
              </w:rPr>
            </w:pP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7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0"/>
              </w:rPr>
              <w:t>(In thousands)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080" w:type="dxa"/>
            <w:vAlign w:val="bottom"/>
            <w:gridSpan w:val="9"/>
          </w:tcPr>
          <w:p>
            <w:pPr>
              <w:ind w:left="600"/>
              <w:spacing w:after="0"/>
              <w:rPr>
                <w:sz w:val="20"/>
                <w:szCs w:val="20"/>
                <w:color w:val="auto"/>
              </w:rPr>
            </w:pPr>
            <w:r>
              <w:rPr>
                <w:rFonts w:ascii="Arial" w:cs="Arial" w:eastAsia="Arial" w:hAnsi="Arial"/>
                <w:sz w:val="18"/>
                <w:szCs w:val="18"/>
                <w:b w:val="1"/>
                <w:bCs w:val="1"/>
                <w:color w:val="auto"/>
              </w:rPr>
              <w:t>Fair Value Measurements Using: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19,322</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19,322</w:t>
            </w:r>
          </w:p>
        </w:tc>
        <w:tc>
          <w:tcPr>
            <w:tcW w:w="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106,054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106,054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106,054</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1,909,490</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1,879,510</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1,879,510</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31,547</w:t>
            </w: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31,547</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31,547</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196,461</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196,461</w:t>
            </w:r>
          </w:p>
        </w:tc>
        <w:tc>
          <w:tcPr>
            <w:tcW w:w="3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196,461</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3,260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9,042</w:t>
            </w: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9,042</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1,731,598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1,718,418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1,718,418</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15,138</w:t>
            </w:r>
          </w:p>
        </w:tc>
        <w:tc>
          <w:tcPr>
            <w:tcW w:w="2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ind w:left="8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15,138</w:t>
            </w:r>
          </w:p>
        </w:tc>
        <w:tc>
          <w:tcPr>
            <w:tcW w:w="1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72"/>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March 31, 2016 and December 31, 2015, the amounts that will actually be realized or paid at settlement or maturity of the instruments could be significantly different.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22"/>
          <w:szCs w:val="22"/>
          <w:b w:val="1"/>
          <w:bCs w:val="1"/>
          <w:color w:val="auto"/>
        </w:rPr>
        <w:t>CONSUMER PORTFOLIO SERVICES, INC. AND SUBSIDIARIES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NOTES TO UNAUDITED CONDENSED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ind w:right="20" w:firstLine="72"/>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and Subordinated Renewable Notes</w:t>
      </w:r>
    </w:p>
    <w:p>
      <w:pPr>
        <w:spacing w:after="0" w:line="225" w:lineRule="exact"/>
        <w:rPr>
          <w:sz w:val="20"/>
          <w:szCs w:val="20"/>
          <w:color w:val="auto"/>
        </w:rPr>
      </w:pPr>
    </w:p>
    <w:p>
      <w:pPr>
        <w:ind w:firstLine="72"/>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72"/>
        <w:spacing w:after="0" w:line="270" w:lineRule="auto"/>
        <w:rPr>
          <w:sz w:val="20"/>
          <w:szCs w:val="20"/>
          <w:color w:val="auto"/>
        </w:rPr>
      </w:pPr>
      <w:r>
        <w:rPr>
          <w:rFonts w:ascii="Arial" w:cs="Arial" w:eastAsia="Arial" w:hAnsi="Arial"/>
          <w:sz w:val="17"/>
          <w:szCs w:val="17"/>
          <w:color w:val="auto"/>
        </w:rPr>
        <w:t>We are a specialty finance company focused on consumers who have limited credit histories or past credit problems, whom we refer to as sub-prime customers.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sub-prime customers of dealers.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2" w:lineRule="exact"/>
        <w:rPr>
          <w:sz w:val="20"/>
          <w:szCs w:val="20"/>
          <w:color w:val="auto"/>
        </w:rPr>
      </w:pPr>
    </w:p>
    <w:p>
      <w:pPr>
        <w:jc w:val="both"/>
        <w:ind w:firstLine="72"/>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March 31, 2016, we have purchased a total of approximately $12.7 billion of automobile contracts from dealers. In addition, we obtained a total of approximately $822.3 million of automobile contracts in mergers and acquisitions in 2002, 2003, 2004 and 2011. In 2004 and 2009, we were appointed as a third-party servicer for certain portfolios of automobile receivables originated and owned by non-affiliated entities. Beginning in 2008 through the third quarter of 2011, our managed portfolio decreased each year due to our strategy of limiting contract purchases in 2008 and 2009 to conserve our liquidity, as discussed further below. However, since October 2009 we have gradually increased contract purchases, which, in turn has resulted in recent increases to our managed portfolio. Recent contract purchase volumes and managed portfolio levels are shown in the table below:</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5"/>
          </w:tcPr>
          <w:p>
            <w:pPr>
              <w:ind w:left="10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50"/>
              <w:spacing w:after="0" w:line="191" w:lineRule="exact"/>
              <w:rPr>
                <w:sz w:val="20"/>
                <w:szCs w:val="20"/>
                <w:color w:val="auto"/>
              </w:rPr>
            </w:pPr>
            <w:r>
              <w:rPr>
                <w:rFonts w:ascii="Arial" w:cs="Arial" w:eastAsia="Arial" w:hAnsi="Arial"/>
                <w:sz w:val="18"/>
                <w:szCs w:val="18"/>
                <w:b w:val="1"/>
                <w:bCs w:val="1"/>
                <w:color w:val="auto"/>
              </w:rPr>
              <w:t>Contracts</w:t>
            </w:r>
          </w:p>
        </w:tc>
        <w:tc>
          <w:tcPr>
            <w:tcW w:w="1960" w:type="dxa"/>
            <w:vAlign w:val="bottom"/>
            <w:tcBorders>
              <w:top w:val="single" w:sz="8" w:color="auto"/>
            </w:tcBorders>
            <w:gridSpan w:val="3"/>
          </w:tcPr>
          <w:p>
            <w:pPr>
              <w:ind w:left="300"/>
              <w:spacing w:after="0" w:line="191" w:lineRule="exact"/>
              <w:rPr>
                <w:sz w:val="20"/>
                <w:szCs w:val="20"/>
                <w:color w:val="auto"/>
              </w:rPr>
            </w:pPr>
            <w:r>
              <w:rPr>
                <w:rFonts w:ascii="Arial" w:cs="Arial" w:eastAsia="Arial" w:hAnsi="Arial"/>
                <w:sz w:val="18"/>
                <w:szCs w:val="18"/>
                <w:b w:val="1"/>
                <w:bCs w:val="1"/>
                <w:color w:val="auto"/>
                <w:w w:val="92"/>
              </w:rPr>
              <w:t>Managed Portfolio at</w:t>
            </w:r>
          </w:p>
        </w:tc>
        <w:tc>
          <w:tcPr>
            <w:tcW w:w="100" w:type="dxa"/>
            <w:vAlign w:val="bottom"/>
          </w:tcPr>
          <w:p>
            <w:pPr>
              <w:spacing w:after="0"/>
              <w:rPr>
                <w:sz w:val="16"/>
                <w:szCs w:val="16"/>
                <w:color w:val="auto"/>
              </w:rPr>
            </w:pPr>
          </w:p>
        </w:tc>
      </w:tr>
      <w:tr>
        <w:trPr>
          <w:trHeight w:val="234"/>
        </w:trPr>
        <w:tc>
          <w:tcPr>
            <w:tcW w:w="5140" w:type="dxa"/>
            <w:vAlign w:val="bottom"/>
          </w:tcPr>
          <w:p>
            <w:pPr>
              <w:ind w:left="2300"/>
              <w:spacing w:after="0"/>
              <w:rPr>
                <w:sz w:val="20"/>
                <w:szCs w:val="20"/>
                <w:color w:val="auto"/>
              </w:rPr>
            </w:pPr>
            <w:r>
              <w:rPr>
                <w:rFonts w:ascii="Arial" w:cs="Arial" w:eastAsia="Arial" w:hAnsi="Arial"/>
                <w:sz w:val="18"/>
                <w:szCs w:val="18"/>
                <w:b w:val="1"/>
                <w:bCs w:val="1"/>
                <w:color w:val="auto"/>
              </w:rPr>
              <w:t>Period</w:t>
            </w:r>
          </w:p>
        </w:tc>
        <w:tc>
          <w:tcPr>
            <w:tcW w:w="3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Purchased in Period</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Period End</w:t>
            </w:r>
          </w:p>
        </w:tc>
      </w:tr>
      <w:tr>
        <w:trPr>
          <w:trHeight w:val="210"/>
        </w:trPr>
        <w:tc>
          <w:tcPr>
            <w:tcW w:w="51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2008</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140" w:type="dxa"/>
            <w:vAlign w:val="bottom"/>
          </w:tcPr>
          <w:p>
            <w:pPr>
              <w:jc w:val="center"/>
              <w:spacing w:after="0"/>
              <w:rPr>
                <w:sz w:val="20"/>
                <w:szCs w:val="20"/>
                <w:color w:val="auto"/>
              </w:rPr>
            </w:pPr>
            <w:r>
              <w:rPr>
                <w:rFonts w:ascii="Arial" w:cs="Arial" w:eastAsia="Arial" w:hAnsi="Arial"/>
                <w:sz w:val="18"/>
                <w:szCs w:val="18"/>
                <w:color w:val="333333"/>
                <w:w w:val="89"/>
              </w:rPr>
              <w:t>2009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1,194,722</w:t>
            </w:r>
          </w:p>
        </w:tc>
        <w:tc>
          <w:tcPr>
            <w:tcW w:w="100" w:type="dxa"/>
            <w:vAlign w:val="bottom"/>
          </w:tcPr>
          <w:p>
            <w:pPr>
              <w:spacing w:after="0"/>
              <w:rPr>
                <w:sz w:val="18"/>
                <w:szCs w:val="18"/>
                <w:color w:val="auto"/>
              </w:rPr>
            </w:pPr>
          </w:p>
        </w:tc>
      </w:tr>
      <w:tr>
        <w:trPr>
          <w:trHeight w:val="216"/>
        </w:trPr>
        <w:tc>
          <w:tcPr>
            <w:tcW w:w="51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113,023</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100" w:type="dxa"/>
            <w:vAlign w:val="bottom"/>
            <w:shd w:val="clear" w:color="auto" w:fill="EEEEEE"/>
          </w:tcPr>
          <w:p>
            <w:pPr>
              <w:spacing w:after="0"/>
              <w:rPr>
                <w:sz w:val="18"/>
                <w:szCs w:val="18"/>
                <w:color w:val="auto"/>
              </w:rPr>
            </w:pPr>
          </w:p>
        </w:tc>
      </w:tr>
      <w:tr>
        <w:trPr>
          <w:trHeight w:val="216"/>
        </w:trPr>
        <w:tc>
          <w:tcPr>
            <w:tcW w:w="5140" w:type="dxa"/>
            <w:vAlign w:val="bottom"/>
          </w:tcPr>
          <w:p>
            <w:pPr>
              <w:jc w:val="center"/>
              <w:spacing w:after="0"/>
              <w:rPr>
                <w:sz w:val="20"/>
                <w:szCs w:val="20"/>
                <w:color w:val="auto"/>
              </w:rPr>
            </w:pPr>
            <w:r>
              <w:rPr>
                <w:rFonts w:ascii="Arial" w:cs="Arial" w:eastAsia="Arial" w:hAnsi="Arial"/>
                <w:sz w:val="18"/>
                <w:szCs w:val="18"/>
                <w:color w:val="333333"/>
                <w:w w:val="84"/>
              </w:rPr>
              <w:t>2011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284,236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794,649</w:t>
            </w:r>
          </w:p>
        </w:tc>
        <w:tc>
          <w:tcPr>
            <w:tcW w:w="100" w:type="dxa"/>
            <w:vAlign w:val="bottom"/>
          </w:tcPr>
          <w:p>
            <w:pPr>
              <w:spacing w:after="0"/>
              <w:rPr>
                <w:sz w:val="18"/>
                <w:szCs w:val="18"/>
                <w:color w:val="auto"/>
              </w:rPr>
            </w:pPr>
          </w:p>
        </w:tc>
      </w:tr>
      <w:tr>
        <w:trPr>
          <w:trHeight w:val="216"/>
        </w:trPr>
        <w:tc>
          <w:tcPr>
            <w:tcW w:w="51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551,742</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00" w:type="dxa"/>
            <w:vAlign w:val="bottom"/>
            <w:shd w:val="clear" w:color="auto" w:fill="EEEEEE"/>
          </w:tcPr>
          <w:p>
            <w:pPr>
              <w:spacing w:after="0"/>
              <w:rPr>
                <w:sz w:val="18"/>
                <w:szCs w:val="18"/>
                <w:color w:val="auto"/>
              </w:rPr>
            </w:pPr>
          </w:p>
        </w:tc>
      </w:tr>
      <w:tr>
        <w:trPr>
          <w:trHeight w:val="216"/>
        </w:trPr>
        <w:tc>
          <w:tcPr>
            <w:tcW w:w="514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764,087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1,231,422</w:t>
            </w:r>
          </w:p>
        </w:tc>
        <w:tc>
          <w:tcPr>
            <w:tcW w:w="100" w:type="dxa"/>
            <w:vAlign w:val="bottom"/>
          </w:tcPr>
          <w:p>
            <w:pPr>
              <w:spacing w:after="0"/>
              <w:rPr>
                <w:sz w:val="18"/>
                <w:szCs w:val="18"/>
                <w:color w:val="auto"/>
              </w:rPr>
            </w:pPr>
          </w:p>
        </w:tc>
      </w:tr>
      <w:tr>
        <w:trPr>
          <w:trHeight w:val="216"/>
        </w:trPr>
        <w:tc>
          <w:tcPr>
            <w:tcW w:w="514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944,944</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1,643,920</w:t>
            </w:r>
          </w:p>
        </w:tc>
        <w:tc>
          <w:tcPr>
            <w:tcW w:w="100" w:type="dxa"/>
            <w:vAlign w:val="bottom"/>
            <w:shd w:val="clear" w:color="auto" w:fill="EEEEEE"/>
          </w:tcPr>
          <w:p>
            <w:pPr>
              <w:spacing w:after="0"/>
              <w:rPr>
                <w:sz w:val="18"/>
                <w:szCs w:val="18"/>
                <w:color w:val="auto"/>
              </w:rPr>
            </w:pPr>
          </w:p>
        </w:tc>
      </w:tr>
      <w:tr>
        <w:trPr>
          <w:trHeight w:val="216"/>
        </w:trPr>
        <w:tc>
          <w:tcPr>
            <w:tcW w:w="51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1,060,538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2,031,136</w:t>
            </w:r>
          </w:p>
        </w:tc>
        <w:tc>
          <w:tcPr>
            <w:tcW w:w="100" w:type="dxa"/>
            <w:vAlign w:val="bottom"/>
          </w:tcPr>
          <w:p>
            <w:pPr>
              <w:spacing w:after="0"/>
              <w:rPr>
                <w:sz w:val="18"/>
                <w:szCs w:val="18"/>
                <w:color w:val="auto"/>
              </w:rPr>
            </w:pPr>
          </w:p>
        </w:tc>
      </w:tr>
      <w:tr>
        <w:trPr>
          <w:trHeight w:val="216"/>
        </w:trPr>
        <w:tc>
          <w:tcPr>
            <w:tcW w:w="51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Three months ended March 31, 2016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312,300</w:t>
            </w:r>
          </w:p>
        </w:tc>
        <w:tc>
          <w:tcPr>
            <w:tcW w:w="3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2,141,628</w:t>
            </w:r>
          </w:p>
        </w:tc>
        <w:tc>
          <w:tcPr>
            <w:tcW w:w="10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72"/>
        <w:spacing w:after="0" w:line="259" w:lineRule="auto"/>
        <w:rPr>
          <w:sz w:val="20"/>
          <w:szCs w:val="20"/>
          <w:color w:val="auto"/>
        </w:rPr>
      </w:pPr>
      <w:r>
        <w:rPr>
          <w:rFonts w:ascii="Arial" w:cs="Arial" w:eastAsia="Arial" w:hAnsi="Arial"/>
          <w:sz w:val="18"/>
          <w:szCs w:val="18"/>
          <w:color w:val="auto"/>
        </w:rPr>
        <w:t>The programs we offer to dealers are intended to serve a wide range of sub-prime customers, primarily through franchised new car dealers. We purchase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72"/>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fund the transactions. Depending on the structure, these transactions may be accounted for under generally accepted accounting principles as sales of the automobile contracts or as secured financings.</w:t>
      </w:r>
    </w:p>
    <w:p>
      <w:pPr>
        <w:spacing w:after="0" w:line="188" w:lineRule="exact"/>
        <w:rPr>
          <w:sz w:val="20"/>
          <w:szCs w:val="20"/>
          <w:color w:val="auto"/>
        </w:rPr>
      </w:pPr>
    </w:p>
    <w:p>
      <w:pPr>
        <w:jc w:val="both"/>
        <w:ind w:firstLine="72"/>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unaudited condensed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 w:name="page19"/>
    <w:bookmarkEnd w:id="18"/>
    <w:p>
      <w:pPr>
        <w:jc w:val="both"/>
        <w:ind w:firstLine="72"/>
        <w:spacing w:after="0" w:line="255" w:lineRule="auto"/>
        <w:rPr>
          <w:sz w:val="20"/>
          <w:szCs w:val="20"/>
          <w:color w:val="auto"/>
        </w:rPr>
      </w:pPr>
      <w:r>
        <w:rPr>
          <w:rFonts w:ascii="Arial" w:cs="Arial" w:eastAsia="Arial" w:hAnsi="Arial"/>
          <w:sz w:val="18"/>
          <w:szCs w:val="18"/>
          <w:color w:val="auto"/>
        </w:rPr>
        <w:t>Since 1994 we have conducted 69 term securitizations (generally quarterly) of automobile contracts that we purchased from dealers under our regular programs. As of March 31, 2016, 18 of those securitizations are active and all but one are structured as secured financings. Our September 2010 transaction is our only active securitization that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We also completed a securitization in April 2016.</w:t>
      </w: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Our recent history of term securitizations is summarized in the table below:</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1080" w:type="dxa"/>
            <w:vAlign w:val="bottom"/>
          </w:tcPr>
          <w:p>
            <w:pPr>
              <w:spacing w:after="0"/>
              <w:rPr>
                <w:sz w:val="24"/>
                <w:szCs w:val="24"/>
                <w:color w:val="auto"/>
              </w:rPr>
            </w:pPr>
          </w:p>
        </w:tc>
        <w:tc>
          <w:tcPr>
            <w:tcW w:w="706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Recent Asset-Backed Term Securitizations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60" w:type="dxa"/>
            <w:vAlign w:val="bottom"/>
            <w:gridSpan w:val="5"/>
          </w:tcPr>
          <w:p>
            <w:pPr>
              <w:ind w:left="124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0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rPr>
              <w:t>Number of Term</w:t>
            </w:r>
          </w:p>
        </w:tc>
        <w:tc>
          <w:tcPr>
            <w:tcW w:w="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2"/>
              </w:rPr>
              <w:t>Amount of Term</w:t>
            </w:r>
          </w:p>
        </w:tc>
        <w:tc>
          <w:tcPr>
            <w:tcW w:w="100" w:type="dxa"/>
            <w:vAlign w:val="bottom"/>
          </w:tcPr>
          <w:p>
            <w:pPr>
              <w:spacing w:after="0"/>
              <w:rPr>
                <w:sz w:val="16"/>
                <w:szCs w:val="16"/>
                <w:color w:val="auto"/>
              </w:rPr>
            </w:pPr>
          </w:p>
        </w:tc>
      </w:tr>
      <w:tr>
        <w:trPr>
          <w:trHeight w:val="234"/>
        </w:trPr>
        <w:tc>
          <w:tcPr>
            <w:tcW w:w="1080" w:type="dxa"/>
            <w:vAlign w:val="bottom"/>
          </w:tcPr>
          <w:p>
            <w:pPr>
              <w:spacing w:after="0"/>
              <w:rPr>
                <w:sz w:val="20"/>
                <w:szCs w:val="20"/>
                <w:color w:val="auto"/>
              </w:rPr>
            </w:pPr>
          </w:p>
        </w:tc>
        <w:tc>
          <w:tcPr>
            <w:tcW w:w="5460" w:type="dxa"/>
            <w:vAlign w:val="bottom"/>
            <w:gridSpan w:val="2"/>
          </w:tcPr>
          <w:p>
            <w:pPr>
              <w:ind w:left="2320"/>
              <w:spacing w:after="0"/>
              <w:rPr>
                <w:sz w:val="20"/>
                <w:szCs w:val="20"/>
                <w:color w:val="auto"/>
              </w:rPr>
            </w:pPr>
            <w:r>
              <w:rPr>
                <w:rFonts w:ascii="Arial" w:cs="Arial" w:eastAsia="Arial" w:hAnsi="Arial"/>
                <w:sz w:val="18"/>
                <w:szCs w:val="18"/>
                <w:b w:val="1"/>
                <w:bCs w:val="1"/>
                <w:color w:val="auto"/>
              </w:rPr>
              <w:t>Period</w:t>
            </w: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Securitizations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1080" w:type="dxa"/>
            <w:vAlign w:val="bottom"/>
          </w:tcPr>
          <w:p>
            <w:pPr>
              <w:spacing w:after="0"/>
              <w:rPr>
                <w:sz w:val="18"/>
                <w:szCs w:val="18"/>
                <w:color w:val="auto"/>
              </w:rPr>
            </w:pPr>
          </w:p>
        </w:tc>
        <w:tc>
          <w:tcPr>
            <w:tcW w:w="51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2006</w:t>
            </w:r>
          </w:p>
        </w:tc>
        <w:tc>
          <w:tcPr>
            <w:tcW w:w="30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ind w:right="630"/>
              <w:spacing w:after="0"/>
              <w:rPr>
                <w:sz w:val="20"/>
                <w:szCs w:val="20"/>
                <w:color w:val="auto"/>
              </w:rPr>
            </w:pPr>
            <w:r>
              <w:rPr>
                <w:rFonts w:ascii="Arial" w:cs="Arial" w:eastAsia="Arial" w:hAnsi="Arial"/>
                <w:sz w:val="18"/>
                <w:szCs w:val="18"/>
                <w:color w:val="auto"/>
              </w:rPr>
              <w:t>4</w:t>
            </w:r>
          </w:p>
        </w:tc>
        <w:tc>
          <w:tcPr>
            <w:tcW w:w="3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00" w:type="dxa"/>
            <w:vAlign w:val="bottom"/>
          </w:tcPr>
          <w:p>
            <w:pPr>
              <w:spacing w:after="0"/>
              <w:rPr>
                <w:sz w:val="18"/>
                <w:szCs w:val="18"/>
                <w:color w:val="auto"/>
              </w:rPr>
            </w:pPr>
          </w:p>
        </w:tc>
        <w:tc>
          <w:tcPr>
            <w:tcW w:w="1600" w:type="dxa"/>
            <w:vAlign w:val="bottom"/>
          </w:tcPr>
          <w:p>
            <w:pPr>
              <w:jc w:val="right"/>
              <w:ind w:right="63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1,118,097</w:t>
            </w:r>
          </w:p>
        </w:tc>
        <w:tc>
          <w:tcPr>
            <w:tcW w:w="1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2008</w:t>
            </w:r>
          </w:p>
        </w:tc>
        <w:tc>
          <w:tcPr>
            <w:tcW w:w="30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630"/>
              <w:spacing w:after="0"/>
              <w:rPr>
                <w:sz w:val="20"/>
                <w:szCs w:val="20"/>
                <w:color w:val="auto"/>
              </w:rPr>
            </w:pPr>
            <w:r>
              <w:rPr>
                <w:rFonts w:ascii="Arial" w:cs="Arial" w:eastAsia="Arial" w:hAnsi="Arial"/>
                <w:sz w:val="18"/>
                <w:szCs w:val="18"/>
                <w:color w:val="auto"/>
              </w:rPr>
              <w:t>2</w:t>
            </w: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509,022</w:t>
            </w:r>
          </w:p>
        </w:tc>
        <w:tc>
          <w:tcPr>
            <w:tcW w:w="100" w:type="dxa"/>
            <w:vAlign w:val="bottom"/>
            <w:shd w:val="clear" w:color="auto" w:fill="EEEEEE"/>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333333"/>
                <w:w w:val="89"/>
              </w:rPr>
              <w:t>2009</w:t>
            </w:r>
          </w:p>
        </w:tc>
        <w:tc>
          <w:tcPr>
            <w:tcW w:w="300" w:type="dxa"/>
            <w:vAlign w:val="bottom"/>
          </w:tcPr>
          <w:p>
            <w:pPr>
              <w:spacing w:after="0"/>
              <w:rPr>
                <w:sz w:val="18"/>
                <w:szCs w:val="18"/>
                <w:color w:val="auto"/>
              </w:rPr>
            </w:pPr>
          </w:p>
        </w:tc>
        <w:tc>
          <w:tcPr>
            <w:tcW w:w="1600" w:type="dxa"/>
            <w:vAlign w:val="bottom"/>
          </w:tcPr>
          <w:p>
            <w:pPr>
              <w:jc w:val="right"/>
              <w:ind w:right="630"/>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80" w:type="dxa"/>
            <w:vAlign w:val="bottom"/>
          </w:tcPr>
          <w:p>
            <w:pPr>
              <w:spacing w:after="0"/>
              <w:rPr>
                <w:sz w:val="18"/>
                <w:szCs w:val="18"/>
                <w:color w:val="auto"/>
              </w:rPr>
            </w:pPr>
          </w:p>
        </w:tc>
        <w:tc>
          <w:tcPr>
            <w:tcW w:w="51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2010</w:t>
            </w:r>
          </w:p>
        </w:tc>
        <w:tc>
          <w:tcPr>
            <w:tcW w:w="30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630"/>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103,772</w:t>
            </w:r>
          </w:p>
        </w:tc>
        <w:tc>
          <w:tcPr>
            <w:tcW w:w="100" w:type="dxa"/>
            <w:vAlign w:val="bottom"/>
            <w:shd w:val="clear" w:color="auto" w:fill="EEEEEE"/>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333333"/>
                <w:w w:val="89"/>
              </w:rPr>
              <w:t>2011</w:t>
            </w:r>
          </w:p>
        </w:tc>
        <w:tc>
          <w:tcPr>
            <w:tcW w:w="300" w:type="dxa"/>
            <w:vAlign w:val="bottom"/>
          </w:tcPr>
          <w:p>
            <w:pPr>
              <w:spacing w:after="0"/>
              <w:rPr>
                <w:sz w:val="18"/>
                <w:szCs w:val="18"/>
                <w:color w:val="auto"/>
              </w:rPr>
            </w:pPr>
          </w:p>
        </w:tc>
        <w:tc>
          <w:tcPr>
            <w:tcW w:w="1600" w:type="dxa"/>
            <w:vAlign w:val="bottom"/>
          </w:tcPr>
          <w:p>
            <w:pPr>
              <w:jc w:val="right"/>
              <w:ind w:right="63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335,593</w:t>
            </w:r>
          </w:p>
        </w:tc>
        <w:tc>
          <w:tcPr>
            <w:tcW w:w="1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30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630"/>
              <w:spacing w:after="0"/>
              <w:rPr>
                <w:sz w:val="20"/>
                <w:szCs w:val="20"/>
                <w:color w:val="auto"/>
              </w:rPr>
            </w:pPr>
            <w:r>
              <w:rPr>
                <w:rFonts w:ascii="Arial" w:cs="Arial" w:eastAsia="Arial" w:hAnsi="Arial"/>
                <w:sz w:val="18"/>
                <w:szCs w:val="18"/>
                <w:color w:val="auto"/>
              </w:rPr>
              <w:t>4</w:t>
            </w: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603,500</w:t>
            </w:r>
          </w:p>
        </w:tc>
        <w:tc>
          <w:tcPr>
            <w:tcW w:w="100" w:type="dxa"/>
            <w:vAlign w:val="bottom"/>
            <w:shd w:val="clear" w:color="auto" w:fill="EEEEEE"/>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300" w:type="dxa"/>
            <w:vAlign w:val="bottom"/>
          </w:tcPr>
          <w:p>
            <w:pPr>
              <w:spacing w:after="0"/>
              <w:rPr>
                <w:sz w:val="18"/>
                <w:szCs w:val="18"/>
                <w:color w:val="auto"/>
              </w:rPr>
            </w:pPr>
          </w:p>
        </w:tc>
        <w:tc>
          <w:tcPr>
            <w:tcW w:w="1600" w:type="dxa"/>
            <w:vAlign w:val="bottom"/>
          </w:tcPr>
          <w:p>
            <w:pPr>
              <w:jc w:val="right"/>
              <w:ind w:right="63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778,000</w:t>
            </w:r>
          </w:p>
        </w:tc>
        <w:tc>
          <w:tcPr>
            <w:tcW w:w="1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6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2014</w:t>
            </w:r>
          </w:p>
        </w:tc>
        <w:tc>
          <w:tcPr>
            <w:tcW w:w="300" w:type="dxa"/>
            <w:vAlign w:val="bottom"/>
            <w:shd w:val="clear" w:color="auto" w:fill="EEEEEE"/>
          </w:tcPr>
          <w:p>
            <w:pPr>
              <w:spacing w:after="0"/>
              <w:rPr>
                <w:sz w:val="18"/>
                <w:szCs w:val="18"/>
                <w:color w:val="auto"/>
              </w:rPr>
            </w:pPr>
          </w:p>
        </w:tc>
        <w:tc>
          <w:tcPr>
            <w:tcW w:w="1600" w:type="dxa"/>
            <w:vAlign w:val="bottom"/>
            <w:shd w:val="clear" w:color="auto" w:fill="EEEEEE"/>
          </w:tcPr>
          <w:p>
            <w:pPr>
              <w:jc w:val="right"/>
              <w:ind w:right="630"/>
              <w:spacing w:after="0"/>
              <w:rPr>
                <w:sz w:val="20"/>
                <w:szCs w:val="20"/>
                <w:color w:val="auto"/>
              </w:rPr>
            </w:pPr>
            <w:r>
              <w:rPr>
                <w:rFonts w:ascii="Arial" w:cs="Arial" w:eastAsia="Arial" w:hAnsi="Arial"/>
                <w:sz w:val="18"/>
                <w:szCs w:val="18"/>
                <w:color w:val="auto"/>
              </w:rPr>
              <w:t>4</w:t>
            </w: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923,000</w:t>
            </w:r>
          </w:p>
        </w:tc>
        <w:tc>
          <w:tcPr>
            <w:tcW w:w="100" w:type="dxa"/>
            <w:vAlign w:val="bottom"/>
            <w:shd w:val="clear" w:color="auto" w:fill="EEEEEE"/>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333333"/>
                <w:w w:val="89"/>
              </w:rPr>
              <w:t>2015</w:t>
            </w:r>
          </w:p>
        </w:tc>
        <w:tc>
          <w:tcPr>
            <w:tcW w:w="300" w:type="dxa"/>
            <w:vAlign w:val="bottom"/>
          </w:tcPr>
          <w:p>
            <w:pPr>
              <w:spacing w:after="0"/>
              <w:rPr>
                <w:sz w:val="18"/>
                <w:szCs w:val="18"/>
                <w:color w:val="auto"/>
              </w:rPr>
            </w:pPr>
          </w:p>
        </w:tc>
        <w:tc>
          <w:tcPr>
            <w:tcW w:w="1600" w:type="dxa"/>
            <w:vAlign w:val="bottom"/>
          </w:tcPr>
          <w:p>
            <w:pPr>
              <w:jc w:val="right"/>
              <w:ind w:right="63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460" w:type="dxa"/>
            <w:vAlign w:val="bottom"/>
            <w:gridSpan w:val="2"/>
            <w:shd w:val="clear" w:color="auto" w:fill="EEEEEE"/>
          </w:tcPr>
          <w:p>
            <w:pPr>
              <w:jc w:val="center"/>
              <w:ind w:right="240"/>
              <w:spacing w:after="0"/>
              <w:rPr>
                <w:sz w:val="20"/>
                <w:szCs w:val="20"/>
                <w:color w:val="auto"/>
              </w:rPr>
            </w:pPr>
            <w:r>
              <w:rPr>
                <w:rFonts w:ascii="Arial" w:cs="Arial" w:eastAsia="Arial" w:hAnsi="Arial"/>
                <w:sz w:val="18"/>
                <w:szCs w:val="18"/>
                <w:color w:val="auto"/>
                <w:w w:val="89"/>
              </w:rPr>
              <w:t>Three months ended March 31, 2016</w:t>
            </w:r>
          </w:p>
        </w:tc>
        <w:tc>
          <w:tcPr>
            <w:tcW w:w="1600" w:type="dxa"/>
            <w:vAlign w:val="bottom"/>
            <w:shd w:val="clear" w:color="auto" w:fill="EEEEEE"/>
          </w:tcPr>
          <w:p>
            <w:pPr>
              <w:jc w:val="right"/>
              <w:ind w:right="630"/>
              <w:spacing w:after="0"/>
              <w:rPr>
                <w:sz w:val="20"/>
                <w:szCs w:val="20"/>
                <w:color w:val="auto"/>
              </w:rPr>
            </w:pPr>
            <w:r>
              <w:rPr>
                <w:rFonts w:ascii="Arial" w:cs="Arial" w:eastAsia="Arial" w:hAnsi="Arial"/>
                <w:sz w:val="18"/>
                <w:szCs w:val="18"/>
                <w:color w:val="auto"/>
              </w:rPr>
              <w:t>1</w:t>
            </w: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329,500</w:t>
            </w: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ind w:right="20" w:firstLine="72"/>
        <w:spacing w:after="0" w:line="277" w:lineRule="auto"/>
        <w:rPr>
          <w:sz w:val="20"/>
          <w:szCs w:val="20"/>
          <w:color w:val="auto"/>
        </w:rPr>
      </w:pPr>
      <w:r>
        <w:rPr>
          <w:rFonts w:ascii="Arial" w:cs="Arial" w:eastAsia="Arial" w:hAnsi="Arial"/>
          <w:sz w:val="18"/>
          <w:szCs w:val="18"/>
          <w:color w:val="auto"/>
        </w:rPr>
        <w:t>From time to time we have also completed financings of our residual interests in other securitizations that we and our affiliates previously sponsored. As of March 31, 2016 we have one such residual interest financing outstanding.</w:t>
      </w:r>
    </w:p>
    <w:p>
      <w:pPr>
        <w:spacing w:after="0" w:line="170" w:lineRule="exact"/>
        <w:rPr>
          <w:sz w:val="20"/>
          <w:szCs w:val="20"/>
          <w:color w:val="auto"/>
        </w:rPr>
      </w:pPr>
    </w:p>
    <w:p>
      <w:pPr>
        <w:jc w:val="both"/>
        <w:ind w:firstLine="72"/>
        <w:spacing w:after="0" w:line="255" w:lineRule="auto"/>
        <w:rPr>
          <w:sz w:val="20"/>
          <w:szCs w:val="20"/>
          <w:color w:val="auto"/>
        </w:rPr>
      </w:pPr>
      <w:r>
        <w:rPr>
          <w:rFonts w:ascii="Arial" w:cs="Arial" w:eastAsia="Arial" w:hAnsi="Arial"/>
          <w:sz w:val="18"/>
          <w:szCs w:val="18"/>
          <w:color w:val="auto"/>
        </w:rPr>
        <w:t>Since December 2011, our securitizations have included a pre-funding feature in which a portion of the receivables to be sold to the trust were not delivered until after the initial closing. As a result, our restricted cash balance at March 31, 2015 included $72.0 million from the proceeds of the sale of the asset-backed notes that were held by the trustee pending delivery of the remaining receivables. In April 2015, the requisite additional receivables were delivered to the trust and we received the related restricted cash, most of which was used to repay amounts owed under our warehouse credit facilities. Since we have changed the timing of our securitizations to generally occur at the beginning rather than the end of the calendar quarter, there was no related amount of restricted cash representing the pre-funding proceeds at March 31, 2016.</w:t>
      </w:r>
    </w:p>
    <w:p>
      <w:pPr>
        <w:spacing w:after="0" w:line="193" w:lineRule="exact"/>
        <w:rPr>
          <w:sz w:val="20"/>
          <w:szCs w:val="20"/>
          <w:color w:val="auto"/>
        </w:rPr>
      </w:pPr>
    </w:p>
    <w:p>
      <w:pPr>
        <w:jc w:val="both"/>
        <w:ind w:firstLine="72"/>
        <w:spacing w:after="0" w:line="255" w:lineRule="auto"/>
        <w:rPr>
          <w:sz w:val="20"/>
          <w:szCs w:val="20"/>
          <w:color w:val="auto"/>
        </w:rPr>
      </w:pPr>
      <w:r>
        <w:rPr>
          <w:rFonts w:ascii="Arial" w:cs="Arial" w:eastAsia="Arial" w:hAnsi="Arial"/>
          <w:sz w:val="18"/>
          <w:szCs w:val="18"/>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renewed in August 2014, extending the revolving period to August 2016, and adding an amortization period through August 2017. In April 2015, we entered into a new $100 million facility, with a revolving period extending to April 2017, followed by an amortization period to April 2019. In November 2015, we entered into a third $100 million facility, with a revolving period extending to November 2017, followed by an amortization period to November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72"/>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March 31, 2016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March 31, 2016 with the three months ended March 31, 2015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three months ended March 31, 2016, our revenues were $100.6 million, an increase of $14.7 million, or 17.0%, from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of $86.0 million. The primary reason for the increase in revenues is an increase in interest income. Interest income for the three months ended March 31, 2016 increased $14.3 million, or 17.4%, to $96.7 million from $82.4 million in the prior year. The primary reason for the increase in interest income is the increase in finance receivables held by consolidated subsidiaries. The table below shows the outstanding and average balances of our portfolio held by consolidated subsidiaries for the three months ended March 31, 2016 and 2015: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March 31, 2016</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2015</w:t>
            </w:r>
          </w:p>
        </w:tc>
        <w:tc>
          <w:tcPr>
            <w:tcW w:w="0" w:type="dxa"/>
            <w:vAlign w:val="bottom"/>
          </w:tcPr>
          <w:p>
            <w:pPr>
              <w:spacing w:after="0"/>
              <w:rPr>
                <w:sz w:val="1"/>
                <w:szCs w:val="1"/>
                <w:color w:val="auto"/>
              </w:rPr>
            </w:pPr>
          </w:p>
        </w:tc>
      </w:tr>
      <w:tr>
        <w:trPr>
          <w:trHeight w:val="210"/>
        </w:trPr>
        <w:tc>
          <w:tcPr>
            <w:tcW w:w="778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88"/>
              </w:rPr>
              <w:t>Finance Receivables Owned by</w:t>
            </w: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6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4"/>
          </w:tcPr>
          <w:p>
            <w:pPr>
              <w:jc w:val="right"/>
              <w:ind w:right="1150"/>
              <w:spacing w:after="0" w:line="191" w:lineRule="exact"/>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Consolidated Subsidiaries</w:t>
            </w: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Average balance for the three-month period</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2,098.0</w:t>
            </w:r>
          </w:p>
        </w:tc>
        <w:tc>
          <w:tcPr>
            <w:tcW w:w="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1,704.3</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Ending balance for the period</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2,141.3</w:t>
            </w:r>
          </w:p>
        </w:tc>
        <w:tc>
          <w:tcPr>
            <w:tcW w:w="5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1,724.3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72"/>
        <w:spacing w:after="0" w:line="259" w:lineRule="auto"/>
        <w:rPr>
          <w:sz w:val="20"/>
          <w:szCs w:val="20"/>
          <w:color w:val="auto"/>
        </w:rPr>
      </w:pPr>
      <w:r>
        <w:rPr>
          <w:rFonts w:ascii="Arial" w:cs="Arial" w:eastAsia="Arial" w:hAnsi="Arial"/>
          <w:sz w:val="18"/>
          <w:szCs w:val="18"/>
          <w:color w:val="auto"/>
        </w:rPr>
        <w:t>Servicing fees totaling $23,000 for the three months ended March 31, 2016 decreased $125,000, or 84.5%, from $148,000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The aggregate balance of portfolios generating servicing fees decreased to $323,000 at March 31, 2016 from $1.2 million at March 31, 2015.</w:t>
      </w:r>
    </w:p>
    <w:p>
      <w:pPr>
        <w:spacing w:after="0" w:line="214" w:lineRule="exact"/>
        <w:rPr>
          <w:sz w:val="20"/>
          <w:szCs w:val="20"/>
          <w:color w:val="auto"/>
        </w:rPr>
      </w:pPr>
    </w:p>
    <w:p>
      <w:pPr>
        <w:jc w:val="both"/>
        <w:ind w:firstLine="72"/>
        <w:spacing w:after="0" w:line="257" w:lineRule="auto"/>
        <w:rPr>
          <w:sz w:val="20"/>
          <w:szCs w:val="20"/>
          <w:color w:val="auto"/>
        </w:rPr>
      </w:pPr>
      <w:r>
        <w:rPr>
          <w:rFonts w:ascii="Arial" w:cs="Arial" w:eastAsia="Arial" w:hAnsi="Arial"/>
          <w:sz w:val="18"/>
          <w:szCs w:val="18"/>
          <w:color w:val="auto"/>
        </w:rPr>
        <w:t>In the three months ended March 31, 2016, other income of $4.0 million increased by $481,000, or 13.8% compared to the prior year. The three-month period ended March 31, 2016 includes an increase of $708,000 in revenue associated with direct mail and other related products and services that we offer to our dealers, a net increase of $51,000 on payments to us for our interest in certain sold charge off portfolios and acquired third-party portfolios and an increase of $49,000 in sales tax refunds. The increases were somewhat offset by a decrease of $305,000 in payments from third-party providers of convenience fees paid by our customers for web based and other electronic payments.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72"/>
        <w:spacing w:after="0" w:line="286" w:lineRule="auto"/>
        <w:rPr>
          <w:sz w:val="20"/>
          <w:szCs w:val="20"/>
          <w:color w:val="auto"/>
        </w:rPr>
      </w:pPr>
      <w:r>
        <w:rPr>
          <w:rFonts w:ascii="Arial" w:cs="Arial" w:eastAsia="Arial" w:hAnsi="Arial"/>
          <w:sz w:val="17"/>
          <w:szCs w:val="17"/>
          <w:color w:val="auto"/>
        </w:rPr>
        <w:t>Total operating expenses were $88.4 million for the three months ended March 31, 2016, compared to $71.2 million for the prior year, an increase of $17.2 million, or 24.1%. The increase is primarily due to costs associated with the increase in the amount of new contracts we purchased, the resulting increase in our consolidated portfolio and associated servicing costs, and the related increases in interest expense and in our provision for credit losses.</w:t>
      </w:r>
    </w:p>
    <w:p>
      <w:pPr>
        <w:spacing w:after="0" w:line="166" w:lineRule="exact"/>
        <w:rPr>
          <w:sz w:val="20"/>
          <w:szCs w:val="20"/>
          <w:color w:val="auto"/>
        </w:rPr>
      </w:pPr>
    </w:p>
    <w:p>
      <w:pPr>
        <w:jc w:val="both"/>
        <w:ind w:firstLine="72"/>
        <w:spacing w:after="0" w:line="276" w:lineRule="auto"/>
        <w:rPr>
          <w:sz w:val="20"/>
          <w:szCs w:val="20"/>
          <w:color w:val="auto"/>
        </w:rPr>
      </w:pPr>
      <w:r>
        <w:rPr>
          <w:rFonts w:ascii="Arial" w:cs="Arial" w:eastAsia="Arial" w:hAnsi="Arial"/>
          <w:sz w:val="17"/>
          <w:szCs w:val="17"/>
          <w:color w:val="auto"/>
        </w:rPr>
        <w:t>Employee costs increased by $657,000 or 4.5%, to $15.1 million during the three months ended March 31, 2016, representing 17.1% of total operating expenses, from $14.5 million for the prior year, or 20.3%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three-month periods ended, March 31, 2016 and 2015:</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 2016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312.3</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233.9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19,222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14,688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2,141.6</w:t>
            </w:r>
          </w:p>
        </w:tc>
        <w:tc>
          <w:tcPr>
            <w:tcW w:w="18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1,725.5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157,138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129,657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40" w:type="dxa"/>
            <w:vAlign w:val="bottom"/>
            <w:shd w:val="clear" w:color="auto" w:fill="EEEEEE"/>
          </w:tcPr>
          <w:p>
            <w:pPr>
              <w:spacing w:after="0"/>
              <w:rPr>
                <w:sz w:val="19"/>
                <w:szCs w:val="19"/>
                <w:color w:val="auto"/>
              </w:rPr>
            </w:pPr>
          </w:p>
        </w:tc>
        <w:tc>
          <w:tcPr>
            <w:tcW w:w="1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$5.3 million, an increase of $495,000, or 10.2% compared to the previous year and represented 6.0% of total operating expenses.</w:t>
      </w:r>
    </w:p>
    <w:p>
      <w:pPr>
        <w:spacing w:after="0" w:line="181"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Interest expense for the three months ended March 31, 2016 increased by $4.6 million to $17.8 million, or 20.2% of total operating expenses, compared to $13.2 million in the previous year.</w:t>
      </w:r>
    </w:p>
    <w:p>
      <w:pPr>
        <w:spacing w:after="0" w:line="170" w:lineRule="exact"/>
        <w:rPr>
          <w:sz w:val="20"/>
          <w:szCs w:val="20"/>
          <w:color w:val="auto"/>
        </w:rPr>
      </w:pPr>
    </w:p>
    <w:p>
      <w:pPr>
        <w:jc w:val="both"/>
        <w:ind w:firstLine="72"/>
        <w:spacing w:after="0" w:line="293" w:lineRule="auto"/>
        <w:rPr>
          <w:sz w:val="20"/>
          <w:szCs w:val="20"/>
          <w:color w:val="auto"/>
        </w:rPr>
      </w:pPr>
      <w:r>
        <w:rPr>
          <w:rFonts w:ascii="Arial" w:cs="Arial" w:eastAsia="Arial" w:hAnsi="Arial"/>
          <w:sz w:val="16"/>
          <w:szCs w:val="16"/>
          <w:color w:val="auto"/>
        </w:rPr>
        <w:t>Interest on securitization trust debt increased by $3.9 million, or 35.7%, for the three months ended March 31, 2016 compared to the prior year. The average balance of securitization trust debt increased 22.5% to $1,938.4 million at March 31, 2016 compared to $1,582.9 million at March 31, 2015. In addition, the blended interest rates on new term securitizations have generally increased since December 2014. As a result, the cost of securitization debt during the three month period ended March 31, 2016 was 3.0%, compared to 2.7% in the prior year period. Moreover, the trend toward higher securitization trust debt interest costs has continued beyond March 31, 2016 as indicated by our completion in April 2016 of our second securitization of 2016 where the weighted average coupon of the related notes was 4.65% compared to weighted average coupon of 4.34% for the notes in our January 2016 securitization.</w:t>
      </w:r>
    </w:p>
    <w:p>
      <w:pPr>
        <w:spacing w:after="0" w:line="165" w:lineRule="exact"/>
        <w:rPr>
          <w:sz w:val="20"/>
          <w:szCs w:val="20"/>
          <w:color w:val="auto"/>
        </w:rPr>
      </w:pPr>
    </w:p>
    <w:p>
      <w:pPr>
        <w:jc w:val="both"/>
        <w:ind w:firstLine="72"/>
        <w:spacing w:after="0" w:line="259" w:lineRule="auto"/>
        <w:rPr>
          <w:sz w:val="20"/>
          <w:szCs w:val="20"/>
          <w:color w:val="auto"/>
        </w:rPr>
      </w:pPr>
      <w:r>
        <w:rPr>
          <w:rFonts w:ascii="Arial" w:cs="Arial" w:eastAsia="Arial" w:hAnsi="Arial"/>
          <w:sz w:val="18"/>
          <w:szCs w:val="18"/>
          <w:color w:val="auto"/>
        </w:rPr>
        <w:t>Interest expense on subordinated renewable notes decreased by $37,000, or 9.2%. The decrease is due to a decrease in the average yield on our subordinated renewable notes to 9.5% for the three-month period ended March 31, 2016 compared to the prior year when the average yield on our subordinated renewable notes was 10.6%. The decrease in the yield offset an increase in the average balance to $15.4 million for the three-month period ended March 31, 2016 compared to $15.1 million in the prior year period.</w:t>
      </w:r>
    </w:p>
    <w:p>
      <w:pPr>
        <w:spacing w:after="0" w:line="187" w:lineRule="exact"/>
        <w:rPr>
          <w:sz w:val="20"/>
          <w:szCs w:val="20"/>
          <w:color w:val="auto"/>
        </w:rPr>
      </w:pPr>
    </w:p>
    <w:p>
      <w:pPr>
        <w:jc w:val="both"/>
        <w:ind w:firstLine="72"/>
        <w:spacing w:after="0" w:line="286" w:lineRule="auto"/>
        <w:rPr>
          <w:sz w:val="20"/>
          <w:szCs w:val="20"/>
          <w:color w:val="auto"/>
        </w:rPr>
      </w:pPr>
      <w:r>
        <w:rPr>
          <w:rFonts w:ascii="Arial" w:cs="Arial" w:eastAsia="Arial" w:hAnsi="Arial"/>
          <w:sz w:val="17"/>
          <w:szCs w:val="17"/>
          <w:color w:val="auto"/>
        </w:rPr>
        <w:t>Interest expense on warehouse debt increased by $949,000 for the three months ended March 31, 2016 compared to the prior year. We increased our contract purchases to $312.3 million for the three months ended March 31, 2016 compared to $233.9 million in the prior period. However, when possible, we hold contracts with our own cash rather than pledging them to one of our warehouse facilities to minimize interest expense.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21" w:name="page22"/>
    <w:bookmarkEnd w:id="21"/>
    <w:p>
      <w:pPr>
        <w:ind w:left="8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and 2015: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8"/>
                <w:szCs w:val="18"/>
                <w:b w:val="1"/>
                <w:bCs w:val="1"/>
                <w:color w:val="auto"/>
                <w:w w:val="93"/>
              </w:rPr>
              <w:t>Three Months Ended March 31,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6"/>
          </w:tcPr>
          <w:p>
            <w:pPr>
              <w:jc w:val="center"/>
              <w:ind w:right="56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Annualized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Average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3"/>
            <w:vMerge w:val="restart"/>
          </w:tcPr>
          <w:p>
            <w:pPr>
              <w:jc w:val="center"/>
              <w:ind w:right="700"/>
              <w:spacing w:after="0"/>
              <w:rPr>
                <w:sz w:val="20"/>
                <w:szCs w:val="20"/>
                <w:color w:val="auto"/>
              </w:rPr>
            </w:pPr>
            <w:r>
              <w:rPr>
                <w:rFonts w:ascii="Arial" w:cs="Arial" w:eastAsia="Arial" w:hAnsi="Arial"/>
                <w:sz w:val="18"/>
                <w:szCs w:val="18"/>
                <w:b w:val="1"/>
                <w:bCs w:val="1"/>
                <w:color w:val="auto"/>
                <w:w w:val="89"/>
              </w:rPr>
              <w:t>Interest Earning Assets</w:t>
            </w:r>
          </w:p>
        </w:tc>
        <w:tc>
          <w:tcPr>
            <w:tcW w:w="14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5"/>
              </w:rPr>
              <w:t>Balance (1)</w:t>
            </w:r>
          </w:p>
        </w:tc>
        <w:tc>
          <w:tcPr>
            <w:tcW w:w="20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20"/>
                <w:szCs w:val="20"/>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Yield/Rate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Balance (1)</w:t>
            </w:r>
          </w:p>
        </w:tc>
        <w:tc>
          <w:tcPr>
            <w:tcW w:w="20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Interest</w:t>
            </w:r>
          </w:p>
        </w:tc>
        <w:tc>
          <w:tcPr>
            <w:tcW w:w="10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2,057,010</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96,663</w:t>
            </w:r>
          </w:p>
        </w:tc>
        <w:tc>
          <w:tcPr>
            <w:tcW w:w="15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18.8%</w:t>
            </w: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1,679,619</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82,359</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96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Interest Bearing Liabilities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97,364</w:t>
            </w: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2,422</w:t>
            </w:r>
          </w:p>
        </w:tc>
        <w:tc>
          <w:tcPr>
            <w:tcW w:w="14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10.0%</w:t>
            </w: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63,626</w:t>
            </w: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1,473</w:t>
            </w: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4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8,607</w:t>
            </w:r>
          </w:p>
        </w:tc>
        <w:tc>
          <w:tcPr>
            <w:tcW w:w="2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12,191</w:t>
            </w:r>
          </w:p>
        </w:tc>
        <w:tc>
          <w:tcPr>
            <w:tcW w:w="2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423</w:t>
            </w: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1,938,397</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14,764</w:t>
            </w:r>
          </w:p>
        </w:tc>
        <w:tc>
          <w:tcPr>
            <w:tcW w:w="1520" w:type="dxa"/>
            <w:vAlign w:val="bottom"/>
            <w:gridSpan w:val="3"/>
            <w:shd w:val="clear" w:color="auto" w:fill="EEEEEE"/>
          </w:tcPr>
          <w:p>
            <w:pPr>
              <w:jc w:val="right"/>
              <w:ind w:right="16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1,582,934</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10,876</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4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15,406</w:t>
            </w: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364</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15,126</w:t>
            </w:r>
          </w:p>
        </w:tc>
        <w:tc>
          <w:tcPr>
            <w:tcW w:w="20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401</w:t>
            </w:r>
          </w:p>
        </w:tc>
        <w:tc>
          <w:tcPr>
            <w:tcW w:w="102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EEEEEE"/>
          </w:tcPr>
          <w:p>
            <w:pPr>
              <w:spacing w:after="0" w:line="20" w:lineRule="exact"/>
              <w:rPr>
                <w:sz w:val="1"/>
                <w:szCs w:val="1"/>
                <w:color w:val="auto"/>
              </w:rPr>
            </w:pPr>
          </w:p>
        </w:tc>
        <w:tc>
          <w:tcPr>
            <w:tcW w:w="1520" w:type="dxa"/>
            <w:vAlign w:val="bottom"/>
            <w:gridSpan w:val="3"/>
            <w:vMerge w:val="restart"/>
            <w:shd w:val="clear" w:color="auto" w:fill="EEEEEE"/>
          </w:tcPr>
          <w:p>
            <w:pPr>
              <w:jc w:val="right"/>
              <w:ind w:right="16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EEEEEE"/>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EEEEEE"/>
          </w:tcPr>
          <w:p>
            <w:pPr>
              <w:spacing w:after="0" w:line="20" w:lineRule="exact"/>
              <w:rPr>
                <w:sz w:val="1"/>
                <w:szCs w:val="1"/>
                <w:color w:val="auto"/>
              </w:rPr>
            </w:pPr>
          </w:p>
        </w:tc>
        <w:tc>
          <w:tcPr>
            <w:tcW w:w="102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2,059,774</w:t>
            </w:r>
          </w:p>
        </w:tc>
        <w:tc>
          <w:tcPr>
            <w:tcW w:w="3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17,821</w:t>
            </w:r>
          </w:p>
        </w:tc>
        <w:tc>
          <w:tcPr>
            <w:tcW w:w="140" w:type="dxa"/>
            <w:vAlign w:val="bottom"/>
            <w:vMerge w:val="continue"/>
            <w:shd w:val="clear" w:color="auto" w:fill="EEEEEE"/>
          </w:tcPr>
          <w:p>
            <w:pPr>
              <w:spacing w:after="0"/>
              <w:rPr>
                <w:sz w:val="20"/>
                <w:szCs w:val="20"/>
                <w:color w:val="auto"/>
              </w:rPr>
            </w:pPr>
          </w:p>
        </w:tc>
        <w:tc>
          <w:tcPr>
            <w:tcW w:w="1520" w:type="dxa"/>
            <w:vAlign w:val="bottom"/>
            <w:gridSpan w:val="3"/>
            <w:vMerge w:val="continue"/>
            <w:shd w:val="clear" w:color="auto" w:fill="EEEEEE"/>
          </w:tcPr>
          <w:p>
            <w:pPr>
              <w:spacing w:after="0"/>
              <w:rPr>
                <w:sz w:val="20"/>
                <w:szCs w:val="20"/>
                <w:color w:val="auto"/>
              </w:rPr>
            </w:pP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1,673,877</w:t>
            </w:r>
          </w:p>
        </w:tc>
        <w:tc>
          <w:tcPr>
            <w:tcW w:w="32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13,173</w:t>
            </w:r>
          </w:p>
        </w:tc>
        <w:tc>
          <w:tcPr>
            <w:tcW w:w="340" w:type="dxa"/>
            <w:vAlign w:val="bottom"/>
            <w:vMerge w:val="continue"/>
            <w:shd w:val="clear" w:color="auto" w:fill="EEEEEE"/>
          </w:tcPr>
          <w:p>
            <w:pPr>
              <w:spacing w:after="0"/>
              <w:rPr>
                <w:sz w:val="20"/>
                <w:szCs w:val="20"/>
                <w:color w:val="auto"/>
              </w:rPr>
            </w:pPr>
          </w:p>
        </w:tc>
        <w:tc>
          <w:tcPr>
            <w:tcW w:w="1020" w:type="dxa"/>
            <w:vAlign w:val="bottom"/>
            <w:vMerge w:val="continue"/>
            <w:shd w:val="clear" w:color="auto" w:fill="EEEEE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8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9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40" w:type="dxa"/>
            <w:vAlign w:val="bottom"/>
            <w:shd w:val="clear" w:color="auto" w:fill="EEEEEE"/>
          </w:tcPr>
          <w:p>
            <w:pPr>
              <w:spacing w:after="0"/>
              <w:rPr>
                <w:sz w:val="21"/>
                <w:szCs w:val="21"/>
                <w:color w:val="auto"/>
              </w:rPr>
            </w:pPr>
          </w:p>
        </w:tc>
        <w:tc>
          <w:tcPr>
            <w:tcW w:w="102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78,842</w:t>
            </w:r>
          </w:p>
        </w:tc>
        <w:tc>
          <w:tcPr>
            <w:tcW w:w="14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1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6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000" w:type="dxa"/>
            <w:vAlign w:val="bottom"/>
            <w:shd w:val="clear" w:color="auto" w:fill="EEEEEE"/>
          </w:tcPr>
          <w:p>
            <w:pPr>
              <w:spacing w:after="0"/>
              <w:rPr>
                <w:sz w:val="21"/>
                <w:szCs w:val="21"/>
                <w:color w:val="auto"/>
              </w:rPr>
            </w:pPr>
          </w:p>
        </w:tc>
        <w:tc>
          <w:tcPr>
            <w:tcW w:w="320" w:type="dxa"/>
            <w:vAlign w:val="bottom"/>
            <w:shd w:val="clear" w:color="auto" w:fill="EEEEEE"/>
          </w:tcPr>
          <w:p>
            <w:pPr>
              <w:spacing w:after="0"/>
              <w:rPr>
                <w:sz w:val="21"/>
                <w:szCs w:val="21"/>
                <w:color w:val="auto"/>
              </w:rPr>
            </w:pP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69,186</w:t>
            </w:r>
          </w:p>
        </w:tc>
        <w:tc>
          <w:tcPr>
            <w:tcW w:w="1020" w:type="dxa"/>
            <w:vAlign w:val="bottom"/>
            <w:shd w:val="clear" w:color="auto" w:fill="EEEEE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8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11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02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8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(4)</w:t>
            </w: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line="20" w:lineRule="exact"/>
              <w:rPr>
                <w:sz w:val="1"/>
                <w:szCs w:val="1"/>
                <w:color w:val="auto"/>
              </w:rPr>
            </w:pPr>
          </w:p>
        </w:tc>
      </w:tr>
      <w:tr>
        <w:trPr>
          <w:trHeight w:val="197"/>
        </w:trPr>
        <w:tc>
          <w:tcPr>
            <w:tcW w:w="2980" w:type="dxa"/>
            <w:vAlign w:val="bottom"/>
            <w:gridSpan w:val="6"/>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rPr>
              <w:t>Ratio of average interest earning</w:t>
            </w:r>
          </w:p>
        </w:tc>
        <w:tc>
          <w:tcPr>
            <w:tcW w:w="1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5"/>
            <w:shd w:val="clear" w:color="auto" w:fill="EEEEEE"/>
          </w:tcPr>
          <w:p>
            <w:pPr>
              <w:jc w:val="center"/>
              <w:ind w:right="220"/>
              <w:spacing w:after="0"/>
              <w:rPr>
                <w:sz w:val="20"/>
                <w:szCs w:val="20"/>
                <w:color w:val="auto"/>
              </w:rPr>
            </w:pPr>
            <w:r>
              <w:rPr>
                <w:rFonts w:ascii="Arial" w:cs="Arial" w:eastAsia="Arial" w:hAnsi="Arial"/>
                <w:sz w:val="18"/>
                <w:szCs w:val="18"/>
                <w:color w:val="auto"/>
                <w:w w:val="87"/>
              </w:rPr>
              <w:t>assets to average interest bearing</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1020" w:type="dxa"/>
            <w:vAlign w:val="bottom"/>
            <w:shd w:val="clear" w:color="auto" w:fill="EEEEE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hanging="29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500" w:hanging="29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500" w:hanging="29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500" w:hanging="294"/>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40" w:type="dxa"/>
            <w:vAlign w:val="bottom"/>
            <w:gridSpan w:val="8"/>
          </w:tcPr>
          <w:p>
            <w:pPr>
              <w:jc w:val="center"/>
              <w:ind w:left="750"/>
              <w:spacing w:after="0"/>
              <w:rPr>
                <w:sz w:val="20"/>
                <w:szCs w:val="20"/>
                <w:color w:val="auto"/>
              </w:rPr>
            </w:pPr>
            <w:r>
              <w:rPr>
                <w:rFonts w:ascii="Arial" w:cs="Arial" w:eastAsia="Arial" w:hAnsi="Arial"/>
                <w:sz w:val="18"/>
                <w:szCs w:val="18"/>
                <w:b w:val="1"/>
                <w:bCs w:val="1"/>
                <w:color w:val="auto"/>
                <w:w w:val="91"/>
              </w:rPr>
              <w:t>Three Months Ended March 31, 2016</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gridSpan w:val="8"/>
          </w:tcPr>
          <w:p>
            <w:pPr>
              <w:jc w:val="center"/>
              <w:ind w:left="750"/>
              <w:spacing w:after="0"/>
              <w:rPr>
                <w:sz w:val="20"/>
                <w:szCs w:val="20"/>
                <w:color w:val="auto"/>
              </w:rPr>
            </w:pPr>
            <w:r>
              <w:rPr>
                <w:rFonts w:ascii="Arial" w:cs="Arial" w:eastAsia="Arial" w:hAnsi="Arial"/>
                <w:sz w:val="18"/>
                <w:szCs w:val="18"/>
                <w:b w:val="1"/>
                <w:bCs w:val="1"/>
                <w:color w:val="auto"/>
                <w:w w:val="92"/>
              </w:rPr>
              <w:t>Compared to March 31, 2015</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Change Due</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7"/>
              </w:rPr>
              <w:t>Change Due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60" w:type="dxa"/>
            <w:vAlign w:val="bottom"/>
            <w:gridSpan w:val="4"/>
            <w:vMerge w:val="restart"/>
          </w:tcPr>
          <w:p>
            <w:pPr>
              <w:jc w:val="center"/>
              <w:ind w:right="1180"/>
              <w:spacing w:after="0"/>
              <w:rPr>
                <w:sz w:val="20"/>
                <w:szCs w:val="20"/>
                <w:color w:val="auto"/>
              </w:rPr>
            </w:pPr>
            <w:r>
              <w:rPr>
                <w:rFonts w:ascii="Arial" w:cs="Arial" w:eastAsia="Arial" w:hAnsi="Arial"/>
                <w:sz w:val="18"/>
                <w:szCs w:val="18"/>
                <w:b w:val="1"/>
                <w:bCs w:val="1"/>
                <w:color w:val="auto"/>
                <w:w w:val="89"/>
              </w:rPr>
              <w:t>Interest Earning Assets</w:t>
            </w:r>
          </w:p>
        </w:tc>
        <w:tc>
          <w:tcPr>
            <w:tcW w:w="10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Total Change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 Volume</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1"/>
              </w:rPr>
              <w:t>to Rate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14,304</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18,505</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0" w:type="dxa"/>
            <w:vAlign w:val="bottom"/>
            <w:shd w:val="clear" w:color="auto" w:fill="EEEEEE"/>
          </w:tcPr>
          <w:p>
            <w:pPr>
              <w:spacing w:after="0"/>
              <w:rPr>
                <w:sz w:val="15"/>
                <w:szCs w:val="15"/>
                <w:color w:val="auto"/>
              </w:rPr>
            </w:pPr>
          </w:p>
        </w:tc>
        <w:tc>
          <w:tcPr>
            <w:tcW w:w="3260" w:type="dxa"/>
            <w:vAlign w:val="bottom"/>
            <w:gridSpan w:val="4"/>
            <w:shd w:val="clear" w:color="auto" w:fill="EEEEEE"/>
          </w:tcPr>
          <w:p>
            <w:pPr>
              <w:jc w:val="center"/>
              <w:ind w:right="120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00" w:type="dxa"/>
            <w:vAlign w:val="bottom"/>
            <w:shd w:val="clear" w:color="auto" w:fill="EEEEEE"/>
          </w:tcPr>
          <w:p>
            <w:pPr>
              <w:spacing w:after="0"/>
              <w:rPr>
                <w:sz w:val="15"/>
                <w:szCs w:val="15"/>
                <w:color w:val="auto"/>
              </w:rPr>
            </w:pPr>
          </w:p>
        </w:tc>
        <w:tc>
          <w:tcPr>
            <w:tcW w:w="126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6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9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12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781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2,442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w:t>
            </w: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06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00" w:type="dxa"/>
            <w:vAlign w:val="bottom"/>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26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9,656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15,399</w:t>
            </w:r>
          </w:p>
        </w:tc>
        <w:tc>
          <w:tcPr>
            <w:tcW w:w="2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72"/>
        <w:spacing w:after="0" w:line="342" w:lineRule="auto"/>
        <w:rPr>
          <w:sz w:val="20"/>
          <w:szCs w:val="20"/>
          <w:color w:val="auto"/>
        </w:rPr>
      </w:pPr>
      <w:r>
        <w:rPr>
          <w:rFonts w:ascii="Arial" w:cs="Arial" w:eastAsia="Arial" w:hAnsi="Arial"/>
          <w:sz w:val="16"/>
          <w:szCs w:val="16"/>
          <w:color w:val="auto"/>
        </w:rPr>
        <w:t>The reduction in the annualized yield on our finance receivables for the three months ended March 31, 2016 compared to the prior year period is the result of our decision to offer dealers slightly lower acquisition fees and also to require slightly lower contract interest rates on a portion of the contracts we purchase.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p>
      <w:pPr>
        <w:jc w:val="both"/>
        <w:ind w:firstLine="72"/>
        <w:spacing w:after="0" w:line="255" w:lineRule="auto"/>
        <w:rPr>
          <w:sz w:val="20"/>
          <w:szCs w:val="20"/>
          <w:color w:val="auto"/>
        </w:rPr>
      </w:pPr>
      <w:r>
        <w:rPr>
          <w:rFonts w:ascii="Arial" w:cs="Arial" w:eastAsia="Arial" w:hAnsi="Arial"/>
          <w:sz w:val="18"/>
          <w:szCs w:val="18"/>
          <w:color w:val="auto"/>
        </w:rPr>
        <w:t>Provision for credit losses was $44.2 million for the three months ended March 31, 2016, an increase of $10.8 million, or 32.2% compared to the prior year and represented 50.0%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Consequently, the increase in provision expense is the result of the increase in contract purchases, the larger portfolio owned by our consolidated subsidiaries, and somewhat higher delinquency and charge off rates compared to the prior year.</w:t>
      </w:r>
    </w:p>
    <w:p>
      <w:pPr>
        <w:spacing w:after="0" w:line="189" w:lineRule="exact"/>
        <w:rPr>
          <w:sz w:val="20"/>
          <w:szCs w:val="20"/>
          <w:color w:val="auto"/>
        </w:rPr>
      </w:pPr>
    </w:p>
    <w:p>
      <w:pPr>
        <w:jc w:val="both"/>
        <w:ind w:firstLine="72"/>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$466,000, or 11.1%, to $4.7 million during the three months ended March 31, 2016, compared to $4.2 million in the prior year period, and represented 5.3% of total operating expenses. For the three months ended March 31, 2016, we purchased 19,222 contracts representing $312.3 million in receivables compared to 14,688 contracts representing $233.9 million in receivables in the prior year.</w:t>
      </w:r>
    </w:p>
    <w:p>
      <w:pPr>
        <w:spacing w:after="0" w:line="193"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Occupancy expenses increased by $129,000 or 13.5%, to $1.1 million compared to $954,000 in the previous year and represented 1.2% of total operating expenses. In July 2015, we entered into a lease for additional office space in Irvine, California.</w:t>
      </w:r>
    </w:p>
    <w:p>
      <w:pPr>
        <w:spacing w:after="0" w:line="170" w:lineRule="exact"/>
        <w:rPr>
          <w:sz w:val="20"/>
          <w:szCs w:val="20"/>
          <w:color w:val="auto"/>
        </w:rPr>
      </w:pPr>
    </w:p>
    <w:p>
      <w:pPr>
        <w:jc w:val="both"/>
        <w:ind w:firstLine="72"/>
        <w:spacing w:after="0" w:line="277" w:lineRule="auto"/>
        <w:rPr>
          <w:sz w:val="20"/>
          <w:szCs w:val="20"/>
          <w:color w:val="auto"/>
        </w:rPr>
      </w:pPr>
      <w:r>
        <w:rPr>
          <w:rFonts w:ascii="Arial" w:cs="Arial" w:eastAsia="Arial" w:hAnsi="Arial"/>
          <w:sz w:val="18"/>
          <w:szCs w:val="18"/>
          <w:color w:val="auto"/>
        </w:rPr>
        <w:t>Depreciation and amortization expenses increased by $28,000 or 18.8%, to $175,000 compared to $148,000 in the previous year and represented 0.2% of total operating expenses.</w:t>
      </w:r>
    </w:p>
    <w:p>
      <w:pPr>
        <w:spacing w:after="0" w:line="170" w:lineRule="exact"/>
        <w:rPr>
          <w:sz w:val="20"/>
          <w:szCs w:val="20"/>
          <w:color w:val="auto"/>
        </w:rPr>
      </w:pPr>
    </w:p>
    <w:p>
      <w:pPr>
        <w:jc w:val="both"/>
        <w:ind w:right="20" w:firstLine="72"/>
        <w:spacing w:after="0" w:line="277" w:lineRule="auto"/>
        <w:rPr>
          <w:sz w:val="20"/>
          <w:szCs w:val="20"/>
          <w:color w:val="auto"/>
        </w:rPr>
      </w:pPr>
      <w:r>
        <w:rPr>
          <w:rFonts w:ascii="Arial" w:cs="Arial" w:eastAsia="Arial" w:hAnsi="Arial"/>
          <w:sz w:val="18"/>
          <w:szCs w:val="18"/>
          <w:color w:val="auto"/>
        </w:rPr>
        <w:t>For the three months ended March 31, 2016, we recorded income tax expense of $5.0 million, representing a 41.0% effective income tax rate. In the prior year period, we recorded $6.4 million in income tax expense, representing a 43.5% effective income tax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72"/>
        <w:spacing w:after="0" w:line="273" w:lineRule="auto"/>
        <w:rPr>
          <w:sz w:val="20"/>
          <w:szCs w:val="20"/>
          <w:color w:val="auto"/>
        </w:rPr>
      </w:pPr>
      <w:r>
        <w:rPr>
          <w:rFonts w:ascii="Arial" w:cs="Arial" w:eastAsia="Arial" w:hAnsi="Arial"/>
          <w:sz w:val="17"/>
          <w:szCs w:val="17"/>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In addition, in June 2014 we entered into a consent decree with the FTC that required us to make certain procedural changes in our servicing practices, which we believe have contributed to somewhat higher delinquencies and extensions compared to prior periods.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2016</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tcBorders>
              <w:bottom w:val="single" w:sz="8" w:color="auto"/>
            </w:tcBorders>
            <w:gridSpan w:val="3"/>
          </w:tcPr>
          <w:p>
            <w:pPr>
              <w:jc w:val="center"/>
              <w:ind w:left="708"/>
              <w:spacing w:after="0"/>
              <w:rPr>
                <w:sz w:val="20"/>
                <w:szCs w:val="20"/>
                <w:color w:val="auto"/>
              </w:rPr>
            </w:pPr>
            <w:r>
              <w:rPr>
                <w:rFonts w:ascii="Arial" w:cs="Arial" w:eastAsia="Arial" w:hAnsi="Arial"/>
                <w:sz w:val="14"/>
                <w:szCs w:val="14"/>
                <w:b w:val="1"/>
                <w:bCs w:val="1"/>
                <w:color w:val="auto"/>
                <w:w w:val="96"/>
              </w:rPr>
              <w:t>March 31, 2015</w:t>
            </w: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648"/>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10"/>
                <w:szCs w:val="10"/>
                <w:color w:val="auto"/>
              </w:rPr>
            </w:pPr>
          </w:p>
        </w:tc>
        <w:tc>
          <w:tcPr>
            <w:tcW w:w="11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10"/>
                <w:szCs w:val="10"/>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Contracts</w:t>
            </w: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Contracts</w:t>
            </w:r>
          </w:p>
        </w:tc>
        <w:tc>
          <w:tcPr>
            <w:tcW w:w="3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Delinquency Experience</w:t>
            </w:r>
          </w:p>
        </w:tc>
        <w:tc>
          <w:tcPr>
            <w:tcW w:w="1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1"/>
              </w:rPr>
              <w:t>(Dollars in thousands)</w:t>
            </w:r>
          </w:p>
        </w:tc>
        <w:tc>
          <w:tcPr>
            <w:tcW w:w="1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7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color w:val="auto"/>
              </w:rPr>
              <w:t>Gross servicing portfolio (1)</w:t>
            </w:r>
          </w:p>
        </w:tc>
        <w:tc>
          <w:tcPr>
            <w:tcW w:w="1520" w:type="dxa"/>
            <w:vAlign w:val="bottom"/>
            <w:gridSpan w:val="3"/>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157,123</w:t>
            </w:r>
          </w:p>
        </w:tc>
        <w:tc>
          <w:tcPr>
            <w:tcW w:w="3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2,141,601</w:t>
            </w:r>
          </w:p>
        </w:tc>
        <w:tc>
          <w:tcPr>
            <w:tcW w:w="36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126,290</w:t>
            </w:r>
          </w:p>
        </w:tc>
        <w:tc>
          <w:tcPr>
            <w:tcW w:w="3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1,684,382</w:t>
            </w:r>
          </w:p>
        </w:tc>
        <w:tc>
          <w:tcPr>
            <w:tcW w:w="14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149,138</w:t>
            </w:r>
          </w:p>
        </w:tc>
        <w:tc>
          <w:tcPr>
            <w:tcW w:w="220" w:type="dxa"/>
            <w:vAlign w:val="bottom"/>
            <w:gridSpan w:val="2"/>
            <w:shd w:val="clear" w:color="auto" w:fill="EEEEEE"/>
          </w:tcPr>
          <w:p>
            <w:pPr>
              <w:jc w:val="right"/>
              <w:ind w:right="134"/>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2,031,099</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Period of delinquency (2)</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ind w:left="180"/>
              <w:spacing w:after="0" w:line="149" w:lineRule="exact"/>
              <w:rPr>
                <w:sz w:val="20"/>
                <w:szCs w:val="20"/>
                <w:color w:val="auto"/>
              </w:rPr>
            </w:pPr>
            <w:r>
              <w:rPr>
                <w:rFonts w:ascii="Arial" w:cs="Arial" w:eastAsia="Arial" w:hAnsi="Arial"/>
                <w:sz w:val="14"/>
                <w:szCs w:val="14"/>
                <w:color w:val="auto"/>
              </w:rPr>
              <w:t>31-60 days</w:t>
            </w:r>
          </w:p>
        </w:tc>
        <w:tc>
          <w:tcPr>
            <w:tcW w:w="1520" w:type="dxa"/>
            <w:vAlign w:val="bottom"/>
            <w:gridSpan w:val="3"/>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6,512</w:t>
            </w:r>
          </w:p>
        </w:tc>
        <w:tc>
          <w:tcPr>
            <w:tcW w:w="3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89,126</w:t>
            </w: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2,726</w:t>
            </w:r>
          </w:p>
        </w:tc>
        <w:tc>
          <w:tcPr>
            <w:tcW w:w="3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38,165</w:t>
            </w:r>
          </w:p>
        </w:tc>
        <w:tc>
          <w:tcPr>
            <w:tcW w:w="14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5,375</w:t>
            </w:r>
          </w:p>
        </w:tc>
        <w:tc>
          <w:tcPr>
            <w:tcW w:w="220" w:type="dxa"/>
            <w:vAlign w:val="bottom"/>
            <w:gridSpan w:val="2"/>
            <w:shd w:val="clear" w:color="auto" w:fill="EEEEEE"/>
          </w:tcPr>
          <w:p>
            <w:pPr>
              <w:jc w:val="right"/>
              <w:ind w:right="134"/>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70,041</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80"/>
              <w:spacing w:after="0" w:line="149" w:lineRule="exact"/>
              <w:rPr>
                <w:sz w:val="20"/>
                <w:szCs w:val="20"/>
                <w:color w:val="auto"/>
              </w:rPr>
            </w:pPr>
            <w:r>
              <w:rPr>
                <w:rFonts w:ascii="Arial" w:cs="Arial" w:eastAsia="Arial" w:hAnsi="Arial"/>
                <w:sz w:val="14"/>
                <w:szCs w:val="14"/>
                <w:color w:val="auto"/>
              </w:rPr>
              <w:t>61-90 days</w:t>
            </w:r>
          </w:p>
        </w:tc>
        <w:tc>
          <w:tcPr>
            <w:tcW w:w="15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2,563</w:t>
            </w:r>
          </w:p>
        </w:tc>
        <w:tc>
          <w:tcPr>
            <w:tcW w:w="34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32,817</w:t>
            </w: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2,101</w:t>
            </w:r>
          </w:p>
        </w:tc>
        <w:tc>
          <w:tcPr>
            <w:tcW w:w="34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23,230</w:t>
            </w:r>
          </w:p>
        </w:tc>
        <w:tc>
          <w:tcPr>
            <w:tcW w:w="14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3,140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41,142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4"/>
                <w:szCs w:val="14"/>
                <w:color w:val="auto"/>
              </w:rPr>
              <w:t>91+ days</w:t>
            </w:r>
          </w:p>
        </w:tc>
        <w:tc>
          <w:tcPr>
            <w:tcW w:w="1520" w:type="dxa"/>
            <w:vAlign w:val="bottom"/>
            <w:gridSpan w:val="3"/>
            <w:shd w:val="clear" w:color="auto" w:fill="EEEEEE"/>
          </w:tcPr>
          <w:p>
            <w:pPr>
              <w:jc w:val="right"/>
              <w:ind w:right="340"/>
              <w:spacing w:after="0"/>
              <w:rPr>
                <w:sz w:val="20"/>
                <w:szCs w:val="20"/>
                <w:color w:val="auto"/>
              </w:rPr>
            </w:pPr>
            <w:r>
              <w:rPr>
                <w:rFonts w:ascii="Arial" w:cs="Arial" w:eastAsia="Arial" w:hAnsi="Arial"/>
                <w:sz w:val="14"/>
                <w:szCs w:val="14"/>
                <w:color w:val="auto"/>
              </w:rPr>
              <w:t>2,446</w:t>
            </w:r>
          </w:p>
        </w:tc>
        <w:tc>
          <w:tcPr>
            <w:tcW w:w="34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31,231</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2,427</w:t>
            </w:r>
          </w:p>
        </w:tc>
        <w:tc>
          <w:tcPr>
            <w:tcW w:w="34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31,920</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3,364</w:t>
            </w:r>
          </w:p>
        </w:tc>
        <w:tc>
          <w:tcPr>
            <w:tcW w:w="2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43,484</w:t>
            </w: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line="142" w:lineRule="exact"/>
              <w:rPr>
                <w:sz w:val="20"/>
                <w:szCs w:val="20"/>
                <w:color w:val="auto"/>
              </w:rPr>
            </w:pPr>
            <w:r>
              <w:rPr>
                <w:rFonts w:ascii="Arial" w:cs="Arial" w:eastAsia="Arial" w:hAnsi="Arial"/>
                <w:sz w:val="14"/>
                <w:szCs w:val="14"/>
                <w:color w:val="auto"/>
              </w:rPr>
              <w:t>Total delinquencies (2)</w:t>
            </w: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11,521</w:t>
            </w: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153,174</w:t>
            </w:r>
          </w:p>
        </w:tc>
        <w:tc>
          <w:tcPr>
            <w:tcW w:w="360" w:type="dxa"/>
            <w:vAlign w:val="bottom"/>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7,254</w:t>
            </w: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93,315</w:t>
            </w:r>
          </w:p>
        </w:tc>
        <w:tc>
          <w:tcPr>
            <w:tcW w:w="320" w:type="dxa"/>
            <w:vAlign w:val="bottom"/>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11,879</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154,667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EEEEEE"/>
          </w:tcPr>
          <w:p>
            <w:pPr>
              <w:spacing w:after="0"/>
              <w:rPr>
                <w:sz w:val="20"/>
                <w:szCs w:val="20"/>
                <w:color w:val="auto"/>
              </w:rPr>
            </w:pPr>
            <w:r>
              <w:rPr>
                <w:rFonts w:ascii="Arial" w:cs="Arial" w:eastAsia="Arial" w:hAnsi="Arial"/>
                <w:sz w:val="14"/>
                <w:szCs w:val="14"/>
                <w:color w:val="auto"/>
              </w:rPr>
              <w:t>Amount in repossession (3)</w:t>
            </w:r>
          </w:p>
        </w:tc>
        <w:tc>
          <w:tcPr>
            <w:tcW w:w="1520" w:type="dxa"/>
            <w:vAlign w:val="bottom"/>
            <w:gridSpan w:val="3"/>
            <w:shd w:val="clear" w:color="auto" w:fill="EEEEEE"/>
          </w:tcPr>
          <w:p>
            <w:pPr>
              <w:jc w:val="right"/>
              <w:ind w:right="340"/>
              <w:spacing w:after="0"/>
              <w:rPr>
                <w:sz w:val="20"/>
                <w:szCs w:val="20"/>
                <w:color w:val="auto"/>
              </w:rPr>
            </w:pPr>
            <w:r>
              <w:rPr>
                <w:rFonts w:ascii="Arial" w:cs="Arial" w:eastAsia="Arial" w:hAnsi="Arial"/>
                <w:sz w:val="14"/>
                <w:szCs w:val="14"/>
                <w:color w:val="auto"/>
              </w:rPr>
              <w:t>3,338</w:t>
            </w:r>
          </w:p>
        </w:tc>
        <w:tc>
          <w:tcPr>
            <w:tcW w:w="34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38,836</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2,251</w:t>
            </w:r>
          </w:p>
        </w:tc>
        <w:tc>
          <w:tcPr>
            <w:tcW w:w="340" w:type="dxa"/>
            <w:vAlign w:val="bottom"/>
            <w:shd w:val="clear" w:color="auto" w:fill="EEEEEE"/>
          </w:tcPr>
          <w:p>
            <w:pPr>
              <w:spacing w:after="0"/>
              <w:rPr>
                <w:sz w:val="14"/>
                <w:szCs w:val="14"/>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21,971</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3,138</w:t>
            </w:r>
          </w:p>
        </w:tc>
        <w:tc>
          <w:tcPr>
            <w:tcW w:w="20" w:type="dxa"/>
            <w:vAlign w:val="bottom"/>
            <w:shd w:val="clear" w:color="auto" w:fill="EEEEEE"/>
          </w:tcPr>
          <w:p>
            <w:pPr>
              <w:spacing w:after="0"/>
              <w:rPr>
                <w:sz w:val="14"/>
                <w:szCs w:val="14"/>
                <w:color w:val="auto"/>
              </w:rPr>
            </w:pPr>
          </w:p>
        </w:tc>
        <w:tc>
          <w:tcPr>
            <w:tcW w:w="200" w:type="dxa"/>
            <w:vAlign w:val="bottom"/>
            <w:shd w:val="clear" w:color="auto" w:fill="EEEEEE"/>
          </w:tcPr>
          <w:p>
            <w:pPr>
              <w:spacing w:after="0"/>
              <w:rPr>
                <w:sz w:val="14"/>
                <w:szCs w:val="14"/>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38,939</w:t>
            </w: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20" w:type="dxa"/>
            <w:vAlign w:val="bottom"/>
          </w:tcPr>
          <w:p>
            <w:pPr>
              <w:spacing w:after="0" w:line="110" w:lineRule="exact"/>
              <w:rPr>
                <w:sz w:val="20"/>
                <w:szCs w:val="20"/>
                <w:color w:val="auto"/>
              </w:rPr>
            </w:pPr>
            <w:r>
              <w:rPr>
                <w:rFonts w:ascii="Arial" w:cs="Arial" w:eastAsia="Arial" w:hAnsi="Arial"/>
                <w:sz w:val="12"/>
                <w:szCs w:val="12"/>
                <w:color w:val="auto"/>
              </w:rPr>
              <w:t>Total delinquencies and amount in</w:t>
            </w:r>
          </w:p>
        </w:tc>
        <w:tc>
          <w:tcPr>
            <w:tcW w:w="14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tcPr>
          <w:p>
            <w:pPr>
              <w:ind w:left="180"/>
              <w:spacing w:after="0"/>
              <w:rPr>
                <w:sz w:val="20"/>
                <w:szCs w:val="20"/>
                <w:color w:val="auto"/>
              </w:rPr>
            </w:pPr>
            <w:r>
              <w:rPr>
                <w:rFonts w:ascii="Arial" w:cs="Arial" w:eastAsia="Arial" w:hAnsi="Arial"/>
                <w:sz w:val="14"/>
                <w:szCs w:val="14"/>
                <w:color w:val="auto"/>
              </w:rPr>
              <w:t>repossession (2)</w:t>
            </w: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14,859</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192,010</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9,505</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115,286</w:t>
            </w: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15,017</w:t>
            </w:r>
          </w:p>
        </w:tc>
        <w:tc>
          <w:tcPr>
            <w:tcW w:w="220" w:type="dxa"/>
            <w:vAlign w:val="bottom"/>
            <w:gridSpan w:val="2"/>
          </w:tcPr>
          <w:p>
            <w:pPr>
              <w:jc w:val="right"/>
              <w:ind w:right="134"/>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193,606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20" w:type="dxa"/>
            <w:vAlign w:val="bottom"/>
            <w:tcBorders>
              <w:top w:val="single" w:sz="8" w:color="EEEEEE"/>
            </w:tcBorders>
            <w:shd w:val="clear" w:color="auto" w:fill="EEEEEE"/>
          </w:tcPr>
          <w:p>
            <w:pPr>
              <w:spacing w:after="0"/>
              <w:rPr>
                <w:sz w:val="11"/>
                <w:szCs w:val="11"/>
                <w:color w:val="auto"/>
              </w:rPr>
            </w:pPr>
          </w:p>
        </w:tc>
        <w:tc>
          <w:tcPr>
            <w:tcW w:w="140" w:type="dxa"/>
            <w:vAlign w:val="bottom"/>
            <w:tcBorders>
              <w:top w:val="single" w:sz="8" w:color="auto"/>
            </w:tcBorders>
            <w:shd w:val="clear" w:color="auto" w:fill="EEEEEE"/>
          </w:tcPr>
          <w:p>
            <w:pPr>
              <w:spacing w:after="0"/>
              <w:rPr>
                <w:sz w:val="11"/>
                <w:szCs w:val="11"/>
                <w:color w:val="auto"/>
              </w:rPr>
            </w:pPr>
          </w:p>
        </w:tc>
        <w:tc>
          <w:tcPr>
            <w:tcW w:w="1040" w:type="dxa"/>
            <w:vAlign w:val="bottom"/>
            <w:tcBorders>
              <w:top w:val="single" w:sz="8" w:color="auto"/>
            </w:tcBorders>
            <w:shd w:val="clear" w:color="auto" w:fill="EEEEEE"/>
          </w:tcPr>
          <w:p>
            <w:pPr>
              <w:spacing w:after="0"/>
              <w:rPr>
                <w:sz w:val="11"/>
                <w:szCs w:val="11"/>
                <w:color w:val="auto"/>
              </w:rPr>
            </w:pPr>
          </w:p>
        </w:tc>
        <w:tc>
          <w:tcPr>
            <w:tcW w:w="340" w:type="dxa"/>
            <w:vAlign w:val="bottom"/>
            <w:tcBorders>
              <w:top w:val="single" w:sz="8" w:color="EEEEEE"/>
            </w:tcBorders>
            <w:shd w:val="clear" w:color="auto" w:fill="EEEEEE"/>
          </w:tcPr>
          <w:p>
            <w:pPr>
              <w:spacing w:after="0"/>
              <w:rPr>
                <w:sz w:val="11"/>
                <w:szCs w:val="11"/>
                <w:color w:val="auto"/>
              </w:rPr>
            </w:pPr>
          </w:p>
        </w:tc>
        <w:tc>
          <w:tcPr>
            <w:tcW w:w="340" w:type="dxa"/>
            <w:vAlign w:val="bottom"/>
            <w:tcBorders>
              <w:top w:val="single" w:sz="8" w:color="auto"/>
            </w:tcBorders>
            <w:shd w:val="clear" w:color="auto" w:fill="EEEEEE"/>
          </w:tcPr>
          <w:p>
            <w:pPr>
              <w:spacing w:after="0"/>
              <w:rPr>
                <w:sz w:val="11"/>
                <w:szCs w:val="11"/>
                <w:color w:val="auto"/>
              </w:rPr>
            </w:pPr>
          </w:p>
        </w:tc>
        <w:tc>
          <w:tcPr>
            <w:tcW w:w="820" w:type="dxa"/>
            <w:vAlign w:val="bottom"/>
            <w:tcBorders>
              <w:top w:val="single" w:sz="8" w:color="auto"/>
            </w:tcBorders>
            <w:shd w:val="clear" w:color="auto" w:fill="EEEEEE"/>
          </w:tcPr>
          <w:p>
            <w:pPr>
              <w:spacing w:after="0"/>
              <w:rPr>
                <w:sz w:val="11"/>
                <w:szCs w:val="11"/>
                <w:color w:val="auto"/>
              </w:rPr>
            </w:pPr>
          </w:p>
        </w:tc>
        <w:tc>
          <w:tcPr>
            <w:tcW w:w="360" w:type="dxa"/>
            <w:vAlign w:val="bottom"/>
            <w:tcBorders>
              <w:top w:val="single" w:sz="8" w:color="EEEEEE"/>
            </w:tcBorders>
            <w:shd w:val="clear" w:color="auto" w:fill="EEEEEE"/>
          </w:tcPr>
          <w:p>
            <w:pPr>
              <w:spacing w:after="0"/>
              <w:rPr>
                <w:sz w:val="11"/>
                <w:szCs w:val="11"/>
                <w:color w:val="auto"/>
              </w:rPr>
            </w:pPr>
          </w:p>
        </w:tc>
        <w:tc>
          <w:tcPr>
            <w:tcW w:w="1160" w:type="dxa"/>
            <w:vAlign w:val="bottom"/>
            <w:tcBorders>
              <w:top w:val="single" w:sz="8" w:color="auto"/>
            </w:tcBorders>
            <w:shd w:val="clear" w:color="auto" w:fill="EEEEEE"/>
          </w:tcPr>
          <w:p>
            <w:pPr>
              <w:spacing w:after="0"/>
              <w:rPr>
                <w:sz w:val="11"/>
                <w:szCs w:val="11"/>
                <w:color w:val="auto"/>
              </w:rPr>
            </w:pPr>
          </w:p>
        </w:tc>
        <w:tc>
          <w:tcPr>
            <w:tcW w:w="320" w:type="dxa"/>
            <w:vAlign w:val="bottom"/>
            <w:tcBorders>
              <w:top w:val="single" w:sz="8" w:color="EEEEEE"/>
            </w:tcBorders>
            <w:shd w:val="clear" w:color="auto" w:fill="EEEEEE"/>
          </w:tcPr>
          <w:p>
            <w:pPr>
              <w:spacing w:after="0"/>
              <w:rPr>
                <w:sz w:val="11"/>
                <w:szCs w:val="11"/>
                <w:color w:val="auto"/>
              </w:rPr>
            </w:pPr>
          </w:p>
        </w:tc>
        <w:tc>
          <w:tcPr>
            <w:tcW w:w="340" w:type="dxa"/>
            <w:vAlign w:val="bottom"/>
            <w:tcBorders>
              <w:top w:val="single" w:sz="8" w:color="auto"/>
            </w:tcBorders>
            <w:shd w:val="clear" w:color="auto" w:fill="EEEEEE"/>
          </w:tcPr>
          <w:p>
            <w:pPr>
              <w:spacing w:after="0"/>
              <w:rPr>
                <w:sz w:val="11"/>
                <w:szCs w:val="11"/>
                <w:color w:val="auto"/>
              </w:rPr>
            </w:pPr>
          </w:p>
        </w:tc>
        <w:tc>
          <w:tcPr>
            <w:tcW w:w="800" w:type="dxa"/>
            <w:vAlign w:val="bottom"/>
            <w:tcBorders>
              <w:top w:val="single" w:sz="8" w:color="auto"/>
            </w:tcBorders>
            <w:shd w:val="clear" w:color="auto" w:fill="EEEEEE"/>
          </w:tcPr>
          <w:p>
            <w:pPr>
              <w:spacing w:after="0"/>
              <w:rPr>
                <w:sz w:val="11"/>
                <w:szCs w:val="11"/>
                <w:color w:val="auto"/>
              </w:rPr>
            </w:pPr>
          </w:p>
        </w:tc>
        <w:tc>
          <w:tcPr>
            <w:tcW w:w="320" w:type="dxa"/>
            <w:vAlign w:val="bottom"/>
            <w:tcBorders>
              <w:top w:val="single" w:sz="8" w:color="EEEEEE"/>
            </w:tcBorders>
            <w:shd w:val="clear" w:color="auto" w:fill="EEEEEE"/>
          </w:tcPr>
          <w:p>
            <w:pPr>
              <w:spacing w:after="0"/>
              <w:rPr>
                <w:sz w:val="11"/>
                <w:szCs w:val="11"/>
                <w:color w:val="auto"/>
              </w:rPr>
            </w:pPr>
          </w:p>
        </w:tc>
        <w:tc>
          <w:tcPr>
            <w:tcW w:w="1140" w:type="dxa"/>
            <w:vAlign w:val="bottom"/>
            <w:tcBorders>
              <w:top w:val="single" w:sz="8" w:color="auto"/>
            </w:tcBorders>
            <w:shd w:val="clear" w:color="auto" w:fill="EEEEEE"/>
          </w:tcPr>
          <w:p>
            <w:pPr>
              <w:spacing w:after="0"/>
              <w:rPr>
                <w:sz w:val="11"/>
                <w:szCs w:val="11"/>
                <w:color w:val="auto"/>
              </w:rPr>
            </w:pPr>
          </w:p>
        </w:tc>
        <w:tc>
          <w:tcPr>
            <w:tcW w:w="320" w:type="dxa"/>
            <w:vAlign w:val="bottom"/>
            <w:tcBorders>
              <w:top w:val="single" w:sz="8" w:color="EEEEEE"/>
            </w:tcBorders>
            <w:shd w:val="clear" w:color="auto" w:fill="EEEEEE"/>
          </w:tcPr>
          <w:p>
            <w:pPr>
              <w:spacing w:after="0"/>
              <w:rPr>
                <w:sz w:val="11"/>
                <w:szCs w:val="11"/>
                <w:color w:val="auto"/>
              </w:rPr>
            </w:pPr>
          </w:p>
        </w:tc>
        <w:tc>
          <w:tcPr>
            <w:tcW w:w="20" w:type="dxa"/>
            <w:vAlign w:val="bottom"/>
            <w:tcBorders>
              <w:top w:val="single" w:sz="8" w:color="EEEEEE"/>
            </w:tcBorders>
            <w:shd w:val="clear" w:color="auto" w:fill="EEEEEE"/>
          </w:tcPr>
          <w:p>
            <w:pPr>
              <w:spacing w:after="0"/>
              <w:rPr>
                <w:sz w:val="11"/>
                <w:szCs w:val="11"/>
                <w:color w:val="auto"/>
              </w:rPr>
            </w:pPr>
          </w:p>
        </w:tc>
        <w:tc>
          <w:tcPr>
            <w:tcW w:w="200" w:type="dxa"/>
            <w:vAlign w:val="bottom"/>
            <w:tcBorders>
              <w:top w:val="single" w:sz="8" w:color="auto"/>
            </w:tcBorders>
            <w:shd w:val="clear" w:color="auto" w:fill="EEEEEE"/>
          </w:tcPr>
          <w:p>
            <w:pPr>
              <w:spacing w:after="0"/>
              <w:rPr>
                <w:sz w:val="11"/>
                <w:szCs w:val="11"/>
                <w:color w:val="auto"/>
              </w:rPr>
            </w:pPr>
          </w:p>
        </w:tc>
        <w:tc>
          <w:tcPr>
            <w:tcW w:w="920" w:type="dxa"/>
            <w:vAlign w:val="bottom"/>
            <w:tcBorders>
              <w:top w:val="single" w:sz="8" w:color="auto"/>
            </w:tcBorders>
            <w:shd w:val="clear" w:color="auto" w:fill="EEEEEE"/>
          </w:tcPr>
          <w:p>
            <w:pPr>
              <w:spacing w:after="0"/>
              <w:rPr>
                <w:sz w:val="11"/>
                <w:szCs w:val="11"/>
                <w:color w:val="auto"/>
              </w:rPr>
            </w:pPr>
          </w:p>
        </w:tc>
        <w:tc>
          <w:tcPr>
            <w:tcW w:w="20" w:type="dxa"/>
            <w:vAlign w:val="bottom"/>
            <w:tcBorders>
              <w:top w:val="single" w:sz="8" w:color="EEEEEE"/>
            </w:tcBorders>
            <w:shd w:val="clear" w:color="auto" w:fill="EEEEEE"/>
          </w:tcPr>
          <w:p>
            <w:pPr>
              <w:spacing w:after="0"/>
              <w:rPr>
                <w:sz w:val="11"/>
                <w:szCs w:val="11"/>
                <w:color w:val="auto"/>
              </w:rPr>
            </w:pPr>
          </w:p>
        </w:tc>
        <w:tc>
          <w:tcPr>
            <w:tcW w:w="80" w:type="dxa"/>
            <w:vAlign w:val="bottom"/>
            <w:tcBorders>
              <w:top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Delinquencies as a percentage of gross</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ind w:left="180"/>
              <w:spacing w:after="0"/>
              <w:rPr>
                <w:sz w:val="20"/>
                <w:szCs w:val="20"/>
                <w:color w:val="auto"/>
              </w:rPr>
            </w:pPr>
            <w:r>
              <w:rPr>
                <w:rFonts w:ascii="Arial" w:cs="Arial" w:eastAsia="Arial" w:hAnsi="Arial"/>
                <w:sz w:val="14"/>
                <w:szCs w:val="14"/>
                <w:color w:val="auto"/>
              </w:rPr>
              <w:t>servicing portfolio</w:t>
            </w: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7.3%</w:t>
            </w:r>
          </w:p>
        </w:tc>
        <w:tc>
          <w:tcPr>
            <w:tcW w:w="3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7.2%</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5.7%</w:t>
            </w:r>
          </w:p>
        </w:tc>
        <w:tc>
          <w:tcPr>
            <w:tcW w:w="3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5.5%</w:t>
            </w: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Total delinquencies and amount in</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ind w:left="180"/>
              <w:spacing w:after="0" w:line="149" w:lineRule="exact"/>
              <w:rPr>
                <w:sz w:val="20"/>
                <w:szCs w:val="20"/>
                <w:color w:val="auto"/>
              </w:rPr>
            </w:pPr>
            <w:r>
              <w:rPr>
                <w:rFonts w:ascii="Arial" w:cs="Arial" w:eastAsia="Arial" w:hAnsi="Arial"/>
                <w:sz w:val="14"/>
                <w:szCs w:val="14"/>
                <w:color w:val="auto"/>
              </w:rPr>
              <w:t>repossession as a percentage of gross</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tcPr>
          <w:p>
            <w:pPr>
              <w:ind w:left="180"/>
              <w:spacing w:after="0"/>
              <w:rPr>
                <w:sz w:val="20"/>
                <w:szCs w:val="20"/>
                <w:color w:val="auto"/>
              </w:rPr>
            </w:pPr>
            <w:r>
              <w:rPr>
                <w:rFonts w:ascii="Arial" w:cs="Arial" w:eastAsia="Arial" w:hAnsi="Arial"/>
                <w:sz w:val="14"/>
                <w:szCs w:val="14"/>
                <w:color w:val="auto"/>
              </w:rPr>
              <w:t>servicing portfolio</w:t>
            </w: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9.5%</w:t>
            </w:r>
          </w:p>
        </w:tc>
        <w:tc>
          <w:tcPr>
            <w:tcW w:w="3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9.0%</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7.5%</w:t>
            </w:r>
          </w:p>
        </w:tc>
        <w:tc>
          <w:tcPr>
            <w:tcW w:w="3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6.8%</w:t>
            </w: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i w:val="1"/>
                <w:iCs w:val="1"/>
                <w:color w:val="auto"/>
              </w:rPr>
              <w:t>Extension Experience</w:t>
            </w:r>
          </w:p>
        </w:tc>
        <w:tc>
          <w:tcPr>
            <w:tcW w:w="14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line="149" w:lineRule="exact"/>
              <w:rPr>
                <w:sz w:val="20"/>
                <w:szCs w:val="20"/>
                <w:color w:val="auto"/>
              </w:rPr>
            </w:pPr>
            <w:r>
              <w:rPr>
                <w:rFonts w:ascii="Arial" w:cs="Arial" w:eastAsia="Arial" w:hAnsi="Arial"/>
                <w:sz w:val="14"/>
                <w:szCs w:val="14"/>
                <w:color w:val="auto"/>
              </w:rPr>
              <w:t>Contracts with one extension, accruing (4)</w:t>
            </w:r>
          </w:p>
        </w:tc>
        <w:tc>
          <w:tcPr>
            <w:tcW w:w="152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26,996</w:t>
            </w:r>
          </w:p>
        </w:tc>
        <w:tc>
          <w:tcPr>
            <w:tcW w:w="34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364,919</w:t>
            </w: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19,958</w:t>
            </w:r>
          </w:p>
        </w:tc>
        <w:tc>
          <w:tcPr>
            <w:tcW w:w="34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259,523</w:t>
            </w:r>
          </w:p>
        </w:tc>
        <w:tc>
          <w:tcPr>
            <w:tcW w:w="14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26,682</w:t>
            </w:r>
          </w:p>
        </w:tc>
        <w:tc>
          <w:tcPr>
            <w:tcW w:w="220" w:type="dxa"/>
            <w:vAlign w:val="bottom"/>
            <w:gridSpan w:val="2"/>
          </w:tcPr>
          <w:p>
            <w:pPr>
              <w:jc w:val="right"/>
              <w:ind w:right="134"/>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361,338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Contracts with two or more extensions,</w:t>
            </w:r>
          </w:p>
        </w:tc>
        <w:tc>
          <w:tcPr>
            <w:tcW w:w="14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4"/>
                <w:szCs w:val="14"/>
                <w:color w:val="auto"/>
              </w:rPr>
              <w:t>accruing (4)</w:t>
            </w:r>
          </w:p>
        </w:tc>
        <w:tc>
          <w:tcPr>
            <w:tcW w:w="1520" w:type="dxa"/>
            <w:vAlign w:val="bottom"/>
            <w:gridSpan w:val="3"/>
            <w:shd w:val="clear" w:color="auto" w:fill="EEEEEE"/>
          </w:tcPr>
          <w:p>
            <w:pPr>
              <w:jc w:val="right"/>
              <w:ind w:right="340"/>
              <w:spacing w:after="0"/>
              <w:rPr>
                <w:sz w:val="20"/>
                <w:szCs w:val="20"/>
                <w:color w:val="auto"/>
              </w:rPr>
            </w:pPr>
            <w:r>
              <w:rPr>
                <w:rFonts w:ascii="Arial" w:cs="Arial" w:eastAsia="Arial" w:hAnsi="Arial"/>
                <w:sz w:val="14"/>
                <w:szCs w:val="14"/>
                <w:color w:val="auto"/>
              </w:rPr>
              <w:t>19,700</w:t>
            </w:r>
          </w:p>
        </w:tc>
        <w:tc>
          <w:tcPr>
            <w:tcW w:w="34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260,810</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9,438</w:t>
            </w:r>
          </w:p>
        </w:tc>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119,247</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16,638</w:t>
            </w: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219,175</w:t>
            </w:r>
          </w:p>
        </w:tc>
        <w:tc>
          <w:tcPr>
            <w:tcW w:w="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46,696</w:t>
            </w: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625,729</w:t>
            </w:r>
          </w:p>
        </w:tc>
        <w:tc>
          <w:tcPr>
            <w:tcW w:w="360" w:type="dxa"/>
            <w:vAlign w:val="bottom"/>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29,396</w:t>
            </w: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378,770</w:t>
            </w:r>
          </w:p>
        </w:tc>
        <w:tc>
          <w:tcPr>
            <w:tcW w:w="320" w:type="dxa"/>
            <w:vAlign w:val="bottom"/>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43,320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580,513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tcPr>
          <w:p>
            <w:pPr>
              <w:spacing w:after="0" w:line="130" w:lineRule="exact"/>
              <w:rPr>
                <w:sz w:val="20"/>
                <w:szCs w:val="20"/>
                <w:color w:val="auto"/>
              </w:rPr>
            </w:pPr>
            <w:r>
              <w:rPr>
                <w:rFonts w:ascii="Arial" w:cs="Arial" w:eastAsia="Arial" w:hAnsi="Arial"/>
                <w:sz w:val="14"/>
                <w:szCs w:val="14"/>
                <w:color w:val="auto"/>
              </w:rPr>
              <w:t>Contracts with one extension, non-accrual</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gridSpan w:val="2"/>
          </w:tcPr>
          <w:p>
            <w:pPr>
              <w:ind w:left="200"/>
              <w:spacing w:after="0"/>
              <w:rPr>
                <w:sz w:val="20"/>
                <w:szCs w:val="20"/>
                <w:color w:val="auto"/>
              </w:rPr>
            </w:pPr>
            <w:r>
              <w:rPr>
                <w:rFonts w:ascii="Arial" w:cs="Arial" w:eastAsia="Arial" w:hAnsi="Arial"/>
                <w:sz w:val="14"/>
                <w:szCs w:val="14"/>
                <w:color w:val="auto"/>
              </w:rPr>
              <w:t>(4)</w:t>
            </w: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1,634</w:t>
            </w:r>
          </w:p>
        </w:tc>
        <w:tc>
          <w:tcPr>
            <w:tcW w:w="3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19,312</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1,078</w:t>
            </w:r>
          </w:p>
        </w:tc>
        <w:tc>
          <w:tcPr>
            <w:tcW w:w="3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13,224</w:t>
            </w: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1,784</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22,725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shd w:val="clear" w:color="auto" w:fill="EEEEEE"/>
          </w:tcPr>
          <w:p>
            <w:pPr>
              <w:spacing w:after="0" w:line="130" w:lineRule="exact"/>
              <w:rPr>
                <w:sz w:val="20"/>
                <w:szCs w:val="20"/>
                <w:color w:val="auto"/>
              </w:rPr>
            </w:pPr>
            <w:r>
              <w:rPr>
                <w:rFonts w:ascii="Arial" w:cs="Arial" w:eastAsia="Arial" w:hAnsi="Arial"/>
                <w:sz w:val="14"/>
                <w:szCs w:val="14"/>
                <w:color w:val="auto"/>
              </w:rPr>
              <w:t>Contracts with two or more extensions,</w:t>
            </w:r>
          </w:p>
        </w:tc>
        <w:tc>
          <w:tcPr>
            <w:tcW w:w="14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EEEEEE"/>
          </w:tcPr>
          <w:p>
            <w:pPr>
              <w:ind w:left="180"/>
              <w:spacing w:after="0"/>
              <w:rPr>
                <w:sz w:val="20"/>
                <w:szCs w:val="20"/>
                <w:color w:val="auto"/>
              </w:rPr>
            </w:pPr>
            <w:r>
              <w:rPr>
                <w:rFonts w:ascii="Arial" w:cs="Arial" w:eastAsia="Arial" w:hAnsi="Arial"/>
                <w:sz w:val="14"/>
                <w:szCs w:val="14"/>
                <w:color w:val="auto"/>
              </w:rPr>
              <w:t>non-accrual (4)</w:t>
            </w:r>
          </w:p>
        </w:tc>
        <w:tc>
          <w:tcPr>
            <w:tcW w:w="1520" w:type="dxa"/>
            <w:vAlign w:val="bottom"/>
            <w:gridSpan w:val="3"/>
            <w:shd w:val="clear" w:color="auto" w:fill="EEEEEE"/>
          </w:tcPr>
          <w:p>
            <w:pPr>
              <w:jc w:val="right"/>
              <w:ind w:right="340"/>
              <w:spacing w:after="0"/>
              <w:rPr>
                <w:sz w:val="20"/>
                <w:szCs w:val="20"/>
                <w:color w:val="auto"/>
              </w:rPr>
            </w:pPr>
            <w:r>
              <w:rPr>
                <w:rFonts w:ascii="Arial" w:cs="Arial" w:eastAsia="Arial" w:hAnsi="Arial"/>
                <w:sz w:val="14"/>
                <w:szCs w:val="14"/>
                <w:color w:val="auto"/>
              </w:rPr>
              <w:t>1,425</w:t>
            </w:r>
          </w:p>
        </w:tc>
        <w:tc>
          <w:tcPr>
            <w:tcW w:w="34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17,574</w:t>
            </w:r>
          </w:p>
        </w:tc>
        <w:tc>
          <w:tcPr>
            <w:tcW w:w="11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616</w:t>
            </w:r>
          </w:p>
        </w:tc>
        <w:tc>
          <w:tcPr>
            <w:tcW w:w="32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6,572</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1,444</w:t>
            </w:r>
          </w:p>
        </w:tc>
        <w:tc>
          <w:tcPr>
            <w:tcW w:w="2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18,527</w:t>
            </w:r>
          </w:p>
        </w:tc>
        <w:tc>
          <w:tcPr>
            <w:tcW w:w="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1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3,059</w:t>
            </w:r>
          </w:p>
        </w:tc>
        <w:tc>
          <w:tcPr>
            <w:tcW w:w="3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36,886</w:t>
            </w:r>
          </w:p>
        </w:tc>
        <w:tc>
          <w:tcPr>
            <w:tcW w:w="360" w:type="dxa"/>
            <w:vAlign w:val="bottom"/>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1,694</w:t>
            </w: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19,796</w:t>
            </w:r>
          </w:p>
        </w:tc>
        <w:tc>
          <w:tcPr>
            <w:tcW w:w="320" w:type="dxa"/>
            <w:vAlign w:val="bottom"/>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3,228</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41,252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shd w:val="clear" w:color="auto" w:fill="EEEEEE"/>
          </w:tcPr>
          <w:p>
            <w:pPr>
              <w:spacing w:after="0"/>
              <w:rPr>
                <w:sz w:val="14"/>
                <w:szCs w:val="14"/>
                <w:color w:val="auto"/>
              </w:rPr>
            </w:pPr>
          </w:p>
        </w:tc>
        <w:tc>
          <w:tcPr>
            <w:tcW w:w="140" w:type="dxa"/>
            <w:vAlign w:val="bottom"/>
            <w:tcBorders>
              <w:bottom w:val="single" w:sz="8" w:color="auto"/>
            </w:tcBorders>
            <w:shd w:val="clear" w:color="auto" w:fill="EEEEEE"/>
          </w:tcPr>
          <w:p>
            <w:pPr>
              <w:spacing w:after="0"/>
              <w:rPr>
                <w:sz w:val="14"/>
                <w:szCs w:val="14"/>
                <w:color w:val="auto"/>
              </w:rPr>
            </w:pPr>
          </w:p>
        </w:tc>
        <w:tc>
          <w:tcPr>
            <w:tcW w:w="1040" w:type="dxa"/>
            <w:vAlign w:val="bottom"/>
            <w:tcBorders>
              <w:bottom w:val="single" w:sz="8" w:color="auto"/>
            </w:tcBorders>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340" w:type="dxa"/>
            <w:vAlign w:val="bottom"/>
            <w:tcBorders>
              <w:bottom w:val="single" w:sz="8" w:color="auto"/>
            </w:tcBorders>
            <w:shd w:val="clear" w:color="auto" w:fill="EEEEEE"/>
          </w:tcPr>
          <w:p>
            <w:pPr>
              <w:spacing w:after="0"/>
              <w:rPr>
                <w:sz w:val="14"/>
                <w:szCs w:val="14"/>
                <w:color w:val="auto"/>
              </w:rPr>
            </w:pPr>
          </w:p>
        </w:tc>
        <w:tc>
          <w:tcPr>
            <w:tcW w:w="820" w:type="dxa"/>
            <w:vAlign w:val="bottom"/>
            <w:tcBorders>
              <w:bottom w:val="single" w:sz="8" w:color="auto"/>
            </w:tcBorders>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1160" w:type="dxa"/>
            <w:vAlign w:val="bottom"/>
            <w:tcBorders>
              <w:bottom w:val="single" w:sz="8" w:color="auto"/>
            </w:tcBorders>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340" w:type="dxa"/>
            <w:vAlign w:val="bottom"/>
            <w:tcBorders>
              <w:bottom w:val="single" w:sz="8" w:color="auto"/>
            </w:tcBorders>
            <w:shd w:val="clear" w:color="auto" w:fill="EEEEEE"/>
          </w:tcPr>
          <w:p>
            <w:pPr>
              <w:spacing w:after="0"/>
              <w:rPr>
                <w:sz w:val="14"/>
                <w:szCs w:val="14"/>
                <w:color w:val="auto"/>
              </w:rPr>
            </w:pPr>
          </w:p>
        </w:tc>
        <w:tc>
          <w:tcPr>
            <w:tcW w:w="800" w:type="dxa"/>
            <w:vAlign w:val="bottom"/>
            <w:tcBorders>
              <w:bottom w:val="single" w:sz="8" w:color="auto"/>
            </w:tcBorders>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140" w:type="dxa"/>
            <w:vAlign w:val="bottom"/>
            <w:tcBorders>
              <w:bottom w:val="single" w:sz="8" w:color="auto"/>
            </w:tcBorders>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200" w:type="dxa"/>
            <w:vAlign w:val="bottom"/>
            <w:tcBorders>
              <w:bottom w:val="single" w:sz="8" w:color="auto"/>
            </w:tcBorders>
            <w:shd w:val="clear" w:color="auto" w:fill="EEEEEE"/>
          </w:tcPr>
          <w:p>
            <w:pPr>
              <w:spacing w:after="0"/>
              <w:rPr>
                <w:sz w:val="14"/>
                <w:szCs w:val="14"/>
                <w:color w:val="auto"/>
              </w:rPr>
            </w:pPr>
          </w:p>
        </w:tc>
        <w:tc>
          <w:tcPr>
            <w:tcW w:w="920" w:type="dxa"/>
            <w:vAlign w:val="bottom"/>
            <w:tcBorders>
              <w:bottom w:val="single" w:sz="8" w:color="auto"/>
            </w:tcBorders>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spacing w:after="0" w:line="155" w:lineRule="exact"/>
              <w:rPr>
                <w:sz w:val="20"/>
                <w:szCs w:val="20"/>
                <w:color w:val="auto"/>
              </w:rPr>
            </w:pPr>
            <w:r>
              <w:rPr>
                <w:rFonts w:ascii="Arial" w:cs="Arial" w:eastAsia="Arial" w:hAnsi="Arial"/>
                <w:sz w:val="14"/>
                <w:szCs w:val="14"/>
                <w:color w:val="auto"/>
              </w:rPr>
              <w:t>Total contracts with extensions</w:t>
            </w:r>
          </w:p>
        </w:tc>
        <w:tc>
          <w:tcPr>
            <w:tcW w:w="11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49,755</w:t>
            </w:r>
          </w:p>
        </w:tc>
        <w:tc>
          <w:tcPr>
            <w:tcW w:w="34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662,615</w:t>
            </w:r>
          </w:p>
        </w:tc>
        <w:tc>
          <w:tcPr>
            <w:tcW w:w="360" w:type="dxa"/>
            <w:vAlign w:val="bottom"/>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31,090</w:t>
            </w:r>
          </w:p>
        </w:tc>
        <w:tc>
          <w:tcPr>
            <w:tcW w:w="32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398,566</w:t>
            </w:r>
          </w:p>
        </w:tc>
        <w:tc>
          <w:tcPr>
            <w:tcW w:w="32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46,548</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621,765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spacing w:after="0" w:line="13" w:lineRule="exact"/>
        <w:rPr>
          <w:sz w:val="20"/>
          <w:szCs w:val="20"/>
          <w:color w:val="auto"/>
        </w:rPr>
      </w:pPr>
    </w:p>
    <w:p>
      <w:pPr>
        <w:jc w:val="both"/>
        <w:ind w:firstLine="8"/>
        <w:spacing w:after="0" w:line="250" w:lineRule="auto"/>
        <w:tabs>
          <w:tab w:leader="none" w:pos="278"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jc w:val="both"/>
        <w:ind w:firstLine="8"/>
        <w:spacing w:after="0" w:line="250" w:lineRule="auto"/>
        <w:tabs>
          <w:tab w:leader="none" w:pos="272"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5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(Dollars in thousands)</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2,098,261</w:t>
            </w:r>
          </w:p>
        </w:tc>
        <w:tc>
          <w:tcPr>
            <w:tcW w:w="4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1,704,259</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1,847,764</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Annualized net charge-offs as a percentage of</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(2)</w:t>
            </w:r>
          </w:p>
        </w:tc>
        <w:tc>
          <w:tcPr>
            <w:tcW w:w="19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w:t>
            </w:r>
          </w:p>
        </w:tc>
      </w:tr>
      <w:tr>
        <w:trPr>
          <w:trHeight w:val="218"/>
        </w:trPr>
        <w:tc>
          <w:tcPr>
            <w:tcW w:w="5040" w:type="dxa"/>
            <w:vAlign w:val="bottom"/>
          </w:tcPr>
          <w:p>
            <w:pPr>
              <w:spacing w:after="0"/>
              <w:rPr>
                <w:sz w:val="20"/>
                <w:szCs w:val="20"/>
                <w:color w:val="auto"/>
              </w:rPr>
            </w:pPr>
            <w:r>
              <w:rPr>
                <w:rFonts w:ascii="Arial" w:cs="Arial" w:eastAsia="Arial" w:hAnsi="Arial"/>
                <w:sz w:val="18"/>
                <w:szCs w:val="18"/>
                <w:i w:val="1"/>
                <w:iCs w:val="1"/>
                <w:color w:val="auto"/>
              </w:rPr>
              <w:t>_________________________</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firstLine="8"/>
        <w:spacing w:after="0" w:line="249" w:lineRule="auto"/>
        <w:tabs>
          <w:tab w:leader="none" w:pos="278"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73" w:lineRule="auto"/>
        <w:tabs>
          <w:tab w:leader="none" w:pos="265"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March 31, 2016 and March 31, 2015 percentage represents three months ended March 31, 2016 and March 31, 2015 annualized. December 31, 2015 represents 12 months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72"/>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72"/>
        <w:spacing w:after="0" w:line="291" w:lineRule="auto"/>
        <w:rPr>
          <w:sz w:val="20"/>
          <w:szCs w:val="20"/>
          <w:color w:val="auto"/>
        </w:rPr>
      </w:pPr>
      <w:r>
        <w:rPr>
          <w:rFonts w:ascii="Arial" w:cs="Arial" w:eastAsia="Arial" w:hAnsi="Arial"/>
          <w:sz w:val="16"/>
          <w:szCs w:val="16"/>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67" w:lineRule="exact"/>
        <w:rPr>
          <w:sz w:val="20"/>
          <w:szCs w:val="20"/>
          <w:color w:val="auto"/>
        </w:rPr>
      </w:pPr>
    </w:p>
    <w:p>
      <w:pPr>
        <w:jc w:val="both"/>
        <w:ind w:firstLine="72"/>
        <w:spacing w:after="0" w:line="272" w:lineRule="auto"/>
        <w:rPr>
          <w:sz w:val="20"/>
          <w:szCs w:val="20"/>
          <w:color w:val="auto"/>
        </w:rPr>
      </w:pPr>
      <w:r>
        <w:rPr>
          <w:rFonts w:ascii="Arial" w:cs="Arial" w:eastAsia="Arial" w:hAnsi="Arial"/>
          <w:sz w:val="17"/>
          <w:szCs w:val="17"/>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 (2) 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5" w:name="page26"/>
    <w:bookmarkEnd w:id="25"/>
    <w:p>
      <w:pPr>
        <w:jc w:val="both"/>
        <w:ind w:firstLine="72"/>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March 31, 2016, for accounts that received extensions from 2008 through 2014 (2015 extension data are not included at this time due to insufficient passage of time for meaningful evaluation of results):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02"/>
        </w:trPr>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ind w:left="440"/>
              <w:spacing w:after="0" w:line="201"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Charged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Charged</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Charged</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Charged</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6"/>
              </w:rPr>
              <w:t>Avg</w:t>
            </w: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Active or</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 Active</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Off &gt; 6</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Off &gt; 6</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Off &lt;= 6</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Off &lt;= 6</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3"/>
              </w:rPr>
              <w:t>Months to</w:t>
            </w: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ind w:left="5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Paid Off at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or Paid Off</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Months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Months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Months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Months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8"/>
              </w:rPr>
              <w:t>Charge</w:t>
            </w:r>
          </w:p>
        </w:tc>
      </w:tr>
      <w:tr>
        <w:trPr>
          <w:trHeight w:val="216"/>
        </w:trPr>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Period of</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Extensions</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at March</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After</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After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After</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Off Post</w:t>
            </w:r>
          </w:p>
        </w:tc>
      </w:tr>
      <w:tr>
        <w:trPr>
          <w:trHeight w:val="230"/>
        </w:trPr>
        <w:tc>
          <w:tcPr>
            <w:tcW w:w="14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Extension</w:t>
            </w:r>
          </w:p>
        </w:tc>
        <w:tc>
          <w:tcPr>
            <w:tcW w:w="1400" w:type="dxa"/>
            <w:vAlign w:val="bottom"/>
            <w:gridSpan w:val="2"/>
          </w:tcPr>
          <w:p>
            <w:pPr>
              <w:ind w:left="280"/>
              <w:spacing w:after="0"/>
              <w:rPr>
                <w:sz w:val="20"/>
                <w:szCs w:val="20"/>
                <w:color w:val="auto"/>
              </w:rPr>
            </w:pPr>
            <w:r>
              <w:rPr>
                <w:rFonts w:ascii="Arial" w:cs="Arial" w:eastAsia="Arial" w:hAnsi="Arial"/>
                <w:sz w:val="18"/>
                <w:szCs w:val="18"/>
                <w:color w:val="auto"/>
              </w:rPr>
              <w:t>Granted</w:t>
            </w:r>
          </w:p>
        </w:tc>
        <w:tc>
          <w:tcPr>
            <w:tcW w:w="1040" w:type="dxa"/>
            <w:vAlign w:val="bottom"/>
          </w:tcPr>
          <w:p>
            <w:pPr>
              <w:jc w:val="center"/>
              <w:ind w:left="30"/>
              <w:spacing w:after="0"/>
              <w:rPr>
                <w:sz w:val="20"/>
                <w:szCs w:val="20"/>
                <w:color w:val="auto"/>
              </w:rPr>
            </w:pPr>
            <w:r>
              <w:rPr>
                <w:rFonts w:ascii="Arial" w:cs="Arial" w:eastAsia="Arial" w:hAnsi="Arial"/>
                <w:sz w:val="18"/>
                <w:szCs w:val="18"/>
                <w:color w:val="auto"/>
                <w:w w:val="89"/>
              </w:rPr>
              <w:t>2016</w:t>
            </w:r>
          </w:p>
        </w:tc>
        <w:tc>
          <w:tcPr>
            <w:tcW w:w="340" w:type="dxa"/>
            <w:vAlign w:val="bottom"/>
          </w:tcPr>
          <w:p>
            <w:pPr>
              <w:spacing w:after="0"/>
              <w:rPr>
                <w:sz w:val="20"/>
                <w:szCs w:val="20"/>
                <w:color w:val="auto"/>
              </w:rPr>
            </w:pPr>
          </w:p>
        </w:tc>
        <w:tc>
          <w:tcPr>
            <w:tcW w:w="940" w:type="dxa"/>
            <w:vAlign w:val="bottom"/>
          </w:tcPr>
          <w:p>
            <w:pPr>
              <w:ind w:left="220"/>
              <w:spacing w:after="0"/>
              <w:rPr>
                <w:sz w:val="20"/>
                <w:szCs w:val="20"/>
                <w:color w:val="auto"/>
              </w:rPr>
            </w:pPr>
            <w:r>
              <w:rPr>
                <w:rFonts w:ascii="Arial" w:cs="Arial" w:eastAsia="Arial" w:hAnsi="Arial"/>
                <w:sz w:val="18"/>
                <w:szCs w:val="18"/>
                <w:color w:val="auto"/>
                <w:w w:val="99"/>
              </w:rPr>
              <w:t>31, 2016</w:t>
            </w:r>
          </w:p>
        </w:tc>
        <w:tc>
          <w:tcPr>
            <w:tcW w:w="340" w:type="dxa"/>
            <w:vAlign w:val="bottom"/>
          </w:tcPr>
          <w:p>
            <w:pPr>
              <w:spacing w:after="0"/>
              <w:rPr>
                <w:sz w:val="20"/>
                <w:szCs w:val="20"/>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Extension</w:t>
            </w:r>
          </w:p>
        </w:tc>
      </w:tr>
      <w:tr>
        <w:trPr>
          <w:trHeight w:val="210"/>
        </w:trPr>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9"/>
              </w:rPr>
              <w:t>2008</w:t>
            </w:r>
          </w:p>
        </w:tc>
        <w:tc>
          <w:tcPr>
            <w:tcW w:w="3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35,588</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10,719</w:t>
            </w: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30.1%</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20,043</w:t>
            </w:r>
          </w:p>
        </w:tc>
        <w:tc>
          <w:tcPr>
            <w:tcW w:w="122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56.3%</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4,819</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13.5%</w:t>
            </w:r>
          </w:p>
        </w:tc>
        <w:tc>
          <w:tcPr>
            <w:tcW w:w="9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19</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9"/>
              </w:rPr>
              <w:t>2009</w:t>
            </w:r>
          </w:p>
        </w:tc>
        <w:tc>
          <w:tcPr>
            <w:tcW w:w="3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32,226</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10,288</w:t>
            </w: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31.9%</w:t>
            </w:r>
          </w:p>
        </w:tc>
        <w:tc>
          <w:tcPr>
            <w:tcW w:w="12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16,155</w:t>
            </w:r>
          </w:p>
        </w:tc>
        <w:tc>
          <w:tcPr>
            <w:tcW w:w="122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50.1%</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5,783</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17.9%</w:t>
            </w:r>
          </w:p>
        </w:tc>
        <w:tc>
          <w:tcPr>
            <w:tcW w:w="9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17</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9"/>
              </w:rPr>
              <w:t>2010</w:t>
            </w:r>
          </w:p>
        </w:tc>
        <w:tc>
          <w:tcPr>
            <w:tcW w:w="3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26,167</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12,187</w:t>
            </w: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46.6%</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11,981</w:t>
            </w: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45.8%</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1,999</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w:t>
            </w:r>
          </w:p>
        </w:tc>
        <w:tc>
          <w:tcPr>
            <w:tcW w:w="9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19</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center"/>
              <w:ind w:left="50"/>
              <w:spacing w:after="0"/>
              <w:rPr>
                <w:sz w:val="20"/>
                <w:szCs w:val="20"/>
                <w:color w:val="auto"/>
              </w:rPr>
            </w:pPr>
            <w:r>
              <w:rPr>
                <w:rFonts w:ascii="Arial" w:cs="Arial" w:eastAsia="Arial" w:hAnsi="Arial"/>
                <w:sz w:val="18"/>
                <w:szCs w:val="18"/>
                <w:color w:val="auto"/>
                <w:w w:val="84"/>
              </w:rPr>
              <w:t>2011</w:t>
            </w:r>
          </w:p>
        </w:tc>
        <w:tc>
          <w:tcPr>
            <w:tcW w:w="3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18,786</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11,032</w:t>
            </w:r>
          </w:p>
        </w:tc>
        <w:tc>
          <w:tcPr>
            <w:tcW w:w="3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58.7%</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6,822</w:t>
            </w: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36.3%</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932</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w:t>
            </w:r>
          </w:p>
        </w:tc>
        <w:tc>
          <w:tcPr>
            <w:tcW w:w="9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19</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9"/>
              </w:rPr>
              <w:t>2012</w:t>
            </w:r>
          </w:p>
        </w:tc>
        <w:tc>
          <w:tcPr>
            <w:tcW w:w="3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18,783</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11,707</w:t>
            </w:r>
          </w:p>
        </w:tc>
        <w:tc>
          <w:tcPr>
            <w:tcW w:w="3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62.3%</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6,280</w:t>
            </w: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33.4%</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796</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w:t>
            </w:r>
          </w:p>
        </w:tc>
        <w:tc>
          <w:tcPr>
            <w:tcW w:w="9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9"/>
              </w:rPr>
              <w:t>2013</w:t>
            </w:r>
          </w:p>
        </w:tc>
        <w:tc>
          <w:tcPr>
            <w:tcW w:w="3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23,398</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14,120</w:t>
            </w: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60.3%</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8,302</w:t>
            </w: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35.5%</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976</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w:t>
            </w:r>
          </w:p>
        </w:tc>
        <w:tc>
          <w:tcPr>
            <w:tcW w:w="9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16</w:t>
            </w:r>
          </w:p>
        </w:tc>
        <w:tc>
          <w:tcPr>
            <w:tcW w:w="100" w:type="dxa"/>
            <w:vAlign w:val="bottom"/>
            <w:shd w:val="clear" w:color="auto" w:fill="EEEEEE"/>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shd w:val="clear" w:color="auto" w:fill="EEEEEE"/>
          </w:tcPr>
          <w:p>
            <w:pPr>
              <w:jc w:val="center"/>
              <w:ind w:left="30"/>
              <w:spacing w:after="0"/>
              <w:rPr>
                <w:sz w:val="20"/>
                <w:szCs w:val="20"/>
                <w:color w:val="auto"/>
              </w:rPr>
            </w:pPr>
            <w:r>
              <w:rPr>
                <w:rFonts w:ascii="Arial" w:cs="Arial" w:eastAsia="Arial" w:hAnsi="Arial"/>
                <w:sz w:val="18"/>
                <w:szCs w:val="18"/>
                <w:color w:val="auto"/>
                <w:w w:val="89"/>
              </w:rPr>
              <w:t>2014</w:t>
            </w:r>
          </w:p>
        </w:tc>
        <w:tc>
          <w:tcPr>
            <w:tcW w:w="3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ind w:left="540"/>
              <w:spacing w:after="0"/>
              <w:rPr>
                <w:sz w:val="20"/>
                <w:szCs w:val="20"/>
                <w:color w:val="auto"/>
              </w:rPr>
            </w:pPr>
            <w:r>
              <w:rPr>
                <w:rFonts w:ascii="Arial" w:cs="Arial" w:eastAsia="Arial" w:hAnsi="Arial"/>
                <w:sz w:val="18"/>
                <w:szCs w:val="18"/>
                <w:color w:val="auto"/>
              </w:rPr>
              <w:t>25,773</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17,995</w:t>
            </w:r>
          </w:p>
        </w:tc>
        <w:tc>
          <w:tcPr>
            <w:tcW w:w="12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69.8%</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6,952</w:t>
            </w: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27.0%</w:t>
            </w: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826</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w:t>
            </w:r>
          </w:p>
        </w:tc>
        <w:tc>
          <w:tcPr>
            <w:tcW w:w="92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jc w:val="both"/>
        <w:ind w:firstLine="72"/>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2011, 58.7% were either paid in full or active and performing at March 31, 2016.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72"/>
        <w:spacing w:after="0" w:line="312"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2011 that subsequently charged off, such charge offs occurred, on average, 19 months after the extension, indicating that even in the cases of an ultimate loss, the obligor serviced the account with additional payments of principal and interest.</w:t>
      </w:r>
    </w:p>
    <w:p>
      <w:pPr>
        <w:spacing w:after="0" w:line="147" w:lineRule="exact"/>
        <w:rPr>
          <w:sz w:val="20"/>
          <w:szCs w:val="20"/>
          <w:color w:val="auto"/>
        </w:rPr>
      </w:pPr>
    </w:p>
    <w:p>
      <w:pPr>
        <w:ind w:left="8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Year Ended</w:t>
            </w:r>
          </w:p>
        </w:tc>
      </w:tr>
      <w:tr>
        <w:trPr>
          <w:trHeight w:val="230"/>
        </w:trPr>
        <w:tc>
          <w:tcPr>
            <w:tcW w:w="6540" w:type="dxa"/>
            <w:vAlign w:val="bottom"/>
          </w:tcPr>
          <w:p>
            <w:pPr>
              <w:spacing w:after="0"/>
              <w:rPr>
                <w:sz w:val="20"/>
                <w:szCs w:val="20"/>
                <w:color w:val="auto"/>
              </w:rPr>
            </w:pPr>
          </w:p>
        </w:tc>
        <w:tc>
          <w:tcPr>
            <w:tcW w:w="3420" w:type="dxa"/>
            <w:vAlign w:val="bottom"/>
            <w:gridSpan w:val="4"/>
          </w:tcPr>
          <w:p>
            <w:pPr>
              <w:ind w:left="400"/>
              <w:spacing w:after="0"/>
              <w:rPr>
                <w:sz w:val="20"/>
                <w:szCs w:val="20"/>
                <w:color w:val="auto"/>
              </w:rPr>
            </w:pPr>
            <w:r>
              <w:rPr>
                <w:rFonts w:ascii="Arial" w:cs="Arial" w:eastAsia="Arial" w:hAnsi="Arial"/>
                <w:sz w:val="18"/>
                <w:szCs w:val="18"/>
                <w:color w:val="auto"/>
              </w:rPr>
              <w:t>Three Months Ended March 31,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w:t>
            </w:r>
          </w:p>
        </w:tc>
      </w:tr>
      <w:tr>
        <w:trPr>
          <w:trHeight w:val="223"/>
        </w:trPr>
        <w:tc>
          <w:tcPr>
            <w:tcW w:w="65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6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3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r>
      <w:tr>
        <w:trPr>
          <w:trHeight w:val="210"/>
        </w:trPr>
        <w:tc>
          <w:tcPr>
            <w:tcW w:w="6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number of extensions granted per month</w:t>
            </w: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5,137</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3,248</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4,443</w:t>
            </w:r>
          </w:p>
        </w:tc>
      </w:tr>
      <w:tr>
        <w:trPr>
          <w:trHeight w:val="216"/>
        </w:trPr>
        <w:tc>
          <w:tcPr>
            <w:tcW w:w="6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number of outstanding accounts</w:t>
            </w: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153,908</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127,986</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137,306</w:t>
            </w:r>
          </w:p>
        </w:tc>
      </w:tr>
      <w:tr>
        <w:trPr>
          <w:trHeight w:val="216"/>
        </w:trPr>
        <w:tc>
          <w:tcPr>
            <w:tcW w:w="6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Average monthly extensions as % of average outstandings</w:t>
            </w:r>
          </w:p>
        </w:tc>
        <w:tc>
          <w:tcPr>
            <w:tcW w:w="17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3.3%</w:t>
            </w:r>
          </w:p>
        </w:tc>
        <w:tc>
          <w:tcPr>
            <w:tcW w:w="17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w:t>
            </w:r>
          </w:p>
        </w:tc>
      </w:tr>
    </w:tbl>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2016</w:t>
            </w:r>
          </w:p>
        </w:tc>
        <w:tc>
          <w:tcPr>
            <w:tcW w:w="8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w w:val="96"/>
              </w:rPr>
              <w:t>March 31, 2015</w:t>
            </w: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ind w:right="648"/>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10"/>
                <w:szCs w:val="10"/>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10"/>
                <w:szCs w:val="10"/>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Contracts</w:t>
            </w:r>
          </w:p>
        </w:tc>
        <w:tc>
          <w:tcPr>
            <w:tcW w:w="3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Contracts</w:t>
            </w:r>
          </w:p>
        </w:tc>
        <w:tc>
          <w:tcPr>
            <w:tcW w:w="3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Contracts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920" w:type="dxa"/>
            <w:vAlign w:val="bottom"/>
            <w:tcBorders>
              <w:top w:val="single" w:sz="8" w:color="auto"/>
            </w:tcBorders>
            <w:gridSpan w:val="6"/>
          </w:tcPr>
          <w:p>
            <w:pPr>
              <w:jc w:val="center"/>
              <w:ind w:right="520"/>
              <w:spacing w:after="0"/>
              <w:rPr>
                <w:sz w:val="20"/>
                <w:szCs w:val="20"/>
                <w:color w:val="auto"/>
              </w:rPr>
            </w:pPr>
            <w:r>
              <w:rPr>
                <w:rFonts w:ascii="Arial" w:cs="Arial" w:eastAsia="Arial" w:hAnsi="Arial"/>
                <w:sz w:val="14"/>
                <w:szCs w:val="14"/>
                <w:b w:val="1"/>
                <w:bCs w:val="1"/>
                <w:color w:val="auto"/>
                <w:w w:val="91"/>
              </w:rPr>
              <w:t>(Dollars in thousands)</w:t>
            </w:r>
          </w:p>
        </w:tc>
        <w:tc>
          <w:tcPr>
            <w:tcW w:w="10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Contracts with one extension</w:t>
            </w:r>
          </w:p>
        </w:tc>
        <w:tc>
          <w:tcPr>
            <w:tcW w:w="13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28,630</w:t>
            </w:r>
          </w:p>
        </w:tc>
        <w:tc>
          <w:tcPr>
            <w:tcW w:w="3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384,230</w:t>
            </w:r>
          </w:p>
        </w:tc>
        <w:tc>
          <w:tcPr>
            <w:tcW w:w="12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21,036</w:t>
            </w:r>
          </w:p>
        </w:tc>
        <w:tc>
          <w:tcPr>
            <w:tcW w:w="340" w:type="dxa"/>
            <w:vAlign w:val="bottom"/>
            <w:shd w:val="clear" w:color="auto" w:fill="EEEEEE"/>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272,747</w:t>
            </w:r>
          </w:p>
        </w:tc>
        <w:tc>
          <w:tcPr>
            <w:tcW w:w="10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28,466</w:t>
            </w:r>
          </w:p>
        </w:tc>
        <w:tc>
          <w:tcPr>
            <w:tcW w:w="380" w:type="dxa"/>
            <w:vAlign w:val="bottom"/>
            <w:gridSpan w:val="2"/>
            <w:shd w:val="clear" w:color="auto" w:fill="EEEEEE"/>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384,064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Contracts with two extensions</w:t>
            </w: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13,231</w:t>
            </w:r>
          </w:p>
        </w:tc>
        <w:tc>
          <w:tcPr>
            <w:tcW w:w="34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176,756</w:t>
            </w:r>
          </w:p>
        </w:tc>
        <w:tc>
          <w:tcPr>
            <w:tcW w:w="12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7,390</w:t>
            </w:r>
          </w:p>
        </w:tc>
        <w:tc>
          <w:tcPr>
            <w:tcW w:w="34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95,163</w:t>
            </w:r>
          </w:p>
        </w:tc>
        <w:tc>
          <w:tcPr>
            <w:tcW w:w="1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11,763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Contracts with three extensions</w:t>
            </w:r>
          </w:p>
        </w:tc>
        <w:tc>
          <w:tcPr>
            <w:tcW w:w="138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5,416</w:t>
            </w:r>
          </w:p>
        </w:tc>
        <w:tc>
          <w:tcPr>
            <w:tcW w:w="3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70,631</w:t>
            </w:r>
          </w:p>
        </w:tc>
        <w:tc>
          <w:tcPr>
            <w:tcW w:w="120" w:type="dxa"/>
            <w:vAlign w:val="bottom"/>
            <w:shd w:val="clear" w:color="auto" w:fill="EEEEEE"/>
          </w:tcPr>
          <w:p>
            <w:pPr>
              <w:spacing w:after="0"/>
              <w:rPr>
                <w:sz w:val="12"/>
                <w:szCs w:val="12"/>
                <w:color w:val="auto"/>
              </w:rPr>
            </w:pPr>
          </w:p>
        </w:tc>
        <w:tc>
          <w:tcPr>
            <w:tcW w:w="13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2,132</w:t>
            </w:r>
          </w:p>
        </w:tc>
        <w:tc>
          <w:tcPr>
            <w:tcW w:w="34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25,691</w:t>
            </w:r>
          </w:p>
        </w:tc>
        <w:tc>
          <w:tcPr>
            <w:tcW w:w="10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4,567</w:t>
            </w: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59,255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tcPr>
          <w:p>
            <w:pPr>
              <w:spacing w:after="0" w:line="149" w:lineRule="exact"/>
              <w:rPr>
                <w:sz w:val="20"/>
                <w:szCs w:val="20"/>
                <w:color w:val="auto"/>
              </w:rPr>
            </w:pPr>
            <w:r>
              <w:rPr>
                <w:rFonts w:ascii="Arial" w:cs="Arial" w:eastAsia="Arial" w:hAnsi="Arial"/>
                <w:sz w:val="14"/>
                <w:szCs w:val="14"/>
                <w:color w:val="auto"/>
              </w:rPr>
              <w:t>Contracts with four extensions</w:t>
            </w:r>
          </w:p>
        </w:tc>
        <w:tc>
          <w:tcPr>
            <w:tcW w:w="13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1,886</w:t>
            </w:r>
          </w:p>
        </w:tc>
        <w:tc>
          <w:tcPr>
            <w:tcW w:w="34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23,957</w:t>
            </w:r>
          </w:p>
        </w:tc>
        <w:tc>
          <w:tcPr>
            <w:tcW w:w="12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424</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4,127</w:t>
            </w:r>
          </w:p>
        </w:tc>
        <w:tc>
          <w:tcPr>
            <w:tcW w:w="100" w:type="dxa"/>
            <w:vAlign w:val="bottom"/>
          </w:tcPr>
          <w:p>
            <w:pPr>
              <w:spacing w:after="0"/>
              <w:rPr>
                <w:sz w:val="12"/>
                <w:szCs w:val="12"/>
                <w:color w:val="auto"/>
              </w:rPr>
            </w:pPr>
          </w:p>
        </w:tc>
        <w:tc>
          <w:tcPr>
            <w:tcW w:w="12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Contracts with five extensions</w:t>
            </w:r>
          </w:p>
        </w:tc>
        <w:tc>
          <w:tcPr>
            <w:tcW w:w="10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506</w:t>
            </w:r>
          </w:p>
        </w:tc>
        <w:tc>
          <w:tcPr>
            <w:tcW w:w="34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18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6,078</w:t>
            </w:r>
          </w:p>
        </w:tc>
        <w:tc>
          <w:tcPr>
            <w:tcW w:w="120" w:type="dxa"/>
            <w:vAlign w:val="bottom"/>
            <w:shd w:val="clear" w:color="auto" w:fill="EEEEEE"/>
          </w:tcPr>
          <w:p>
            <w:pPr>
              <w:spacing w:after="0"/>
              <w:rPr>
                <w:sz w:val="12"/>
                <w:szCs w:val="12"/>
                <w:color w:val="auto"/>
              </w:rPr>
            </w:pPr>
          </w:p>
        </w:tc>
        <w:tc>
          <w:tcPr>
            <w:tcW w:w="10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82</w:t>
            </w:r>
          </w:p>
        </w:tc>
        <w:tc>
          <w:tcPr>
            <w:tcW w:w="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648</w:t>
            </w:r>
          </w:p>
        </w:tc>
        <w:tc>
          <w:tcPr>
            <w:tcW w:w="100" w:type="dxa"/>
            <w:vAlign w:val="bottom"/>
            <w:shd w:val="clear" w:color="auto" w:fill="EEEEEE"/>
          </w:tcPr>
          <w:p>
            <w:pPr>
              <w:spacing w:after="0"/>
              <w:rPr>
                <w:sz w:val="12"/>
                <w:szCs w:val="12"/>
                <w:color w:val="auto"/>
              </w:rPr>
            </w:pPr>
          </w:p>
        </w:tc>
        <w:tc>
          <w:tcPr>
            <w:tcW w:w="1200" w:type="dxa"/>
            <w:vAlign w:val="bottom"/>
            <w:gridSpan w:val="2"/>
            <w:shd w:val="clear" w:color="auto" w:fill="EEEEEE"/>
          </w:tcPr>
          <w:p>
            <w:pPr>
              <w:jc w:val="right"/>
              <w:ind w:right="160"/>
              <w:spacing w:after="0" w:line="149" w:lineRule="exact"/>
              <w:rPr>
                <w:sz w:val="20"/>
                <w:szCs w:val="20"/>
                <w:color w:val="auto"/>
              </w:rPr>
            </w:pPr>
            <w:r>
              <w:rPr>
                <w:rFonts w:ascii="Arial" w:cs="Arial" w:eastAsia="Arial" w:hAnsi="Arial"/>
                <w:sz w:val="14"/>
                <w:szCs w:val="14"/>
                <w:color w:val="auto"/>
              </w:rPr>
              <w:t>301</w:t>
            </w:r>
          </w:p>
        </w:tc>
        <w:tc>
          <w:tcPr>
            <w:tcW w:w="1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00"/>
              <w:spacing w:after="0" w:line="149" w:lineRule="exact"/>
              <w:rPr>
                <w:sz w:val="20"/>
                <w:szCs w:val="20"/>
                <w:color w:val="auto"/>
              </w:rPr>
            </w:pPr>
            <w:r>
              <w:rPr>
                <w:rFonts w:ascii="Arial" w:cs="Arial" w:eastAsia="Arial" w:hAnsi="Arial"/>
                <w:sz w:val="14"/>
                <w:szCs w:val="14"/>
                <w:color w:val="auto"/>
              </w:rPr>
              <w:t>3,351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60" w:type="dxa"/>
            <w:vAlign w:val="bottom"/>
            <w:gridSpan w:val="2"/>
          </w:tcPr>
          <w:p>
            <w:pPr>
              <w:spacing w:after="0"/>
              <w:rPr>
                <w:sz w:val="20"/>
                <w:szCs w:val="20"/>
                <w:color w:val="auto"/>
              </w:rPr>
            </w:pPr>
            <w:r>
              <w:rPr>
                <w:rFonts w:ascii="Arial" w:cs="Arial" w:eastAsia="Arial" w:hAnsi="Arial"/>
                <w:sz w:val="14"/>
                <w:szCs w:val="14"/>
                <w:color w:val="auto"/>
              </w:rPr>
              <w:t>Contracts with six extensions</w:t>
            </w:r>
          </w:p>
        </w:tc>
        <w:tc>
          <w:tcPr>
            <w:tcW w:w="1040" w:type="dxa"/>
            <w:vAlign w:val="bottom"/>
          </w:tcPr>
          <w:p>
            <w:pPr>
              <w:jc w:val="right"/>
              <w:spacing w:after="0"/>
              <w:rPr>
                <w:sz w:val="20"/>
                <w:szCs w:val="20"/>
                <w:color w:val="auto"/>
              </w:rPr>
            </w:pPr>
            <w:r>
              <w:rPr>
                <w:rFonts w:ascii="Arial" w:cs="Arial" w:eastAsia="Arial" w:hAnsi="Arial"/>
                <w:sz w:val="14"/>
                <w:szCs w:val="14"/>
                <w:color w:val="auto"/>
              </w:rPr>
              <w:t>86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963</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50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Borders>
              <w:top w:val="single" w:sz="8" w:color="EEEEEE"/>
              <w:bottom w:val="single" w:sz="8" w:color="EEEEEE"/>
            </w:tcBorders>
            <w:shd w:val="clear" w:color="auto" w:fill="EEEEEE"/>
          </w:tcPr>
          <w:p>
            <w:pPr>
              <w:spacing w:after="0"/>
              <w:rPr>
                <w:sz w:val="13"/>
                <w:szCs w:val="13"/>
                <w:color w:val="auto"/>
              </w:rPr>
            </w:pPr>
          </w:p>
        </w:tc>
        <w:tc>
          <w:tcPr>
            <w:tcW w:w="140" w:type="dxa"/>
            <w:vAlign w:val="bottom"/>
            <w:tcBorders>
              <w:top w:val="single" w:sz="8" w:color="EEEEEE"/>
              <w:bottom w:val="single" w:sz="8" w:color="EEEEEE"/>
            </w:tcBorders>
            <w:shd w:val="clear" w:color="auto" w:fill="EEEEEE"/>
          </w:tcPr>
          <w:p>
            <w:pPr>
              <w:spacing w:after="0"/>
              <w:rPr>
                <w:sz w:val="13"/>
                <w:szCs w:val="13"/>
                <w:color w:val="auto"/>
              </w:rPr>
            </w:pPr>
          </w:p>
        </w:tc>
        <w:tc>
          <w:tcPr>
            <w:tcW w:w="10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49,755</w:t>
            </w:r>
          </w:p>
        </w:tc>
        <w:tc>
          <w:tcPr>
            <w:tcW w:w="340" w:type="dxa"/>
            <w:vAlign w:val="bottom"/>
            <w:tcBorders>
              <w:top w:val="single" w:sz="8" w:color="EEEEEE"/>
              <w:bottom w:val="single" w:sz="8" w:color="EEEEEE"/>
            </w:tcBorders>
            <w:shd w:val="clear" w:color="auto" w:fill="EEEEEE"/>
          </w:tcPr>
          <w:p>
            <w:pPr>
              <w:spacing w:after="0"/>
              <w:rPr>
                <w:sz w:val="13"/>
                <w:szCs w:val="13"/>
                <w:color w:val="auto"/>
              </w:rPr>
            </w:pPr>
          </w:p>
        </w:tc>
        <w:tc>
          <w:tcPr>
            <w:tcW w:w="340" w:type="dxa"/>
            <w:vAlign w:val="bottom"/>
            <w:tcBorders>
              <w:top w:val="single" w:sz="8" w:color="auto"/>
              <w:bottom w:val="single" w:sz="8" w:color="auto"/>
            </w:tcBorders>
            <w:shd w:val="clear" w:color="auto" w:fill="EEEEEE"/>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662,615</w:t>
            </w:r>
          </w:p>
        </w:tc>
        <w:tc>
          <w:tcPr>
            <w:tcW w:w="360" w:type="dxa"/>
            <w:vAlign w:val="bottom"/>
            <w:tcBorders>
              <w:top w:val="single" w:sz="8" w:color="EEEEEE"/>
              <w:bottom w:val="single" w:sz="8" w:color="EEEEEE"/>
            </w:tcBorders>
            <w:shd w:val="clear" w:color="auto" w:fill="EEEEEE"/>
          </w:tcPr>
          <w:p>
            <w:pPr>
              <w:spacing w:after="0"/>
              <w:rPr>
                <w:sz w:val="13"/>
                <w:szCs w:val="13"/>
                <w:color w:val="auto"/>
              </w:rPr>
            </w:pPr>
          </w:p>
        </w:tc>
        <w:tc>
          <w:tcPr>
            <w:tcW w:w="120" w:type="dxa"/>
            <w:vAlign w:val="bottom"/>
            <w:tcBorders>
              <w:top w:val="single" w:sz="8" w:color="EEEEEE"/>
              <w:bottom w:val="single" w:sz="8" w:color="EEEEEE"/>
            </w:tcBorders>
            <w:shd w:val="clear" w:color="auto" w:fill="EEEEEE"/>
          </w:tcPr>
          <w:p>
            <w:pPr>
              <w:spacing w:after="0"/>
              <w:rPr>
                <w:sz w:val="13"/>
                <w:szCs w:val="13"/>
                <w:color w:val="auto"/>
              </w:rPr>
            </w:pPr>
          </w:p>
        </w:tc>
        <w:tc>
          <w:tcPr>
            <w:tcW w:w="10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31,090</w:t>
            </w:r>
          </w:p>
        </w:tc>
        <w:tc>
          <w:tcPr>
            <w:tcW w:w="320" w:type="dxa"/>
            <w:vAlign w:val="bottom"/>
            <w:tcBorders>
              <w:top w:val="single" w:sz="8" w:color="EEEEEE"/>
              <w:bottom w:val="single" w:sz="8" w:color="EEEEEE"/>
            </w:tcBorders>
            <w:shd w:val="clear" w:color="auto" w:fill="EEEEEE"/>
          </w:tcPr>
          <w:p>
            <w:pPr>
              <w:spacing w:after="0"/>
              <w:rPr>
                <w:sz w:val="13"/>
                <w:szCs w:val="13"/>
                <w:color w:val="auto"/>
              </w:rPr>
            </w:pPr>
          </w:p>
        </w:tc>
        <w:tc>
          <w:tcPr>
            <w:tcW w:w="340" w:type="dxa"/>
            <w:vAlign w:val="bottom"/>
            <w:tcBorders>
              <w:top w:val="single" w:sz="8" w:color="auto"/>
              <w:bottom w:val="single" w:sz="8" w:color="auto"/>
            </w:tcBorders>
            <w:shd w:val="clear" w:color="auto" w:fill="EEEEEE"/>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398,566</w:t>
            </w:r>
          </w:p>
        </w:tc>
        <w:tc>
          <w:tcPr>
            <w:tcW w:w="320" w:type="dxa"/>
            <w:vAlign w:val="bottom"/>
            <w:tcBorders>
              <w:top w:val="single" w:sz="8" w:color="EEEEEE"/>
              <w:bottom w:val="single" w:sz="8" w:color="EEEEEE"/>
            </w:tcBorders>
            <w:shd w:val="clear" w:color="auto" w:fill="EEEEEE"/>
          </w:tcPr>
          <w:p>
            <w:pPr>
              <w:spacing w:after="0"/>
              <w:rPr>
                <w:sz w:val="13"/>
                <w:szCs w:val="13"/>
                <w:color w:val="auto"/>
              </w:rPr>
            </w:pP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104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46,548</w:t>
            </w: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160" w:type="dxa"/>
            <w:vAlign w:val="bottom"/>
            <w:tcBorders>
              <w:top w:val="single" w:sz="8" w:color="EEEEEE"/>
              <w:bottom w:val="single" w:sz="8" w:color="EEEEEE"/>
            </w:tcBorders>
            <w:shd w:val="clear" w:color="auto" w:fill="EEEEEE"/>
          </w:tcPr>
          <w:p>
            <w:pPr>
              <w:spacing w:after="0"/>
              <w:rPr>
                <w:sz w:val="13"/>
                <w:szCs w:val="13"/>
                <w:color w:val="auto"/>
              </w:rPr>
            </w:pPr>
          </w:p>
        </w:tc>
        <w:tc>
          <w:tcPr>
            <w:tcW w:w="220" w:type="dxa"/>
            <w:vAlign w:val="bottom"/>
            <w:tcBorders>
              <w:top w:val="single" w:sz="8" w:color="auto"/>
              <w:bottom w:val="single" w:sz="8" w:color="auto"/>
            </w:tcBorders>
            <w:shd w:val="clear" w:color="auto" w:fill="EEEEEE"/>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EEEEEE"/>
          </w:tcPr>
          <w:p>
            <w:pPr>
              <w:jc w:val="right"/>
              <w:spacing w:after="0" w:line="155" w:lineRule="exact"/>
              <w:rPr>
                <w:sz w:val="20"/>
                <w:szCs w:val="20"/>
                <w:color w:val="auto"/>
              </w:rPr>
            </w:pPr>
            <w:r>
              <w:rPr>
                <w:rFonts w:ascii="Arial" w:cs="Arial" w:eastAsia="Arial" w:hAnsi="Arial"/>
                <w:sz w:val="14"/>
                <w:szCs w:val="14"/>
                <w:color w:val="auto"/>
              </w:rPr>
              <w:t>621,795</w:t>
            </w:r>
          </w:p>
        </w:tc>
        <w:tc>
          <w:tcPr>
            <w:tcW w:w="100" w:type="dxa"/>
            <w:vAlign w:val="bottom"/>
            <w:tcBorders>
              <w:top w:val="single" w:sz="8" w:color="EEEEEE"/>
              <w:bottom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860" w:type="dxa"/>
            <w:vAlign w:val="bottom"/>
            <w:gridSpan w:val="2"/>
            <w:shd w:val="clear" w:color="auto" w:fill="EEEEEE"/>
          </w:tcPr>
          <w:p>
            <w:pPr>
              <w:spacing w:after="0" w:line="130" w:lineRule="exact"/>
              <w:rPr>
                <w:sz w:val="20"/>
                <w:szCs w:val="20"/>
                <w:color w:val="auto"/>
              </w:rPr>
            </w:pPr>
            <w:r>
              <w:rPr>
                <w:rFonts w:ascii="Arial" w:cs="Arial" w:eastAsia="Arial" w:hAnsi="Arial"/>
                <w:sz w:val="14"/>
                <w:szCs w:val="14"/>
                <w:color w:val="auto"/>
              </w:rPr>
              <w:t>Managed portfolio (excluding originated</w:t>
            </w:r>
          </w:p>
        </w:tc>
        <w:tc>
          <w:tcPr>
            <w:tcW w:w="10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gridSpan w:val="2"/>
            <w:shd w:val="clear" w:color="auto" w:fill="EEEEEE"/>
          </w:tcPr>
          <w:p>
            <w:pPr>
              <w:ind w:left="180"/>
              <w:spacing w:after="0"/>
              <w:rPr>
                <w:sz w:val="20"/>
                <w:szCs w:val="20"/>
                <w:color w:val="auto"/>
              </w:rPr>
            </w:pPr>
            <w:r>
              <w:rPr>
                <w:rFonts w:ascii="Arial" w:cs="Arial" w:eastAsia="Arial" w:hAnsi="Arial"/>
                <w:sz w:val="14"/>
                <w:szCs w:val="14"/>
                <w:color w:val="auto"/>
              </w:rPr>
              <w:t>and owned by 3rd parties)</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4"/>
                <w:szCs w:val="14"/>
                <w:color w:val="auto"/>
              </w:rPr>
              <w:t>157,123</w:t>
            </w:r>
          </w:p>
        </w:tc>
        <w:tc>
          <w:tcPr>
            <w:tcW w:w="340" w:type="dxa"/>
            <w:vAlign w:val="bottom"/>
            <w:shd w:val="clear" w:color="auto" w:fill="EEEEEE"/>
          </w:tcPr>
          <w:p>
            <w:pPr>
              <w:jc w:val="right"/>
              <w:ind w:right="1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4"/>
                <w:szCs w:val="14"/>
                <w:color w:val="auto"/>
              </w:rPr>
              <w:t>2,141,601</w:t>
            </w:r>
          </w:p>
        </w:tc>
        <w:tc>
          <w:tcPr>
            <w:tcW w:w="360" w:type="dxa"/>
            <w:vAlign w:val="bottom"/>
            <w:shd w:val="clear" w:color="auto" w:fill="EEEEEE"/>
          </w:tcPr>
          <w:p>
            <w:pPr>
              <w:spacing w:after="0"/>
              <w:rPr>
                <w:sz w:val="14"/>
                <w:szCs w:val="14"/>
                <w:color w:val="auto"/>
              </w:rPr>
            </w:pPr>
          </w:p>
        </w:tc>
        <w:tc>
          <w:tcPr>
            <w:tcW w:w="120" w:type="dxa"/>
            <w:vAlign w:val="bottom"/>
            <w:shd w:val="clear" w:color="auto" w:fill="EEEEEE"/>
          </w:tcPr>
          <w:p>
            <w:pPr>
              <w:spacing w:after="0"/>
              <w:rPr>
                <w:sz w:val="14"/>
                <w:szCs w:val="14"/>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126,290</w:t>
            </w:r>
          </w:p>
        </w:tc>
        <w:tc>
          <w:tcPr>
            <w:tcW w:w="340" w:type="dxa"/>
            <w:vAlign w:val="bottom"/>
            <w:shd w:val="clear" w:color="auto" w:fill="EEEEEE"/>
          </w:tcPr>
          <w:p>
            <w:pPr>
              <w:jc w:val="right"/>
              <w:ind w:right="18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1,684,382</w:t>
            </w:r>
          </w:p>
        </w:tc>
        <w:tc>
          <w:tcPr>
            <w:tcW w:w="100" w:type="dxa"/>
            <w:vAlign w:val="bottom"/>
            <w:shd w:val="clear" w:color="auto" w:fill="EEEEEE"/>
          </w:tcPr>
          <w:p>
            <w:pPr>
              <w:spacing w:after="0"/>
              <w:rPr>
                <w:sz w:val="14"/>
                <w:szCs w:val="14"/>
                <w:color w:val="auto"/>
              </w:rPr>
            </w:pPr>
          </w:p>
        </w:tc>
        <w:tc>
          <w:tcPr>
            <w:tcW w:w="1200" w:type="dxa"/>
            <w:vAlign w:val="bottom"/>
            <w:gridSpan w:val="2"/>
            <w:shd w:val="clear" w:color="auto" w:fill="EEEEEE"/>
          </w:tcPr>
          <w:p>
            <w:pPr>
              <w:jc w:val="right"/>
              <w:ind w:right="160"/>
              <w:spacing w:after="0"/>
              <w:rPr>
                <w:sz w:val="20"/>
                <w:szCs w:val="20"/>
                <w:color w:val="auto"/>
              </w:rPr>
            </w:pPr>
            <w:r>
              <w:rPr>
                <w:rFonts w:ascii="Arial" w:cs="Arial" w:eastAsia="Arial" w:hAnsi="Arial"/>
                <w:sz w:val="14"/>
                <w:szCs w:val="14"/>
                <w:color w:val="auto"/>
              </w:rPr>
              <w:t>149,138</w:t>
            </w:r>
          </w:p>
        </w:tc>
        <w:tc>
          <w:tcPr>
            <w:tcW w:w="380" w:type="dxa"/>
            <w:vAlign w:val="bottom"/>
            <w:gridSpan w:val="2"/>
            <w:shd w:val="clear" w:color="auto" w:fill="EEEEEE"/>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EEEEEE"/>
          </w:tcPr>
          <w:p>
            <w:pPr>
              <w:jc w:val="right"/>
              <w:ind w:right="100"/>
              <w:spacing w:after="0"/>
              <w:rPr>
                <w:sz w:val="20"/>
                <w:szCs w:val="20"/>
                <w:color w:val="auto"/>
              </w:rPr>
            </w:pPr>
            <w:r>
              <w:rPr>
                <w:rFonts w:ascii="Arial" w:cs="Arial" w:eastAsia="Arial" w:hAnsi="Arial"/>
                <w:sz w:val="14"/>
                <w:szCs w:val="14"/>
                <w:color w:val="auto"/>
              </w:rPr>
              <w:t>2,031,099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72"/>
        <w:spacing w:after="0" w:line="297" w:lineRule="auto"/>
        <w:rPr>
          <w:sz w:val="20"/>
          <w:szCs w:val="20"/>
          <w:color w:val="auto"/>
        </w:rPr>
      </w:pPr>
      <w:r>
        <w:rPr>
          <w:rFonts w:ascii="Arial" w:cs="Arial" w:eastAsia="Arial" w:hAnsi="Arial"/>
          <w:sz w:val="16"/>
          <w:szCs w:val="16"/>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58" w:lineRule="exact"/>
        <w:rPr>
          <w:sz w:val="20"/>
          <w:szCs w:val="20"/>
          <w:color w:val="auto"/>
        </w:rPr>
      </w:pPr>
    </w:p>
    <w:p>
      <w:pPr>
        <w:jc w:val="both"/>
        <w:ind w:firstLine="72"/>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72"/>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72"/>
        <w:spacing w:after="0" w:line="287"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operating, investing and financing activities, including proceeds from term securitization transactions and other sales of automobile contracts, amounts borrowed under various revolving credit facilities (also sometimes known as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73" w:lineRule="exact"/>
        <w:rPr>
          <w:sz w:val="20"/>
          <w:szCs w:val="20"/>
          <w:color w:val="auto"/>
        </w:rPr>
      </w:pPr>
    </w:p>
    <w:p>
      <w:pPr>
        <w:jc w:val="both"/>
        <w:ind w:right="20" w:firstLine="72"/>
        <w:spacing w:after="0" w:line="312" w:lineRule="auto"/>
        <w:rPr>
          <w:sz w:val="20"/>
          <w:szCs w:val="20"/>
          <w:color w:val="auto"/>
        </w:rPr>
      </w:pPr>
      <w:r>
        <w:rPr>
          <w:rFonts w:ascii="Arial" w:cs="Arial" w:eastAsia="Arial" w:hAnsi="Arial"/>
          <w:sz w:val="16"/>
          <w:szCs w:val="16"/>
          <w:color w:val="auto"/>
        </w:rPr>
        <w:t>Net cash provided by operating activities for the three-month period ended March 31, 2016 was $60.5 million compared to net cash provided by operating activities for the three-month period ended March 31, 2015 of $49.8 million. Cash provided by operating activities is significantly affected by our net income before provisions for credit losses. The increase is due primarily to the increase in the increase in provision for credit losses of $10.8 million.</w:t>
      </w:r>
    </w:p>
    <w:p>
      <w:pPr>
        <w:spacing w:after="0" w:line="147" w:lineRule="exact"/>
        <w:rPr>
          <w:sz w:val="20"/>
          <w:szCs w:val="20"/>
          <w:color w:val="auto"/>
        </w:rPr>
      </w:pPr>
    </w:p>
    <w:p>
      <w:pPr>
        <w:jc w:val="both"/>
        <w:ind w:firstLine="72"/>
        <w:spacing w:after="0" w:line="257" w:lineRule="auto"/>
        <w:rPr>
          <w:sz w:val="20"/>
          <w:szCs w:val="20"/>
          <w:color w:val="auto"/>
        </w:rPr>
      </w:pPr>
      <w:r>
        <w:rPr>
          <w:rFonts w:ascii="Arial" w:cs="Arial" w:eastAsia="Arial" w:hAnsi="Arial"/>
          <w:sz w:val="18"/>
          <w:szCs w:val="18"/>
          <w:color w:val="auto"/>
        </w:rPr>
        <w:t>Net cash used in investing activities for the three-month period ended March 31, 2016 was $170.8 million compared to net cash used in investing activities of $108.5 million in the prior year period. Cash provided by investing activities primarily results from principal payments and other proceeds received on finance receivables held for investment and increases in restricted cash. Cash used in investing activities generally relates to purchases of automobile contracts. Purchases of finance receivables held for investment were $312.3 million and $233.9 million during the first three months of 2016 and 2015, respectively.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bookmarkStart w:id="27" w:name="page28"/>
    <w:bookmarkEnd w:id="27"/>
    <w:p>
      <w:pPr>
        <w:jc w:val="both"/>
        <w:ind w:firstLine="72"/>
        <w:spacing w:after="0" w:line="255" w:lineRule="auto"/>
        <w:rPr>
          <w:sz w:val="20"/>
          <w:szCs w:val="20"/>
          <w:color w:val="auto"/>
        </w:rPr>
      </w:pPr>
      <w:r>
        <w:rPr>
          <w:rFonts w:ascii="Arial" w:cs="Arial" w:eastAsia="Arial" w:hAnsi="Arial"/>
          <w:sz w:val="18"/>
          <w:szCs w:val="18"/>
          <w:color w:val="auto"/>
        </w:rPr>
        <w:t>Net cash provided by financing activities for the three months ended March 31, 2016 was $107.2 million compared to net cash provided by financing activities of $61.0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three months of 2016, we issued $329.5 million in new securitization trust debt compared to $245.0 million in the same period of 2015. In addition, we repaid $192.6 million in securitization trust debt in the three months ended March 31, 2016 compared to repayments of securitization trust debt of $145.9 million in the prior year period. In the three months ended March 31, 2016, we had net repayments on warehouse lines of credit of $24.2 million, compared to net repayments of $34.9 million in the prior year’s period.</w:t>
      </w:r>
    </w:p>
    <w:p>
      <w:pPr>
        <w:spacing w:after="0" w:line="189" w:lineRule="exact"/>
        <w:rPr>
          <w:sz w:val="20"/>
          <w:szCs w:val="20"/>
          <w:color w:val="auto"/>
        </w:rPr>
      </w:pPr>
    </w:p>
    <w:p>
      <w:pPr>
        <w:jc w:val="both"/>
        <w:ind w:firstLine="72"/>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72"/>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72"/>
        <w:spacing w:after="0" w:line="255"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March 31, 2016, we had unrestricted cash of $16.2 million and $127.7 million aggregate available borrowings under our three warehouse credit facilities (assuming the availability of sufficient eligible collateral). As of March 31, 2016 we had approximately $29.4 million of such eligible collateral. During the three-month period ended March 31, 2016, we completed one securitization aggregating $329.5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89" w:lineRule="exact"/>
        <w:rPr>
          <w:sz w:val="20"/>
          <w:szCs w:val="20"/>
          <w:color w:val="auto"/>
        </w:rPr>
      </w:pPr>
    </w:p>
    <w:p>
      <w:pPr>
        <w:jc w:val="both"/>
        <w:ind w:firstLine="72"/>
        <w:spacing w:after="0" w:line="272" w:lineRule="auto"/>
        <w:rPr>
          <w:sz w:val="20"/>
          <w:szCs w:val="20"/>
          <w:color w:val="auto"/>
        </w:rPr>
      </w:pPr>
      <w:r>
        <w:rPr>
          <w:rFonts w:ascii="Arial" w:cs="Arial" w:eastAsia="Arial" w:hAnsi="Arial"/>
          <w:sz w:val="17"/>
          <w:szCs w:val="17"/>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 Moreover, certain of our retained interests in securitization transactions and their related spread accounts are pledged as collateral to our residual interest financing and cash releases from these transactions will be used to repay the financings.</w:t>
      </w:r>
    </w:p>
    <w:p>
      <w:pPr>
        <w:spacing w:after="0" w:line="178" w:lineRule="exact"/>
        <w:rPr>
          <w:sz w:val="20"/>
          <w:szCs w:val="20"/>
          <w:color w:val="auto"/>
        </w:rPr>
      </w:pPr>
    </w:p>
    <w:p>
      <w:pPr>
        <w:jc w:val="both"/>
        <w:ind w:firstLine="72"/>
        <w:spacing w:after="0" w:line="259" w:lineRule="auto"/>
        <w:rPr>
          <w:sz w:val="20"/>
          <w:szCs w:val="20"/>
          <w:color w:val="auto"/>
        </w:rPr>
      </w:pPr>
      <w:r>
        <w:rPr>
          <w:rFonts w:ascii="Arial" w:cs="Arial" w:eastAsia="Arial" w:hAnsi="Arial"/>
          <w:sz w:val="18"/>
          <w:szCs w:val="18"/>
          <w:color w:val="auto"/>
        </w:rPr>
        <w:t>One of our securitization transactions, our warehouse credit facilities and our residual interest contain various financial covenants requiring certain minimum financial ratios and results. Such covenants include maintaining minimum levels of liquidity and net worth and not exceeding maximum leverage levels. In addition, some agreements contain cross-default provisions that would allow certain creditors to declare a default if a default occurred under a different facility. As of March 31, 2016, we were in compliance with all such financial covenants.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jc w:val="both"/>
        <w:ind w:firstLine="72"/>
        <w:spacing w:after="0" w:line="259" w:lineRule="auto"/>
        <w:rPr>
          <w:sz w:val="20"/>
          <w:szCs w:val="20"/>
          <w:color w:val="auto"/>
        </w:rPr>
      </w:pPr>
      <w:r>
        <w:rPr>
          <w:rFonts w:ascii="Arial" w:cs="Arial" w:eastAsia="Arial" w:hAnsi="Arial"/>
          <w:sz w:val="18"/>
          <w:szCs w:val="18"/>
          <w:color w:val="auto"/>
        </w:rPr>
        <w:t>We have and will continue to have a substantial amount of indebtedness. At March 31, 2016, we had approximately $2,064.4 million of debt outstanding. Such debt consisted primarily of $1,868.5 million of securitization trust debt, and also included $172.3 million of warehouse lines of credit, $8.3 million of residual interest financing and $15.3 million in subordinated renewable notes. We are also currently offering the subordinated notes to the public on a continuous basis, and such notes have maturities that range from three months to 10 years.</w:t>
      </w:r>
    </w:p>
    <w:p>
      <w:pPr>
        <w:spacing w:after="0" w:line="187" w:lineRule="exact"/>
        <w:rPr>
          <w:sz w:val="20"/>
          <w:szCs w:val="20"/>
          <w:color w:val="auto"/>
        </w:rPr>
      </w:pPr>
    </w:p>
    <w:p>
      <w:pPr>
        <w:jc w:val="both"/>
        <w:ind w:firstLine="72"/>
        <w:spacing w:after="0" w:line="257" w:lineRule="auto"/>
        <w:rPr>
          <w:sz w:val="20"/>
          <w:szCs w:val="20"/>
          <w:color w:val="auto"/>
        </w:rPr>
      </w:pPr>
      <w:r>
        <w:rPr>
          <w:rFonts w:ascii="Arial" w:cs="Arial" w:eastAsia="Arial" w:hAnsi="Arial"/>
          <w:sz w:val="18"/>
          <w:szCs w:val="18"/>
          <w:color w:val="auto"/>
        </w:rPr>
        <w:t>Our recent operating results include pre-tax earnings of $12.2 million for the three months ended March 31, 2016 and $61.4 million, $52.2 million, $37.2 million and $9.2 for the years ended December 31, 2015, December 31, 2014, December 31, 2013 and December 31, 2012, respectively.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88" w:lineRule="exact"/>
        <w:rPr>
          <w:sz w:val="20"/>
          <w:szCs w:val="20"/>
          <w:color w:val="auto"/>
        </w:rPr>
      </w:pPr>
    </w:p>
    <w:p>
      <w:pPr>
        <w:jc w:val="both"/>
        <w:ind w:firstLine="72"/>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72"/>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72"/>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9, 2016.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and will continue to have a substantial amount of indebtedness. At March 31, 2016, we had approximately $2,064.3 million of debt outstanding. Such debt consisted primarily of $1,868.5 million of securitization trust debt, and also included $172.3 million of warehouse lines of credit, $8.3 million of residual interest financing and $15.3 million in subordinated renewable notes. We are also currently offering the subordinated notes to the public on a continuous basis, and such notes have maturities that range from three months to 10 years. Our substantial indebtedness could adversely affect our financial condition by, among other things:</w:t>
      </w:r>
    </w:p>
    <w:p>
      <w:pPr>
        <w:spacing w:after="0" w:line="188" w:lineRule="exact"/>
        <w:rPr>
          <w:sz w:val="20"/>
          <w:szCs w:val="20"/>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52"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97"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52"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52" w:lineRule="exact"/>
        <w:rPr>
          <w:rFonts w:ascii="Arial" w:cs="Arial" w:eastAsia="Arial" w:hAnsi="Arial"/>
          <w:sz w:val="18"/>
          <w:szCs w:val="18"/>
          <w:color w:val="auto"/>
        </w:rPr>
      </w:pPr>
    </w:p>
    <w:p>
      <w:pPr>
        <w:ind w:left="780" w:hanging="259"/>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 w:name="page31"/>
    <w:bookmarkEnd w:id="30"/>
    <w:p>
      <w:pPr>
        <w:ind w:right="40"/>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2016, we repurchased 703,745 shares from existing shareholders, as reflected in the table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Total 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Total</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 Purchased as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center"/>
              <w:ind w:left="510"/>
              <w:spacing w:after="0"/>
              <w:rPr>
                <w:sz w:val="20"/>
                <w:szCs w:val="20"/>
                <w:color w:val="auto"/>
              </w:rPr>
            </w:pPr>
            <w:r>
              <w:rPr>
                <w:rFonts w:ascii="Arial" w:cs="Arial" w:eastAsia="Arial" w:hAnsi="Arial"/>
                <w:sz w:val="18"/>
                <w:szCs w:val="18"/>
                <w:b w:val="1"/>
                <w:bCs w:val="1"/>
                <w:color w:val="auto"/>
                <w:w w:val="93"/>
              </w:rPr>
              <w:t>Number of</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Average</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Part of Publicly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May Yet be Purchased</w:t>
            </w:r>
          </w:p>
        </w:tc>
      </w:tr>
      <w:tr>
        <w:trPr>
          <w:trHeight w:val="230"/>
        </w:trPr>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center"/>
              <w:ind w:left="510"/>
              <w:spacing w:after="0"/>
              <w:rPr>
                <w:sz w:val="20"/>
                <w:szCs w:val="20"/>
                <w:color w:val="auto"/>
              </w:rPr>
            </w:pPr>
            <w:r>
              <w:rPr>
                <w:rFonts w:ascii="Arial" w:cs="Arial" w:eastAsia="Arial" w:hAnsi="Arial"/>
                <w:sz w:val="18"/>
                <w:szCs w:val="18"/>
                <w:b w:val="1"/>
                <w:bCs w:val="1"/>
                <w:color w:val="auto"/>
                <w:w w:val="86"/>
              </w:rPr>
              <w:t>Shares</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Price Paid</w:t>
            </w: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2420" w:type="dxa"/>
            <w:vAlign w:val="bottom"/>
            <w:gridSpan w:val="2"/>
          </w:tcPr>
          <w:p>
            <w:pPr>
              <w:ind w:left="680"/>
              <w:spacing w:after="0"/>
              <w:rPr>
                <w:sz w:val="20"/>
                <w:szCs w:val="20"/>
                <w:color w:val="auto"/>
              </w:rPr>
            </w:pPr>
            <w:r>
              <w:rPr>
                <w:rFonts w:ascii="Arial" w:cs="Arial" w:eastAsia="Arial" w:hAnsi="Arial"/>
                <w:sz w:val="18"/>
                <w:szCs w:val="18"/>
                <w:b w:val="1"/>
                <w:bCs w:val="1"/>
                <w:color w:val="auto"/>
              </w:rPr>
              <w:t>Period(1)</w:t>
            </w:r>
          </w:p>
        </w:tc>
        <w:tc>
          <w:tcPr>
            <w:tcW w:w="1480" w:type="dxa"/>
            <w:vAlign w:val="bottom"/>
          </w:tcPr>
          <w:p>
            <w:pPr>
              <w:jc w:val="center"/>
              <w:ind w:left="510"/>
              <w:spacing w:after="0"/>
              <w:rPr>
                <w:sz w:val="20"/>
                <w:szCs w:val="20"/>
                <w:color w:val="auto"/>
              </w:rPr>
            </w:pPr>
            <w:r>
              <w:rPr>
                <w:rFonts w:ascii="Arial" w:cs="Arial" w:eastAsia="Arial" w:hAnsi="Arial"/>
                <w:sz w:val="18"/>
                <w:szCs w:val="18"/>
                <w:b w:val="1"/>
                <w:bCs w:val="1"/>
                <w:color w:val="auto"/>
                <w:w w:val="86"/>
              </w:rPr>
              <w:t>Purchased</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per Share</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Programs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Programs (2)</w:t>
            </w:r>
          </w:p>
        </w:tc>
      </w:tr>
      <w:tr>
        <w:trPr>
          <w:trHeight w:val="210"/>
        </w:trPr>
        <w:tc>
          <w:tcPr>
            <w:tcW w:w="2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January 2016</w:t>
            </w:r>
          </w:p>
        </w:tc>
        <w:tc>
          <w:tcPr>
            <w:tcW w:w="3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242,230</w:t>
            </w:r>
          </w:p>
        </w:tc>
        <w:tc>
          <w:tcPr>
            <w:tcW w:w="34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320" w:type="dxa"/>
            <w:vAlign w:val="bottom"/>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242,230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4,027,414</w:t>
            </w:r>
          </w:p>
        </w:tc>
        <w:tc>
          <w:tcPr>
            <w:tcW w:w="100" w:type="dxa"/>
            <w:vAlign w:val="bottom"/>
          </w:tcPr>
          <w:p>
            <w:pPr>
              <w:spacing w:after="0"/>
              <w:rPr>
                <w:sz w:val="18"/>
                <w:szCs w:val="18"/>
                <w:color w:val="auto"/>
              </w:rPr>
            </w:pPr>
          </w:p>
        </w:tc>
      </w:tr>
      <w:tr>
        <w:trPr>
          <w:trHeight w:val="216"/>
        </w:trPr>
        <w:tc>
          <w:tcPr>
            <w:tcW w:w="24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February 2016</w:t>
            </w:r>
          </w:p>
        </w:tc>
        <w:tc>
          <w:tcPr>
            <w:tcW w:w="14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197,219</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4.15</w:t>
            </w:r>
          </w:p>
        </w:tc>
        <w:tc>
          <w:tcPr>
            <w:tcW w:w="2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197,219</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3,208,530</w:t>
            </w:r>
          </w:p>
        </w:tc>
      </w:tr>
      <w:tr>
        <w:trPr>
          <w:trHeight w:val="230"/>
        </w:trPr>
        <w:tc>
          <w:tcPr>
            <w:tcW w:w="2420" w:type="dxa"/>
            <w:vAlign w:val="bottom"/>
            <w:gridSpan w:val="2"/>
          </w:tcPr>
          <w:p>
            <w:pPr>
              <w:ind w:left="120"/>
              <w:spacing w:after="0"/>
              <w:rPr>
                <w:sz w:val="20"/>
                <w:szCs w:val="20"/>
                <w:color w:val="auto"/>
              </w:rPr>
            </w:pPr>
            <w:r>
              <w:rPr>
                <w:rFonts w:ascii="Arial" w:cs="Arial" w:eastAsia="Arial" w:hAnsi="Arial"/>
                <w:sz w:val="18"/>
                <w:szCs w:val="18"/>
                <w:color w:val="auto"/>
              </w:rPr>
              <w:t>March 2016</w:t>
            </w:r>
          </w:p>
        </w:tc>
        <w:tc>
          <w:tcPr>
            <w:tcW w:w="148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264,296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4.15</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264,296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2,111,185</w:t>
            </w:r>
          </w:p>
        </w:tc>
      </w:tr>
      <w:tr>
        <w:trPr>
          <w:trHeight w:val="223"/>
        </w:trPr>
        <w:tc>
          <w:tcPr>
            <w:tcW w:w="2420" w:type="dxa"/>
            <w:vAlign w:val="bottom"/>
            <w:tcBorders>
              <w:top w:val="single" w:sz="8" w:color="EEEEEE"/>
              <w:bottom w:val="single" w:sz="8" w:color="EEEEEE"/>
            </w:tcBorders>
            <w:gridSpan w:val="2"/>
            <w:shd w:val="clear" w:color="auto" w:fill="EEEEEE"/>
          </w:tcPr>
          <w:p>
            <w:pPr>
              <w:ind w:left="1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9"/>
              </w:rPr>
              <w:t>703,745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703,745</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8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____________________</w:t>
      </w:r>
    </w:p>
    <w:p>
      <w:pPr>
        <w:spacing w:after="0" w:line="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4"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Through March 31, 2016, our board of directors had authorized the purchase of up to $44.5 million of our outstanding securities, under a program first announced in our annual report for the year 2002, filed on March 26, 2003. All purchases described in the table above were under the program announced in March 2003, which has no fixed expiration date. Our board of directors in April 2015 increased the aggregate authorization from $34.5 million to $39.5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w w:val="85"/>
              </w:rPr>
              <w:t>4.14</w:t>
            </w:r>
          </w:p>
        </w:tc>
        <w:tc>
          <w:tcPr>
            <w:tcW w:w="10560" w:type="dxa"/>
            <w:vAlign w:val="bottom"/>
            <w:shd w:val="clear" w:color="auto" w:fill="EEEEEE"/>
          </w:tcPr>
          <w:p>
            <w:pPr>
              <w:ind w:left="520"/>
              <w:spacing w:after="0"/>
              <w:rPr>
                <w:sz w:val="20"/>
                <w:szCs w:val="20"/>
                <w:color w:val="auto"/>
              </w:rPr>
            </w:pPr>
            <w:r>
              <w:rPr>
                <w:rFonts w:ascii="Arial" w:cs="Arial" w:eastAsia="Arial" w:hAnsi="Arial"/>
                <w:sz w:val="18"/>
                <w:szCs w:val="18"/>
                <w:color w:val="auto"/>
                <w:w w:val="90"/>
              </w:rPr>
              <w:t>Instruments defining the rights of holders of long-term debt of certain consolidated subsidiaries of the registrant are omitted pursuant to the</w:t>
            </w:r>
          </w:p>
        </w:tc>
      </w:tr>
      <w:tr>
        <w:trPr>
          <w:trHeight w:val="216"/>
        </w:trPr>
        <w:tc>
          <w:tcPr>
            <w:tcW w:w="860" w:type="dxa"/>
            <w:vAlign w:val="bottom"/>
            <w:shd w:val="clear" w:color="auto" w:fill="EEEEEE"/>
          </w:tcPr>
          <w:p>
            <w:pPr>
              <w:spacing w:after="0"/>
              <w:rPr>
                <w:sz w:val="18"/>
                <w:szCs w:val="18"/>
                <w:color w:val="auto"/>
              </w:rPr>
            </w:pPr>
          </w:p>
        </w:tc>
        <w:tc>
          <w:tcPr>
            <w:tcW w:w="10560" w:type="dxa"/>
            <w:vAlign w:val="bottom"/>
            <w:shd w:val="clear" w:color="auto" w:fill="EEEEEE"/>
          </w:tcPr>
          <w:p>
            <w:pPr>
              <w:ind w:left="520"/>
              <w:spacing w:after="0"/>
              <w:rPr>
                <w:sz w:val="20"/>
                <w:szCs w:val="20"/>
                <w:color w:val="auto"/>
              </w:rPr>
            </w:pPr>
            <w:r>
              <w:rPr>
                <w:rFonts w:ascii="Arial" w:cs="Arial" w:eastAsia="Arial" w:hAnsi="Arial"/>
                <w:sz w:val="18"/>
                <w:szCs w:val="18"/>
                <w:color w:val="auto"/>
                <w:w w:val="95"/>
              </w:rPr>
              <w:t>exclusion set forth in subdivisions (b)(iv)(iii)(A) and (b)(v) of Item 601 of Regulation S-K (17 CFR 229.601).  The registrant agrees to</w:t>
            </w:r>
          </w:p>
        </w:tc>
      </w:tr>
      <w:tr>
        <w:trPr>
          <w:trHeight w:val="230"/>
        </w:trPr>
        <w:tc>
          <w:tcPr>
            <w:tcW w:w="860" w:type="dxa"/>
            <w:vAlign w:val="bottom"/>
            <w:shd w:val="clear" w:color="auto" w:fill="EEEEEE"/>
          </w:tcPr>
          <w:p>
            <w:pPr>
              <w:spacing w:after="0"/>
              <w:rPr>
                <w:sz w:val="20"/>
                <w:szCs w:val="20"/>
                <w:color w:val="auto"/>
              </w:rPr>
            </w:pPr>
          </w:p>
        </w:tc>
        <w:tc>
          <w:tcPr>
            <w:tcW w:w="105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provide copies of such instruments to the United States Securities and Exchange Commission upon request.</w:t>
            </w:r>
          </w:p>
        </w:tc>
      </w:t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4.65</w:t>
            </w:r>
          </w:p>
        </w:tc>
        <w:tc>
          <w:tcPr>
            <w:tcW w:w="10560" w:type="dxa"/>
            <w:vAlign w:val="bottom"/>
          </w:tcPr>
          <w:p>
            <w:pPr>
              <w:ind w:left="520"/>
              <w:spacing w:after="0"/>
              <w:rPr>
                <w:sz w:val="20"/>
                <w:szCs w:val="20"/>
                <w:color w:val="auto"/>
              </w:rPr>
            </w:pPr>
            <w:r>
              <w:rPr>
                <w:rFonts w:ascii="Arial" w:cs="Arial" w:eastAsia="Arial" w:hAnsi="Arial"/>
                <w:sz w:val="18"/>
                <w:szCs w:val="18"/>
                <w:color w:val="auto"/>
              </w:rPr>
              <w:t>Indenture dated January 1, 2016 re Notes issued by CPS Auto Receivables Trust 2016-A (to be filed by amendment).</w:t>
            </w:r>
          </w:p>
        </w:tc>
      </w:tr>
      <w:tr>
        <w:trPr>
          <w:trHeight w:val="216"/>
        </w:trPr>
        <w:tc>
          <w:tcPr>
            <w:tcW w:w="86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w w:val="85"/>
              </w:rPr>
              <w:t>4.66</w:t>
            </w:r>
          </w:p>
        </w:tc>
        <w:tc>
          <w:tcPr>
            <w:tcW w:w="105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Sale and Servicing Agreement dated as of January 1, 2016 (to be filed by amendment).</w:t>
            </w:r>
          </w:p>
        </w:tc>
      </w:t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4.67</w:t>
            </w:r>
          </w:p>
        </w:tc>
        <w:tc>
          <w:tcPr>
            <w:tcW w:w="10560" w:type="dxa"/>
            <w:vAlign w:val="bottom"/>
          </w:tcPr>
          <w:p>
            <w:pPr>
              <w:ind w:left="520"/>
              <w:spacing w:after="0"/>
              <w:rPr>
                <w:sz w:val="20"/>
                <w:szCs w:val="20"/>
                <w:color w:val="auto"/>
              </w:rPr>
            </w:pPr>
            <w:r>
              <w:rPr>
                <w:rFonts w:ascii="Arial" w:cs="Arial" w:eastAsia="Arial" w:hAnsi="Arial"/>
                <w:sz w:val="18"/>
                <w:szCs w:val="18"/>
                <w:color w:val="auto"/>
              </w:rPr>
              <w:t>Indenture dated April 1, 2016 re Notes issued by CPS Auto Receivables Trust 2016-B (to be filed by amendment).</w:t>
            </w:r>
          </w:p>
        </w:tc>
      </w:tr>
      <w:tr>
        <w:trPr>
          <w:trHeight w:val="216"/>
        </w:trPr>
        <w:tc>
          <w:tcPr>
            <w:tcW w:w="86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w w:val="85"/>
              </w:rPr>
              <w:t>4.68</w:t>
            </w:r>
          </w:p>
        </w:tc>
        <w:tc>
          <w:tcPr>
            <w:tcW w:w="105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Sale and Servicing Agreement dated as of April 1, 2016 (to be filed by amendment).</w:t>
            </w:r>
          </w:p>
        </w:tc>
      </w:t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10560" w:type="dxa"/>
            <w:vAlign w:val="bottom"/>
          </w:tcPr>
          <w:p>
            <w:pPr>
              <w:ind w:left="520"/>
              <w:spacing w:after="0"/>
              <w:rPr>
                <w:sz w:val="20"/>
                <w:szCs w:val="20"/>
                <w:color w:val="auto"/>
              </w:rPr>
            </w:pPr>
            <w:r>
              <w:rPr>
                <w:rFonts w:ascii="Arial" w:cs="Arial" w:eastAsia="Arial" w:hAnsi="Arial"/>
                <w:sz w:val="18"/>
                <w:szCs w:val="18"/>
                <w:color w:val="auto"/>
              </w:rPr>
              <w:t>Rule 13a-14(a) Certification of the Chief Executive Officer of the registrant.</w:t>
            </w:r>
          </w:p>
        </w:tc>
      </w:tr>
      <w:tr>
        <w:trPr>
          <w:trHeight w:val="216"/>
        </w:trPr>
        <w:tc>
          <w:tcPr>
            <w:tcW w:w="860" w:type="dxa"/>
            <w:vAlign w:val="bottom"/>
            <w:shd w:val="clear" w:color="auto" w:fill="EEEEEE"/>
          </w:tcPr>
          <w:p>
            <w:pPr>
              <w:jc w:val="right"/>
              <w:ind w:right="450"/>
              <w:spacing w:after="0"/>
              <w:rPr>
                <w:sz w:val="20"/>
                <w:szCs w:val="20"/>
                <w:color w:val="auto"/>
              </w:rPr>
            </w:pPr>
            <w:r>
              <w:rPr>
                <w:rFonts w:ascii="Arial" w:cs="Arial" w:eastAsia="Arial" w:hAnsi="Arial"/>
                <w:sz w:val="18"/>
                <w:szCs w:val="18"/>
                <w:color w:val="auto"/>
                <w:w w:val="85"/>
              </w:rPr>
              <w:t>31.2</w:t>
            </w:r>
          </w:p>
        </w:tc>
        <w:tc>
          <w:tcPr>
            <w:tcW w:w="105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Rule 13a-14(a) Certification of the Chief Financial Officer of the registrant.</w:t>
            </w:r>
          </w:p>
        </w:tc>
      </w:tr>
    </w:tbl>
    <w:p>
      <w:pPr>
        <w:ind w:left="1380" w:hanging="1372"/>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210" w:lineRule="exact"/>
        <w:rPr>
          <w:rFonts w:ascii="Arial" w:cs="Arial" w:eastAsia="Arial" w:hAnsi="Arial"/>
          <w:sz w:val="18"/>
          <w:szCs w:val="18"/>
          <w:color w:val="auto"/>
        </w:rPr>
      </w:pPr>
    </w:p>
    <w:p>
      <w:pPr>
        <w:jc w:val="both"/>
        <w:ind w:left="260" w:firstLine="311"/>
        <w:spacing w:after="0" w:line="259" w:lineRule="auto"/>
        <w:rPr>
          <w:rFonts w:ascii="Arial" w:cs="Arial" w:eastAsia="Arial" w:hAnsi="Arial"/>
          <w:sz w:val="18"/>
          <w:szCs w:val="18"/>
          <w:color w:val="auto"/>
        </w:rPr>
      </w:pPr>
      <w:r>
        <w:rPr>
          <w:rFonts w:ascii="Arial" w:cs="Arial" w:eastAsia="Arial" w:hAnsi="Arial"/>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2, 2016</w:t>
      </w:r>
    </w:p>
    <w:p>
      <w:pPr>
        <w:spacing w:after="0" w:line="9" w:lineRule="exact"/>
        <w:rPr>
          <w:sz w:val="20"/>
          <w:szCs w:val="20"/>
          <w:color w:val="auto"/>
        </w:rPr>
      </w:pPr>
    </w:p>
    <w:p>
      <w:pPr>
        <w:ind w:left="57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E. BRADLEY, JR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2, 2016</w:t>
      </w:r>
    </w:p>
    <w:p>
      <w:pPr>
        <w:spacing w:after="0" w:line="23" w:lineRule="exact"/>
        <w:rPr>
          <w:sz w:val="20"/>
          <w:szCs w:val="20"/>
          <w:color w:val="auto"/>
        </w:rPr>
      </w:pPr>
    </w:p>
    <w:p>
      <w:pPr>
        <w:ind w:left="576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FRITZ</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2" w:name="page33"/>
    <w:bookmarkEnd w:id="32"/>
    <w:p>
      <w:pPr>
        <w:ind w:left="104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2016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683260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left="10300"/>
        <w:spacing w:after="0"/>
        <w:rPr>
          <w:sz w:val="20"/>
          <w:szCs w:val="20"/>
          <w:color w:val="auto"/>
        </w:rPr>
      </w:pPr>
      <w:r>
        <w:rPr>
          <w:rFonts w:ascii="Arial" w:cs="Arial" w:eastAsia="Arial" w:hAnsi="Arial"/>
          <w:sz w:val="19"/>
          <w:szCs w:val="19"/>
          <w:b w:val="1"/>
          <w:bCs w:val="1"/>
          <w:color w:val="auto"/>
        </w:rPr>
        <w:t>Exhibit 31.2</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2016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683260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4" w:name="page35"/>
    <w:bookmarkEnd w:id="34"/>
    <w:p>
      <w:pPr>
        <w:ind w:left="10420"/>
        <w:spacing w:after="0"/>
        <w:rPr>
          <w:sz w:val="20"/>
          <w:szCs w:val="20"/>
          <w:color w:val="auto"/>
        </w:rPr>
      </w:pPr>
      <w:r>
        <w:rPr>
          <w:rFonts w:ascii="Arial" w:cs="Arial" w:eastAsia="Arial" w:hAnsi="Arial"/>
          <w:sz w:val="19"/>
          <w:szCs w:val="19"/>
          <w:b w:val="1"/>
          <w:bCs w:val="1"/>
          <w:color w:val="auto"/>
        </w:rPr>
        <w:t>Exhibit 32</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March 31, 2016,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360" w:hanging="344"/>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60" w:hanging="344"/>
        <w:spacing w:after="0"/>
        <w:tabs>
          <w:tab w:leader="none" w:pos="13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May 2,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11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32"/>
    </w:lvl>
    <w:lvl w:ilvl="1">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2019-12-06T02:27:10Z</dcterms:created>
  <dcterms:modified xsi:type="dcterms:W3CDTF">2019-12-06T02:27:10Z</dcterms:modified>
</cp:coreProperties>
</file>