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 w:lineRule="exact"/>
        <w:rPr>
          <w:sz w:val="24"/>
          <w:szCs w:val="24"/>
          <w:color w:val="auto"/>
        </w:rPr>
      </w:pPr>
    </w:p>
    <w:p>
      <w:pPr>
        <w:ind w:left="3740" w:right="1700" w:hanging="3732"/>
        <w:spacing w:after="0" w:line="266" w:lineRule="auto"/>
        <w:tabs>
          <w:tab w:leader="none" w:pos="5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7"/>
              </w:rPr>
              <w:t>California</w:t>
            </w:r>
          </w:p>
        </w:tc>
        <w:tc>
          <w:tcPr>
            <w:tcW w:w="3640" w:type="dxa"/>
            <w:vAlign w:val="bottom"/>
          </w:tcPr>
          <w:p>
            <w:pPr>
              <w:jc w:val="right"/>
              <w:ind w:right="71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9"/>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6700" w:type="dxa"/>
            <w:vAlign w:val="bottom"/>
          </w:tcPr>
          <w:p>
            <w:pPr>
              <w:jc w:val="center"/>
              <w:ind w:right="890"/>
              <w:spacing w:after="0"/>
              <w:rPr>
                <w:sz w:val="20"/>
                <w:szCs w:val="20"/>
                <w:color w:val="auto"/>
              </w:rPr>
            </w:pPr>
            <w:r>
              <w:rPr>
                <w:rFonts w:ascii="Arial" w:cs="Arial" w:eastAsia="Arial" w:hAnsi="Arial"/>
                <w:sz w:val="18"/>
                <w:szCs w:val="18"/>
                <w:color w:val="auto"/>
                <w:w w:val="93"/>
              </w:rPr>
              <w:t>Large Accelerated Filer o</w:t>
            </w:r>
          </w:p>
        </w:tc>
        <w:tc>
          <w:tcPr>
            <w:tcW w:w="2420" w:type="dxa"/>
            <w:vAlign w:val="bottom"/>
          </w:tcPr>
          <w:p>
            <w:pPr>
              <w:ind w:left="1120"/>
              <w:spacing w:after="0"/>
              <w:rPr>
                <w:sz w:val="20"/>
                <w:szCs w:val="20"/>
                <w:color w:val="auto"/>
              </w:rPr>
            </w:pPr>
            <w:r>
              <w:rPr>
                <w:rFonts w:ascii="Arial" w:cs="Arial" w:eastAsia="Arial" w:hAnsi="Arial"/>
                <w:sz w:val="18"/>
                <w:szCs w:val="18"/>
                <w:color w:val="auto"/>
                <w:w w:val="94"/>
              </w:rPr>
              <w:t>Accelerated Filer</w:t>
            </w:r>
          </w:p>
        </w:tc>
        <w:tc>
          <w:tcPr>
            <w:tcW w:w="2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6700" w:type="dxa"/>
            <w:vAlign w:val="bottom"/>
          </w:tcPr>
          <w:p>
            <w:pPr>
              <w:jc w:val="center"/>
              <w:ind w:right="890"/>
              <w:spacing w:after="0"/>
              <w:rPr>
                <w:sz w:val="20"/>
                <w:szCs w:val="20"/>
                <w:color w:val="auto"/>
              </w:rPr>
            </w:pPr>
            <w:r>
              <w:rPr>
                <w:rFonts w:ascii="Arial" w:cs="Arial" w:eastAsia="Arial" w:hAnsi="Arial"/>
                <w:sz w:val="18"/>
                <w:szCs w:val="18"/>
                <w:color w:val="auto"/>
                <w:w w:val="95"/>
              </w:rPr>
              <w:t>Non-Accelerated Filer o</w:t>
            </w:r>
          </w:p>
        </w:tc>
        <w:tc>
          <w:tcPr>
            <w:tcW w:w="4720" w:type="dxa"/>
            <w:vAlign w:val="bottom"/>
            <w:gridSpan w:val="2"/>
          </w:tcPr>
          <w:p>
            <w:pPr>
              <w:ind w:left="740"/>
              <w:spacing w:after="0"/>
              <w:rPr>
                <w:sz w:val="20"/>
                <w:szCs w:val="20"/>
                <w:color w:val="auto"/>
              </w:rPr>
            </w:pPr>
            <w:r>
              <w:rPr>
                <w:rFonts w:ascii="Arial" w:cs="Arial" w:eastAsia="Arial" w:hAnsi="Arial"/>
                <w:sz w:val="18"/>
                <w:szCs w:val="18"/>
                <w:color w:val="auto"/>
              </w:rPr>
              <w:t>Smaller Reporting Company o</w:t>
            </w:r>
          </w:p>
        </w:tc>
      </w:tr>
      <w:tr>
        <w:trPr>
          <w:trHeight w:val="452"/>
        </w:trPr>
        <w:tc>
          <w:tcPr>
            <w:tcW w:w="912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 Yes o  No</w:t>
            </w:r>
          </w:p>
        </w:tc>
        <w:tc>
          <w:tcPr>
            <w:tcW w:w="2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6700" w:type="dxa"/>
            <w:vAlign w:val="bottom"/>
          </w:tcPr>
          <w:p>
            <w:pPr>
              <w:spacing w:after="0"/>
              <w:rPr>
                <w:sz w:val="20"/>
                <w:szCs w:val="20"/>
                <w:color w:val="auto"/>
              </w:rPr>
            </w:pPr>
            <w:r>
              <w:rPr>
                <w:rFonts w:ascii="Arial" w:cs="Arial" w:eastAsia="Arial" w:hAnsi="Arial"/>
                <w:sz w:val="18"/>
                <w:szCs w:val="18"/>
                <w:color w:val="auto"/>
              </w:rPr>
              <w:t>As of October 21, 2014 the registrant had 25,371,198 common shares outstanding.</w:t>
            </w:r>
          </w:p>
        </w:tc>
        <w:tc>
          <w:tcPr>
            <w:tcW w:w="24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675"/>
        </w:trPr>
        <w:tc>
          <w:tcPr>
            <w:tcW w:w="6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tcPr>
          <w:p>
            <w:pPr>
              <w:spacing w:after="0"/>
              <w:rPr>
                <w:sz w:val="17"/>
                <w:szCs w:val="17"/>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560" w:type="dxa"/>
            <w:vAlign w:val="bottom"/>
            <w:shd w:val="clear" w:color="auto" w:fill="EEEEEE"/>
          </w:tcPr>
          <w:p>
            <w:pPr>
              <w:ind w:left="340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5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Financial Statements</w:t>
            </w:r>
          </w:p>
        </w:tc>
        <w:tc>
          <w:tcPr>
            <w:tcW w:w="640" w:type="dxa"/>
            <w:vAlign w:val="bottom"/>
            <w:gridSpan w:val="2"/>
            <w:shd w:val="clear" w:color="auto" w:fill="EEEEEE"/>
          </w:tcPr>
          <w:p>
            <w:pPr>
              <w:jc w:val="center"/>
              <w:ind w:left="190"/>
              <w:spacing w:after="0"/>
              <w:rPr>
                <w:sz w:val="20"/>
                <w:szCs w:val="20"/>
                <w:color w:val="auto"/>
              </w:rPr>
            </w:pPr>
            <w:r>
              <w:rPr>
                <w:rFonts w:ascii="Arial" w:cs="Arial" w:eastAsia="Arial" w:hAnsi="Arial"/>
                <w:sz w:val="18"/>
                <w:szCs w:val="18"/>
                <w:color w:val="auto"/>
                <w:w w:val="79"/>
              </w:rPr>
              <w:t>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tcPr>
          <w:p>
            <w:pPr>
              <w:ind w:left="240"/>
              <w:spacing w:after="0"/>
              <w:rPr>
                <w:sz w:val="20"/>
                <w:szCs w:val="20"/>
                <w:color w:val="auto"/>
              </w:rPr>
            </w:pPr>
            <w:r>
              <w:rPr>
                <w:rFonts w:ascii="Arial" w:cs="Arial" w:eastAsia="Arial" w:hAnsi="Arial"/>
                <w:sz w:val="18"/>
                <w:szCs w:val="18"/>
                <w:color w:val="auto"/>
              </w:rPr>
              <w:t>Unaudited Condensed Consolidated Balance Sheets as of September 30, 2014 and December 31, 2013</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9560" w:type="dxa"/>
            <w:vAlign w:val="bottom"/>
            <w:shd w:val="clear" w:color="auto" w:fill="EEEEEE"/>
          </w:tcPr>
          <w:p>
            <w:pPr>
              <w:ind w:left="240"/>
              <w:spacing w:after="0" w:line="201" w:lineRule="exact"/>
              <w:rPr>
                <w:sz w:val="20"/>
                <w:szCs w:val="20"/>
                <w:color w:val="auto"/>
              </w:rPr>
            </w:pPr>
            <w:r>
              <w:rPr>
                <w:rFonts w:ascii="Arial" w:cs="Arial" w:eastAsia="Arial" w:hAnsi="Arial"/>
                <w:sz w:val="18"/>
                <w:szCs w:val="18"/>
                <w:color w:val="auto"/>
                <w:w w:val="93"/>
              </w:rPr>
              <w:t>Unaudited Condensed Consolidated Statements of Operations for the three-month and nine-month periods ended September</w:t>
            </w:r>
          </w:p>
        </w:tc>
        <w:tc>
          <w:tcPr>
            <w:tcW w:w="640" w:type="dxa"/>
            <w:vAlign w:val="bottom"/>
            <w:gridSpan w:val="2"/>
            <w:shd w:val="clear" w:color="auto" w:fill="EEEEEE"/>
          </w:tcPr>
          <w:p>
            <w:pPr>
              <w:jc w:val="center"/>
              <w:ind w:left="190"/>
              <w:spacing w:after="0" w:line="201" w:lineRule="exact"/>
              <w:rPr>
                <w:sz w:val="20"/>
                <w:szCs w:val="20"/>
                <w:color w:val="auto"/>
              </w:rPr>
            </w:pPr>
            <w:r>
              <w:rPr>
                <w:rFonts w:ascii="Arial" w:cs="Arial" w:eastAsia="Arial" w:hAnsi="Arial"/>
                <w:sz w:val="18"/>
                <w:szCs w:val="18"/>
                <w:color w:val="auto"/>
                <w:w w:val="79"/>
              </w:rPr>
              <w:t>4</w:t>
            </w:r>
          </w:p>
        </w:tc>
        <w:tc>
          <w:tcPr>
            <w:tcW w:w="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95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30, 2014 and 2013</w:t>
            </w:r>
          </w:p>
        </w:tc>
        <w:tc>
          <w:tcPr>
            <w:tcW w:w="2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tcPr>
          <w:p>
            <w:pPr>
              <w:ind w:left="240"/>
              <w:spacing w:after="0" w:line="201" w:lineRule="exact"/>
              <w:rPr>
                <w:sz w:val="20"/>
                <w:szCs w:val="20"/>
                <w:color w:val="auto"/>
              </w:rPr>
            </w:pPr>
            <w:r>
              <w:rPr>
                <w:rFonts w:ascii="Arial" w:cs="Arial" w:eastAsia="Arial" w:hAnsi="Arial"/>
                <w:sz w:val="18"/>
                <w:szCs w:val="18"/>
                <w:color w:val="auto"/>
                <w:w w:val="92"/>
              </w:rPr>
              <w:t>Unaudited Condensed Consolidated Statements of Comprehensive Income for the three-month and nine-month periods ended</w:t>
            </w:r>
          </w:p>
        </w:tc>
        <w:tc>
          <w:tcPr>
            <w:tcW w:w="64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79"/>
              </w:rPr>
              <w:t>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60" w:type="dxa"/>
            <w:vAlign w:val="bottom"/>
          </w:tcPr>
          <w:p>
            <w:pPr>
              <w:ind w:left="240"/>
              <w:spacing w:after="0"/>
              <w:rPr>
                <w:sz w:val="20"/>
                <w:szCs w:val="20"/>
                <w:color w:val="auto"/>
              </w:rPr>
            </w:pPr>
            <w:r>
              <w:rPr>
                <w:rFonts w:ascii="Arial" w:cs="Arial" w:eastAsia="Arial" w:hAnsi="Arial"/>
                <w:sz w:val="18"/>
                <w:szCs w:val="18"/>
                <w:color w:val="auto"/>
              </w:rPr>
              <w:t>September 30, 2014 and 2013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9560" w:type="dxa"/>
            <w:vAlign w:val="bottom"/>
            <w:shd w:val="clear" w:color="auto" w:fill="EEEEEE"/>
          </w:tcPr>
          <w:p>
            <w:pPr>
              <w:ind w:left="240"/>
              <w:spacing w:after="0" w:line="201" w:lineRule="exact"/>
              <w:rPr>
                <w:sz w:val="20"/>
                <w:szCs w:val="20"/>
                <w:color w:val="auto"/>
              </w:rPr>
            </w:pPr>
            <w:r>
              <w:rPr>
                <w:rFonts w:ascii="Arial" w:cs="Arial" w:eastAsia="Arial" w:hAnsi="Arial"/>
                <w:sz w:val="18"/>
                <w:szCs w:val="18"/>
                <w:color w:val="auto"/>
                <w:w w:val="95"/>
              </w:rPr>
              <w:t>Unaudited Condensed Consolidated Statements of Cash Flows for the nine-month periods ended September 30, 2014 and</w:t>
            </w:r>
          </w:p>
        </w:tc>
        <w:tc>
          <w:tcPr>
            <w:tcW w:w="640" w:type="dxa"/>
            <w:vAlign w:val="bottom"/>
            <w:gridSpan w:val="2"/>
            <w:shd w:val="clear" w:color="auto" w:fill="EEEEEE"/>
          </w:tcPr>
          <w:p>
            <w:pPr>
              <w:jc w:val="center"/>
              <w:ind w:left="190"/>
              <w:spacing w:after="0" w:line="201" w:lineRule="exact"/>
              <w:rPr>
                <w:sz w:val="20"/>
                <w:szCs w:val="20"/>
                <w:color w:val="auto"/>
              </w:rPr>
            </w:pPr>
            <w:r>
              <w:rPr>
                <w:rFonts w:ascii="Arial" w:cs="Arial" w:eastAsia="Arial" w:hAnsi="Arial"/>
                <w:sz w:val="18"/>
                <w:szCs w:val="18"/>
                <w:color w:val="auto"/>
                <w:w w:val="79"/>
              </w:rPr>
              <w:t>6</w:t>
            </w:r>
          </w:p>
        </w:tc>
        <w:tc>
          <w:tcPr>
            <w:tcW w:w="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95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tcPr>
          <w:p>
            <w:pPr>
              <w:ind w:left="240"/>
              <w:spacing w:after="0"/>
              <w:rPr>
                <w:sz w:val="20"/>
                <w:szCs w:val="20"/>
                <w:color w:val="auto"/>
              </w:rPr>
            </w:pPr>
            <w:r>
              <w:rPr>
                <w:rFonts w:ascii="Arial" w:cs="Arial" w:eastAsia="Arial" w:hAnsi="Arial"/>
                <w:sz w:val="18"/>
                <w:szCs w:val="18"/>
                <w:color w:val="auto"/>
              </w:rPr>
              <w:t>Notes to Unaudited Condensed Consolidated Financial Statements</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5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40" w:type="dxa"/>
            <w:vAlign w:val="bottom"/>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40" w:type="dxa"/>
            <w:vAlign w:val="bottom"/>
            <w:shd w:val="clear" w:color="auto" w:fill="EEEEEE"/>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2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0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Legal Proceedings</w:t>
            </w:r>
          </w:p>
        </w:tc>
        <w:tc>
          <w:tcPr>
            <w:tcW w:w="254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2540" w:type="dxa"/>
            <w:vAlign w:val="bottom"/>
          </w:tcPr>
          <w:p>
            <w:pPr>
              <w:jc w:val="right"/>
              <w:ind w:right="4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0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254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180"/>
              <w:spacing w:after="0"/>
              <w:rPr>
                <w:sz w:val="20"/>
                <w:szCs w:val="20"/>
                <w:color w:val="auto"/>
              </w:rPr>
            </w:pPr>
            <w:r>
              <w:rPr>
                <w:rFonts w:ascii="Arial" w:cs="Arial" w:eastAsia="Arial" w:hAnsi="Arial"/>
                <w:sz w:val="18"/>
                <w:szCs w:val="18"/>
                <w:color w:val="auto"/>
              </w:rPr>
              <w:t>Exhibits</w:t>
            </w:r>
          </w:p>
        </w:tc>
        <w:tc>
          <w:tcPr>
            <w:tcW w:w="2540" w:type="dxa"/>
            <w:vAlign w:val="bottom"/>
          </w:tcPr>
          <w:p>
            <w:pPr>
              <w:jc w:val="right"/>
              <w:ind w:right="45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Signatures</w:t>
            </w:r>
          </w:p>
        </w:tc>
        <w:tc>
          <w:tcPr>
            <w:tcW w:w="254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13,136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174,634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1,462,430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1,155,063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(54,621)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1,407,809</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1,115,437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46,587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21,600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24,793</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1,704,916</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1,396,366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22,873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59,442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12,767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3,170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1,469,670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1,177,559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15,493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1,583,415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1,301,764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25,339,698 and 24,015,585 shares issued</w:t>
            </w: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September 30, 2014 and December 31, 2013, respectively</w:t>
            </w:r>
          </w:p>
        </w:tc>
        <w:tc>
          <w:tcPr>
            <w:tcW w:w="16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78,815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43,781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121,501</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1,704,916</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1,396,366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73,865</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60,462</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207,082</w:t>
            </w:r>
          </w:p>
        </w:tc>
        <w:tc>
          <w:tcPr>
            <w:tcW w:w="7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2,907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8,550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77,050</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64,066</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216,790</w:t>
            </w:r>
          </w:p>
        </w:tc>
        <w:tc>
          <w:tcPr>
            <w:tcW w:w="1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12,733</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11,199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35,397</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5,804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4,074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14,482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12,239</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13,853</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37,562</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27,287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20,220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76,795</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4,167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11,826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2,493</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63,246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53,507</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178,894</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163,508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6,028</w:t>
            </w: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4,686</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16,390</w:t>
            </w:r>
          </w:p>
        </w:tc>
        <w:tc>
          <w:tcPr>
            <w:tcW w:w="1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0.31</w:t>
            </w:r>
          </w:p>
        </w:tc>
        <w:tc>
          <w:tcPr>
            <w:tcW w:w="680" w:type="dxa"/>
            <w:vAlign w:val="bottom"/>
            <w:gridSpan w:val="2"/>
            <w:shd w:val="clear" w:color="auto" w:fill="EEEEEE"/>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0.27</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0.86</w:t>
            </w:r>
          </w:p>
        </w:tc>
        <w:tc>
          <w:tcPr>
            <w:tcW w:w="780" w:type="dxa"/>
            <w:vAlign w:val="bottom"/>
            <w:gridSpan w:val="2"/>
            <w:shd w:val="clear" w:color="auto" w:fill="EEEEEE"/>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w w:val="96"/>
              </w:rPr>
              <w:t>Number of shares used in computing earnings per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25,290</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21,795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24,895</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32,040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31,217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32,021</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40" w:type="dxa"/>
            <w:vAlign w:val="bottom"/>
            <w:gridSpan w:val="5"/>
          </w:tcPr>
          <w:p>
            <w:pPr>
              <w:jc w:val="right"/>
              <w:ind w:right="36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7,776</w:t>
            </w:r>
          </w:p>
        </w:tc>
        <w:tc>
          <w:tcPr>
            <w:tcW w:w="126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5,873</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21,506</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14,483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w:t>
            </w:r>
          </w:p>
        </w:tc>
        <w:tc>
          <w:tcPr>
            <w:tcW w:w="1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funded status of pension plan</w:t>
            </w:r>
          </w:p>
        </w:tc>
        <w:tc>
          <w:tcPr>
            <w:tcW w:w="110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580" w:type="dxa"/>
            <w:vAlign w:val="bottom"/>
            <w:shd w:val="clear" w:color="auto" w:fill="EEEEEE"/>
          </w:tcPr>
          <w:p>
            <w:pPr>
              <w:spacing w:after="0"/>
              <w:rPr>
                <w:sz w:val="21"/>
                <w:szCs w:val="21"/>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21,506</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(12,793)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5,054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76,795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2,578</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(2,930)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12,628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(1,966)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100,974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71,152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(680,569)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324,195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(2,092)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(42,350)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(388,746</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(325,015</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655,500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(4,055)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proceeds from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49,990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(363,495)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(10,917)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(39,182)</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(5,937)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2,815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278,796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265,025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22,112</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63"/>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58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32,864</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6,259</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Derivative warrants reclassified from accounts payable to common stock</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667"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2014 are not necessarily indicative of the operating results to be expected for the full year.</w:t>
      </w:r>
    </w:p>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valuing residual interest in securitizations, accreting net acquisition fees, amortizing deferred costs, valuing stock options and warrants issued, and recording deferred tax assets and reserves for uncertain tax positions. These are material estimates that could be susceptible to changes in the near term and, accordingly,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primary components of Other Income for the three-month and nine-month periods ending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40" w:type="dxa"/>
            <w:vAlign w:val="bottom"/>
            <w:gridSpan w:val="5"/>
          </w:tcPr>
          <w:p>
            <w:pPr>
              <w:jc w:val="center"/>
              <w:ind w:left="437"/>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0"/>
              </w:rPr>
              <w:t>Nine Months Ended</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gridSpan w:val="4"/>
          </w:tcPr>
          <w:p>
            <w:pPr>
              <w:jc w:val="center"/>
              <w:ind w:right="505"/>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1,921</w:t>
            </w:r>
          </w:p>
        </w:tc>
        <w:tc>
          <w:tcPr>
            <w:tcW w:w="122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1,691</w:t>
            </w:r>
          </w:p>
        </w:tc>
        <w:tc>
          <w:tcPr>
            <w:tcW w:w="1160" w:type="dxa"/>
            <w:vAlign w:val="bottom"/>
            <w:gridSpan w:val="2"/>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5,944</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5,418</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Sales tax refunds</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(325)</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EEEEEE"/>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4"/>
              </w:rPr>
              <w:t>8,550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nine months ended September 30, 2014 and 2013, we recorded stock-based compensation costs in the amount of $2.6 million and $2.9 million, respectively. As of September 30, 2014, unrecognized stock-based compensation costs to be recognized over future periods equaled $15.2 million. This amount will be recognized as expense over a weighted-average period of 3.2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represents stock option activity for the 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9"/>
                <w:szCs w:val="19"/>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Borders>
              <w:top w:val="single" w:sz="8" w:color="EEEEEE"/>
            </w:tcBorders>
            <w:shd w:val="clear" w:color="auto" w:fill="EEEEEE"/>
          </w:tcPr>
          <w:p>
            <w:pPr>
              <w:spacing w:after="0"/>
              <w:rPr>
                <w:sz w:val="18"/>
                <w:szCs w:val="18"/>
                <w:color w:val="auto"/>
              </w:rPr>
            </w:pPr>
          </w:p>
        </w:tc>
        <w:tc>
          <w:tcPr>
            <w:tcW w:w="1940" w:type="dxa"/>
            <w:vAlign w:val="bottom"/>
            <w:tcBorders>
              <w:top w:val="single" w:sz="8" w:color="auto"/>
            </w:tcBorders>
            <w:shd w:val="clear" w:color="auto" w:fill="EEEEEE"/>
          </w:tcPr>
          <w:p>
            <w:pPr>
              <w:jc w:val="center"/>
              <w:ind w:left="7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2,030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6.59</w:t>
            </w:r>
          </w:p>
        </w:tc>
        <w:tc>
          <w:tcPr>
            <w:tcW w:w="1940" w:type="dxa"/>
            <w:vAlign w:val="bottom"/>
          </w:tcPr>
          <w:p>
            <w:pPr>
              <w:jc w:val="center"/>
              <w:ind w:left="7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2.06</w:t>
            </w:r>
          </w:p>
        </w:tc>
        <w:tc>
          <w:tcPr>
            <w:tcW w:w="1940" w:type="dxa"/>
            <w:vAlign w:val="bottom"/>
            <w:shd w:val="clear" w:color="auto" w:fill="EEEEEE"/>
          </w:tcPr>
          <w:p>
            <w:pPr>
              <w:jc w:val="center"/>
              <w:ind w:left="7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1940" w:type="dxa"/>
            <w:vAlign w:val="bottom"/>
          </w:tcPr>
          <w:p>
            <w:pPr>
              <w:jc w:val="center"/>
              <w:ind w:left="7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10,887</w:t>
            </w:r>
          </w:p>
        </w:tc>
        <w:tc>
          <w:tcPr>
            <w:tcW w:w="360" w:type="dxa"/>
            <w:vAlign w:val="bottom"/>
            <w:tcBorders>
              <w:top w:val="single" w:sz="8" w:color="EEEEEE"/>
            </w:tcBorders>
            <w:shd w:val="clear" w:color="auto" w:fill="EEEEEE"/>
          </w:tcPr>
          <w:p>
            <w:pPr>
              <w:spacing w:after="0"/>
              <w:rPr>
                <w:sz w:val="19"/>
                <w:szCs w:val="19"/>
                <w:color w:val="auto"/>
              </w:rPr>
            </w:pPr>
          </w:p>
        </w:tc>
        <w:tc>
          <w:tcPr>
            <w:tcW w:w="160" w:type="dxa"/>
            <w:vAlign w:val="bottom"/>
            <w:tcBorders>
              <w:top w:val="single" w:sz="8" w:color="EEEEEE"/>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4.04</w:t>
            </w:r>
          </w:p>
        </w:tc>
        <w:tc>
          <w:tcPr>
            <w:tcW w:w="1940" w:type="dxa"/>
            <w:vAlign w:val="bottom"/>
            <w:tcBorders>
              <w:top w:val="single" w:sz="8" w:color="EEEEEE"/>
            </w:tcBorders>
            <w:shd w:val="clear" w:color="auto" w:fill="EEEEEE"/>
          </w:tcPr>
          <w:p>
            <w:pPr>
              <w:jc w:val="center"/>
              <w:ind w:left="70"/>
              <w:spacing w:after="0"/>
              <w:rPr>
                <w:sz w:val="20"/>
                <w:szCs w:val="20"/>
                <w:color w:val="auto"/>
              </w:rPr>
            </w:pPr>
            <w:r>
              <w:rPr>
                <w:rFonts w:ascii="Arial" w:cs="Arial" w:eastAsia="Arial" w:hAnsi="Arial"/>
                <w:sz w:val="18"/>
                <w:szCs w:val="18"/>
                <w:color w:val="auto"/>
                <w:w w:val="87"/>
              </w:rPr>
              <w:t>6.24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94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5,719</w:t>
            </w:r>
          </w:p>
        </w:tc>
        <w:tc>
          <w:tcPr>
            <w:tcW w:w="360" w:type="dxa"/>
            <w:vAlign w:val="bottom"/>
            <w:shd w:val="clear" w:color="auto" w:fill="EEEEEE"/>
          </w:tcPr>
          <w:p>
            <w:pPr>
              <w:spacing w:after="0"/>
              <w:rPr>
                <w:sz w:val="21"/>
                <w:szCs w:val="21"/>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2.53</w:t>
            </w:r>
          </w:p>
        </w:tc>
        <w:tc>
          <w:tcPr>
            <w:tcW w:w="1940" w:type="dxa"/>
            <w:vAlign w:val="bottom"/>
            <w:shd w:val="clear" w:color="auto" w:fill="EEEEEE"/>
          </w:tcPr>
          <w:p>
            <w:pPr>
              <w:jc w:val="center"/>
              <w:ind w:left="70"/>
              <w:spacing w:after="0"/>
              <w:rPr>
                <w:sz w:val="20"/>
                <w:szCs w:val="20"/>
                <w:color w:val="auto"/>
              </w:rPr>
            </w:pPr>
            <w:r>
              <w:rPr>
                <w:rFonts w:ascii="Arial" w:cs="Arial" w:eastAsia="Arial" w:hAnsi="Arial"/>
                <w:sz w:val="18"/>
                <w:szCs w:val="18"/>
                <w:color w:val="auto"/>
                <w:w w:val="87"/>
              </w:rPr>
              <w:t>5.09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94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2014, the aggregate intrinsic value of options outstanding and exercisable was $29.1 million and $23.0 million, respectively. There were 1,168,000 options exercised for the nine months ended September 30, 2014 compared to 1,116,000 for the comparable period in 2013. There were 2.1 million shares available for future stock option grants under existing plans as of September 30, 2014. The per share weighted-average fair value of stock options granted during the nine months ended September 30, 2014 was $2.73.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nine-month period ended September 30, 2014 and 2013, we re-purchased 73,788 and 323,674 shares, respectively, of our common stock, at average prices of $7.91 and $7.68, respectively. All purchases were related to net exercises of outstanding options and warrants. In transactions during the nine-month period ended September 30, 2014, the holder of options and warrants to purchase 395,000 shares of our common stock paid the aggregate $583,000 exercise price by surrender to us of 73,788 of such 395,000 shares. There were no open market purchases of our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May 2014, the FASB issued an update (ASU No. 2014-09, Revenue from Contracts with Customers) creating FASB Topic 606, Revenue from Contracts with Customers. The guidance in this update affects any entity that either enters into contracts with customers to transfer goods or services or enters into contracts for the transfer of nonfinancial assets unless those contracts are within the scope of other standards (for example, insurance contracts or lease contracts). The core principle of the guidance is that an entity should recognize revenue to depict the transfer of promised goods or services to customers in an amount that reflects the consideration to which the entity expects to be entitled in exchange for those goods or services. The guidance provides steps to follow to achieve the core principle. An entity should disclose sufficient information to enable users of financial statements to understand the nature, amount, timing and uncertainty of revenue and cash flows arising from contracts with customers. Qualitative and quantitative information is required about contracts with customers, significant judgments and changes in judgments, and assets recognized from the costs to obtain or fulfill a contract. The amendments in this update become effective for annual periods and interim periods within those annual periods beginning after December 15, 2016. We are currently evaluating the impact of adopting the new guidance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2014,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Related Debt Measured at Fair Value</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September 2011 we purchased approximately $217.8 million of finance receivables from Fireside Bank. These receivables and the related acquisition debt are recorded on our balance sheet at fair value. There are no level 1 or level 2 inputs (as described by ASC 820) available to us for measurement of such receivables, or for the related debt. Our level 3, unobservable inputs reflect our own assumptions about the factors that market participants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Cancellation of Debt</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April 2013, we repurchased the outstanding Class D notes issued by our first 2008 securitization trust, for a cash payment of $6.1 million and a new 5% note for $5.3 million due in June 2014. The Class D notes were held by the same related party that held our senior secured debt. On the date we repurchased the Class D notes, the Class D note holder owned 10.5% of our outstanding common stock. We subsequently exercised our “clean-up call” option and repurchased the remaining collateral from the related securitization trust. The aggregate value of our consideration given for the Class D notes was $10.9 million less than our carrying value of the Class D notes at the time of the repurchase. As a result of the repurchase of the Class D notes and the termination of the securitization trust, we realized a gain of $10.9 million for the nine-month period ended September 30, 2013.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June 2013, we recognized $9.7 million in contingent liability expenses to either record or increase the amounts we believed represented our best estimate of probable incurred losses related to various matters. The amount was allocated in part to a long running case (“Pardee”) in which we were sued for indemnity, and also to more recent matters. In September 2014 we reached a settlement, of the Pardee case, pursuant to which we paid $5.99 million and all claims against us were fully and finally discharged.</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more recent matters included two California class action suits where we are the defendant, and a governmental inquiry, in which the United States Federal Trade Commission (“FTC”) had informally proposed that we refrain from certain allegedly unfair trade practices, and make restitutionary payments into a consumer relief fund. In May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and paid a $2 million penalty to the federal government in June 2014, and implemented procedural changes, all pursuant to a consent decree which was entered by the court in June 2014.</w:t>
      </w:r>
    </w:p>
    <w:p>
      <w:pPr>
        <w:spacing w:after="0" w:line="18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recorded a liability as of September 30, 2014,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w:t>
            </w:r>
          </w:p>
        </w:tc>
        <w:tc>
          <w:tcPr>
            <w:tcW w:w="2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60" w:type="dxa"/>
            <w:vAlign w:val="bottom"/>
            <w:gridSpan w:val="2"/>
            <w:vMerge w:val="continue"/>
          </w:tcPr>
          <w:p>
            <w:pPr>
              <w:spacing w:after="0"/>
              <w:rPr>
                <w:sz w:val="19"/>
                <w:szCs w:val="19"/>
                <w:color w:val="auto"/>
              </w:rPr>
            </w:pP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308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1,481,410</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1,182,950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Less: Unearned acquisition fees and originations costs</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(18,980)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w:t>
            </w:r>
          </w:p>
        </w:tc>
        <w:tc>
          <w:tcPr>
            <w:tcW w:w="29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1,462,430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1,155,063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92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2014 and December 31, 2013:</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1,412,427</w:t>
            </w:r>
          </w:p>
        </w:tc>
        <w:tc>
          <w:tcPr>
            <w:tcW w:w="30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1,125,926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38,800</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21,421</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3180" w:type="dxa"/>
            <w:vAlign w:val="bottom"/>
          </w:tcPr>
          <w:p>
            <w:pPr>
              <w:ind w:left="20"/>
              <w:spacing w:after="0"/>
              <w:rPr>
                <w:sz w:val="20"/>
                <w:szCs w:val="20"/>
                <w:color w:val="auto"/>
              </w:rPr>
            </w:pPr>
            <w:r>
              <w:rPr>
                <w:rFonts w:ascii="Arial" w:cs="Arial" w:eastAsia="Arial" w:hAnsi="Arial"/>
                <w:sz w:val="18"/>
                <w:szCs w:val="18"/>
                <w:color w:val="auto"/>
              </w:rPr>
              <w:t>- 90 days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17,398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24,663</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1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12,785</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1,481,410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Finance receivables totaling $12.8 million and $10.9 million at September 30, 2014 and December 31, 2013,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53,326</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32,101</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39,626</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19,594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27,287</w:t>
            </w:r>
          </w:p>
        </w:tc>
        <w:tc>
          <w:tcPr>
            <w:tcW w:w="4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20,220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76,795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52,739</w:t>
            </w: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(29,988)</w:t>
            </w:r>
          </w:p>
        </w:tc>
        <w:tc>
          <w:tcPr>
            <w:tcW w:w="4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(20,952)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(80,514)</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(47,229)</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3,996</w:t>
            </w:r>
          </w:p>
        </w:tc>
        <w:tc>
          <w:tcPr>
            <w:tcW w:w="4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18,714</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9,360</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54,621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34,464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54,621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110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31,276</w:t>
            </w:r>
          </w:p>
        </w:tc>
        <w:tc>
          <w:tcPr>
            <w:tcW w:w="18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24,743</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(19,220)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(14,779)</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9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12,056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i w:val="1"/>
          <w:iCs w:val="1"/>
          <w:color w:val="auto"/>
        </w:rPr>
        <w:t>Finance Receivables Measured at Fair Value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components of Finance Receivables measured at fair value: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 Measured at Fair Value</w:t>
            </w:r>
          </w:p>
        </w:tc>
        <w:tc>
          <w:tcPr>
            <w:tcW w:w="148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w w:val="98"/>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w w:val="95"/>
              </w:rPr>
              <w:t>Finance receivables and accrued interest, net of unearned interest</w:t>
            </w:r>
          </w:p>
        </w:tc>
        <w:tc>
          <w:tcPr>
            <w:tcW w:w="1480" w:type="dxa"/>
            <w:vAlign w:val="bottom"/>
            <w:gridSpan w:val="2"/>
            <w:shd w:val="clear" w:color="auto" w:fill="EEEEEE"/>
          </w:tcPr>
          <w:p>
            <w:pPr>
              <w:jc w:val="right"/>
              <w:ind w:right="917"/>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4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Less: Fair value adjustment</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 measured at fair value</w:t>
            </w: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September 30, 2014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80" w:type="dxa"/>
            <w:vAlign w:val="bottom"/>
            <w:gridSpan w:val="3"/>
            <w:vMerge w:val="restart"/>
          </w:tcPr>
          <w:p>
            <w:pPr>
              <w:ind w:left="1140"/>
              <w:spacing w:after="0"/>
              <w:rPr>
                <w:sz w:val="20"/>
                <w:szCs w:val="20"/>
                <w:color w:val="auto"/>
              </w:rPr>
            </w:pPr>
            <w:r>
              <w:rPr>
                <w:rFonts w:ascii="Arial" w:cs="Arial" w:eastAsia="Arial" w:hAnsi="Arial"/>
                <w:sz w:val="18"/>
                <w:szCs w:val="18"/>
                <w:color w:val="auto"/>
              </w:rPr>
              <w:t>Delinquency Status</w:t>
            </w: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80" w:type="dxa"/>
            <w:vAlign w:val="bottom"/>
            <w:gridSpan w:val="3"/>
            <w:vMerge w:val="continue"/>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7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2,783</w:t>
            </w:r>
          </w:p>
        </w:tc>
        <w:tc>
          <w:tcPr>
            <w:tcW w:w="4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13,421</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2720" w:type="dxa"/>
            <w:vAlign w:val="bottom"/>
          </w:tcPr>
          <w:p>
            <w:pPr>
              <w:ind w:left="20"/>
              <w:spacing w:after="0"/>
              <w:rPr>
                <w:sz w:val="20"/>
                <w:szCs w:val="20"/>
                <w:color w:val="auto"/>
              </w:rPr>
            </w:pPr>
            <w:r>
              <w:rPr>
                <w:rFonts w:ascii="Arial" w:cs="Arial" w:eastAsia="Arial" w:hAnsi="Arial"/>
                <w:sz w:val="18"/>
                <w:szCs w:val="18"/>
                <w:color w:val="auto"/>
              </w:rPr>
              <w:t>- 60 days</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61</w:t>
            </w:r>
          </w:p>
        </w:tc>
        <w:tc>
          <w:tcPr>
            <w:tcW w:w="27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w w:val="89"/>
              </w:rPr>
              <w:t>91</w:t>
            </w:r>
          </w:p>
        </w:tc>
        <w:tc>
          <w:tcPr>
            <w:tcW w:w="2720" w:type="dxa"/>
            <w:vAlign w:val="bottom"/>
            <w:tcBorders>
              <w:bottom w:val="single" w:sz="8" w:color="EEEEEE"/>
            </w:tcBorders>
          </w:tcPr>
          <w:p>
            <w:pPr>
              <w:ind w:left="20"/>
              <w:spacing w:after="0"/>
              <w:rPr>
                <w:sz w:val="20"/>
                <w:szCs w:val="20"/>
                <w:color w:val="auto"/>
              </w:rPr>
            </w:pPr>
            <w:r>
              <w:rPr>
                <w:rFonts w:ascii="Arial" w:cs="Arial" w:eastAsia="Arial" w:hAnsi="Arial"/>
                <w:sz w:val="18"/>
                <w:szCs w:val="18"/>
                <w:color w:val="auto"/>
              </w:rPr>
              <w:t>+ days</w:t>
            </w:r>
          </w:p>
        </w:tc>
        <w:tc>
          <w:tcPr>
            <w:tcW w:w="25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19"/>
                <w:szCs w:val="19"/>
                <w:color w:val="auto"/>
              </w:rPr>
            </w:pPr>
          </w:p>
        </w:tc>
        <w:tc>
          <w:tcPr>
            <w:tcW w:w="25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Borders>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60" w:type="dxa"/>
            <w:vAlign w:val="bottom"/>
            <w:vMerge w:val="restart"/>
          </w:tcPr>
          <w:p>
            <w:pPr>
              <w:jc w:val="right"/>
              <w:ind w:right="75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Final</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Receivables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Scheduled</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Pledged at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 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Principal at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Interest Rate at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Payment</w:t>
            </w:r>
          </w:p>
        </w:tc>
        <w:tc>
          <w:tcPr>
            <w:tcW w:w="12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Initial</w:t>
            </w: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720" w:type="dxa"/>
            <w:vAlign w:val="bottom"/>
            <w:gridSpan w:val="2"/>
          </w:tcPr>
          <w:p>
            <w:pPr>
              <w:ind w:left="520"/>
              <w:spacing w:after="0"/>
              <w:rPr>
                <w:sz w:val="20"/>
                <w:szCs w:val="20"/>
                <w:color w:val="auto"/>
              </w:rPr>
            </w:pPr>
            <w:r>
              <w:rPr>
                <w:rFonts w:ascii="Arial" w:cs="Arial" w:eastAsia="Arial" w:hAnsi="Arial"/>
                <w:sz w:val="18"/>
                <w:szCs w:val="18"/>
                <w:b w:val="1"/>
                <w:bCs w:val="1"/>
                <w:color w:val="auto"/>
              </w:rPr>
              <w:t>Series</w:t>
            </w: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Date (1)</w:t>
            </w:r>
          </w:p>
        </w:tc>
        <w:tc>
          <w:tcPr>
            <w:tcW w:w="1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2014 (2)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4"/>
          </w:tcPr>
          <w:p>
            <w:pPr>
              <w:jc w:val="right"/>
              <w:ind w:right="260"/>
              <w:spacing w:after="0" w:line="195" w:lineRule="exact"/>
              <w:rPr>
                <w:sz w:val="20"/>
                <w:szCs w:val="20"/>
                <w:color w:val="auto"/>
              </w:rPr>
            </w:pPr>
            <w:r>
              <w:rPr>
                <w:rFonts w:ascii="Arial" w:cs="Arial" w:eastAsia="Arial" w:hAnsi="Arial"/>
                <w:sz w:val="18"/>
                <w:szCs w:val="18"/>
                <w:b w:val="1"/>
                <w:bCs w:val="1"/>
                <w:color w:val="auto"/>
                <w:w w:val="91"/>
              </w:rPr>
              <w:t>(Dollars in thousands)</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Page Five Funding</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January 2018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5,781</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46,058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3,862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9,358</w:t>
            </w: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2011-A</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April 2018</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15,687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104,546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11,665</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24,526</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2011-B</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September 2018</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27,632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111,046</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44,433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2011-C</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March 2019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35,992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119,400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35,773</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56,271</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2012-A</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June 2019</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42,577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41,703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65,051</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2012-B</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September 2019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58,409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141,500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57,490</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86,254</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2012-C</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December 2019</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64,289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147,000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63,376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93,006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2012-D</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March 2020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77,951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77,234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108,815</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2013-A</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June 2020</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110,393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109,937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142,842</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2013-B</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September 2020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133,324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131,358</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172,499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2013-C</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December 2020</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150,069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147,671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191,504</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2013-D</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March 2021</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148,167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183,000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144,868</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183,000</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2014-A</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June 2021</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159,479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155,381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2014-B</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September 2021</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192,600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202,500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189,117</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CPS 2014-C (3)</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December 2021</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182,936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273,000</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273,000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7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1,405,286</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2,418,050</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1,469,670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2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$152.6 million in 2014, $559.0 million in 2015, $386.0 million in 2016, $225.3 million in 2017, $108.1 million in 2018 and $38.7 million in 2019.</w:t>
      </w:r>
    </w:p>
    <w:p>
      <w:pPr>
        <w:spacing w:after="0" w:line="216"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$87.8 million of receivables were pledged to CPS 2014-C in October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September 30, 2014, we were in compliance with all such covenants.</w:t>
      </w:r>
    </w:p>
    <w:p>
      <w:pPr>
        <w:spacing w:after="0" w:line="18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2014, restricted cash under the various agreements totaled approximately $174.6 million, of which $87.8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6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terms and amounts of our other debt outstanding at September 30, 2014 and December 31, 2013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7"/>
          </w:tcPr>
          <w:p>
            <w:pPr>
              <w:ind w:left="94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vMerge w:val="restart"/>
          </w:tcPr>
          <w:p>
            <w:pPr>
              <w:ind w:left="660"/>
              <w:spacing w:after="0"/>
              <w:rPr>
                <w:sz w:val="20"/>
                <w:szCs w:val="20"/>
                <w:color w:val="auto"/>
              </w:rPr>
            </w:pPr>
            <w:r>
              <w:rPr>
                <w:rFonts w:ascii="Arial" w:cs="Arial" w:eastAsia="Arial" w:hAnsi="Arial"/>
                <w:sz w:val="18"/>
                <w:szCs w:val="18"/>
                <w:color w:val="auto"/>
              </w:rPr>
              <w:t>Description</w:t>
            </w:r>
          </w:p>
        </w:tc>
        <w:tc>
          <w:tcPr>
            <w:tcW w:w="2400" w:type="dxa"/>
            <w:vAlign w:val="bottom"/>
            <w:gridSpan w:val="2"/>
            <w:vMerge w:val="restart"/>
          </w:tcPr>
          <w:p>
            <w:pPr>
              <w:ind w:left="620"/>
              <w:spacing w:after="0"/>
              <w:rPr>
                <w:sz w:val="20"/>
                <w:szCs w:val="20"/>
                <w:color w:val="auto"/>
              </w:rPr>
            </w:pPr>
            <w:r>
              <w:rPr>
                <w:rFonts w:ascii="Arial" w:cs="Arial" w:eastAsia="Arial" w:hAnsi="Arial"/>
                <w:sz w:val="18"/>
                <w:szCs w:val="18"/>
                <w:color w:val="auto"/>
              </w:rPr>
              <w:t>Interest Rate</w:t>
            </w:r>
          </w:p>
        </w:tc>
        <w:tc>
          <w:tcPr>
            <w:tcW w:w="2540" w:type="dxa"/>
            <w:vAlign w:val="bottom"/>
            <w:gridSpan w:val="3"/>
            <w:vMerge w:val="restart"/>
          </w:tcPr>
          <w:p>
            <w:pPr>
              <w:jc w:val="right"/>
              <w:ind w:right="1125"/>
              <w:spacing w:after="0"/>
              <w:rPr>
                <w:sz w:val="20"/>
                <w:szCs w:val="20"/>
                <w:color w:val="auto"/>
              </w:rPr>
            </w:pPr>
            <w:r>
              <w:rPr>
                <w:rFonts w:ascii="Arial" w:cs="Arial" w:eastAsia="Arial" w:hAnsi="Arial"/>
                <w:sz w:val="18"/>
                <w:szCs w:val="18"/>
                <w:color w:val="auto"/>
              </w:rPr>
              <w:t>Maturity</w:t>
            </w: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5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90"/>
              </w:rPr>
              <w:t>5.73% over one month</w:t>
            </w:r>
          </w:p>
        </w:tc>
        <w:tc>
          <w:tcPr>
            <w:tcW w:w="2540" w:type="dxa"/>
            <w:vAlign w:val="bottom"/>
            <w:gridSpan w:val="3"/>
            <w:shd w:val="clear" w:color="auto" w:fill="EEEEEE"/>
          </w:tcPr>
          <w:p>
            <w:pPr>
              <w:jc w:val="center"/>
              <w:ind w:right="305"/>
              <w:spacing w:after="0" w:line="201" w:lineRule="exact"/>
              <w:rPr>
                <w:sz w:val="20"/>
                <w:szCs w:val="20"/>
                <w:color w:val="auto"/>
              </w:rPr>
            </w:pPr>
            <w:r>
              <w:rPr>
                <w:rFonts w:ascii="Arial" w:cs="Arial" w:eastAsia="Arial" w:hAnsi="Arial"/>
                <w:sz w:val="18"/>
                <w:szCs w:val="18"/>
                <w:color w:val="auto"/>
                <w:w w:val="92"/>
              </w:rPr>
              <w:t>March 2017</w:t>
            </w: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5"/>
              </w:rPr>
              <w:t>Libor (Minimum 6.73%)</w:t>
            </w:r>
          </w:p>
        </w:tc>
        <w:tc>
          <w:tcPr>
            <w:tcW w:w="2540" w:type="dxa"/>
            <w:vAlign w:val="bottom"/>
            <w:gridSpan w:val="3"/>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27,545</w:t>
            </w:r>
          </w:p>
        </w:tc>
        <w:tc>
          <w:tcPr>
            <w:tcW w:w="42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9,452</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90"/>
              </w:rPr>
              <w:t>5.50% over one month</w:t>
            </w:r>
          </w:p>
        </w:tc>
        <w:tc>
          <w:tcPr>
            <w:tcW w:w="2540" w:type="dxa"/>
            <w:vAlign w:val="bottom"/>
            <w:gridSpan w:val="3"/>
            <w:shd w:val="clear" w:color="auto" w:fill="EEEEEE"/>
          </w:tcPr>
          <w:p>
            <w:pPr>
              <w:jc w:val="center"/>
              <w:ind w:right="305"/>
              <w:spacing w:after="0" w:line="201" w:lineRule="exact"/>
              <w:rPr>
                <w:sz w:val="20"/>
                <w:szCs w:val="20"/>
                <w:color w:val="auto"/>
              </w:rPr>
            </w:pPr>
            <w:r>
              <w:rPr>
                <w:rFonts w:ascii="Arial" w:cs="Arial" w:eastAsia="Arial" w:hAnsi="Arial"/>
                <w:sz w:val="18"/>
                <w:szCs w:val="18"/>
                <w:color w:val="auto"/>
                <w:w w:val="90"/>
              </w:rPr>
              <w:t>August 2017</w:t>
            </w: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5"/>
              </w:rPr>
              <w:t>Libor (Minimum 6.25%)</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31,897</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6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 financing</w:t>
            </w: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89"/>
              </w:rPr>
              <w:t>11.75% over one month</w:t>
            </w:r>
          </w:p>
        </w:tc>
        <w:tc>
          <w:tcPr>
            <w:tcW w:w="2540" w:type="dxa"/>
            <w:vAlign w:val="bottom"/>
            <w:gridSpan w:val="3"/>
            <w:shd w:val="clear" w:color="auto" w:fill="EEEEEE"/>
          </w:tcPr>
          <w:p>
            <w:pPr>
              <w:jc w:val="center"/>
              <w:ind w:right="305"/>
              <w:spacing w:after="0" w:line="201" w:lineRule="exact"/>
              <w:rPr>
                <w:sz w:val="20"/>
                <w:szCs w:val="20"/>
                <w:color w:val="auto"/>
              </w:rPr>
            </w:pPr>
            <w:r>
              <w:rPr>
                <w:rFonts w:ascii="Arial" w:cs="Arial" w:eastAsia="Arial" w:hAnsi="Arial"/>
                <w:sz w:val="18"/>
                <w:szCs w:val="18"/>
                <w:color w:val="auto"/>
                <w:w w:val="98"/>
              </w:rPr>
              <w:t>April 2018</w:t>
            </w: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9"/>
              </w:rPr>
              <w:t>Libor</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12,767</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19,096</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40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7"/>
              </w:rPr>
              <w:t>n/a</w:t>
            </w:r>
          </w:p>
        </w:tc>
        <w:tc>
          <w:tcPr>
            <w:tcW w:w="2540" w:type="dxa"/>
            <w:vAlign w:val="bottom"/>
            <w:gridSpan w:val="3"/>
            <w:shd w:val="clear" w:color="auto" w:fill="EEEEEE"/>
          </w:tcPr>
          <w:p>
            <w:pPr>
              <w:jc w:val="center"/>
              <w:ind w:right="305"/>
              <w:spacing w:after="0" w:line="201" w:lineRule="exact"/>
              <w:rPr>
                <w:sz w:val="20"/>
                <w:szCs w:val="20"/>
                <w:color w:val="auto"/>
              </w:rPr>
            </w:pPr>
            <w:r>
              <w:rPr>
                <w:rFonts w:ascii="Arial" w:cs="Arial" w:eastAsia="Arial" w:hAnsi="Arial"/>
                <w:sz w:val="18"/>
                <w:szCs w:val="18"/>
                <w:color w:val="auto"/>
                <w:w w:val="88"/>
              </w:rPr>
              <w:t>Repayment is based on</w:t>
            </w: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92"/>
              </w:rPr>
              <w:t>payments from underlying</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89"/>
              </w:rPr>
              <w:t>receivables. Final payment</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90"/>
              </w:rPr>
              <w:t>of the 8.00% loan was</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88"/>
              </w:rPr>
              <w:t>made in September 2013,</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91"/>
              </w:rPr>
              <w:t>with residual payments</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90"/>
              </w:rPr>
              <w:t>extending through 2016</w:t>
            </w: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3,170</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Senior secured debt, related</w:t>
            </w:r>
          </w:p>
        </w:tc>
        <w:tc>
          <w:tcPr>
            <w:tcW w:w="2160" w:type="dxa"/>
            <w:vAlign w:val="bottom"/>
            <w:shd w:val="clear" w:color="auto" w:fill="EEEEEE"/>
          </w:tcPr>
          <w:p>
            <w:pPr>
              <w:jc w:val="right"/>
              <w:ind w:right="670"/>
              <w:spacing w:after="0" w:line="201" w:lineRule="exact"/>
              <w:rPr>
                <w:sz w:val="20"/>
                <w:szCs w:val="20"/>
                <w:color w:val="auto"/>
              </w:rPr>
            </w:pPr>
            <w:r>
              <w:rPr>
                <w:rFonts w:ascii="Arial" w:cs="Arial" w:eastAsia="Arial" w:hAnsi="Arial"/>
                <w:sz w:val="18"/>
                <w:szCs w:val="18"/>
                <w:color w:val="auto"/>
              </w:rPr>
              <w:t>13.00%</w:t>
            </w:r>
          </w:p>
        </w:tc>
        <w:tc>
          <w:tcPr>
            <w:tcW w:w="240" w:type="dxa"/>
            <w:vAlign w:val="bottom"/>
            <w:shd w:val="clear" w:color="auto" w:fill="EEEEEE"/>
          </w:tcPr>
          <w:p>
            <w:pPr>
              <w:spacing w:after="0"/>
              <w:rPr>
                <w:sz w:val="17"/>
                <w:szCs w:val="17"/>
                <w:color w:val="auto"/>
              </w:rPr>
            </w:pPr>
          </w:p>
        </w:tc>
        <w:tc>
          <w:tcPr>
            <w:tcW w:w="254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87"/>
              </w:rPr>
              <w:t>n/a</w:t>
            </w: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party</w:t>
            </w: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37,128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EEEEEE"/>
          </w:tcPr>
          <w:p>
            <w:pPr>
              <w:spacing w:after="0"/>
              <w:rPr>
                <w:sz w:val="18"/>
                <w:szCs w:val="18"/>
                <w:color w:val="auto"/>
              </w:rPr>
            </w:pPr>
          </w:p>
        </w:tc>
        <w:tc>
          <w:tcPr>
            <w:tcW w:w="254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7"/>
              </w:rPr>
              <w:t>n/a</w:t>
            </w: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Subordinated renewable notes</w:t>
            </w: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89"/>
              </w:rPr>
              <w:t>Weighted average rate of</w:t>
            </w:r>
          </w:p>
        </w:tc>
        <w:tc>
          <w:tcPr>
            <w:tcW w:w="254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90"/>
              </w:rPr>
              <w:t>Weighted average maturity</w:t>
            </w: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10.8% and 12.5% at</w:t>
            </w:r>
          </w:p>
        </w:tc>
        <w:tc>
          <w:tcPr>
            <w:tcW w:w="254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2"/>
              </w:rPr>
              <w:t>of May 2016 and July</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7"/>
              </w:rPr>
              <w:t>September 30, 2014 and</w:t>
            </w:r>
          </w:p>
        </w:tc>
        <w:tc>
          <w:tcPr>
            <w:tcW w:w="254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8"/>
              </w:rPr>
              <w:t>2015 at September 30,</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December 31, 2013,</w:t>
            </w: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89"/>
              </w:rPr>
              <w:t>2014 and December 31,</w:t>
            </w: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respectively</w:t>
            </w:r>
          </w:p>
        </w:tc>
        <w:tc>
          <w:tcPr>
            <w:tcW w:w="2540" w:type="dxa"/>
            <w:vAlign w:val="bottom"/>
            <w:gridSpan w:val="3"/>
            <w:shd w:val="clear" w:color="auto" w:fill="EEEEEE"/>
          </w:tcPr>
          <w:p>
            <w:pPr>
              <w:jc w:val="center"/>
              <w:ind w:right="305"/>
              <w:spacing w:after="0"/>
              <w:rPr>
                <w:sz w:val="20"/>
                <w:szCs w:val="20"/>
                <w:color w:val="auto"/>
              </w:rPr>
            </w:pPr>
            <w:r>
              <w:rPr>
                <w:rFonts w:ascii="Arial" w:cs="Arial" w:eastAsia="Arial" w:hAnsi="Arial"/>
                <w:sz w:val="18"/>
                <w:szCs w:val="18"/>
                <w:color w:val="auto"/>
                <w:w w:val="90"/>
              </w:rPr>
              <w:t>2013, respectively</w:t>
            </w: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15,493</w:t>
            </w:r>
          </w:p>
        </w:tc>
        <w:tc>
          <w:tcPr>
            <w:tcW w:w="2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19,142</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January and March 2014 we prepaid, without penalty, $10 million and $28.4 million, respectively, of senior secured debt, related party. The debt was scheduled to mature in June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73,781</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60,462</w:t>
            </w:r>
          </w:p>
        </w:tc>
        <w:tc>
          <w:tcPr>
            <w:tcW w:w="1160" w:type="dxa"/>
            <w:vAlign w:val="bottom"/>
            <w:gridSpan w:val="2"/>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206,761</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167,416</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EEEEEE"/>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73,865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60,462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207,082</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9,582</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8,357</w:t>
            </w:r>
          </w:p>
        </w:tc>
        <w:tc>
          <w:tcPr>
            <w:tcW w:w="1160" w:type="dxa"/>
            <w:vAlign w:val="bottom"/>
            <w:gridSpan w:val="2"/>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28,279</w:t>
            </w:r>
          </w:p>
        </w:tc>
        <w:tc>
          <w:tcPr>
            <w:tcW w:w="780" w:type="dxa"/>
            <w:vAlign w:val="bottom"/>
            <w:gridSpan w:val="2"/>
            <w:shd w:val="clear" w:color="auto" w:fill="EEEEEE"/>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3,646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1,599</w:t>
            </w: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1,545</w:t>
            </w:r>
          </w:p>
        </w:tc>
        <w:tc>
          <w:tcPr>
            <w:tcW w:w="1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12,239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13,853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37,562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Earnings per share for the three-month and nine-month periods ended September 30, 2014 and 2013 were calculated using the weighted average number of shares outstanding for the related period. The following table reconciles the number of shares used in the computations of basic and diluted earnings per share for the three-month and nine-month periods ended September 30, 2014 and 2013:</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right="80" w:hanging="197"/>
        <w:spacing w:after="0" w:line="264"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181" w:lineRule="exact"/>
        <w:rPr>
          <w:sz w:val="20"/>
          <w:szCs w:val="20"/>
          <w:color w:val="auto"/>
        </w:rPr>
      </w:pPr>
    </w:p>
    <w:p>
      <w:pPr>
        <w:ind w:left="200" w:right="220" w:hanging="197"/>
        <w:spacing w:after="0" w:line="342" w:lineRule="auto"/>
        <w:rPr>
          <w:sz w:val="20"/>
          <w:szCs w:val="20"/>
          <w:color w:val="auto"/>
        </w:rPr>
      </w:pPr>
      <w:r>
        <w:rPr>
          <w:rFonts w:ascii="Arial" w:cs="Arial" w:eastAsia="Arial" w:hAnsi="Arial"/>
          <w:sz w:val="16"/>
          <w:szCs w:val="16"/>
          <w:color w:val="auto"/>
        </w:rPr>
        <w:t>Incremental common shares attributable to exercise of outstanding options and warrants</w:t>
      </w:r>
    </w:p>
    <w:p>
      <w:pPr>
        <w:spacing w:after="0" w:line="151" w:lineRule="exact"/>
        <w:rPr>
          <w:sz w:val="20"/>
          <w:szCs w:val="20"/>
          <w:color w:val="auto"/>
        </w:rPr>
      </w:pPr>
    </w:p>
    <w:p>
      <w:pPr>
        <w:ind w:left="200" w:hanging="197"/>
        <w:spacing w:after="0" w:line="308" w:lineRule="auto"/>
        <w:rPr>
          <w:sz w:val="20"/>
          <w:szCs w:val="20"/>
          <w:color w:val="auto"/>
        </w:rPr>
      </w:pPr>
      <w:r>
        <w:rPr>
          <w:rFonts w:ascii="Arial" w:cs="Arial" w:eastAsia="Arial" w:hAnsi="Arial"/>
          <w:sz w:val="17"/>
          <w:szCs w:val="17"/>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9"/>
                <w:szCs w:val="19"/>
                <w:color w:val="auto"/>
              </w:rPr>
            </w:pPr>
          </w:p>
        </w:tc>
      </w:tr>
      <w:tr>
        <w:trPr>
          <w:trHeight w:val="234"/>
        </w:trPr>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r>
      <w:tr>
        <w:trPr>
          <w:trHeight w:val="22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r>
      <w:tr>
        <w:trPr>
          <w:trHeight w:val="228"/>
        </w:trPr>
        <w:tc>
          <w:tcPr>
            <w:tcW w:w="1040" w:type="dxa"/>
            <w:vAlign w:val="bottom"/>
          </w:tcPr>
          <w:p>
            <w:pPr>
              <w:spacing w:after="0"/>
              <w:rPr>
                <w:sz w:val="19"/>
                <w:szCs w:val="19"/>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19"/>
                <w:szCs w:val="19"/>
                <w:color w:val="auto"/>
              </w:rPr>
            </w:pPr>
          </w:p>
        </w:tc>
      </w:tr>
      <w:tr>
        <w:trPr>
          <w:trHeight w:val="630"/>
        </w:trPr>
        <w:tc>
          <w:tcPr>
            <w:tcW w:w="10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25,290</w:t>
            </w:r>
          </w:p>
        </w:tc>
        <w:tc>
          <w:tcPr>
            <w:tcW w:w="10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21,795</w:t>
            </w:r>
          </w:p>
        </w:tc>
        <w:tc>
          <w:tcPr>
            <w:tcW w:w="9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24,895</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20,959</w:t>
            </w:r>
          </w:p>
        </w:tc>
      </w:tr>
      <w:tr>
        <w:trPr>
          <w:trHeight w:val="662"/>
        </w:trPr>
        <w:tc>
          <w:tcPr>
            <w:tcW w:w="10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6,750</w:t>
            </w:r>
          </w:p>
        </w:tc>
        <w:tc>
          <w:tcPr>
            <w:tcW w:w="10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9,422</w:t>
            </w:r>
          </w:p>
        </w:tc>
        <w:tc>
          <w:tcPr>
            <w:tcW w:w="9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7,126</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10,591</w:t>
            </w:r>
          </w:p>
        </w:tc>
      </w:tr>
      <w:tr>
        <w:trPr>
          <w:trHeight w:val="20"/>
        </w:trPr>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669"/>
        </w:trPr>
        <w:tc>
          <w:tcPr>
            <w:tcW w:w="10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32,040</w:t>
            </w:r>
          </w:p>
        </w:tc>
        <w:tc>
          <w:tcPr>
            <w:tcW w:w="10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31,217</w:t>
            </w:r>
          </w:p>
        </w:tc>
        <w:tc>
          <w:tcPr>
            <w:tcW w:w="9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32,021</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31,550</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-1294130</wp:posOffset>
            </wp:positionV>
            <wp:extent cx="72466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-745490</wp:posOffset>
            </wp:positionV>
            <wp:extent cx="724662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-316865</wp:posOffset>
            </wp:positionV>
            <wp:extent cx="724662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60"/>
            <w:col w:w="7520"/>
          </w:cols>
          <w:pgMar w:left="240" w:top="661" w:right="239" w:bottom="1440" w:gutter="0" w:footer="0" w:header="0"/>
          <w:type w:val="continuous"/>
        </w:sect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2014 would have included an additional 4.0 and 3.1 million shares, respectively attributable to the exercise of outstanding options and warrants. For the three-month and nine-month periods ended September 30, 2013, the anti-dilutive shares were 3.1 million and 1.9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2010.</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September 30, 2014 and December 31, 2013,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$46.6 million as of September 30, 2014 is more likely than not based on forecasted future net earnings. Our net deferred tax asset of $46.6 million consists of approximately $35.2 million of net U.S. federal deferred tax assets and $11.4 million of net state deferred tax assets. We estimate that we would need to generate approximately $108 million of taxable income during the applicable carryforward periods to realize fully our federal and state net deferred tax assets.</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Income tax expense was $6.0 million and $16.4 million for the three months and nine months ended September 30, 2014 and represents an effective income tax rate of 44% and 43%, respectively, compared to income tax expense of $4.7 million and $11.2 million for the three months and nine months ended September 30, 2013, representing effective income tax rates of 44% and 43%, respectively.</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several years a defendant in a class action (the “Stanwich Case”) brought in the California Superior Court, Los</w:t>
      </w:r>
      <w:r>
        <w:rPr>
          <w:rFonts w:ascii="Arial" w:cs="Arial" w:eastAsia="Arial" w:hAnsi="Arial"/>
          <w:sz w:val="18"/>
          <w:szCs w:val="18"/>
          <w:i w:val="1"/>
          <w:iCs w:val="1"/>
          <w:color w:val="auto"/>
        </w:rPr>
        <w:t xml:space="preserve"> </w:t>
      </w:r>
      <w:r>
        <w:rPr>
          <w:rFonts w:ascii="Arial" w:cs="Arial" w:eastAsia="Arial" w:hAnsi="Arial"/>
          <w:sz w:val="18"/>
          <w:szCs w:val="18"/>
          <w:color w:val="auto"/>
        </w:rPr>
        <w:t>Angeles 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November 2001, one of the defendants in the Stanwich Case, Jonathan Pardee, asserted claims for indemnity against us in a separate action, which was removed from state court to federal district court in Rhode Island. We filed counterclaims in the Rhode Island federal court against Mr. Pardee, and have filed a separate action, in the same court, against the Rhode Island law firm that represented Mr. Pardee. The litigation between Mr. Pardee and us was stayed for several years through September 2011, awaiting resolution of an adversary action brought against Mr. Pardee in the bankruptcy court, which is hearing the bankruptcy of Stanwich.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Pursuant to an agreement with the representative of creditors in the Stanwich bankruptcy, that adversary action was dismissed. Under that agreement, we paid the bankruptcy estate $800,000 and abandoned our claims against the estate, while the estate has abandoned its adversary action against Mr. Pardee. With the dismissal of the adversary action, all known claims asserted against Mr. Pardee were resolved without his incurring any liability. Accordingly, we believe that this resolution of the adversary action resulted in limitation of our exposure to Mr. Pardee to no more than some portion of his attorneys fees incurred. The stay in the action against us in Rhode Island was subsequently lifted, and the matter was set for trial, to commence September 12, 2014. The issues remaining for trial were the extent of our obligation to indemnify Mr. Pardee. Shortly before trial was to commence we reached a settlement, pursuant to which we paid $5.99 million to Mr. Pardee, and all of his claims against us were fully and finally discharged.</w:t>
      </w:r>
    </w:p>
    <w:p>
      <w:pPr>
        <w:spacing w:after="0" w:line="16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separate lawsuit between us and Mr. Pardee's Rhode Island law firm has not been resolved. There can be no assurance that we will recover anything against that firm, and it is possible that the counterclaim of that firm against us could result in our incurring liability, in an amount not expected to be material.</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September 30, 2014 with respect to such matters, in the aggregate.</w:t>
      </w:r>
    </w:p>
    <w:p>
      <w:pPr>
        <w:spacing w:after="0" w:line="17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In July 2013, the staff of the U.S. Federal Trade Commission (“FTC”) advised us that they were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paid a $2 million penalty to the federal government in June 2014, and implemented procedural changes, all pursuant to a consent decree that was entered by the court in June 2014.</w:t>
      </w:r>
    </w:p>
    <w:p>
      <w:pPr>
        <w:spacing w:after="0" w:line="16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September 30, 2014,</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September 30, 2014, and in excess of the liability we have recorded, is from $0 to $1.3 million.</w:t>
      </w:r>
    </w:p>
    <w:p>
      <w:pPr>
        <w:spacing w:after="0" w:line="1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nine-month periods ended September 30,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080" w:type="dxa"/>
            <w:vAlign w:val="bottom"/>
            <w:gridSpan w:val="5"/>
          </w:tcPr>
          <w:p>
            <w:pPr>
              <w:jc w:val="center"/>
              <w:ind w:left="39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gridSpan w:val="4"/>
          </w:tcPr>
          <w:p>
            <w:pPr>
              <w:jc w:val="center"/>
              <w:ind w:right="525"/>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0"/>
                <w:szCs w:val="20"/>
                <w:color w:val="auto"/>
              </w:rPr>
            </w:pPr>
          </w:p>
        </w:tc>
      </w:tr>
      <w:tr>
        <w:trPr>
          <w:trHeight w:val="210"/>
        </w:trPr>
        <w:tc>
          <w:tcPr>
            <w:tcW w:w="3900" w:type="dxa"/>
            <w:vAlign w:val="bottom"/>
            <w:tcBorders>
              <w:bottom w:val="single" w:sz="8" w:color="EEEEEE"/>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center"/>
              <w:ind w:right="54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r>
      <w:tr>
        <w:trPr>
          <w:trHeight w:val="223"/>
        </w:trPr>
        <w:tc>
          <w:tcPr>
            <w:tcW w:w="390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contributed $237,000 to the Plan during the nine-month period ended September 30, 2014 and we do not anticipate making any further contributions for the remainder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$135,000 as of September 30, 2014 and $854,000 as of December 31, 2013 and is classified as level 3 in the three-level valuation hierarchy. We determine the value of that residual interest using a discounted cash flow model that includes estimates for prepayments and losses. We used a discount rate of 20% per annum and a cumulative net loss rate of 15% at September 30, 2014 and December 31, 2013. The assumptions we used are based on historical performance of automobile contracts we have originated and serviced in the past, adjusted for current market conditions.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7"/>
              </w:rPr>
              <w:t>September 30,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5,686</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30,319</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14,476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4"/>
              </w:rPr>
              <w:t>(3,057)</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4"/>
              </w:rPr>
              <w:t>(8,848)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(10,930)</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8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(740)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722</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Mark to fair value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top w:val="single" w:sz="8" w:color="auto"/>
              <w:bottom w:val="single" w:sz="8" w:color="auto"/>
            </w:tcBorders>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21,217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tcPr>
          <w:p>
            <w:pPr>
              <w:spacing w:after="0" w:line="198" w:lineRule="exact"/>
              <w:rPr>
                <w:sz w:val="20"/>
                <w:szCs w:val="20"/>
                <w:color w:val="auto"/>
              </w:rPr>
            </w:pPr>
            <w:r>
              <w:rPr>
                <w:rFonts w:ascii="Arial" w:cs="Arial" w:eastAsia="Arial" w:hAnsi="Arial"/>
                <w:sz w:val="18"/>
                <w:szCs w:val="18"/>
                <w:b w:val="1"/>
                <w:bCs w:val="1"/>
                <w:color w:val="auto"/>
              </w:rPr>
              <w:t>Debt Secured by Finance Receivables Measured at Fair</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b w:val="1"/>
                <w:bCs w:val="1"/>
                <w:color w:val="auto"/>
              </w:rPr>
              <w:t>Value: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880" w:type="dxa"/>
            <w:vAlign w:val="bottom"/>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5,392</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7"/>
              </w:rPr>
              <w:t>21,907</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payments on debt at fair value</w:t>
            </w:r>
          </w:p>
        </w:tc>
        <w:tc>
          <w:tcPr>
            <w:tcW w:w="8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(2,363)</w:t>
            </w: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(5,107)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(10,917)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Premium accretion</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141</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631</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Mark to fair value</w:t>
            </w:r>
          </w:p>
        </w:tc>
        <w:tc>
          <w:tcPr>
            <w:tcW w:w="8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339</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3,170</w:t>
            </w:r>
          </w:p>
        </w:tc>
        <w:tc>
          <w:tcPr>
            <w:tcW w:w="3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16,888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3,170</w:t>
            </w: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Reduction for payments collected and payable</w:t>
            </w:r>
          </w:p>
        </w:tc>
        <w:tc>
          <w:tcPr>
            <w:tcW w:w="8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(592)</w:t>
            </w: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Adjusted balance at end of period</w:t>
            </w:r>
          </w:p>
        </w:tc>
        <w:tc>
          <w:tcPr>
            <w:tcW w:w="880" w:type="dxa"/>
            <w:vAlign w:val="bottom"/>
            <w:tcBorders>
              <w:top w:val="single" w:sz="8" w:color="auto"/>
              <w:bottom w:val="single" w:sz="8" w:color="auto"/>
            </w:tcBorders>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16,318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September 30, 2014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ind w:left="6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w w:val="95"/>
              </w:rPr>
              <w:t>Contractual</w:t>
            </w:r>
          </w:p>
        </w:tc>
        <w:tc>
          <w:tcPr>
            <w:tcW w:w="1120" w:type="dxa"/>
            <w:vAlign w:val="bottom"/>
            <w:tcBorders>
              <w:top w:val="single" w:sz="8" w:color="auto"/>
            </w:tcBorders>
          </w:tcPr>
          <w:p>
            <w:pPr>
              <w:jc w:val="center"/>
              <w:ind w:left="530"/>
              <w:spacing w:after="0" w:line="205" w:lineRule="exact"/>
              <w:rPr>
                <w:sz w:val="20"/>
                <w:szCs w:val="20"/>
                <w:color w:val="auto"/>
              </w:rPr>
            </w:pPr>
            <w:r>
              <w:rPr>
                <w:rFonts w:ascii="Arial" w:cs="Arial" w:eastAsia="Arial" w:hAnsi="Arial"/>
                <w:sz w:val="18"/>
                <w:szCs w:val="18"/>
                <w:b w:val="1"/>
                <w:bCs w:val="1"/>
                <w:color w:val="auto"/>
              </w:rPr>
              <w:t>Fair</w:t>
            </w: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w w:val="97"/>
              </w:rPr>
              <w:t>Contractual</w:t>
            </w: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Balance</w:t>
            </w:r>
          </w:p>
        </w:tc>
        <w:tc>
          <w:tcPr>
            <w:tcW w:w="112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Value</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4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3,202</w:t>
            </w:r>
          </w:p>
        </w:tc>
        <w:tc>
          <w:tcPr>
            <w:tcW w:w="112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3,202</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14,786</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6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3,170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2014, the finance receivables related to the repossessed vehicles in inventory totaled $31.3 million. We have applied a valuation adjustment, or loss allowance, of $19.2 million, which is based on a recovery rate of approximately 39%, resulting in an estimated fair value and carrying amount of $12.1 million. The fair value and carrying amount of the repossessed inventory at December 31, 2013 was $10.0 million after applying a valuation adjustment of $14.8 million.</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and nine months ended September 30, 2014 and 2013. We have no level 3 assets that are measured at fair value on a non-recurring basis. The table below presents a reconciliation for level 3 assets measured at fair value on a recurring basis using significant unobservable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40" w:type="dxa"/>
            <w:vAlign w:val="bottom"/>
            <w:gridSpan w:val="4"/>
          </w:tcPr>
          <w:p>
            <w:pPr>
              <w:jc w:val="center"/>
              <w:ind w:left="376"/>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8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0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Pr>
          <w:p>
            <w:pPr>
              <w:jc w:val="right"/>
              <w:ind w:right="83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2,246</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Cash paid (received) during period</w:t>
            </w:r>
          </w:p>
        </w:tc>
        <w:tc>
          <w:tcPr>
            <w:tcW w:w="10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9"/>
              </w:rPr>
              <w:t>(209)</w:t>
            </w:r>
          </w:p>
        </w:tc>
        <w:tc>
          <w:tcPr>
            <w:tcW w:w="9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(1,039)</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(3,398)</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Included in earnings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shd w:val="clear" w:color="auto" w:fill="EEEEEE"/>
          </w:tcPr>
          <w:p>
            <w:pPr>
              <w:jc w:val="right"/>
              <w:ind w:right="83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1,426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certain qualitative information about our level 3 fair value measurements for assets and liabilities carried at fair value: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Financial</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Instrument</w:t>
            </w:r>
          </w:p>
        </w:tc>
        <w:tc>
          <w:tcPr>
            <w:tcW w:w="90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Arial" w:cs="Arial" w:eastAsia="Arial" w:hAnsi="Arial"/>
                <w:sz w:val="18"/>
                <w:szCs w:val="18"/>
                <w:b w:val="1"/>
                <w:bCs w:val="1"/>
                <w:color w:val="auto"/>
              </w:rPr>
              <w:t>Fair Values as of</w:t>
            </w: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3140" w:type="dxa"/>
            <w:vAlign w:val="bottom"/>
            <w:gridSpan w:val="4"/>
          </w:tcPr>
          <w:p>
            <w:pPr>
              <w:ind w:left="106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auto"/>
            </w:tcBorders>
            <w:gridSpan w:val="2"/>
          </w:tcPr>
          <w:p>
            <w:pPr>
              <w:jc w:val="center"/>
              <w:ind w:right="9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80" w:type="dxa"/>
            <w:vAlign w:val="bottom"/>
            <w:tcBorders>
              <w:top w:val="single" w:sz="8" w:color="auto"/>
            </w:tcBorders>
            <w:gridSpan w:val="2"/>
          </w:tcPr>
          <w:p>
            <w:pPr>
              <w:ind w:left="120"/>
              <w:spacing w:after="0" w:line="205" w:lineRule="exact"/>
              <w:rPr>
                <w:sz w:val="20"/>
                <w:szCs w:val="20"/>
                <w:color w:val="auto"/>
              </w:rPr>
            </w:pPr>
            <w:r>
              <w:rPr>
                <w:rFonts w:ascii="Arial" w:cs="Arial" w:eastAsia="Arial" w:hAnsi="Arial"/>
                <w:sz w:val="18"/>
                <w:szCs w:val="18"/>
                <w:b w:val="1"/>
                <w:bCs w:val="1"/>
                <w:color w:val="auto"/>
              </w:rPr>
              <w:t>September 30,</w:t>
            </w:r>
          </w:p>
        </w:tc>
        <w:tc>
          <w:tcPr>
            <w:tcW w:w="136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Techniques</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w w:val="96"/>
              </w:rPr>
              <w:t>(In thousands)</w:t>
            </w:r>
          </w:p>
        </w:tc>
        <w:tc>
          <w:tcPr>
            <w:tcW w:w="3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9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measured at fair</w:t>
            </w: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1"/>
              </w:rPr>
              <w:t>Discounted</w:t>
            </w:r>
          </w:p>
        </w:tc>
        <w:tc>
          <w:tcPr>
            <w:tcW w:w="1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3,202</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14,476</w:t>
            </w:r>
          </w:p>
        </w:tc>
        <w:tc>
          <w:tcPr>
            <w:tcW w:w="14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cash flows</w:t>
            </w:r>
          </w:p>
        </w:tc>
        <w:tc>
          <w:tcPr>
            <w:tcW w:w="15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Cumulative net</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losses</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8"/>
              </w:rPr>
              <w:t>Monthly</w:t>
            </w: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6"/>
              </w:rPr>
              <w:t>average</w:t>
            </w: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prepayments</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 in</w:t>
            </w:r>
          </w:p>
        </w:tc>
        <w:tc>
          <w:tcPr>
            <w:tcW w:w="9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Discounted</w:t>
            </w:r>
          </w:p>
        </w:tc>
        <w:tc>
          <w:tcPr>
            <w:tcW w:w="1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securitizations</w:t>
            </w:r>
          </w:p>
        </w:tc>
        <w:tc>
          <w:tcPr>
            <w:tcW w:w="900" w:type="dxa"/>
            <w:vAlign w:val="bottom"/>
            <w:shd w:val="clear" w:color="auto" w:fill="EEEEEE"/>
          </w:tcPr>
          <w:p>
            <w:pPr>
              <w:spacing w:after="0"/>
              <w:rPr>
                <w:sz w:val="20"/>
                <w:szCs w:val="20"/>
                <w:color w:val="auto"/>
              </w:rPr>
            </w:pPr>
          </w:p>
        </w:tc>
        <w:tc>
          <w:tcPr>
            <w:tcW w:w="6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854</w:t>
            </w:r>
          </w:p>
        </w:tc>
        <w:tc>
          <w:tcPr>
            <w:tcW w:w="14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cash flows</w:t>
            </w:r>
          </w:p>
        </w:tc>
        <w:tc>
          <w:tcPr>
            <w:tcW w:w="15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Cumulative net</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losses</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8"/>
              </w:rPr>
              <w:t>Monthly</w:t>
            </w: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6"/>
              </w:rPr>
              <w:t>average</w:t>
            </w: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prepayments</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Debt secured by</w:t>
            </w:r>
          </w:p>
        </w:tc>
        <w:tc>
          <w:tcPr>
            <w:tcW w:w="9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measured at fair</w:t>
            </w:r>
          </w:p>
        </w:tc>
        <w:tc>
          <w:tcPr>
            <w:tcW w:w="9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1"/>
              </w:rPr>
              <w:t>Discounted</w:t>
            </w:r>
          </w:p>
        </w:tc>
        <w:tc>
          <w:tcPr>
            <w:tcW w:w="1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900" w:type="dxa"/>
            <w:vAlign w:val="bottom"/>
            <w:shd w:val="clear" w:color="auto" w:fill="EEEEEE"/>
          </w:tcPr>
          <w:p>
            <w:pPr>
              <w:spacing w:after="0"/>
              <w:rPr>
                <w:sz w:val="20"/>
                <w:szCs w:val="20"/>
                <w:color w:val="auto"/>
              </w:rPr>
            </w:pPr>
          </w:p>
        </w:tc>
        <w:tc>
          <w:tcPr>
            <w:tcW w:w="6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3,170</w:t>
            </w: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13,117</w:t>
            </w:r>
          </w:p>
        </w:tc>
        <w:tc>
          <w:tcPr>
            <w:tcW w:w="14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cash flows</w:t>
            </w:r>
          </w:p>
        </w:tc>
        <w:tc>
          <w:tcPr>
            <w:tcW w:w="15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16"/>
          </w:tcPr>
          <w:p>
            <w:pPr>
              <w:ind w:left="500"/>
              <w:spacing w:after="0"/>
              <w:rPr>
                <w:sz w:val="20"/>
                <w:szCs w:val="20"/>
                <w:color w:val="auto"/>
              </w:rPr>
            </w:pPr>
            <w:r>
              <w:rPr>
                <w:rFonts w:ascii="Arial" w:cs="Arial" w:eastAsia="Arial" w:hAnsi="Arial"/>
                <w:sz w:val="18"/>
                <w:szCs w:val="18"/>
                <w:color w:val="auto"/>
                <w:w w:val="96"/>
              </w:rPr>
              <w:t>The estimated fair values of financial assets and liabilities at September 30, 2014 and December 31, 2013, were as follows: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As of September 30, 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13,136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13,136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13,136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174,634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174,634</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174,634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1,407,809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1,394,872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1,394,872</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3,202</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21,600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21,600</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59,442</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59,442</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59,442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2,486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12,767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12,767</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3,170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3,170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1,496,545</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1,496,545</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1,496,545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15,493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15,493</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431"/>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As of December 31, 2013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22,112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22,112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132,284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132,284</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1,115,437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1,100,153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1,100,153</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14,476</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18,670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18,670</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9,452</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9,452</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2,908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19,096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19,096</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13,117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1,189,086</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1,189,086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Senior secured debt, related party</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38,559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38,559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19,142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19,142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648"/>
        </w:trPr>
        <w:tc>
          <w:tcPr>
            <w:tcW w:w="1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September 30, 2014 and December 31, 2013,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Related Party and Subordinated Renewable Notes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September 30, 2014, we have purchased a total of approximately $11.1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40" w:type="dxa"/>
            <w:vAlign w:val="bottom"/>
            <w:gridSpan w:val="5"/>
          </w:tcPr>
          <w:p>
            <w:pPr>
              <w:ind w:left="1820"/>
              <w:spacing w:after="0"/>
              <w:rPr>
                <w:sz w:val="20"/>
                <w:szCs w:val="20"/>
                <w:color w:val="auto"/>
              </w:rPr>
            </w:pPr>
            <w:r>
              <w:rPr>
                <w:rFonts w:ascii="Arial" w:cs="Arial" w:eastAsia="Arial" w:hAnsi="Arial"/>
                <w:sz w:val="18"/>
                <w:szCs w:val="18"/>
                <w:b w:val="1"/>
                <w:bCs w:val="1"/>
                <w:color w:val="auto"/>
                <w:w w:val="91"/>
              </w:rPr>
              <w:t>Contract Purchases and Outstanding Managed Portfolio</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5"/>
          </w:tcPr>
          <w:p>
            <w:pPr>
              <w:ind w:left="9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Contracts</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00" w:type="dxa"/>
            <w:vAlign w:val="bottom"/>
          </w:tcPr>
          <w:p>
            <w:pPr>
              <w:spacing w:after="0"/>
              <w:rPr>
                <w:sz w:val="16"/>
                <w:szCs w:val="16"/>
                <w:color w:val="auto"/>
              </w:rPr>
            </w:pPr>
          </w:p>
        </w:tc>
      </w:tr>
      <w:tr>
        <w:trPr>
          <w:trHeight w:val="234"/>
        </w:trPr>
        <w:tc>
          <w:tcPr>
            <w:tcW w:w="4340" w:type="dxa"/>
            <w:vAlign w:val="bottom"/>
            <w:gridSpan w:val="2"/>
          </w:tcPr>
          <w:p>
            <w:pPr>
              <w:ind w:left="1800"/>
              <w:spacing w:after="0"/>
              <w:rPr>
                <w:sz w:val="20"/>
                <w:szCs w:val="20"/>
                <w:color w:val="auto"/>
              </w:rPr>
            </w:pPr>
            <w:r>
              <w:rPr>
                <w:rFonts w:ascii="Arial" w:cs="Arial" w:eastAsia="Arial" w:hAnsi="Arial"/>
                <w:sz w:val="18"/>
                <w:szCs w:val="18"/>
                <w:b w:val="1"/>
                <w:bCs w:val="1"/>
                <w:color w:val="auto"/>
              </w:rPr>
              <w:t>Period</w:t>
            </w: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Purchased in Period</w:t>
            </w: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4120" w:type="dxa"/>
            <w:vAlign w:val="bottom"/>
            <w:tcBorders>
              <w:top w:val="single" w:sz="8" w:color="auto"/>
            </w:tcBorders>
            <w:shd w:val="clear" w:color="auto" w:fill="EEEEEE"/>
          </w:tcPr>
          <w:p>
            <w:pPr>
              <w:jc w:val="center"/>
              <w:ind w:left="30"/>
              <w:spacing w:after="0"/>
              <w:rPr>
                <w:sz w:val="20"/>
                <w:szCs w:val="20"/>
                <w:color w:val="auto"/>
              </w:rPr>
            </w:pPr>
            <w:r>
              <w:rPr>
                <w:rFonts w:ascii="Arial" w:cs="Arial" w:eastAsia="Arial" w:hAnsi="Arial"/>
                <w:sz w:val="18"/>
                <w:szCs w:val="18"/>
                <w:color w:val="333333"/>
                <w:w w:val="89"/>
              </w:rPr>
              <w:t>2008</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20" w:type="dxa"/>
            <w:vAlign w:val="bottom"/>
          </w:tcPr>
          <w:p>
            <w:pPr>
              <w:jc w:val="center"/>
              <w:ind w:left="30"/>
              <w:spacing w:after="0"/>
              <w:rPr>
                <w:sz w:val="20"/>
                <w:szCs w:val="20"/>
                <w:color w:val="auto"/>
              </w:rPr>
            </w:pPr>
            <w:r>
              <w:rPr>
                <w:rFonts w:ascii="Arial" w:cs="Arial" w:eastAsia="Arial" w:hAnsi="Arial"/>
                <w:sz w:val="18"/>
                <w:szCs w:val="18"/>
                <w:color w:val="333333"/>
                <w:w w:val="89"/>
              </w:rPr>
              <w:t>2009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1,194,722</w:t>
            </w:r>
          </w:p>
        </w:tc>
      </w:tr>
      <w:tr>
        <w:trPr>
          <w:trHeight w:val="216"/>
        </w:trPr>
        <w:tc>
          <w:tcPr>
            <w:tcW w:w="41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333333"/>
                <w:w w:val="89"/>
              </w:rPr>
              <w:t>2010</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113,023</w:t>
            </w:r>
          </w:p>
        </w:tc>
        <w:tc>
          <w:tcPr>
            <w:tcW w:w="1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756,203</w:t>
            </w:r>
          </w:p>
        </w:tc>
      </w:tr>
      <w:tr>
        <w:trPr>
          <w:trHeight w:val="216"/>
        </w:trPr>
        <w:tc>
          <w:tcPr>
            <w:tcW w:w="4120" w:type="dxa"/>
            <w:vAlign w:val="bottom"/>
          </w:tcPr>
          <w:p>
            <w:pPr>
              <w:jc w:val="center"/>
              <w:ind w:left="10"/>
              <w:spacing w:after="0"/>
              <w:rPr>
                <w:sz w:val="20"/>
                <w:szCs w:val="20"/>
                <w:color w:val="auto"/>
              </w:rPr>
            </w:pPr>
            <w:r>
              <w:rPr>
                <w:rFonts w:ascii="Arial" w:cs="Arial" w:eastAsia="Arial" w:hAnsi="Arial"/>
                <w:sz w:val="18"/>
                <w:szCs w:val="18"/>
                <w:color w:val="333333"/>
                <w:w w:val="84"/>
              </w:rPr>
              <w:t>2011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284,236</w:t>
            </w: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794,649</w:t>
            </w:r>
          </w:p>
        </w:tc>
      </w:tr>
      <w:tr>
        <w:trPr>
          <w:trHeight w:val="216"/>
        </w:trPr>
        <w:tc>
          <w:tcPr>
            <w:tcW w:w="41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333333"/>
                <w:w w:val="89"/>
              </w:rPr>
              <w:t>2012</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551,742</w:t>
            </w:r>
          </w:p>
        </w:tc>
        <w:tc>
          <w:tcPr>
            <w:tcW w:w="1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897,575</w:t>
            </w:r>
          </w:p>
        </w:tc>
      </w:tr>
      <w:tr>
        <w:trPr>
          <w:trHeight w:val="216"/>
        </w:trPr>
        <w:tc>
          <w:tcPr>
            <w:tcW w:w="4120" w:type="dxa"/>
            <w:vAlign w:val="bottom"/>
          </w:tcPr>
          <w:p>
            <w:pPr>
              <w:jc w:val="center"/>
              <w:ind w:left="30"/>
              <w:spacing w:after="0"/>
              <w:rPr>
                <w:sz w:val="20"/>
                <w:szCs w:val="20"/>
                <w:color w:val="auto"/>
              </w:rPr>
            </w:pPr>
            <w:r>
              <w:rPr>
                <w:rFonts w:ascii="Arial" w:cs="Arial" w:eastAsia="Arial" w:hAnsi="Arial"/>
                <w:sz w:val="18"/>
                <w:szCs w:val="18"/>
                <w:color w:val="333333"/>
                <w:w w:val="89"/>
              </w:rPr>
              <w:t>2013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764,087</w:t>
            </w: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43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9"/>
              </w:rPr>
              <w:t>Nine months ended September 30, 2014</w:t>
            </w: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680,569</w:t>
            </w:r>
          </w:p>
        </w:tc>
        <w:tc>
          <w:tcPr>
            <w:tcW w:w="1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1,518,664</w:t>
            </w:r>
          </w:p>
        </w:tc>
      </w:tr>
    </w:tbl>
    <w:p>
      <w:pPr>
        <w:spacing w:after="0" w:line="20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Since 1994 we have conducted 64 term securitizations (generally quarterly) of automobile contracts that we purchased from dealers under our regular programs. As of September 30, 2014, 16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we have one such residual interest financing outstanding.</w:t>
      </w:r>
    </w:p>
    <w:p>
      <w:pPr>
        <w:spacing w:after="0" w:line="21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September 30, 2014 included $87.8 million from the proceeds of the sale of the asset-backed notes that were held by the trustee pending delivery of the remaining receivables. In October 2014, the requisite additional receivables were delivered to the trust and we received the related restricted cash, most of which was used to repay amounts owed under our warehouse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Acquisitions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stated above, we have acquired approximately $822.3 million in finance receivables through four acquisitions. These transactions took place in 2002, 2003, 2004 and 2011. The 2011 acquisition consisted of approximately $217.8 million of finance receivables that we purchased from Fireside Bank of Pleasanton,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64 term securitizations of approximately $9.1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 Our recent history of term securitizations is summarized in the table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tbl>
      <w:tblPr>
        <w:tblLayout w:type="fixed"/>
        <w:tblInd w:w="1720" w:type="dxa"/>
        <w:tblCellMar>
          <w:top w:w="0" w:type="dxa"/>
          <w:left w:w="0" w:type="dxa"/>
          <w:bottom w:w="0" w:type="dxa"/>
          <w:right w:w="0" w:type="dxa"/>
        </w:tblCellMar>
      </w:tblPr>
      <w:tr>
        <w:trPr>
          <w:trHeight w:val="234"/>
        </w:trPr>
        <w:tc>
          <w:tcPr>
            <w:tcW w:w="6260" w:type="dxa"/>
            <w:vAlign w:val="bottom"/>
            <w:gridSpan w:val="4"/>
          </w:tcPr>
          <w:p>
            <w:pPr>
              <w:ind w:left="2360"/>
              <w:spacing w:after="0"/>
              <w:rPr>
                <w:sz w:val="20"/>
                <w:szCs w:val="20"/>
                <w:color w:val="auto"/>
              </w:rPr>
            </w:pPr>
            <w:r>
              <w:rPr>
                <w:rFonts w:ascii="Arial" w:cs="Arial" w:eastAsia="Arial" w:hAnsi="Arial"/>
                <w:sz w:val="18"/>
                <w:szCs w:val="18"/>
                <w:b w:val="1"/>
                <w:bCs w:val="1"/>
                <w:color w:val="auto"/>
              </w:rPr>
              <w:t>Recent Asset-Backed Term Securitizations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20" w:type="dxa"/>
            <w:vAlign w:val="bottom"/>
          </w:tcPr>
          <w:p>
            <w:pPr>
              <w:spacing w:after="0"/>
              <w:rPr>
                <w:sz w:val="16"/>
                <w:szCs w:val="16"/>
                <w:color w:val="auto"/>
              </w:rPr>
            </w:pPr>
          </w:p>
        </w:tc>
        <w:tc>
          <w:tcPr>
            <w:tcW w:w="16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Amount of Term</w:t>
            </w:r>
          </w:p>
        </w:tc>
      </w:tr>
      <w:tr>
        <w:trPr>
          <w:trHeight w:val="234"/>
        </w:trPr>
        <w:tc>
          <w:tcPr>
            <w:tcW w:w="4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Period</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Securitizations</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4280" w:type="dxa"/>
            <w:vAlign w:val="bottom"/>
            <w:tcBorders>
              <w:top w:val="single" w:sz="8" w:color="auto"/>
            </w:tcBorders>
            <w:shd w:val="clear" w:color="auto" w:fill="EEEEEE"/>
          </w:tcPr>
          <w:p>
            <w:pPr>
              <w:jc w:val="right"/>
              <w:ind w:right="183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280" w:type="dxa"/>
            <w:vAlign w:val="bottom"/>
          </w:tcPr>
          <w:p>
            <w:pPr>
              <w:jc w:val="right"/>
              <w:ind w:right="18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1,118,097</w:t>
            </w:r>
          </w:p>
        </w:tc>
      </w:tr>
      <w:tr>
        <w:trPr>
          <w:trHeight w:val="216"/>
        </w:trPr>
        <w:tc>
          <w:tcPr>
            <w:tcW w:w="4280" w:type="dxa"/>
            <w:vAlign w:val="bottom"/>
            <w:shd w:val="clear" w:color="auto" w:fill="EEEEEE"/>
          </w:tcPr>
          <w:p>
            <w:pPr>
              <w:jc w:val="right"/>
              <w:ind w:right="1830"/>
              <w:spacing w:after="0"/>
              <w:rPr>
                <w:sz w:val="20"/>
                <w:szCs w:val="20"/>
                <w:color w:val="auto"/>
              </w:rPr>
            </w:pPr>
            <w:r>
              <w:rPr>
                <w:rFonts w:ascii="Arial" w:cs="Arial" w:eastAsia="Arial" w:hAnsi="Arial"/>
                <w:sz w:val="18"/>
                <w:szCs w:val="18"/>
                <w:color w:val="333333"/>
              </w:rPr>
              <w:t>2008</w:t>
            </w:r>
          </w:p>
        </w:tc>
        <w:tc>
          <w:tcPr>
            <w:tcW w:w="20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4280" w:type="dxa"/>
            <w:vAlign w:val="bottom"/>
          </w:tcPr>
          <w:p>
            <w:pPr>
              <w:jc w:val="right"/>
              <w:ind w:right="1830"/>
              <w:spacing w:after="0"/>
              <w:rPr>
                <w:sz w:val="20"/>
                <w:szCs w:val="20"/>
                <w:color w:val="auto"/>
              </w:rPr>
            </w:pPr>
            <w:r>
              <w:rPr>
                <w:rFonts w:ascii="Arial" w:cs="Arial" w:eastAsia="Arial" w:hAnsi="Arial"/>
                <w:sz w:val="18"/>
                <w:szCs w:val="18"/>
                <w:color w:val="333333"/>
              </w:rPr>
              <w:t>2009</w:t>
            </w:r>
          </w:p>
        </w:tc>
        <w:tc>
          <w:tcPr>
            <w:tcW w:w="20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EEEEEE"/>
          </w:tcPr>
          <w:p>
            <w:pPr>
              <w:jc w:val="right"/>
              <w:ind w:right="1830"/>
              <w:spacing w:after="0"/>
              <w:rPr>
                <w:sz w:val="20"/>
                <w:szCs w:val="20"/>
                <w:color w:val="auto"/>
              </w:rPr>
            </w:pPr>
            <w:r>
              <w:rPr>
                <w:rFonts w:ascii="Arial" w:cs="Arial" w:eastAsia="Arial" w:hAnsi="Arial"/>
                <w:sz w:val="18"/>
                <w:szCs w:val="18"/>
                <w:color w:val="333333"/>
              </w:rPr>
              <w:t>2010</w:t>
            </w:r>
          </w:p>
        </w:tc>
        <w:tc>
          <w:tcPr>
            <w:tcW w:w="20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4280" w:type="dxa"/>
            <w:vAlign w:val="bottom"/>
          </w:tcPr>
          <w:p>
            <w:pPr>
              <w:jc w:val="right"/>
              <w:ind w:right="183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4280" w:type="dxa"/>
            <w:vAlign w:val="bottom"/>
            <w:shd w:val="clear" w:color="auto" w:fill="EEEEEE"/>
          </w:tcPr>
          <w:p>
            <w:pPr>
              <w:jc w:val="right"/>
              <w:ind w:right="183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4280" w:type="dxa"/>
            <w:vAlign w:val="bottom"/>
          </w:tcPr>
          <w:p>
            <w:pPr>
              <w:jc w:val="right"/>
              <w:ind w:right="1830"/>
              <w:spacing w:after="0"/>
              <w:rPr>
                <w:sz w:val="20"/>
                <w:szCs w:val="20"/>
                <w:color w:val="auto"/>
              </w:rPr>
            </w:pPr>
            <w:r>
              <w:rPr>
                <w:rFonts w:ascii="Arial" w:cs="Arial" w:eastAsia="Arial" w:hAnsi="Arial"/>
                <w:sz w:val="18"/>
                <w:szCs w:val="18"/>
                <w:color w:val="333333"/>
              </w:rPr>
              <w:t>2013</w:t>
            </w:r>
          </w:p>
        </w:tc>
        <w:tc>
          <w:tcPr>
            <w:tcW w:w="20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44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Nine months ended September 30, 2014</w:t>
            </w:r>
          </w:p>
        </w:tc>
        <w:tc>
          <w:tcPr>
            <w:tcW w:w="158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655,500</w:t>
            </w:r>
          </w:p>
        </w:tc>
      </w:tr>
    </w:tbl>
    <w:p>
      <w:pPr>
        <w:spacing w:after="0" w:line="20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2012 securitizations included $58.2 million in contracts that were repurchased in 2012 from securitizations closed in 2006 and 2007. Our 2013 securitizations included $7.4 million in contracts that were repurchased from a securitization closed in 2008. Since 2011 all of our securitizations have been structured as secured financings and none have utilized financial guarantees.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August 2014, extending the revolving period to August 2016, and adding an amortization period through August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September 30, 2014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2014 with the three months ended September 30, 2013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September 30, 2014, our revenues were $77.1 million, an increase of $13.0 million, or 20.3%,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$64.1 million. The primary reason for the increase in revenues is an increase in interest income. Interest income for the three months ended September 30, 2014 increased $13.4 million, or 22.2%, to $73.9 million from $60.5 million in the prior year. The primary reason for the increase in interest income is the increase in finance receivables held by consolidated subsidiaries, which increased from $1,154.2 million at September 30, 2013 to $1,515.9 million at September 30, 2014. The table below shows the average balances of our portfolio held by consolidated subsidiaries for the three months ended September 30,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Average Balances for the 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Ended</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2014</w:t>
            </w:r>
          </w:p>
        </w:tc>
        <w:tc>
          <w:tcPr>
            <w:tcW w:w="30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September 30,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88"/>
              </w:rPr>
              <w:t>Finance Receivables Owned by</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3"/>
          </w:tcPr>
          <w:p>
            <w:pPr>
              <w:jc w:val="center"/>
              <w:ind w:left="95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jc w:val="center"/>
              <w:ind w:left="510"/>
              <w:spacing w:after="0"/>
              <w:rPr>
                <w:sz w:val="20"/>
                <w:szCs w:val="20"/>
                <w:color w:val="auto"/>
              </w:rPr>
            </w:pPr>
            <w:r>
              <w:rPr>
                <w:rFonts w:ascii="Arial" w:cs="Arial" w:eastAsia="Arial" w:hAnsi="Arial"/>
                <w:sz w:val="18"/>
                <w:szCs w:val="18"/>
                <w:b w:val="1"/>
                <w:bCs w:val="1"/>
                <w:color w:val="auto"/>
                <w:w w:val="88"/>
              </w:rPr>
              <w:t>Consolidated Subsidiaries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CPS Originated Receivables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1,462.3</w:t>
            </w:r>
          </w:p>
        </w:tc>
        <w:tc>
          <w:tcPr>
            <w:tcW w:w="740" w:type="dxa"/>
            <w:vAlign w:val="bottom"/>
            <w:gridSpan w:val="2"/>
            <w:shd w:val="clear" w:color="auto" w:fill="EEEEEE"/>
          </w:tcPr>
          <w:p>
            <w:pPr>
              <w:jc w:val="right"/>
              <w:ind w:right="27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Fireside</w:t>
            </w:r>
          </w:p>
        </w:tc>
        <w:tc>
          <w:tcPr>
            <w:tcW w:w="84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1,466.2</w:t>
            </w:r>
          </w:p>
        </w:tc>
        <w:tc>
          <w:tcPr>
            <w:tcW w:w="30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7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Servicing fees totaling $278,000 for the three months ended September 30, 2014 decreased $422,000, or 60.3%, from $700,000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September 30, 2014 and 2013,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9"/>
              </w:rPr>
              <w:t>September 30, 2014</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8"/>
              </w:rPr>
              <w:t>September 30, 2013</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1,512.7</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1,132.5</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At September 30, 2014, we were generating income and fees on a managed portfolio with an outstanding principal balance of $1,518.6 million (this amount includes $749,000 of automobile contracts on which we earn servicing fees and own a residual interest and also includes another $2.0 million of automobile contracts on which we earn base and incentive servicing fees), compared to a managed portfolio with an outstanding principal balance of $1,166.9 million as of September 30, 2013. At September 30,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9"/>
              </w:rPr>
              <w:t>September 30, 2014</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8"/>
              </w:rPr>
              <w:t>September 30, 2013</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1,514.6</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99.7%</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1,141.1</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0.8</w:t>
            </w:r>
          </w:p>
        </w:tc>
        <w:tc>
          <w:tcPr>
            <w:tcW w:w="5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w:t>
            </w:r>
          </w:p>
        </w:tc>
        <w:tc>
          <w:tcPr>
            <w:tcW w:w="5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8" w:name="page29"/>
    <w:bookmarkEnd w:id="28"/>
    <w:p>
      <w:pPr>
        <w:jc w:val="both"/>
        <w:ind w:firstLine="486"/>
        <w:spacing w:after="0" w:line="257" w:lineRule="auto"/>
        <w:rPr>
          <w:sz w:val="20"/>
          <w:szCs w:val="20"/>
          <w:color w:val="auto"/>
        </w:rPr>
      </w:pPr>
      <w:r>
        <w:rPr>
          <w:rFonts w:ascii="Arial" w:cs="Arial" w:eastAsia="Arial" w:hAnsi="Arial"/>
          <w:sz w:val="18"/>
          <w:szCs w:val="18"/>
          <w:color w:val="auto"/>
        </w:rPr>
        <w:t>Other income of $2.9 million in the three months ended September 30, 2014 was unchanged compared to the prior year. The three-month period ended September 30, 2014 includes an increase of $230,000 in fees associated with direct mail and other related products and services that we offer to our dealers, an increase of $120,000 in payments from third-party providers of convenience fees paid by our customers for web based and other electronic payments and an increase of $129,000 in sales tax refunds. These increases were offset by decreases of $274,000 in the fair value of the receivables and debt associated with the Fireside portfolio.</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operating expenses were $63.2 million for the three months ended September 30, 2014, compared to $53.5 million for the prior year, an increase of $9.7 million, or 18.2%.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Employee costs increased by $1.5 million or 13.7%, to $12.7 million during the three months ended September 30, 2014, representing 20.1% of total operating expenses, from $11.2 million for the prior year, or 20.9%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September 30, 2014 and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September 30, 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Contracts purchased (dollars).</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279.3</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Contracts purchased (units)</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16,925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13,233</w:t>
            </w: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Managed portfolio outstanding (dollars)</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1,166.9</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Managed portfolio outstanding (units)</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115,870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96,989</w:t>
            </w: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Number of Originations staff</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Number of Marketing staff</w:t>
            </w:r>
          </w:p>
        </w:tc>
        <w:tc>
          <w:tcPr>
            <w:tcW w:w="3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Number of Servicing staff</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43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Number of other staff</w:t>
            </w:r>
          </w:p>
        </w:tc>
        <w:tc>
          <w:tcPr>
            <w:tcW w:w="34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4300" w:type="dxa"/>
            <w:vAlign w:val="bottom"/>
          </w:tcPr>
          <w:p>
            <w:pPr>
              <w:ind w:left="100"/>
              <w:spacing w:after="0"/>
              <w:rPr>
                <w:sz w:val="20"/>
                <w:szCs w:val="20"/>
                <w:color w:val="auto"/>
              </w:rPr>
            </w:pPr>
            <w:r>
              <w:rPr>
                <w:rFonts w:ascii="Arial" w:cs="Arial" w:eastAsia="Arial" w:hAnsi="Arial"/>
                <w:sz w:val="18"/>
                <w:szCs w:val="18"/>
                <w:color w:val="auto"/>
              </w:rPr>
              <w:t>Total number of employees</w:t>
            </w:r>
          </w:p>
        </w:tc>
        <w:tc>
          <w:tcPr>
            <w:tcW w:w="3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80" w:type="dxa"/>
            <w:vAlign w:val="bottom"/>
            <w:vMerge w:val="restart"/>
          </w:tcPr>
          <w:p>
            <w:pPr>
              <w:jc w:val="right"/>
              <w:ind w:right="189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8" w:right="239" w:bottom="1440" w:gutter="0" w:footer="0" w:header="0"/>
        </w:sectPr>
      </w:pPr>
    </w:p>
    <w:bookmarkStart w:id="29" w:name="page30"/>
    <w:bookmarkEnd w:id="29"/>
    <w:p>
      <w:pPr>
        <w:jc w:val="both"/>
        <w:ind w:firstLine="486"/>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$5.8 million, an increase of $1.7 million, or 42.5%, compared to the previous year and represented 9.2% of total operating expenses.</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for the three months ended September 30, 2014 decreased by $1.6 million to $12.2 million, or 11.7%, compared to $13.9 million in the previous year.</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on the Fireside portfolio credit facility decreased by $472,000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Interest on securitization trust debt increased by $1.2 million, or 14.6%, for the three months ended September 30, 2014 compared to the prior year. The average balance of securitization trust debt increased 34.5% to $1,330.2 million at September 30, 2014 compared to $989.3 million at September 30, 2013. However, the blended interest rates on term securitizations completed since 2012 are significantly less than the blended interest rates on securitization trust debt incurred prior to 2012. As a result, the cost of securitization debt during the three month period ended September 30, 2014 was 2.9%, compared to 3.4% in the prior year period.</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Interest expense on senior secured debt was zero in the three months ended September 30, 2014 compared to $1.6 million in the prior year period. This was due to the repayment in full of senior secured debt on March 31, 2014. Interest expense on subordinated renewable notes decreased by $234,000. The decrease is due to a decrease in the average balance from $21.2 million to $16.2 million and a decrease in the average cost from 14.1% to 12.7%. Interest expense on residual interest financing decreased $617,000 in the three months ended September 30, 2014 compared to the prior year. The decrease is due to repayments on the $20.0 million facility established in April 2013 and the September 2013 repayment in full of $13.8 million outstanding under the residual facility established in 2007.</w:t>
      </w:r>
    </w:p>
    <w:p>
      <w:pPr>
        <w:spacing w:after="0" w:line="19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Interest expense on warehouse debt increased by $84,000 for the three months ended September 30, 2014 compared to the prior year. Although we increased our contract purchases to $279.3 million for the three months ended September 30, 2014 compared to $206.8 million in the prior period, recently we have relied less on warehouse credit facilities and more on unrestricted cash balances to fund receivables prior to securitization. In the future we may incur greater warehouse debt interest expense as a result using $39.2 million of unrestricted cash to repay our senior secured debt during the first quarter of 2014.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left="50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Balance (1)</w:t>
            </w:r>
          </w:p>
        </w:tc>
        <w:tc>
          <w:tcPr>
            <w:tcW w:w="2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3"/>
          </w:tcPr>
          <w:p>
            <w:pPr>
              <w:jc w:val="center"/>
              <w:ind w:right="36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1,430,557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73,654</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1,076,389</w:t>
            </w:r>
          </w:p>
        </w:tc>
        <w:tc>
          <w:tcPr>
            <w:tcW w:w="180" w:type="dxa"/>
            <w:vAlign w:val="bottom"/>
            <w:shd w:val="clear" w:color="auto" w:fill="EEEEEE"/>
          </w:tcPr>
          <w:p>
            <w:pPr>
              <w:jc w:val="right"/>
              <w:ind w:right="1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59,296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tcPr>
          <w:p>
            <w:pPr>
              <w:spacing w:after="0" w:line="201" w:lineRule="exact"/>
              <w:rPr>
                <w:sz w:val="20"/>
                <w:szCs w:val="20"/>
                <w:color w:val="auto"/>
              </w:rPr>
            </w:pPr>
            <w:r>
              <w:rPr>
                <w:rFonts w:ascii="Arial" w:cs="Arial" w:eastAsia="Arial" w:hAnsi="Arial"/>
                <w:sz w:val="18"/>
                <w:szCs w:val="18"/>
                <w:color w:val="auto"/>
                <w:w w:val="93"/>
              </w:rPr>
              <w:t>Finance receivables measured at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24,588</w:t>
            </w: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vMerge w:val="continue"/>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1,434,496</w:t>
            </w:r>
          </w:p>
        </w:tc>
        <w:tc>
          <w:tcPr>
            <w:tcW w:w="3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EEEEEE"/>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73,865</w:t>
            </w:r>
          </w:p>
        </w:tc>
        <w:tc>
          <w:tcPr>
            <w:tcW w:w="1720" w:type="dxa"/>
            <w:vAlign w:val="bottom"/>
            <w:tcBorders>
              <w:bottom w:val="single" w:sz="8" w:color="EEEEEE"/>
            </w:tcBorders>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1,100,977</w:t>
            </w:r>
          </w:p>
        </w:tc>
        <w:tc>
          <w:tcPr>
            <w:tcW w:w="320" w:type="dxa"/>
            <w:vAlign w:val="bottom"/>
            <w:tcBorders>
              <w:bottom w:val="single" w:sz="8" w:color="EEEEEE"/>
            </w:tcBorders>
            <w:vMerge w:val="continue"/>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60,462</w:t>
            </w:r>
          </w:p>
        </w:tc>
        <w:tc>
          <w:tcPr>
            <w:tcW w:w="124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74,043</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55,466</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13,051</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462</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29,182</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1,079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color w:val="auto"/>
              </w:rPr>
              <w:t>measured at fair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3,844</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19,186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1,330,203</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9,581</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989,285</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8,357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w w:val="91"/>
              </w:rPr>
              <w:t>Senior secured debt, related party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32,431</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16,230</w:t>
            </w:r>
          </w:p>
        </w:tc>
        <w:tc>
          <w:tcPr>
            <w:tcW w:w="2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514</w:t>
            </w:r>
          </w:p>
        </w:tc>
        <w:tc>
          <w:tcPr>
            <w:tcW w:w="17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21,170</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1800" w:type="dxa"/>
            <w:vAlign w:val="bottom"/>
            <w:tcBorders>
              <w:bottom w:val="single" w:sz="8" w:color="EEEEEE"/>
            </w:tcBorders>
          </w:tcPr>
          <w:p>
            <w:pPr>
              <w:spacing w:after="0"/>
              <w:rPr>
                <w:sz w:val="21"/>
                <w:szCs w:val="21"/>
                <w:color w:val="auto"/>
              </w:rPr>
            </w:pPr>
          </w:p>
        </w:tc>
        <w:tc>
          <w:tcPr>
            <w:tcW w:w="140" w:type="dxa"/>
            <w:vAlign w:val="bottom"/>
            <w:tcBorders>
              <w:bottom w:val="single" w:sz="8" w:color="EEEEEE"/>
            </w:tcBorders>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1,437,371</w:t>
            </w:r>
          </w:p>
        </w:tc>
        <w:tc>
          <w:tcPr>
            <w:tcW w:w="340" w:type="dxa"/>
            <w:vAlign w:val="bottom"/>
            <w:tcBorders>
              <w:bottom w:val="single" w:sz="8" w:color="EEEEEE"/>
            </w:tcBorders>
          </w:tcPr>
          <w:p>
            <w:pPr>
              <w:spacing w:after="0"/>
              <w:rPr>
                <w:sz w:val="21"/>
                <w:szCs w:val="21"/>
                <w:color w:val="auto"/>
              </w:rPr>
            </w:pPr>
          </w:p>
        </w:tc>
        <w:tc>
          <w:tcPr>
            <w:tcW w:w="200" w:type="dxa"/>
            <w:vAlign w:val="bottom"/>
            <w:tcBorders>
              <w:top w:val="single" w:sz="8" w:color="auto"/>
              <w:bottom w:val="single" w:sz="8" w:color="EEEEEE"/>
            </w:tcBorders>
          </w:tcPr>
          <w:p>
            <w:pPr>
              <w:spacing w:after="0"/>
              <w:rPr>
                <w:sz w:val="21"/>
                <w:szCs w:val="21"/>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Borders>
              <w:bottom w:val="single" w:sz="8" w:color="EEEEEE"/>
            </w:tcBorders>
          </w:tcPr>
          <w:p>
            <w:pPr>
              <w:spacing w:after="0"/>
              <w:rPr>
                <w:sz w:val="21"/>
                <w:szCs w:val="21"/>
                <w:color w:val="auto"/>
              </w:rPr>
            </w:pPr>
          </w:p>
        </w:tc>
        <w:tc>
          <w:tcPr>
            <w:tcW w:w="1720" w:type="dxa"/>
            <w:vAlign w:val="bottom"/>
            <w:tcBorders>
              <w:bottom w:val="single" w:sz="8" w:color="EEEEEE"/>
            </w:tcBorders>
            <w:gridSpan w:val="3"/>
          </w:tcPr>
          <w:p>
            <w:pPr>
              <w:jc w:val="right"/>
              <w:ind w:right="320"/>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1,146,720</w:t>
            </w:r>
          </w:p>
        </w:tc>
        <w:tc>
          <w:tcPr>
            <w:tcW w:w="320" w:type="dxa"/>
            <w:vAlign w:val="bottom"/>
            <w:tcBorders>
              <w:bottom w:val="single" w:sz="8" w:color="EEEEEE"/>
            </w:tcBorders>
          </w:tcPr>
          <w:p>
            <w:pPr>
              <w:spacing w:after="0"/>
              <w:rPr>
                <w:sz w:val="21"/>
                <w:szCs w:val="21"/>
                <w:color w:val="auto"/>
              </w:rPr>
            </w:pPr>
          </w:p>
        </w:tc>
        <w:tc>
          <w:tcPr>
            <w:tcW w:w="180" w:type="dxa"/>
            <w:vAlign w:val="bottom"/>
            <w:tcBorders>
              <w:top w:val="single" w:sz="8" w:color="auto"/>
              <w:bottom w:val="single" w:sz="8" w:color="EEEEEE"/>
            </w:tcBorders>
          </w:tcPr>
          <w:p>
            <w:pPr>
              <w:spacing w:after="0"/>
              <w:rPr>
                <w:sz w:val="21"/>
                <w:szCs w:val="21"/>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13,853</w:t>
            </w:r>
          </w:p>
        </w:tc>
        <w:tc>
          <w:tcPr>
            <w:tcW w:w="320" w:type="dxa"/>
            <w:vAlign w:val="bottom"/>
            <w:tcBorders>
              <w:bottom w:val="single" w:sz="8" w:color="EEEEEE"/>
            </w:tcBorders>
          </w:tcPr>
          <w:p>
            <w:pPr>
              <w:spacing w:after="0"/>
              <w:rPr>
                <w:sz w:val="21"/>
                <w:szCs w:val="21"/>
                <w:color w:val="auto"/>
              </w:rPr>
            </w:pP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5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61,626</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46,609</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2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720" w:type="dxa"/>
            <w:vAlign w:val="bottom"/>
            <w:tcBorders>
              <w:top w:val="single" w:sz="8" w:color="EEEEEE"/>
            </w:tcBorders>
            <w:gridSpan w:val="3"/>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17.2%</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tcPr>
          <w:p>
            <w:pPr>
              <w:spacing w:after="0" w:line="201" w:lineRule="exact"/>
              <w:rPr>
                <w:sz w:val="20"/>
                <w:szCs w:val="20"/>
                <w:color w:val="auto"/>
              </w:rPr>
            </w:pPr>
            <w:r>
              <w:rPr>
                <w:rFonts w:ascii="Arial" w:cs="Arial" w:eastAsia="Arial" w:hAnsi="Arial"/>
                <w:sz w:val="18"/>
                <w:szCs w:val="18"/>
                <w:color w:val="auto"/>
                <w:w w:val="94"/>
              </w:rPr>
              <w:t>Ratio of average interest earning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1"/>
              </w:rPr>
              <w:t>Three Months Ended September 30, 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left="970"/>
              <w:spacing w:after="0"/>
              <w:rPr>
                <w:sz w:val="20"/>
                <w:szCs w:val="20"/>
                <w:color w:val="auto"/>
              </w:rPr>
            </w:pPr>
            <w:r>
              <w:rPr>
                <w:rFonts w:ascii="Arial" w:cs="Arial" w:eastAsia="Arial" w:hAnsi="Arial"/>
                <w:sz w:val="18"/>
                <w:szCs w:val="18"/>
                <w:b w:val="1"/>
                <w:bCs w:val="1"/>
                <w:color w:val="auto"/>
                <w:w w:val="90"/>
              </w:rPr>
              <w:t>Compared to September 30, 2013</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96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4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Change Due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7"/>
              </w:rPr>
              <w:t>Interest Earning Assets</w:t>
            </w: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Volume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ind w:right="40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2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14,358</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19,510</w:t>
            </w:r>
          </w:p>
        </w:tc>
        <w:tc>
          <w:tcPr>
            <w:tcW w:w="3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Finance receivables measured at fair value</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9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13,403</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18,531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8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Residual interest financing</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EEEEEE"/>
          </w:tcPr>
          <w:p>
            <w:pPr>
              <w:spacing w:after="0"/>
              <w:rPr>
                <w:sz w:val="20"/>
                <w:szCs w:val="20"/>
                <w:color w:val="auto"/>
              </w:rPr>
            </w:pPr>
            <w:r>
              <w:rPr>
                <w:rFonts w:ascii="Arial" w:cs="Arial" w:eastAsia="Arial" w:hAnsi="Arial"/>
                <w:sz w:val="18"/>
                <w:szCs w:val="18"/>
                <w:color w:val="auto"/>
                <w:w w:val="94"/>
              </w:rPr>
              <w:t>Debt secured by receivables measured at fair value</w:t>
            </w:r>
          </w:p>
        </w:tc>
        <w:tc>
          <w:tcPr>
            <w:tcW w:w="1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Securitization trust debt</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(1,599)</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Subordinated renewable notes</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9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(1,613)</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9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9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15,016</w:t>
            </w:r>
          </w:p>
        </w:tc>
        <w:tc>
          <w:tcPr>
            <w:tcW w:w="3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18,034</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1" w:name="page32"/>
    <w:bookmarkEnd w:id="31"/>
    <w:p>
      <w:pPr>
        <w:jc w:val="both"/>
        <w:ind w:firstLine="486"/>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September 30, 2014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Provision for credit losses was $27.3 million for the three months ended September 30, 2014, an increase of $7.1 million, or 35.0% compared to the prior year and represented 43.1%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$789,000, or 23.4%, to $4.2 million during the three months ended September 30, 2014, compared to $3.4 million in the prior year period, and represented 6.6% of total operating expenses. For the three months ended September 30, 2014, we purchased 16,925 contracts representing $279.3 million in receivables compared to 13,233 contracts representing $206.8 million in receivables in the prior year.</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Occupancy expenses increased by $203,000 or 29.2%, to $898,000 compared to $695,000 in the previous year and represented 1.4% of total operating expenses. The increase is primarily due to the establishment in April 2014 of our Nevada branch.</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expenses increased by $30,000 or 34.1%, to $118,000 compared to $88,000 in the previous year and represented 0.2% of total operating expenses.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the three months ended September 30, 2014, we recorded income tax expense of $6.0 million, representing a 43.7% effective income tax rate. In the prior year period, we recorded $4.7 million in income tax expense, representing a 44.4%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2014 with the nine months ended September 30, 2013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the prior year nine-month period ended September 30, 2013, we repurchased the outstanding Class D notes from our first 2008 securitization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 cash payment and a new note.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5.8% of our total revenues of $189.1 million for the nine months ended September 30, 2013. The discussion of revenues below excludes the gain on the cancellation of debt for comparative purposes.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nine months ended September 30, 2014, our revenues were $216.8 million, an increase of $38.6 million, or 21.7%, from the prior year revenue of $178.2 million. The primary reason for the increase in revenues is an increase in interest income. Interest income for the nine months ended September 30, 2014 increased $39.7 million, or 23.7%, to $207.1 million from $167.4 million in the prior year. The primary reason for the increase in interest income is the increase in finance receivables held by consolidated subsidiaries, which increased from $1,154.2 million at September 30, 2013 to $1,515.9 million at September 30, 2014. The table below shows the average balances of our portfolio held by consolidated subsidiaries for the nine months ended September 30,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64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Average Balances for the Nine Months Ended</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7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 2014</w:t>
            </w: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vMerge w:val="restart"/>
          </w:tcPr>
          <w:p>
            <w:pPr>
              <w:ind w:left="2580"/>
              <w:spacing w:after="0"/>
              <w:rPr>
                <w:sz w:val="20"/>
                <w:szCs w:val="20"/>
                <w:color w:val="auto"/>
              </w:rPr>
            </w:pPr>
            <w:r>
              <w:rPr>
                <w:rFonts w:ascii="Arial" w:cs="Arial" w:eastAsia="Arial" w:hAnsi="Arial"/>
                <w:sz w:val="18"/>
                <w:szCs w:val="18"/>
                <w:b w:val="1"/>
                <w:bCs w:val="1"/>
                <w:color w:val="auto"/>
              </w:rPr>
              <w:t>Finance Receivables Owned by</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2820"/>
              <w:spacing w:after="0"/>
              <w:rPr>
                <w:sz w:val="20"/>
                <w:szCs w:val="20"/>
                <w:color w:val="auto"/>
              </w:rPr>
            </w:pPr>
            <w:r>
              <w:rPr>
                <w:rFonts w:ascii="Arial" w:cs="Arial" w:eastAsia="Arial" w:hAnsi="Arial"/>
                <w:sz w:val="18"/>
                <w:szCs w:val="18"/>
                <w:b w:val="1"/>
                <w:bCs w:val="1"/>
                <w:color w:val="auto"/>
              </w:rPr>
              <w:t>Consolidated Subsidiaries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1,351.6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Fireside</w:t>
            </w:r>
          </w:p>
        </w:tc>
        <w:tc>
          <w:tcPr>
            <w:tcW w:w="2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1,358.8</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3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Servicing fees totaling $1,158,000 for the nine months ended September 30, 2014 decreased $1.3 million, or 53.4%, from $2.5 million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September 30, 2014 and 2013,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9"/>
              </w:rPr>
              <w:t>September 30, 2014</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8"/>
              </w:rPr>
              <w:t>September 30, 2013</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1,512.7</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1,132.5</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At September 30, 2014, we were generating income and fees on a managed portfolio with an outstanding principal balance of $1,518.6 million (this amount includes $749,000 of automobile contracts on which we earn servicing fees and own a residual interest and also includes another $2.0 million of automobile contracts on which we earn base and incentive servicing fees), compared to a managed portfolio with an outstanding principal balance of $1,166.9 million as of September 30, 2013. At September 30,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89"/>
              </w:rPr>
              <w:t>September 30, 2014</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88"/>
              </w:rPr>
              <w:t>September 30, 2013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Pr>
          <w:p>
            <w:pPr>
              <w:spacing w:after="0"/>
              <w:rPr>
                <w:sz w:val="24"/>
                <w:szCs w:val="24"/>
                <w:color w:val="auto"/>
              </w:rPr>
            </w:pPr>
          </w:p>
        </w:tc>
        <w:tc>
          <w:tcPr>
            <w:tcW w:w="2540" w:type="dxa"/>
            <w:vAlign w:val="bottom"/>
            <w:gridSpan w:val="4"/>
          </w:tcPr>
          <w:p>
            <w:pPr>
              <w:ind w:left="360"/>
              <w:spacing w:after="0"/>
              <w:rPr>
                <w:sz w:val="20"/>
                <w:szCs w:val="20"/>
                <w:color w:val="auto"/>
              </w:rPr>
            </w:pPr>
            <w:r>
              <w:rPr>
                <w:rFonts w:ascii="Arial" w:cs="Arial" w:eastAsia="Arial" w:hAnsi="Arial"/>
                <w:sz w:val="18"/>
                <w:szCs w:val="18"/>
                <w:b w:val="1"/>
                <w:bCs w:val="1"/>
                <w:color w:val="auto"/>
              </w:rPr>
              <w:t>Amount (1)</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4"/>
                <w:szCs w:val="24"/>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Originating Entity</w:t>
            </w:r>
          </w:p>
        </w:tc>
        <w:tc>
          <w:tcPr>
            <w:tcW w:w="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0"/>
              </w:rPr>
              <w:t>in millions)</w:t>
            </w:r>
          </w:p>
        </w:tc>
        <w:tc>
          <w:tcPr>
            <w:tcW w:w="3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CPS</w:t>
            </w:r>
          </w:p>
        </w:tc>
        <w:tc>
          <w:tcPr>
            <w:tcW w:w="720" w:type="dxa"/>
            <w:vAlign w:val="bottom"/>
          </w:tcPr>
          <w:p>
            <w:pPr>
              <w:jc w:val="right"/>
              <w:ind w:right="55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1,514.6</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99.7%</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1,141.1</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Fireside</w:t>
            </w:r>
          </w:p>
        </w:tc>
        <w:tc>
          <w:tcPr>
            <w:tcW w:w="7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7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EEEEEE"/>
          </w:tcPr>
          <w:p>
            <w:pPr>
              <w:jc w:val="right"/>
              <w:ind w:right="55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1,518.6</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3" w:name="page34"/>
    <w:bookmarkEnd w:id="33"/>
    <w:p>
      <w:pPr>
        <w:jc w:val="both"/>
        <w:ind w:firstLine="486"/>
        <w:spacing w:after="0" w:line="257" w:lineRule="auto"/>
        <w:rPr>
          <w:sz w:val="20"/>
          <w:szCs w:val="20"/>
          <w:color w:val="auto"/>
        </w:rPr>
      </w:pPr>
      <w:r>
        <w:rPr>
          <w:rFonts w:ascii="Arial" w:cs="Arial" w:eastAsia="Arial" w:hAnsi="Arial"/>
          <w:sz w:val="18"/>
          <w:szCs w:val="18"/>
          <w:color w:val="auto"/>
        </w:rPr>
        <w:t>Other income increased by $266,000, or 3.2%, to $8.6 million in the nine months ended September 30, 2014 from $8.3 million during the prior year. The increase is comprised of an increase of $526,000 in fees associated with direct mail and other related products and services that we offer to our dealers, an increase of $276,000 in sales tax refunds and an increase of $215,000 in payments from third-party providers of convenience fees paid by our customers for web based and other electronic payments. These increases were partially offset by decreases of $634,000 in the fair value of the receivables and debt associated with the Fireside portfolio,</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prior year nine-month period ended September 30, 2013, we recognized $9.7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informally proposed that the we refrain from certain allegedly unfair trade practices, and make restitutionary payments into a consumer relief fund. The discussion of operating expenses below excludes the $9.7 million in contingent liability expense for comparative purposes.</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operating expenses were $178.9 million for the nine months ended September 30, 2014, compared to $153.9 million for the prior year, an increase of $25.0 million, or 16.3%.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Employee costs increased by $3.7 million or 11.8%, to $35.4 million during the nine months ended September 30, 2014, representing 19.8% of total operating expenses, from $31.7 million for the prior year, or 20.6%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nine-month periods ended, September 30, 2014 and 2013: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2014</w:t>
            </w:r>
          </w:p>
        </w:tc>
        <w:tc>
          <w:tcPr>
            <w:tcW w:w="18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September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680.6</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592.3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1,166.9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115,870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$14.5 million, an increase of $2.1 million, or 17.3%, compared to the previous year and represented 8.1% of total operating expenses.</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for the nine months ended September 30, 2014 decreased by $7.2 million to $37.6 million, or 16.2%, compared to $44.8 million in the previous year.</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Interest expense on the Fireside portfolio credit facility decreased by $2.8 million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Interest on securitization trust debt increased by $2.6 million, or 9.9%, for the nine months ended September 30, 2014 compared to the prior year. The average balance of securitization trust debt increased 39.2% to $1,242.1 million at September 30, 2014 compared to $892.3 million at September 30, 2013. However, the blended interest rates on term securitizations completed since 2012 are significantly less than the blended interest rates on securitization trust debt incurred prior to 2012. As a result, the cost of securitization debt during the nine month period ended September 30, 2014 was 3.0%, compared to 3.8% in the prior year period.</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Interest expense on senior secured debt was $1.7 million in the nine months ended September 30, 2014 compared to $6.5 million in the prior year period. The decrease is due to the repayment in full of senior secured debt during the first quarter of 2014. Interest expense on subordinated renewable notes decreased by $716,000. The decrease is due to a decrease in the average balance from $22.6 million to $17.7 million and a decrease in the average cost from 14.6% to 13.2%. Interest expense on residual interest financing decreased $1.1 million in the nine months ended September 30, 2014 compared to the prior year. The decrease is due to repayments on the $20.0 million facility established in April 2013 and the September 2013 repayment in full of the $13.8 million of indebtedness outstanding under the residual facility originally established in 2007.</w:t>
      </w:r>
    </w:p>
    <w:p>
      <w:pPr>
        <w:spacing w:after="0" w:line="17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Interest expense on warehouse debt decreased by $379,000 for the nine months ended September 30, 2014 compared to the prior year. Although we increased our contract purchases to $680.6 million for the nine months ended September 30, 2014 compared to $592.3 million in the prior period, recently we have relied less on warehouse credit facilities and more on unrestricted cash balances to fund receivables prior to securitization. In the future we may incur greater warehouse debt interest expense as a result of using $39.2 million of unrestricted cash to repay our senior secured debt during the first quarter of 2014.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5" w:name="page36"/>
    <w:bookmarkEnd w:id="35"/>
    <w:p>
      <w:pPr>
        <w:ind w:left="50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1"/>
              </w:rPr>
              <w:t>Nine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Balance(1)</w:t>
            </w:r>
          </w:p>
        </w:tc>
        <w:tc>
          <w:tcPr>
            <w:tcW w:w="1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20" w:type="dxa"/>
            <w:vAlign w:val="bottom"/>
            <w:tcBorders>
              <w:top w:val="single" w:sz="8" w:color="EEEEEE"/>
            </w:tcBorders>
            <w:gridSpan w:val="3"/>
            <w:shd w:val="clear" w:color="auto" w:fill="EEEEEE"/>
          </w:tcPr>
          <w:p>
            <w:pPr>
              <w:jc w:val="center"/>
              <w:ind w:right="42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1,320,985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205,708</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20.8%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966,881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162,100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7,184</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1,374</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36,110</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5,326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1,328,169</w:t>
            </w: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gridSpan w:val="2"/>
          </w:tcPr>
          <w:p>
            <w:pPr>
              <w:jc w:val="right"/>
              <w:ind w:right="140"/>
              <w:spacing w:after="0"/>
              <w:rPr>
                <w:sz w:val="20"/>
                <w:szCs w:val="20"/>
                <w:color w:val="auto"/>
              </w:rPr>
            </w:pPr>
            <w:r>
              <w:rPr>
                <w:rFonts w:ascii="Arial" w:cs="Arial" w:eastAsia="Arial" w:hAnsi="Arial"/>
                <w:sz w:val="18"/>
                <w:szCs w:val="18"/>
                <w:color w:val="auto"/>
              </w:rPr>
              <w:t>207,082</w:t>
            </w:r>
          </w:p>
        </w:tc>
        <w:tc>
          <w:tcPr>
            <w:tcW w:w="1700" w:type="dxa"/>
            <w:vAlign w:val="bottom"/>
            <w:tcBorders>
              <w:bottom w:val="single" w:sz="8" w:color="EEEEEE"/>
            </w:tcBorders>
            <w:gridSpan w:val="3"/>
          </w:tcPr>
          <w:p>
            <w:pPr>
              <w:jc w:val="right"/>
              <w:ind w:right="32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1,002,991</w:t>
            </w:r>
          </w:p>
        </w:tc>
        <w:tc>
          <w:tcPr>
            <w:tcW w:w="32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2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167,426</w:t>
            </w: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46,929</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3,647</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44,246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4,026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14,772</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1,545</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25,576</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6,754</w:t>
            </w:r>
          </w:p>
        </w:tc>
        <w:tc>
          <w:tcPr>
            <w:tcW w:w="18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683</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31,802</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3,435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1,242,059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28,278</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892,307</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25,725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9,471</w:t>
            </w:r>
          </w:p>
        </w:tc>
        <w:tc>
          <w:tcPr>
            <w:tcW w:w="1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1,651</w:t>
            </w: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40,755</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6,474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1,758</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22,551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2,474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vMerge w:val="restart"/>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vMerge w:val="continue"/>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1,337,690</w:t>
            </w: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37,562</w:t>
            </w:r>
          </w:p>
        </w:tc>
        <w:tc>
          <w:tcPr>
            <w:tcW w:w="1700" w:type="dxa"/>
            <w:vAlign w:val="bottom"/>
            <w:tcBorders>
              <w:bottom w:val="single" w:sz="8" w:color="EEEEEE"/>
            </w:tcBorders>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1,057,237</w:t>
            </w:r>
          </w:p>
        </w:tc>
        <w:tc>
          <w:tcPr>
            <w:tcW w:w="320" w:type="dxa"/>
            <w:vAlign w:val="bottom"/>
            <w:tcBorders>
              <w:bottom w:val="single" w:sz="8" w:color="EEEEEE"/>
            </w:tcBorders>
            <w:vMerge w:val="continue"/>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44,800</w:t>
            </w:r>
          </w:p>
        </w:tc>
        <w:tc>
          <w:tcPr>
            <w:tcW w:w="124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4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169,520</w:t>
            </w:r>
          </w:p>
        </w:tc>
        <w:tc>
          <w:tcPr>
            <w:tcW w:w="220" w:type="dxa"/>
            <w:vAlign w:val="bottom"/>
            <w:shd w:val="clear" w:color="auto" w:fill="EEEEEE"/>
          </w:tcPr>
          <w:p>
            <w:pPr>
              <w:spacing w:after="0"/>
              <w:rPr>
                <w:sz w:val="21"/>
                <w:szCs w:val="21"/>
                <w:color w:val="auto"/>
              </w:rPr>
            </w:pPr>
          </w:p>
        </w:tc>
        <w:tc>
          <w:tcPr>
            <w:tcW w:w="116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122,626</w:t>
            </w:r>
          </w:p>
        </w:tc>
        <w:tc>
          <w:tcPr>
            <w:tcW w:w="1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8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line="20" w:lineRule="exact"/>
              <w:rPr>
                <w:sz w:val="1"/>
                <w:szCs w:val="1"/>
                <w:color w:val="auto"/>
              </w:rPr>
            </w:pPr>
          </w:p>
        </w:tc>
      </w:tr>
      <w:tr>
        <w:trPr>
          <w:trHeight w:val="197"/>
        </w:trPr>
        <w:tc>
          <w:tcPr>
            <w:tcW w:w="258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16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8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90"/>
              </w:rPr>
              <w:t>Nine Months Ended September 30, 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left="970"/>
              <w:spacing w:after="0"/>
              <w:rPr>
                <w:sz w:val="20"/>
                <w:szCs w:val="20"/>
                <w:color w:val="auto"/>
              </w:rPr>
            </w:pPr>
            <w:r>
              <w:rPr>
                <w:rFonts w:ascii="Arial" w:cs="Arial" w:eastAsia="Arial" w:hAnsi="Arial"/>
                <w:sz w:val="18"/>
                <w:szCs w:val="18"/>
                <w:b w:val="1"/>
                <w:bCs w:val="1"/>
                <w:color w:val="auto"/>
                <w:w w:val="90"/>
              </w:rPr>
              <w:t>Compared to September 30, 2013</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96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780" w:type="dxa"/>
            <w:vAlign w:val="bottom"/>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60" w:type="dxa"/>
            <w:vAlign w:val="bottom"/>
            <w:tcBorders>
              <w:top w:val="single" w:sz="8" w:color="EEEEEE"/>
            </w:tcBorders>
            <w:shd w:val="clear" w:color="auto" w:fill="EEEEEE"/>
          </w:tcPr>
          <w:p>
            <w:pPr>
              <w:spacing w:after="0"/>
              <w:rPr>
                <w:sz w:val="16"/>
                <w:szCs w:val="16"/>
                <w:color w:val="auto"/>
              </w:rPr>
            </w:pPr>
          </w:p>
        </w:tc>
        <w:tc>
          <w:tcPr>
            <w:tcW w:w="3060" w:type="dxa"/>
            <w:vAlign w:val="bottom"/>
            <w:tcBorders>
              <w:top w:val="single" w:sz="8" w:color="EEEEEE"/>
            </w:tcBorders>
            <w:gridSpan w:val="4"/>
            <w:shd w:val="clear" w:color="auto" w:fill="EEEEEE"/>
          </w:tcPr>
          <w:p>
            <w:pPr>
              <w:jc w:val="center"/>
              <w:ind w:right="1000"/>
              <w:spacing w:after="0" w:line="170" w:lineRule="exact"/>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tcBorders>
              <w:top w:val="single" w:sz="8" w:color="EEEEEE"/>
            </w:tcBorders>
            <w:shd w:val="clear" w:color="auto" w:fill="EEEEEE"/>
          </w:tcPr>
          <w:p>
            <w:pPr>
              <w:spacing w:after="0"/>
              <w:rPr>
                <w:sz w:val="16"/>
                <w:szCs w:val="16"/>
                <w:color w:val="auto"/>
              </w:rPr>
            </w:pPr>
          </w:p>
        </w:tc>
        <w:tc>
          <w:tcPr>
            <w:tcW w:w="300" w:type="dxa"/>
            <w:vAlign w:val="bottom"/>
            <w:tcBorders>
              <w:top w:val="single" w:sz="8" w:color="auto"/>
            </w:tcBorders>
            <w:shd w:val="clear" w:color="auto" w:fill="EEEEEE"/>
          </w:tcPr>
          <w:p>
            <w:pPr>
              <w:spacing w:after="0"/>
              <w:rPr>
                <w:sz w:val="16"/>
                <w:szCs w:val="16"/>
                <w:color w:val="auto"/>
              </w:rPr>
            </w:pPr>
          </w:p>
        </w:tc>
        <w:tc>
          <w:tcPr>
            <w:tcW w:w="1300" w:type="dxa"/>
            <w:vAlign w:val="bottom"/>
            <w:tcBorders>
              <w:top w:val="single" w:sz="8" w:color="auto"/>
            </w:tcBorders>
            <w:shd w:val="clear" w:color="auto" w:fill="EEEEEE"/>
          </w:tcPr>
          <w:p>
            <w:pPr>
              <w:spacing w:after="0"/>
              <w:rPr>
                <w:sz w:val="16"/>
                <w:szCs w:val="16"/>
                <w:color w:val="auto"/>
              </w:rPr>
            </w:pPr>
          </w:p>
        </w:tc>
        <w:tc>
          <w:tcPr>
            <w:tcW w:w="360" w:type="dxa"/>
            <w:vAlign w:val="bottom"/>
            <w:tcBorders>
              <w:top w:val="single" w:sz="8" w:color="auto"/>
            </w:tcBorders>
            <w:shd w:val="clear" w:color="auto" w:fill="EEEEEE"/>
          </w:tcPr>
          <w:p>
            <w:pPr>
              <w:spacing w:after="0"/>
              <w:rPr>
                <w:sz w:val="16"/>
                <w:szCs w:val="16"/>
                <w:color w:val="auto"/>
              </w:rPr>
            </w:pPr>
          </w:p>
        </w:tc>
        <w:tc>
          <w:tcPr>
            <w:tcW w:w="160" w:type="dxa"/>
            <w:vAlign w:val="bottom"/>
            <w:tcBorders>
              <w:top w:val="single" w:sz="8" w:color="auto"/>
            </w:tcBorders>
            <w:shd w:val="clear" w:color="auto" w:fill="EEEEEE"/>
          </w:tcPr>
          <w:p>
            <w:pPr>
              <w:spacing w:after="0"/>
              <w:rPr>
                <w:sz w:val="16"/>
                <w:szCs w:val="16"/>
                <w:color w:val="auto"/>
              </w:rPr>
            </w:pPr>
          </w:p>
        </w:tc>
        <w:tc>
          <w:tcPr>
            <w:tcW w:w="1780" w:type="dxa"/>
            <w:vAlign w:val="bottom"/>
            <w:tcBorders>
              <w:top w:val="single" w:sz="8" w:color="auto"/>
            </w:tcBorders>
            <w:gridSpan w:val="2"/>
            <w:shd w:val="clear" w:color="auto" w:fill="EEEEEE"/>
          </w:tcPr>
          <w:p>
            <w:pPr>
              <w:jc w:val="center"/>
              <w:ind w:right="5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360" w:type="dxa"/>
            <w:vAlign w:val="bottom"/>
            <w:tcBorders>
              <w:top w:val="single" w:sz="8" w:color="auto"/>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w w:val="89"/>
              </w:rPr>
              <w:t>Finance receivables gross</w:t>
            </w:r>
          </w:p>
        </w:tc>
        <w:tc>
          <w:tcPr>
            <w:tcW w:w="1780" w:type="dxa"/>
            <w:vAlign w:val="bottom"/>
            <w:tcBorders>
              <w:top w:val="single" w:sz="8" w:color="auto"/>
            </w:tcBorders>
          </w:tcPr>
          <w:p>
            <w:pPr>
              <w:spacing w:after="0"/>
              <w:rPr>
                <w:sz w:val="18"/>
                <w:szCs w:val="18"/>
                <w:color w:val="auto"/>
              </w:rPr>
            </w:pPr>
          </w:p>
        </w:tc>
        <w:tc>
          <w:tcPr>
            <w:tcW w:w="1140" w:type="dxa"/>
            <w:vAlign w:val="bottom"/>
            <w:tcBorders>
              <w:top w:val="single" w:sz="8" w:color="EEEEEE"/>
            </w:tcBorders>
            <w:gridSpan w:val="2"/>
          </w:tcPr>
          <w:p>
            <w:pPr>
              <w:spacing w:after="0"/>
              <w:rPr>
                <w:sz w:val="18"/>
                <w:szCs w:val="18"/>
                <w:color w:val="auto"/>
              </w:rPr>
            </w:pPr>
          </w:p>
        </w:tc>
        <w:tc>
          <w:tcPr>
            <w:tcW w:w="1300" w:type="dxa"/>
            <w:vAlign w:val="bottom"/>
            <w:tcBorders>
              <w:top w:val="single" w:sz="8" w:color="EEEEEE"/>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43,608</w:t>
            </w:r>
          </w:p>
        </w:tc>
        <w:tc>
          <w:tcPr>
            <w:tcW w:w="16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EEEEEE"/>
            </w:tcBorders>
            <w:gridSpan w:val="2"/>
          </w:tcPr>
          <w:p>
            <w:pPr>
              <w:jc w:val="right"/>
              <w:ind w:right="340"/>
              <w:spacing w:after="0"/>
              <w:rPr>
                <w:sz w:val="20"/>
                <w:szCs w:val="20"/>
                <w:color w:val="auto"/>
              </w:rPr>
            </w:pPr>
            <w:r>
              <w:rPr>
                <w:rFonts w:ascii="Arial" w:cs="Arial" w:eastAsia="Arial" w:hAnsi="Arial"/>
                <w:sz w:val="18"/>
                <w:szCs w:val="18"/>
                <w:color w:val="auto"/>
              </w:rPr>
              <w:t>54,114</w:t>
            </w:r>
          </w:p>
        </w:tc>
        <w:tc>
          <w:tcPr>
            <w:tcW w:w="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60" w:type="dxa"/>
            <w:vAlign w:val="bottom"/>
            <w:tcBorders>
              <w:top w:val="single" w:sz="8" w:color="EEEEEE"/>
            </w:tcBorders>
            <w:gridSpan w:val="3"/>
          </w:tcPr>
          <w:p>
            <w:pPr>
              <w:jc w:val="right"/>
              <w:ind w:right="40"/>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(3,952)</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(4,162)</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39,656</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gridSpan w:val="5"/>
            <w:shd w:val="clear" w:color="auto" w:fill="EEEEEE"/>
          </w:tcPr>
          <w:p>
            <w:pPr>
              <w:jc w:val="center"/>
              <w:ind w:left="6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30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4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3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30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(1,125)</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Debt secured by receivables measured at fair value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(2,721)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2,553</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7,573</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Senior secured debt, related party</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(4,823)</w:t>
            </w: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(4,921)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(593)</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46,894</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51,703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(4,809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Provision for credit losses was $76.8 million for the nine months ended September 30, 2014, an increase of $24.1 million, or 45.6% compared to the prior year and represented 42.9%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$1.8 million, or 17.9%, to $11.8 million during the nine months ended September 30, 2014, compared to $10.0 million in the prior year period, and represented 6.6% of total operating expenses. For the nine months ended September 30, 2014, we purchased 42,911 contracts representing $680.6 million in receivables compared to 38,339 contracts representing $592.3 million in receivables in the prior year.</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Occupancy expenses increased by $572,000 or 29.8%, to $2.5 million compared to $1.9 million in the previous year and represented 1.4% of total operating expenses. The increase is due to the establishment in April 2014 of our Nevada branch.</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expenses decreased by $6,000 or 1.7%, to $339,000 compared to $345,000 in the previous year and represented 0.2% of total operating expenses.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the nine months ended September 30, 2014, we recorded income tax expense of $16.4 million, representing a 43.2% effective income tax rate. In the prior year period, we recorded $11.2 million in income tax expense, representing a 43.5% effective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2014</w:t>
            </w: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2013</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114,136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1,514,619</w:t>
            </w:r>
          </w:p>
        </w:tc>
        <w:tc>
          <w:tcPr>
            <w:tcW w:w="100" w:type="dxa"/>
            <w:vAlign w:val="bottom"/>
          </w:tcPr>
          <w:p>
            <w:pPr>
              <w:spacing w:after="0"/>
              <w:rPr>
                <w:sz w:val="18"/>
                <w:szCs w:val="18"/>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89,461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1,141,029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94,206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2,890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38,961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3,065</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27,030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2,652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1,408</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17,459</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1,745</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16,437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12,812</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8,428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5,368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69,232</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5,777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51,895</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3,226</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31,301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20,828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8,594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100,533</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8,026</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72,723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8,799</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16,934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223,693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11,356</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135,575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13,754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6,465</w:t>
            </w: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76,346</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5,403</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34,143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16,759</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169,718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20"/>
                <w:szCs w:val="20"/>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6,822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4,483</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2,770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24,985</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18,053</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179,310</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2014</w:t>
            </w: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2013</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1,487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6,513</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21,701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4,893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410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91+ days</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1,906</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483</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2,159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629</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1,651</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6,069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1,203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1,290</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2,991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9,060</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 2014</w:t>
            </w: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 2013</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115,623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1,517,821</w:t>
            </w: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95,974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1,162,730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99,099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3,051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39,256</w:t>
            </w:r>
          </w:p>
        </w:tc>
        <w:tc>
          <w:tcPr>
            <w:tcW w:w="1160" w:type="dxa"/>
            <w:vAlign w:val="bottom"/>
          </w:tcPr>
          <w:p>
            <w:pPr>
              <w:jc w:val="right"/>
              <w:spacing w:after="0"/>
              <w:rPr>
                <w:sz w:val="20"/>
                <w:szCs w:val="20"/>
                <w:color w:val="auto"/>
              </w:rPr>
            </w:pPr>
            <w:r>
              <w:rPr>
                <w:rFonts w:ascii="Arial" w:cs="Arial" w:eastAsia="Arial" w:hAnsi="Arial"/>
                <w:sz w:val="18"/>
                <w:szCs w:val="18"/>
                <w:color w:val="auto"/>
              </w:rPr>
              <w:t>3,475</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28,248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3,018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17,543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1,926</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16,873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12,852</w:t>
            </w:r>
          </w:p>
        </w:tc>
        <w:tc>
          <w:tcPr>
            <w:tcW w:w="1160" w:type="dxa"/>
            <w:vAlign w:val="bottom"/>
          </w:tcPr>
          <w:p>
            <w:pPr>
              <w:jc w:val="right"/>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8,681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5,635</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69,651</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6,470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53,802</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6,437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3,240</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31,365</w:t>
            </w:r>
          </w:p>
        </w:tc>
        <w:tc>
          <w:tcPr>
            <w:tcW w:w="1160" w:type="dxa"/>
            <w:vAlign w:val="bottom"/>
          </w:tcPr>
          <w:p>
            <w:pPr>
              <w:jc w:val="right"/>
              <w:spacing w:after="0"/>
              <w:rPr>
                <w:sz w:val="20"/>
                <w:szCs w:val="20"/>
                <w:color w:val="auto"/>
              </w:rPr>
            </w:pPr>
            <w:r>
              <w:rPr>
                <w:rFonts w:ascii="Arial" w:cs="Arial" w:eastAsia="Arial" w:hAnsi="Arial"/>
                <w:sz w:val="18"/>
                <w:szCs w:val="18"/>
                <w:color w:val="auto"/>
              </w:rPr>
              <w:t>2,297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21,081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8,875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101,016</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8,767</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74,883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9,428</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17,313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224,458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141,644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14,957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6,902</w:t>
            </w: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77,636</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6,059</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37,133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6,134</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24,215</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302,094</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19,066</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178,777</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1,113</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11,825</w:t>
            </w:r>
          </w:p>
        </w:tc>
        <w:tc>
          <w:tcPr>
            <w:tcW w:w="36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7,019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4,532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2,919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16,357</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318,451</w:t>
            </w: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20,453</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188,715</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____________</w:t>
            </w: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8"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7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19"/>
                <w:szCs w:val="19"/>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1,463,261</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1,049,282</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1,044,686</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414"/>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2"/>
              </w:rPr>
              <w:t>Net Charge-Off Experience (1)</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50"/>
              <w:spacing w:after="0"/>
              <w:rPr>
                <w:sz w:val="20"/>
                <w:szCs w:val="20"/>
                <w:color w:val="auto"/>
              </w:rPr>
            </w:pPr>
            <w:r>
              <w:rPr>
                <w:rFonts w:ascii="Arial" w:cs="Arial" w:eastAsia="Arial" w:hAnsi="Arial"/>
                <w:sz w:val="18"/>
                <w:szCs w:val="18"/>
                <w:b w:val="1"/>
                <w:bCs w:val="1"/>
                <w:color w:val="auto"/>
                <w:w w:val="90"/>
              </w:rPr>
              <w:t>Fireside Portfolio</w:t>
            </w: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3,939</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29,664</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31,293</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400"/>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2"/>
              </w:rPr>
              <w:t>Net Charge-Off Experience (1)</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1,467,200</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1,078,946</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1,075,979</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5.6%</w:t>
            </w:r>
          </w:p>
        </w:tc>
        <w:tc>
          <w:tcPr>
            <w:tcW w:w="400" w:type="dxa"/>
            <w:vAlign w:val="bottom"/>
          </w:tcPr>
          <w:p>
            <w:pPr>
              <w:spacing w:after="0"/>
              <w:rPr>
                <w:sz w:val="17"/>
                <w:szCs w:val="17"/>
                <w:color w:val="auto"/>
              </w:rPr>
            </w:pPr>
          </w:p>
        </w:tc>
        <w:tc>
          <w:tcPr>
            <w:tcW w:w="16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7"/>
                <w:szCs w:val="17"/>
                <w:color w:val="auto"/>
              </w:rPr>
            </w:pPr>
          </w:p>
        </w:tc>
        <w:tc>
          <w:tcPr>
            <w:tcW w:w="15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4.7%</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____________</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2014 and September 30, 2013 percentage represents nine months ended September 30, 2014 and September 30, 2013 annualized. December 31, 2013 represents 12 months ended December 31,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1" w:name="page42"/>
    <w:bookmarkEnd w:id="41"/>
    <w:p>
      <w:pPr>
        <w:jc w:val="both"/>
        <w:ind w:firstLine="486"/>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17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2014, for accounts that received extensions from 2008 through 2013 (2014 extension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Avg</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Active or Paid</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 Active or</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Charged Off &gt;</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 Charged</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Charged Off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 Charged Off</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Months</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Off at</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Paid Off at</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6 Months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Off &gt; 6</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&lt;= 6 Months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&lt;= 6 Months</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Period of</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 Extensions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After</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Months After</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After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After</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Extension</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Granted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Extension</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35,588</w:t>
            </w: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10,898</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30.6%</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19,870</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55.8%</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4,819</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32,004</w:t>
            </w: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10,332</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32.3%</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15,889</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49.6%</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5,783</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26,167</w:t>
            </w: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12,599</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48.1%</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11,569</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44.2%</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1,999</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18</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18,786</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11,500</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61.2%</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6,354</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33.8%</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932</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7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18,783</w:t>
            </w: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12,749</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67.9%</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5,238</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27.9%</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796</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23,398</w:t>
            </w: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18,900</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80.8%</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3,522</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15.1%</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976</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view these results as a confirmation of the effectiveness of our extension program. For the accounts receiving extensions in 2008, 2009, 2010, 2011, 2012 and 2013, 30.6%, 32.3%, 48.1%, 61.2%, 67.9% and 80.8%, respectively, were either paid in full or active and performing at September 30, 2014.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2012 and 2013 extensions, of the accounts that charged off, the charge off was incurred, on average, 19, 16, 18, 17, 13 and 10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20" w:type="dxa"/>
            <w:vAlign w:val="bottom"/>
            <w:gridSpan w:val="2"/>
          </w:tcPr>
          <w:p>
            <w:pPr>
              <w:jc w:val="right"/>
              <w:ind w:right="750"/>
              <w:spacing w:after="0"/>
              <w:rPr>
                <w:sz w:val="20"/>
                <w:szCs w:val="20"/>
                <w:color w:val="auto"/>
              </w:rPr>
            </w:pPr>
            <w:r>
              <w:rPr>
                <w:rFonts w:ascii="Arial" w:cs="Arial" w:eastAsia="Arial" w:hAnsi="Arial"/>
                <w:sz w:val="18"/>
                <w:szCs w:val="18"/>
                <w:color w:val="auto"/>
                <w:w w:val="99"/>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06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2013</w:t>
            </w: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2,033</w:t>
            </w:r>
          </w:p>
        </w:tc>
        <w:tc>
          <w:tcPr>
            <w:tcW w:w="3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1,701</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106,686</w:t>
            </w:r>
          </w:p>
        </w:tc>
        <w:tc>
          <w:tcPr>
            <w:tcW w:w="3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91,567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w:t>
            </w:r>
          </w:p>
        </w:tc>
        <w:tc>
          <w:tcPr>
            <w:tcW w:w="11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980"/>
              <w:spacing w:after="0"/>
              <w:rPr>
                <w:sz w:val="20"/>
                <w:szCs w:val="20"/>
                <w:color w:val="auto"/>
              </w:rPr>
            </w:pPr>
            <w:r>
              <w:rPr>
                <w:rFonts w:ascii="Arial" w:cs="Arial" w:eastAsia="Arial" w:hAnsi="Arial"/>
                <w:sz w:val="18"/>
                <w:szCs w:val="18"/>
                <w:color w:val="auto"/>
              </w:rPr>
              <w:t>September 30, 2014</w:t>
            </w:r>
          </w:p>
        </w:tc>
        <w:tc>
          <w:tcPr>
            <w:tcW w:w="2940" w:type="dxa"/>
            <w:vAlign w:val="bottom"/>
            <w:gridSpan w:val="5"/>
          </w:tcPr>
          <w:p>
            <w:pPr>
              <w:ind w:left="580"/>
              <w:spacing w:after="0"/>
              <w:rPr>
                <w:sz w:val="20"/>
                <w:szCs w:val="20"/>
                <w:color w:val="auto"/>
              </w:rPr>
            </w:pPr>
            <w:r>
              <w:rPr>
                <w:rFonts w:ascii="Arial" w:cs="Arial" w:eastAsia="Arial" w:hAnsi="Arial"/>
                <w:sz w:val="18"/>
                <w:szCs w:val="18"/>
                <w:color w:val="auto"/>
              </w:rPr>
              <w:t>September 30, 2013</w:t>
            </w:r>
          </w:p>
        </w:tc>
        <w:tc>
          <w:tcPr>
            <w:tcW w:w="2700" w:type="dxa"/>
            <w:vAlign w:val="bottom"/>
            <w:gridSpan w:val="6"/>
          </w:tcPr>
          <w:p>
            <w:pPr>
              <w:ind w:left="58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60"/>
              <w:spacing w:after="0"/>
              <w:rPr>
                <w:sz w:val="20"/>
                <w:szCs w:val="20"/>
                <w:color w:val="auto"/>
              </w:rPr>
            </w:pPr>
            <w:r>
              <w:rPr>
                <w:rFonts w:ascii="Arial" w:cs="Arial" w:eastAsia="Arial" w:hAnsi="Arial"/>
                <w:sz w:val="18"/>
                <w:szCs w:val="18"/>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18,426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236,282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13,807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148,663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16,047</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5,539</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66,667</w:t>
            </w:r>
          </w:p>
        </w:tc>
        <w:tc>
          <w:tcPr>
            <w:tcW w:w="1160" w:type="dxa"/>
            <w:vAlign w:val="bottom"/>
          </w:tcPr>
          <w:p>
            <w:pPr>
              <w:jc w:val="right"/>
              <w:spacing w:after="0"/>
              <w:rPr>
                <w:sz w:val="20"/>
                <w:szCs w:val="20"/>
                <w:color w:val="auto"/>
              </w:rPr>
            </w:pPr>
            <w:r>
              <w:rPr>
                <w:rFonts w:ascii="Arial" w:cs="Arial" w:eastAsia="Arial" w:hAnsi="Arial"/>
                <w:sz w:val="18"/>
                <w:szCs w:val="18"/>
                <w:color w:val="auto"/>
              </w:rPr>
              <w:t>4,041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28,979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1,350</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12,485</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1,636</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7,147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1,486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2,313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494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25,826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318,451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20,453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188,715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239,862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115,623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1,517,821</w:t>
            </w:r>
          </w:p>
        </w:tc>
        <w:tc>
          <w:tcPr>
            <w:tcW w:w="36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95,974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1,162,730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99,099</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firstLine="162"/>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operating activities for the nine-month period ended September 30, 2014 was $101.0 million compared to net cash provided by operating activities for the nine-month period ended September 30, 2013 of $71.2 million. Cash provided by operating activities is significantly affected by our net income before provisions for credit losses. The increase is due primarily to the increase in net income of $7.0 million and the increase in provision for credit losses of $24.1 million.</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for the nine-month period ended September 30, 2014 was $388.7 million compared to net cash used by investing activities of $325.0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$680.6 million and $592.3 million during the first nine months of 2014 and 2013, respectively.</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provided by financing activities for the nine months ended September 30, 2014 was $278.8 million compared to net cash provided by financing activities of $265.0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2014, we issued $655.5 million in new securitization trust debt compared to $595.0 million in the same period of 2013. In addition, we repaid $363.5 million in securitization trust debt and $10.9 million in debt associated with the Fireside portfolio in the nine months ended September 30, 2014 compared to repayments of securitization trust debt of $282.0 million and repayment of $41.4 million in debt associated with the Fireside portfolio in the prior year period. In the nine months ended September 30, 2014, we received net proceeds on warehouse lines of credit of $50.0 million, compared to net proceeds of $5.2 million in the prior year’s period. During the first nine months of 2014, we repaid in full $39.2 million of senior secured related party debt compared to $12.9 million in repayments of senior secured related party debt in the prior year’s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firstLine="486"/>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September 30, 2014, we had unrestricted cash of $13.1 million, $72.5 million available under one warehouse credit facility and $68.1 million available under another warehouse credit facility (such figures assume the availability of sufficient eligible collateral). During the nine-month period ended September 30, 2014, we completed three securitizations aggregating $655.5 million of notes sold. We intend to complete one more securitization during 2014,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17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September 30, 2014, we were in compliance with all such financial covenants.</w:t>
      </w:r>
    </w:p>
    <w:p>
      <w:pPr>
        <w:spacing w:after="0" w:line="15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September 30, 2014, we had approximately $1,560.5million of debt outstanding. Such debt consisted primarily of $1,469.7 million of securitization trust debt, and also included $3.2 million in debt for the acquisition of the Fireside portfolio, $59.4 million of warehouse lines of credit, $12.8 million of residual interest financing and $15.5 million in subordinated renewable notes. We are also currently offering the subordinated notes to the public on a continuous basis, and such notes have maturities that range from three months to 10 years.</w:t>
      </w:r>
    </w:p>
    <w:p>
      <w:pPr>
        <w:spacing w:after="0" w:line="18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recent operating results include pre-tax earnings of $37.9 million for the nine months ended September 30, 2014 and $37.2 million and $9.2 million for the years ended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firstLine="486"/>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believe that our accounting policies related to (a) Allowance for Finance Credit Losses, (b) Amortization of Deferred Originations Costs and Acquisition Fees, (c) Term Securitizations, (d) Finance Receivables and Related Debt Measured at Fair Value, (e) Accrual for Contingent Liabilities, and (f) Income Taxes are the most critical to understanding and evaluating our reported financial results. Such policies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17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As of September 30, 2014 the weighted average age of our portfolio of finance receivables was 14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However, in our 15 most recent securitizations since 2010, we have not purchased financial guaranty insurance policies and do not expect to do so in the near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both"/>
        <w:ind w:firstLine="486"/>
        <w:spacing w:after="0" w:line="288" w:lineRule="auto"/>
        <w:rPr>
          <w:sz w:val="20"/>
          <w:szCs w:val="20"/>
          <w:color w:val="auto"/>
        </w:rPr>
      </w:pPr>
      <w:r>
        <w:rPr>
          <w:rFonts w:ascii="Arial" w:cs="Arial" w:eastAsia="Arial" w:hAnsi="Arial"/>
          <w:sz w:val="16"/>
          <w:szCs w:val="16"/>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w:t>
      </w:r>
    </w:p>
    <w:p>
      <w:pPr>
        <w:jc w:val="both"/>
        <w:ind w:firstLine="8"/>
        <w:spacing w:after="0" w:line="251" w:lineRule="auto"/>
        <w:tabs>
          <w:tab w:leader="none" w:pos="3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10 65-2). As a result, assets and liabilities of those trusts are not consolidated into our consolidated balance sheet.</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Historically, our warehouse credit facility structures were similar to the above, except that (i) our special-purpose subsidiaries that purchased the automobile contracts pledged the automobile contracts to secure promissory notes that they issued, (ii) no increase in the required amount of internal credit enhancement was contemplated, and (iii) we did not purchase financial guaranty insurance.</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Under the September 2008 and September 2010 securitizations, and other term securitizations completed prior to July 2003 that were structured as sales for financial accounting purposes, we removed from our consolidated balance sheet the automobile contracts sold and added to our consolidated balance sheet (i) the cash received, if any, and (ii) the estimated fair value of the ownership interest that we retained in the automobile contracts sold in the transaction. That retained or residual interest consisted of (a) the cash held in the spread account, if any, (b) overcollateralization, if any, (c) asset-backed securities retained, if any, and (d) receivables from the trust, which include the net interest receivables. Net interest receivables represent the estimated discounted cash flows to be received from the trust in the future, net of principal and interest payable with respect to the asset-backed notes, the premium paid to the insurance company, if any, and certain other expenses. The excess of the cash received and the assets we retained over the carrying value of the automobile contracts sold, less transaction costs, equaled the net gain on sale of automobile contracts we recorded.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486"/>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7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secured by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recorded a liability as of September 30, 2014,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September 30, 2014, and in excess of the liability we have recorded, is from zero to $1.3 million.</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from the fourth quarter of 2011 through September 2014, we reported 12 consecutive quarters of increasing profitability. Furthermore, we demonstrated an ability to increase our volumes of contract purchases, grow our managed portfolio and obtain cost effective short- and long-term financing for our finance receivables.</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if any, within the income tax expense line in the consolidated statement of operations. Accrued interest and penalties are included within the related tax liability line in the consolidated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10, 2014.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Regulations, Our Results of Operations May Be Impaired.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industry is also at times investigated by regulators and offices of state attorneys general, which could lead to enforcement actions, fines and penalties, or the assertion of private claims and law suits against us. Among others, both the FTC and the Consumer Financial Protection Bureau (“CFPB”) have the authority to investigate consumer complaints against us, to conduct inquiries at their own instance, and to recommend enforcement actions and seek monetary penalties. Following an FTC inquiry into our practices, we have agreed to the entry of a judgment against us that requires certain payments and changes in our procedures. (Regarding that judgment, see Note 9 to the condensed consolidated financial statements included in this report.) If we fail to comply with applicable laws and regulations, or with regulators’ interpretations of such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7" w:lineRule="exact"/>
        <w:rPr>
          <w:sz w:val="20"/>
          <w:szCs w:val="20"/>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September 30, 2014, we had approximately $1,560.5 million of debt outstanding. Such debt consisted primarily of $1,469.7 million of securitization trust debt, and also included $3.2 million in debt for the acquisition of the Fireside portfolio, $59.4 million of warehouse lines of credit, $12.8 million of residual interest financing and $15.5 million in subordinated renewable notes (which are outstanding with maturities that range from three months to 10 years). Our substantial indebtedness could adversely affect our financial condition by, among other things:</w:t>
      </w:r>
    </w:p>
    <w:p>
      <w:pPr>
        <w:spacing w:after="0" w:line="188" w:lineRule="exact"/>
        <w:rPr>
          <w:sz w:val="20"/>
          <w:szCs w:val="20"/>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780" w:hanging="259"/>
        <w:spacing w:after="0" w:line="250"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an increase in interest rates results in a decrease in our cash flow from excess spread, our results of operations may be impaired.</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partially to offset increases in our cost of funds by increasing fees we charge to dealers when purchasing contracts, or by demanding higher interest rates on contracts we purchase, there can be no assurance that such actions would offset the entire increase in interest that we might pay to finance our managed portfolio.</w:t>
      </w:r>
    </w:p>
    <w:p>
      <w:pPr>
        <w:spacing w:after="0" w:line="16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Several factors affect our ability to manage interest rate risk. Specifically, we are subject to interest rate risk during the period after we purchase automobile contracts from dealers and before we finance such contracts in a term securitization. Interest rates on warehouse credit facilities are typically adjustable, while the interest rates on the automobile contracts are fixed. If interest rates increase, the interest we must pay to the lenders under warehouse credit facilities is likely to increase, while the interest we collect from those warehoused automobile contracts remains the same. Therefore, during the warehousing period, excess spread cash flow would likely decrease. Additionally, contracts warehoused and then securitized during a rising interest rate environment may result in less excess spread cash flow as our securitizations typically have paid interest rates set at prevailing interest rates at the time of the closing of the securitization, which may not take place until several months after we purchased those contracts. Our customers, on the other hand, pay fixed rates of interest on the contracts, which are agreed to at the time they purchase the underlying vehicles. A decrease in excess spread cash flow could adversely affect our earnings and cash flow.</w:t>
      </w:r>
    </w:p>
    <w:p>
      <w:pPr>
        <w:spacing w:after="0" w:line="18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To mitigate, but not eliminate, the short-term risk relating to floating interest rates payable under the warehouse facilities, we have historically held automobile contracts in the warehouse credit facilities for less than four months. To mitigate, but not eliminate, the long-term risk relating to interest rates payable in securitizations, we have in the past, and intend to continue to, structure some of our securitization transactions to include pre-funding structures, whereby the amount of securities issued exceeds the amount of contracts initially sold into the securitization. In pre-funding, the proceeds from the pre-funded portion are held in an escrow account until we sell the additional contracts into the securitization. In pre-funded securitizations, we effectively lock in our borrowing costs with respect to the contracts we subsequently sell into the securitization. However, we incur an expense in pre-funded securitizations equal to the difference between the money market yields earned on the proceeds held in escrow prior to subsequent delivery of contracts and the interest rate paid on the securities issued in the securitization. The amount of such expense may vary. Despite these mitigation strategies, an increase in prevailing interest rates would cause us to receive less excess spread cash flow on automobile contracts, and thus could adversely affect our earnings and cash flow.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2014, we repurchased no shares from existing shareholders, as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5"/>
              </w:rPr>
              <w:t>Shares Purchased as</w:t>
            </w:r>
          </w:p>
        </w:tc>
        <w:tc>
          <w:tcPr>
            <w:tcW w:w="3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Average</w:t>
            </w: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Part of Publicly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Price Paid</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Announced Plans or</w:t>
            </w:r>
          </w:p>
        </w:tc>
        <w:tc>
          <w:tcPr>
            <w:tcW w:w="32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Period(1)</w:t>
            </w: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Programs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2014</w:t>
            </w:r>
          </w:p>
        </w:tc>
        <w:tc>
          <w:tcPr>
            <w:tcW w:w="13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August 2014</w:t>
            </w:r>
          </w:p>
        </w:tc>
        <w:tc>
          <w:tcPr>
            <w:tcW w:w="136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2014</w:t>
            </w:r>
          </w:p>
        </w:tc>
        <w:tc>
          <w:tcPr>
            <w:tcW w:w="1360" w:type="dxa"/>
            <w:vAlign w:val="bottom"/>
            <w:shd w:val="clear" w:color="auto" w:fill="EEEEEE"/>
          </w:tcPr>
          <w:p>
            <w:pPr>
              <w:spacing w:after="0"/>
              <w:rPr>
                <w:sz w:val="19"/>
                <w:szCs w:val="19"/>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2014,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p>
      <w:pPr>
        <w:jc w:val="both"/>
        <w:ind w:left="800" w:right="100" w:hanging="785"/>
        <w:spacing w:after="0" w:line="264" w:lineRule="auto"/>
        <w:tabs>
          <w:tab w:leader="none" w:pos="7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Instruments defining the rights of holders of long-term debt of certain consolidated subsidiaries of the registrant are omitted pursuant to the exclusion set forth in subdivisions (b)(iv)(iii)(A) and (b)(v) of Item 601 of Regulation S-K (17 CFR 229.601). The registrant agrees to provide copies of such instruments to the United States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480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53" w:lineRule="exact"/>
        <w:rPr>
          <w:sz w:val="20"/>
          <w:szCs w:val="20"/>
          <w:color w:val="auto"/>
        </w:rPr>
      </w:pPr>
    </w:p>
    <w:p>
      <w:pPr>
        <w:jc w:val="both"/>
        <w:ind w:left="800" w:right="100" w:hanging="785"/>
        <w:spacing w:after="0" w:line="277" w:lineRule="auto"/>
        <w:tabs>
          <w:tab w:leader="none" w:pos="78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8"/>
          <w:szCs w:val="18"/>
          <w:color w:val="auto"/>
        </w:rPr>
        <w:t>Indenture dated September 1, 2014 re Notes issued by CPS Auto Receivables Trust 2014-C. Incorporated by reference to the exhibit filed with the registrant’s Form 8-K/A on October 28, 2014.</w:t>
      </w:r>
    </w:p>
    <w:p>
      <w:pPr>
        <w:spacing w:after="0" w:line="62" w:lineRule="exact"/>
        <w:rPr>
          <w:sz w:val="20"/>
          <w:szCs w:val="20"/>
          <w:color w:val="auto"/>
        </w:rPr>
      </w:pPr>
    </w:p>
    <w:p>
      <w:pPr>
        <w:jc w:val="both"/>
        <w:ind w:left="800" w:right="100" w:hanging="785"/>
        <w:spacing w:after="0" w:line="277" w:lineRule="auto"/>
        <w:tabs>
          <w:tab w:leader="none" w:pos="78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8"/>
          <w:szCs w:val="18"/>
          <w:color w:val="auto"/>
        </w:rPr>
        <w:t>Sale and Servicing Agreement dated as of September 1, 2014. Incorporated by reference to the exhibit filed with the registrant’s Form 8-K/A on October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the Chief Executive Officer of the registrant.</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the Chief Financial Officer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97"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333" w:lineRule="exact"/>
        <w:rPr>
          <w:rFonts w:ascii="Arial" w:cs="Arial" w:eastAsia="Arial" w:hAnsi="Arial"/>
          <w:sz w:val="18"/>
          <w:szCs w:val="18"/>
          <w:color w:val="auto"/>
        </w:rPr>
      </w:pPr>
    </w:p>
    <w:p>
      <w:pPr>
        <w:jc w:val="both"/>
        <w:ind w:firstLine="486"/>
        <w:spacing w:after="0" w:line="312" w:lineRule="auto"/>
        <w:rPr>
          <w:rFonts w:ascii="Arial" w:cs="Arial" w:eastAsia="Arial" w:hAnsi="Arial"/>
          <w:sz w:val="18"/>
          <w:szCs w:val="18"/>
          <w:color w:val="auto"/>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-19050</wp:posOffset>
            </wp:positionV>
            <wp:extent cx="21443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4395"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-19050</wp:posOffset>
            </wp:positionV>
            <wp:extent cx="21463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2014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6" w:name="page57"/>
    <w:bookmarkEnd w:id="56"/>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2014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4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2014,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383"/>
        <w:spacing w:after="0"/>
        <w:tabs>
          <w:tab w:leader="none" w:pos="15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4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9"/>
    </w:lvl>
  </w:abstractNum>
  <w:abstractNum w:abstractNumId="9">
    <w:nsid w:val="257130A3"/>
    <w:multiLevelType w:val="hybridMultilevel"/>
    <w:lvl w:ilvl="0">
      <w:lvlJc w:val="left"/>
      <w:lvlText w:val="(%1)"/>
      <w:numFmt w:val="decimal"/>
      <w:start w:val="10"/>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2"/>
    </w:lvl>
  </w:abstractNum>
  <w:abstractNum w:abstractNumId="19">
    <w:nsid w:val="8EDBDAB"/>
    <w:multiLevelType w:val="hybridMultilevel"/>
    <w:lvl w:ilvl="0">
      <w:lvlJc w:val="left"/>
      <w:lvlText w:val="(%1)"/>
      <w:numFmt w:val="lowerRoman"/>
      <w:start w:val="4"/>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2"/>
    </w:lvl>
    <w:lvl w:ilvl="1">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2019-12-06T06:40:45Z</dcterms:created>
  <dcterms:modified xsi:type="dcterms:W3CDTF">2019-12-06T06:40:45Z</dcterms:modified>
</cp:coreProperties>
</file>