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ps_8k.htm"/>
      <w:bookmarkStart w:id="1" w:name="kscps_8k"/>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w:t>
      </w:r>
      <w:bookmarkStart w:id="2" w:name="xdx_901_edei--DocumentType_c20260818__20"/>
      <w:bookmarkEnd w:id="2"/>
      <w:r>
        <w:rPr>
          <w:rFonts w:ascii="Times New Roman;Times;Serif" w:hAnsi="Times New Roman;Times;Serif"/>
          <w:b w:val="false"/>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left"/>
        <w:rPr>
          <w:caps w:val="false"/>
          <w:smallCaps w:val="false"/>
        </w:rPr>
      </w:pPr>
      <w:r>
        <w:rPr>
          <w:caps w:val="false"/>
          <w:smallCaps w:val="false"/>
        </w:rPr>
        <w:t> </w:t>
      </w:r>
    </w:p>
    <w:tbl>
      <w:tblPr>
        <w:tblW w:w="5015" w:type="dxa"/>
        <w:jc w:val="left"/>
        <w:tblInd w:w="0" w:type="dxa"/>
        <w:tblLayout w:type="fixed"/>
        <w:tblCellMar>
          <w:top w:w="0" w:type="dxa"/>
          <w:left w:w="0" w:type="dxa"/>
          <w:bottom w:w="0" w:type="dxa"/>
          <w:right w:w="0" w:type="dxa"/>
        </w:tblCellMar>
      </w:tblPr>
      <w:tblGrid>
        <w:gridCol w:w="75"/>
        <w:gridCol w:w="4865"/>
        <w:gridCol w:w="75"/>
      </w:tblGrid>
      <w:tr>
        <w:trPr/>
        <w:tc>
          <w:tcPr>
            <w:tcW w:w="75" w:type="dxa"/>
            <w:tcBorders/>
            <w:vAlign w:val="center"/>
          </w:tcPr>
          <w:p>
            <w:pPr>
              <w:pStyle w:val="TableContents"/>
              <w:bidi w:val="0"/>
              <w:spacing w:before="0" w:after="283"/>
              <w:jc w:val="left"/>
              <w:rPr/>
            </w:pPr>
            <w:r>
              <w:rPr/>
              <w:t> </w:t>
            </w:r>
          </w:p>
        </w:tc>
        <w:tc>
          <w:tcPr>
            <w:tcW w:w="4865" w:type="dxa"/>
            <w:tcBorders>
              <w:bottom w:val="single" w:sz="8" w:space="0" w:color="000000"/>
            </w:tcBorders>
            <w:tcMar>
              <w:bottom w:w="28" w:type="dxa"/>
            </w:tcMar>
            <w:vAlign w:val="center"/>
          </w:tcPr>
          <w:p>
            <w:pPr>
              <w:pStyle w:val="TableContents"/>
              <w:bidi w:val="0"/>
              <w:spacing w:before="0" w:after="283"/>
              <w:jc w:val="center"/>
              <w:rPr>
                <w:b/>
                <w:sz w:val="24"/>
              </w:rPr>
            </w:pPr>
            <w:bookmarkStart w:id="4" w:name="xdx_907_edei--EntityRegistrantName_c2026"/>
            <w:bookmarkEnd w:id="4"/>
            <w:r>
              <w:rPr>
                <w:b/>
                <w:sz w:val="24"/>
              </w:rPr>
              <w:t>CONSUMER PORTFOLIO SERVICES,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center"/>
              <w:rPr>
                <w:sz w:val="20"/>
              </w:rPr>
            </w:pPr>
            <w:r>
              <w:rPr>
                <w:sz w:val="20"/>
              </w:rPr>
              <w:t>(Exact Name of Registrant as Specified in Charter)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2210"/>
        <w:gridCol w:w="60"/>
        <w:gridCol w:w="1100"/>
        <w:gridCol w:w="60"/>
        <w:gridCol w:w="1535"/>
      </w:tblGrid>
      <w:tr>
        <w:trPr/>
        <w:tc>
          <w:tcPr>
            <w:tcW w:w="2210" w:type="dxa"/>
            <w:tcBorders/>
            <w:vAlign w:val="center"/>
          </w:tcPr>
          <w:p>
            <w:pPr>
              <w:pStyle w:val="TableContents"/>
              <w:bidi w:val="0"/>
              <w:spacing w:before="0" w:after="283"/>
              <w:jc w:val="center"/>
              <w:rPr>
                <w:caps/>
                <w:sz w:val="20"/>
                <w:u w:val="single"/>
              </w:rPr>
            </w:pPr>
            <w:bookmarkStart w:id="5" w:name="xdx_90C_edei--EntityIncorporationStateCo"/>
            <w:bookmarkEnd w:id="5"/>
            <w:r>
              <w:rPr>
                <w:caps/>
                <w:sz w:val="20"/>
                <w:u w:val="single"/>
              </w:rPr>
              <w:t>california</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u w:val="single"/>
              </w:rPr>
            </w:pPr>
            <w:bookmarkStart w:id="6" w:name="xdx_90F_edei--EntityFileNumber_c20260818"/>
            <w:bookmarkEnd w:id="6"/>
            <w:r>
              <w:rPr>
                <w:sz w:val="20"/>
                <w:u w:val="single"/>
              </w:rPr>
              <w:t>1-11416</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u w:val="single"/>
              </w:rPr>
            </w:pPr>
            <w:bookmarkStart w:id="7" w:name="xdx_90D_edei--EntityTaxIdentificationNum"/>
            <w:bookmarkEnd w:id="7"/>
            <w:r>
              <w:rPr>
                <w:sz w:val="20"/>
                <w:u w:val="single"/>
              </w:rPr>
              <w:t>33-0459135</w:t>
            </w:r>
          </w:p>
        </w:tc>
      </w:tr>
      <w:tr>
        <w:trPr/>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75"/>
        <w:gridCol w:w="5090"/>
        <w:gridCol w:w="75"/>
      </w:tblGrid>
      <w:tr>
        <w:trPr/>
        <w:tc>
          <w:tcPr>
            <w:tcW w:w="75" w:type="dxa"/>
            <w:tcBorders/>
            <w:vAlign w:val="center"/>
          </w:tcPr>
          <w:p>
            <w:pPr>
              <w:pStyle w:val="TableContents"/>
              <w:bidi w:val="0"/>
              <w:spacing w:before="0" w:after="283"/>
              <w:jc w:val="left"/>
              <w:rPr/>
            </w:pPr>
            <w:r>
              <w:rPr/>
              <w:t> </w:t>
            </w:r>
          </w:p>
        </w:tc>
        <w:tc>
          <w:tcPr>
            <w:tcW w:w="5090" w:type="dxa"/>
            <w:tcBorders>
              <w:bottom w:val="single" w:sz="8" w:space="0" w:color="000000"/>
            </w:tcBorders>
            <w:tcMar>
              <w:bottom w:w="28" w:type="dxa"/>
            </w:tcMar>
            <w:vAlign w:val="center"/>
          </w:tcPr>
          <w:p>
            <w:pPr>
              <w:pStyle w:val="TableContents"/>
              <w:bidi w:val="0"/>
              <w:spacing w:before="0" w:after="283"/>
              <w:jc w:val="center"/>
              <w:rPr>
                <w:sz w:val="20"/>
              </w:rPr>
            </w:pPr>
            <w:bookmarkStart w:id="8" w:name="xdx_90F_edei--EntityAddressAddressLine1_"/>
            <w:bookmarkEnd w:id="8"/>
            <w:r>
              <w:rPr>
                <w:sz w:val="20"/>
              </w:rPr>
              <w:t xml:space="preserve">3800 Howard Hughes Pkwy, </w:t>
            </w:r>
            <w:bookmarkStart w:id="9" w:name="xdx_907_edei--EntityAddressAddressLine2_"/>
            <w:bookmarkEnd w:id="9"/>
            <w:r>
              <w:rPr>
                <w:sz w:val="20"/>
              </w:rPr>
              <w:t xml:space="preserve">Suite 1400, </w:t>
            </w:r>
            <w:bookmarkStart w:id="10" w:name="xdx_900_edei--EntityAddressCityOrTown_c2"/>
            <w:bookmarkEnd w:id="10"/>
            <w:r>
              <w:rPr>
                <w:sz w:val="20"/>
              </w:rPr>
              <w:t xml:space="preserve">Las Vegas, </w:t>
            </w:r>
            <w:bookmarkStart w:id="11" w:name="xdx_900_edei--EntityAddressStateOrProvin"/>
            <w:bookmarkEnd w:id="11"/>
            <w:r>
              <w:rPr>
                <w:sz w:val="20"/>
              </w:rPr>
              <w:t xml:space="preserve">NV </w:t>
            </w:r>
            <w:bookmarkStart w:id="12" w:name="xdx_909_edei--EntityAddressPostalZipCode"/>
            <w:bookmarkEnd w:id="12"/>
            <w:r>
              <w:rPr>
                <w:sz w:val="20"/>
              </w:rPr>
              <w:t>89169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283"/>
              <w:jc w:val="center"/>
              <w:rPr>
                <w:sz w:val="20"/>
              </w:rPr>
            </w:pPr>
            <w:r>
              <w:rPr>
                <w:sz w:val="20"/>
              </w:rPr>
              <w:t>(Address of Principal Executive Offices) (Zip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D_edei--CityAreaCode_c20260818__20"/>
      <w:bookmarkEnd w:id="13"/>
      <w:r>
        <w:rPr>
          <w:rFonts w:ascii="Times New Roman;Times;Serif" w:hAnsi="Times New Roman;Times;Serif"/>
          <w:b w:val="false"/>
          <w:i w:val="false"/>
          <w:caps w:val="false"/>
          <w:smallCaps w:val="false"/>
          <w:sz w:val="20"/>
        </w:rPr>
        <w:t xml:space="preserve">949) </w:t>
      </w:r>
      <w:bookmarkStart w:id="14" w:name="xdx_903_edei--LocalPhoneNumber_c20260818"/>
      <w:bookmarkEnd w:id="14"/>
      <w:r>
        <w:rPr>
          <w:rFonts w:ascii="Times New Roman;Times;Serif" w:hAnsi="Times New Roman;Times;Serif"/>
          <w:b w:val="false"/>
          <w:i w:val="false"/>
          <w:caps w:val="false"/>
          <w:smallCaps w:val="false"/>
          <w:sz w:val="20"/>
        </w:rPr>
        <w:t>753-6800</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75"/>
        <w:gridCol w:w="4880"/>
        <w:gridCol w:w="75"/>
      </w:tblGrid>
      <w:tr>
        <w:trPr/>
        <w:tc>
          <w:tcPr>
            <w:tcW w:w="75" w:type="dxa"/>
            <w:tcBorders/>
            <w:vAlign w:val="center"/>
          </w:tcPr>
          <w:p>
            <w:pPr>
              <w:pStyle w:val="TableContents"/>
              <w:bidi w:val="0"/>
              <w:spacing w:before="0" w:after="283"/>
              <w:jc w:val="left"/>
              <w:rPr/>
            </w:pPr>
            <w:r>
              <w:rPr/>
              <w:t> </w:t>
            </w:r>
          </w:p>
        </w:tc>
        <w:tc>
          <w:tcPr>
            <w:tcW w:w="4880" w:type="dxa"/>
            <w:tcBorders>
              <w:bottom w:val="single" w:sz="8" w:space="0" w:color="000000"/>
            </w:tcBorders>
            <w:tcMar>
              <w:bottom w:w="28" w:type="dxa"/>
            </w:tcMar>
            <w:vAlign w:val="center"/>
          </w:tcPr>
          <w:p>
            <w:pPr>
              <w:pStyle w:val="TableContents"/>
              <w:bidi w:val="0"/>
              <w:spacing w:before="0" w:after="283"/>
              <w:jc w:val="center"/>
              <w:rPr>
                <w:sz w:val="20"/>
              </w:rPr>
            </w:pPr>
            <w:bookmarkStart w:id="15" w:name="xdx_90E_edei--EntityInformationFormerLeg"/>
            <w:bookmarkEnd w:id="15"/>
            <w:r>
              <w:rPr>
                <w:sz w:val="20"/>
              </w:rPr>
              <w:t>Not Applicable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center"/>
              <w:rPr>
                <w:sz w:val="20"/>
              </w:rPr>
            </w:pPr>
            <w:r>
              <w:rPr>
                <w:sz w:val="20"/>
              </w:rPr>
              <w:t>(Former name or former address, if changed since last report)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6_edei--WrittenCommunications_c202"/>
      <w:bookmarkEnd w:id="16"/>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F_edei--SolicitingMaterial_c202608"/>
      <w:bookmarkEnd w:id="17"/>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1_edei--PreCommencementTenderOffer"/>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9" w:name="xdx_90F_edei--PreCommencementIssuerTende"/>
      <w:bookmarkEnd w:id="19"/>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30" w:type="dxa"/>
        <w:jc w:val="left"/>
        <w:tblInd w:w="0" w:type="dxa"/>
        <w:tblLayout w:type="fixed"/>
        <w:tblCellMar>
          <w:top w:w="0" w:type="dxa"/>
          <w:left w:w="0" w:type="dxa"/>
          <w:bottom w:w="28" w:type="dxa"/>
          <w:right w:w="0" w:type="dxa"/>
        </w:tblCellMar>
      </w:tblPr>
      <w:tblGrid>
        <w:gridCol w:w="2390"/>
        <w:gridCol w:w="1535"/>
        <w:gridCol w:w="3905"/>
      </w:tblGrid>
      <w:tr>
        <w:trPr/>
        <w:tc>
          <w:tcPr>
            <w:tcW w:w="239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3905"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390" w:type="dxa"/>
            <w:tcBorders/>
            <w:tcMar>
              <w:bottom w:w="0" w:type="dxa"/>
            </w:tcMar>
            <w:vAlign w:val="center"/>
          </w:tcPr>
          <w:p>
            <w:pPr>
              <w:pStyle w:val="TableContents"/>
              <w:bidi w:val="0"/>
              <w:spacing w:before="0" w:after="283"/>
              <w:jc w:val="center"/>
              <w:rPr>
                <w:sz w:val="20"/>
              </w:rPr>
            </w:pPr>
            <w:bookmarkStart w:id="20" w:name="xdx_905_edei--Security12bTitle_c20260818"/>
            <w:bookmarkEnd w:id="20"/>
            <w:r>
              <w:rPr>
                <w:sz w:val="20"/>
              </w:rPr>
              <w:t>Common Stock, no par value</w:t>
            </w:r>
          </w:p>
        </w:tc>
        <w:tc>
          <w:tcPr>
            <w:tcW w:w="1535" w:type="dxa"/>
            <w:tcBorders/>
            <w:tcMar>
              <w:bottom w:w="0" w:type="dxa"/>
            </w:tcMar>
            <w:vAlign w:val="center"/>
          </w:tcPr>
          <w:p>
            <w:pPr>
              <w:pStyle w:val="TableContents"/>
              <w:bidi w:val="0"/>
              <w:spacing w:before="0" w:after="283"/>
              <w:jc w:val="center"/>
              <w:rPr>
                <w:sz w:val="20"/>
              </w:rPr>
            </w:pPr>
            <w:bookmarkStart w:id="21" w:name="xdx_90E_edei--TradingSymbol_c20260818__2"/>
            <w:bookmarkEnd w:id="21"/>
            <w:r>
              <w:rPr>
                <w:sz w:val="20"/>
              </w:rPr>
              <w:t>CPSS</w:t>
            </w:r>
          </w:p>
        </w:tc>
        <w:tc>
          <w:tcPr>
            <w:tcW w:w="3905" w:type="dxa"/>
            <w:tcBorders/>
            <w:tcMar>
              <w:bottom w:w="0" w:type="dxa"/>
            </w:tcMar>
            <w:vAlign w:val="center"/>
          </w:tcPr>
          <w:p>
            <w:pPr>
              <w:pStyle w:val="TableContents"/>
              <w:bidi w:val="0"/>
              <w:spacing w:before="0" w:after="283"/>
              <w:jc w:val="center"/>
              <w:rPr>
                <w:sz w:val="20"/>
              </w:rPr>
            </w:pPr>
            <w:r>
              <w:rPr>
                <w:sz w:val="20"/>
              </w:rPr>
              <w:t xml:space="preserve">The </w:t>
            </w:r>
            <w:bookmarkStart w:id="22" w:name="xdx_90B_edei--SecurityExchangeName_c2026"/>
            <w:bookmarkEnd w:id="22"/>
            <w:r>
              <w:rPr>
                <w:sz w:val="20"/>
              </w:rPr>
              <w:t>Nasdaq Stock Market LLC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5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the registrant announced the closing of a $80 million securitization of residual interests from previously issued securitizations. The notes are secured by residual interests in four Consumer Portfolio Services, Inc. (“CPS”) securitizations issued between April 2022 and April 2023 (the “Pledged Residual Interests”), as well as an 80% interest in a CPS majority owned affiliate (“MOA”) that owns the residual interests in three CPS securitizations issued between July 2023 and April 2026. The coupon on the notes is 10.25%.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MOA interest includes 80% of the amounts on deposit in the underlying spread accounts for each related securitization and 80% of the over-collateralization of each related securitization, which is the difference between the outstanding principal balance of the related receivables less the outstanding principal balance of the notes associated with the securitization. The Pledged Residual Interests include 100% of the amounts on deposit in the underlying spread accounts for each related securitization and 100% of the over-collateralization of each related securitization. On each monthly payment date, the notes will be paid interest at the coupon rate and, if necessary, a principal payment necessary to maintain a specified minimum collateral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CPS disclaims any implication that the agreements described in this report are other than agreements entered into in the ordinary course of CPS's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financial statements nor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financial information are filed with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exhibit is included with this report:</w:t>
      </w:r>
    </w:p>
    <w:p>
      <w:pPr>
        <w:pStyle w:val="TextBody"/>
        <w:bidi w:val="0"/>
        <w:jc w:val="left"/>
        <w:rPr>
          <w:caps w:val="false"/>
          <w:smallCaps w:val="false"/>
        </w:rPr>
      </w:pPr>
      <w:r>
        <w:rPr>
          <w:caps w:val="false"/>
          <w:smallCaps w:val="false"/>
        </w:rPr>
        <w:t> </w:t>
      </w:r>
    </w:p>
    <w:tbl>
      <w:tblPr>
        <w:tblW w:w="6925" w:type="dxa"/>
        <w:jc w:val="left"/>
        <w:tblInd w:w="0" w:type="dxa"/>
        <w:shd w:fill="FFFFFF" w:val="clear"/>
        <w:tblLayout w:type="fixed"/>
        <w:tblCellMar>
          <w:top w:w="0" w:type="dxa"/>
          <w:left w:w="0" w:type="dxa"/>
          <w:bottom w:w="0" w:type="dxa"/>
          <w:right w:w="0" w:type="dxa"/>
        </w:tblCellMar>
      </w:tblPr>
      <w:tblGrid>
        <w:gridCol w:w="395"/>
        <w:gridCol w:w="6530"/>
      </w:tblGrid>
      <w:tr>
        <w:trPr/>
        <w:tc>
          <w:tcPr>
            <w:tcW w:w="395" w:type="dxa"/>
            <w:tcBorders/>
            <w:shd w:fill="FFFFFF" w:val="clear"/>
            <w:vAlign w:val="center"/>
          </w:tcPr>
          <w:p>
            <w:pPr>
              <w:pStyle w:val="TableContents"/>
              <w:bidi w:val="0"/>
              <w:spacing w:before="0" w:after="283"/>
              <w:jc w:val="left"/>
              <w:rPr>
                <w:sz w:val="20"/>
              </w:rPr>
            </w:pPr>
            <w:r>
              <w:rPr>
                <w:sz w:val="20"/>
              </w:rPr>
              <w:t>99.1</w:t>
            </w:r>
          </w:p>
        </w:tc>
        <w:tc>
          <w:tcPr>
            <w:tcW w:w="6530" w:type="dxa"/>
            <w:tcBorders/>
            <w:shd w:fill="FFFFFF" w:val="clear"/>
            <w:vAlign w:val="center"/>
          </w:tcPr>
          <w:p>
            <w:pPr>
              <w:pStyle w:val="TableContents"/>
              <w:bidi w:val="0"/>
              <w:spacing w:before="0" w:after="283"/>
              <w:jc w:val="left"/>
              <w:rPr/>
            </w:pPr>
            <w:hyperlink w:anchor="cps_ex9901.htm">
              <w:r>
                <w:rPr>
                  <w:rStyle w:val="InternetLink"/>
                  <w:sz w:val="20"/>
                </w:rPr>
                <w:t>News release re August 18, 2026 transaction.</w:t>
              </w:r>
            </w:hyperlink>
          </w:p>
        </w:tc>
      </w:tr>
      <w:tr>
        <w:trPr/>
        <w:tc>
          <w:tcPr>
            <w:tcW w:w="395" w:type="dxa"/>
            <w:tcBorders/>
            <w:shd w:fill="FFFFFF" w:val="clear"/>
            <w:vAlign w:val="center"/>
          </w:tcPr>
          <w:p>
            <w:pPr>
              <w:pStyle w:val="TableContents"/>
              <w:bidi w:val="0"/>
              <w:spacing w:before="0" w:after="283"/>
              <w:jc w:val="left"/>
              <w:rPr>
                <w:sz w:val="20"/>
              </w:rPr>
            </w:pPr>
            <w:r>
              <w:rPr>
                <w:sz w:val="20"/>
              </w:rPr>
              <w:t>104</w:t>
            </w:r>
          </w:p>
        </w:tc>
        <w:tc>
          <w:tcPr>
            <w:tcW w:w="6530" w:type="dxa"/>
            <w:tcBorders/>
            <w:shd w:fill="FFFFFF" w:val="cle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shd w:fill="FFFFFF" w:val="clear"/>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1970"/>
        <w:gridCol w:w="4325"/>
      </w:tblGrid>
      <w:tr>
        <w:trPr/>
        <w:tc>
          <w:tcPr>
            <w:tcW w:w="197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b/>
                <w:sz w:val="20"/>
              </w:rPr>
            </w:pPr>
            <w:r>
              <w:rPr>
                <w:b/>
                <w:sz w:val="20"/>
              </w:rPr>
              <w:t>CONSUMER PORTFOLIO SERVICES, INC.</w:t>
            </w:r>
          </w:p>
        </w:tc>
      </w:tr>
      <w:tr>
        <w:trPr/>
        <w:tc>
          <w:tcPr>
            <w:tcW w:w="197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20"/>
              </w:rPr>
            </w:pPr>
            <w:r>
              <w:rPr>
                <w:sz w:val="20"/>
              </w:rPr>
              <w:t>Dated: August 21, 2026</w:t>
            </w:r>
          </w:p>
        </w:tc>
        <w:tc>
          <w:tcPr>
            <w:tcW w:w="4325" w:type="dxa"/>
            <w:tcBorders/>
            <w:vAlign w:val="center"/>
          </w:tcPr>
          <w:p>
            <w:pPr>
              <w:pStyle w:val="TableContents"/>
              <w:bidi w:val="0"/>
              <w:spacing w:before="0" w:after="283"/>
              <w:jc w:val="left"/>
              <w:rPr>
                <w:sz w:val="20"/>
              </w:rPr>
            </w:pPr>
            <w:r>
              <w:rPr>
                <w:sz w:val="20"/>
              </w:rPr>
              <w:t xml:space="preserve">By: </w:t>
            </w:r>
            <w:r>
              <w:rPr>
                <w:sz w:val="20"/>
                <w:u w:val="single"/>
              </w:rPr>
              <w:t>/s/ Denesh Bharwani                             </w:t>
            </w:r>
          </w:p>
        </w:tc>
      </w:tr>
      <w:tr>
        <w:trPr/>
        <w:tc>
          <w:tcPr>
            <w:tcW w:w="197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Denesh Bharwani</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Financial Officer</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on behalf of the registrant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ind w:left="0" w:right="0" w:hanging="0"/>
        <w:jc w:val="right"/>
        <w:rPr>
          <w:b/>
        </w:rPr>
      </w:pPr>
      <w:bookmarkStart w:id="24" w:name="cps_ex9901.htm"/>
      <w:bookmarkStart w:id="25" w:name="kscps_ex9901"/>
      <w:bookmarkEnd w:id="24"/>
      <w:bookmarkEnd w:id="25"/>
      <w:r>
        <w:rPr>
          <w:b/>
        </w:rPr>
        <w:t>Exhibit 99.1</w:t>
      </w:r>
      <w:r>
        <w:br w:type="page"/>
      </w:r>
    </w:p>
    <w:p>
      <w:pPr>
        <w:pStyle w:val="TextBody"/>
        <w:bidi w:val="0"/>
        <w:spacing w:before="0" w:after="283"/>
        <w:jc w:val="left"/>
        <w:rPr/>
      </w:pPr>
      <w:r>
        <w:rPr/>
        <w:t> </w:t>
      </w:r>
    </w:p>
    <w:tbl>
      <w:tblPr>
        <w:tblW w:w="5735" w:type="dxa"/>
        <w:jc w:val="left"/>
        <w:tblInd w:w="0" w:type="dxa"/>
        <w:tblLayout w:type="fixed"/>
        <w:tblCellMar>
          <w:top w:w="0" w:type="dxa"/>
          <w:left w:w="0" w:type="dxa"/>
          <w:bottom w:w="28" w:type="dxa"/>
          <w:right w:w="0" w:type="dxa"/>
        </w:tblCellMar>
      </w:tblPr>
      <w:tblGrid>
        <w:gridCol w:w="2430"/>
        <w:gridCol w:w="3305"/>
      </w:tblGrid>
      <w:tr>
        <w:trPr/>
        <w:tc>
          <w:tcPr>
            <w:tcW w:w="2430" w:type="dxa"/>
            <w:tcBorders>
              <w:bottom w:val="single" w:sz="8" w:space="0" w:color="000000"/>
            </w:tcBorders>
            <w:vAlign w:val="center"/>
          </w:tcPr>
          <w:p>
            <w:pPr>
              <w:pStyle w:val="TableContents"/>
              <w:bidi w:val="0"/>
              <w:spacing w:before="0" w:after="283"/>
              <w:jc w:val="left"/>
              <w:rPr/>
            </w:pPr>
            <w:r>
              <w:rPr/>
              <w:drawing>
                <wp:inline distT="0" distB="0" distL="0" distR="0">
                  <wp:extent cx="15335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33525" cy="571500"/>
                          </a:xfrm>
                          <a:prstGeom prst="rect">
                            <a:avLst/>
                          </a:prstGeom>
                        </pic:spPr>
                      </pic:pic>
                    </a:graphicData>
                  </a:graphic>
                </wp:inline>
              </w:drawing>
            </w:r>
          </w:p>
        </w:tc>
        <w:tc>
          <w:tcPr>
            <w:tcW w:w="3305" w:type="dxa"/>
            <w:tcBorders>
              <w:bottom w:val="single" w:sz="8" w:space="0" w:color="000000"/>
            </w:tcBorders>
            <w:vAlign w:val="center"/>
          </w:tcPr>
          <w:p>
            <w:pPr>
              <w:pStyle w:val="TableContents"/>
              <w:bidi w:val="0"/>
              <w:spacing w:before="0" w:after="283"/>
              <w:jc w:val="right"/>
              <w:rPr>
                <w:b/>
                <w:i/>
                <w:sz w:val="44"/>
              </w:rPr>
            </w:pPr>
            <w:r>
              <w:rPr>
                <w:b/>
                <w:i/>
                <w:sz w:val="44"/>
              </w:rPr>
              <w:t>NEWS RELEASE</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CPS Announces $80.0 Million Securitization of Residual Interests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LAS VEGAS, Nevada, August 18, 2026 (GlobeNewswire)</w:t>
      </w:r>
      <w:r>
        <w:rPr>
          <w:rFonts w:ascii="Times New Roman;Times;Serif" w:hAnsi="Times New Roman;Times;Serif"/>
          <w:b w:val="false"/>
          <w:i w:val="false"/>
          <w:caps w:val="false"/>
          <w:smallCaps w:val="false"/>
          <w:sz w:val="20"/>
        </w:rPr>
        <w:t xml:space="preserve"> – Consumer Portfolio Services, Inc. (Nasdaq: CPSS) (“CPS” or the “Company”) today announced the closing of a $80.0 million securitization of residual interests from previously issued securitizations.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transaction, a qualified institutional buyer purchased $80.0 million of asset-backed notes carrying a 10.25% coupon. The notes are secured by residual interests in four CPS securitizations issued between April 2022 and April 2023, as well as an 80% interest in a CPS majority owned affiliate (“MOA”) that owns the residual interests in three CPS securitizations issued between July 2023 and April 2026. A portion of the proceeds was used to fully repay the notes of the higher coupon residual interest financing from March 2024. Residual interests that previously secured that transaction now secure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MOA interest includes 80% of the amounts on deposit in the underlying spread accounts for each related securitization and 80% of the over-collateralization of each related securitization, which is the difference between the outstanding principal balance of the related receivables less the outstanding principal balance of the notes associated with the securitization. On each monthly payment date, the notes will be paid interest at the coupon rate and, if necessary, a principal payment to maintain a specified minimum collateral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was a private offering of securities, not registered under the Securities Act of 1933, or any state securities law. All of such securities having been sold, this announcement of their sale appears as a matter of record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Consumer Portfolio Services,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Portfolio Services, Inc. is an independent specialty finance company that provides indirect automobile financing to individuals with past credit problems or limited credit histories. We purchase retail installment sales contracts primarily from franchised automobile dealerships secured by late model used vehicles and, to a lesser extent, new vehicles. We fund these contract purchases on a long-term basis primarily through the securitization markets and service the contracts over their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Relations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Danny Bharwani, EVP/ 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949-753-6811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990</Words>
  <Characters>5632</Characters>
  <CharactersWithSpaces>6658</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