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hyperlink w:anchor="toc">
        <w:bookmarkStart w:id="0" w:name="cpss_i10q-063026.htm"/>
        <w:bookmarkStart w:id="1" w:name="kscpss_i10q063026"/>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101__20"/>
      <w:bookmarkEnd w:id="2"/>
      <w:r>
        <w:rPr>
          <w:rFonts w:ascii="Times New Roman;Times;Serif" w:hAnsi="Times New Roman;Times;Serif"/>
          <w:b/>
          <w:i w:val="false"/>
          <w:caps w:val="false"/>
          <w:smallCaps w:val="false"/>
          <w:sz w:val="36"/>
        </w:rPr>
        <w:t xml:space="preserve">10-Q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bookmarkStart w:id="3" w:name="xdx_909_edei--DocumentQuarterlyReport_c2"/>
            <w:bookmarkEnd w:id="3"/>
            <w:r>
              <w:rPr/>
              <w:t>☒</w:t>
            </w:r>
          </w:p>
        </w:tc>
        <w:tc>
          <w:tcPr>
            <w:tcW w:w="9975" w:type="dxa"/>
            <w:tcBorders/>
            <w:vAlign w:val="center"/>
          </w:tcPr>
          <w:p>
            <w:pPr>
              <w:pStyle w:val="TableContents"/>
              <w:bidi w:val="0"/>
              <w:spacing w:before="0" w:after="283"/>
              <w:jc w:val="left"/>
              <w:rPr/>
            </w:pPr>
            <w:r>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3_edei--DocumentPeriodEndDate_c202"/>
      <w:bookmarkEnd w:id="4"/>
      <w:r>
        <w:rPr>
          <w:rFonts w:ascii="Times New Roman;Times;Serif" w:hAnsi="Times New Roman;Times;Serif"/>
          <w:b/>
          <w:i w:val="false"/>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bookmarkStart w:id="5" w:name="xdx_90E_edei--DocumentTransitionReport_c"/>
            <w:bookmarkEnd w:id="5"/>
            <w:r>
              <w:rPr/>
              <w:t>☐</w:t>
            </w:r>
          </w:p>
        </w:tc>
        <w:tc>
          <w:tcPr>
            <w:tcW w:w="9975" w:type="dxa"/>
            <w:tcBorders/>
            <w:vAlign w:val="center"/>
          </w:tcPr>
          <w:p>
            <w:pPr>
              <w:pStyle w:val="TableContents"/>
              <w:bidi w:val="0"/>
              <w:spacing w:before="0" w:after="283"/>
              <w:jc w:val="left"/>
              <w:rPr/>
            </w:pPr>
            <w:r>
              <w:rPr/>
              <w:t>TRANSITION REPORT PURSUANT TO SECTION 13 OR 15(d)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7_edei--EntityFileNumber_c20260101"/>
      <w:bookmarkEnd w:id="6"/>
      <w:r>
        <w:rPr>
          <w:rFonts w:ascii="Times New Roman;Times;Serif" w:hAnsi="Times New Roman;Times;Serif"/>
          <w:b/>
          <w:i w:val="false"/>
          <w:caps w:val="false"/>
          <w:smallCaps w:val="false"/>
          <w:sz w:val="20"/>
        </w:rPr>
        <w:t>1-11416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7" w:name="xdx_90B_edei--EntityRegistrantName_c2026"/>
      <w:bookmarkEnd w:id="7"/>
      <w:r>
        <w:rPr>
          <w:rFonts w:ascii="Times New Roman;Times;Serif" w:hAnsi="Times New Roman;Times;Serif"/>
          <w:b/>
          <w:i w:val="false"/>
          <w:caps w:val="false"/>
          <w:smallCaps w:val="false"/>
          <w:sz w:val="36"/>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4880"/>
        <w:gridCol w:w="2780"/>
      </w:tblGrid>
      <w:tr>
        <w:trPr/>
        <w:tc>
          <w:tcPr>
            <w:tcW w:w="4880" w:type="dxa"/>
            <w:tcBorders/>
            <w:vAlign w:val="center"/>
          </w:tcPr>
          <w:p>
            <w:pPr>
              <w:pStyle w:val="TableContents"/>
              <w:bidi w:val="0"/>
              <w:spacing w:before="0" w:after="283"/>
              <w:jc w:val="center"/>
              <w:rPr>
                <w:b/>
                <w:sz w:val="20"/>
              </w:rPr>
            </w:pPr>
            <w:bookmarkStart w:id="8" w:name="xdx_904_edei--EntityIncorporationStateCo"/>
            <w:bookmarkEnd w:id="8"/>
            <w:r>
              <w:rPr>
                <w:b/>
                <w:sz w:val="20"/>
              </w:rPr>
              <w:t>California</w:t>
            </w:r>
          </w:p>
        </w:tc>
        <w:tc>
          <w:tcPr>
            <w:tcW w:w="2780" w:type="dxa"/>
            <w:tcBorders/>
            <w:vAlign w:val="center"/>
          </w:tcPr>
          <w:p>
            <w:pPr>
              <w:pStyle w:val="TableContents"/>
              <w:bidi w:val="0"/>
              <w:spacing w:before="0" w:after="283"/>
              <w:jc w:val="center"/>
              <w:rPr>
                <w:b/>
                <w:sz w:val="20"/>
              </w:rPr>
            </w:pPr>
            <w:bookmarkStart w:id="9" w:name="xdx_906_edei--EntityTaxIdentificationNum"/>
            <w:bookmarkEnd w:id="9"/>
            <w:r>
              <w:rPr>
                <w:b/>
                <w:sz w:val="20"/>
              </w:rPr>
              <w:t>33-0459135</w:t>
            </w:r>
          </w:p>
        </w:tc>
      </w:tr>
      <w:tr>
        <w:trPr/>
        <w:tc>
          <w:tcPr>
            <w:tcW w:w="4880" w:type="dxa"/>
            <w:tcBorders/>
            <w:vAlign w:val="center"/>
          </w:tcPr>
          <w:p>
            <w:pPr>
              <w:pStyle w:val="TableContents"/>
              <w:bidi w:val="0"/>
              <w:spacing w:before="0" w:after="283"/>
              <w:jc w:val="center"/>
              <w:rPr>
                <w:sz w:val="20"/>
              </w:rPr>
            </w:pPr>
            <w:r>
              <w:rPr>
                <w:sz w:val="20"/>
              </w:rPr>
              <w:t>(State or other jurisdiction of incorporation or organization)</w:t>
            </w:r>
          </w:p>
        </w:tc>
        <w:tc>
          <w:tcPr>
            <w:tcW w:w="2780" w:type="dxa"/>
            <w:tcBorders/>
            <w:vAlign w:val="center"/>
          </w:tcPr>
          <w:p>
            <w:pPr>
              <w:pStyle w:val="TableContents"/>
              <w:bidi w:val="0"/>
              <w:spacing w:before="0" w:after="283"/>
              <w:jc w:val="center"/>
              <w:rPr>
                <w:sz w:val="20"/>
              </w:rPr>
            </w:pPr>
            <w:r>
              <w:rPr>
                <w:sz w:val="20"/>
              </w:rPr>
              <w:t>(IRS Employer Identification No.)</w:t>
            </w:r>
          </w:p>
        </w:tc>
      </w:tr>
      <w:tr>
        <w:trPr/>
        <w:tc>
          <w:tcPr>
            <w:tcW w:w="488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AddressLine1_"/>
            <w:bookmarkEnd w:id="10"/>
            <w:r>
              <w:rPr>
                <w:rFonts w:ascii="Times New Roman;Times;Serif" w:hAnsi="Times New Roman;Times;Serif"/>
                <w:b/>
                <w:i w:val="false"/>
                <w:caps w:val="false"/>
                <w:smallCaps w:val="false"/>
                <w:sz w:val="20"/>
              </w:rPr>
              <w:t xml:space="preserve">3800 Howard Hughes Parkway, </w:t>
            </w:r>
            <w:bookmarkStart w:id="11" w:name="xdx_90E_edei--EntityAddressAddressLine2_"/>
            <w:bookmarkEnd w:id="11"/>
            <w:r>
              <w:rPr>
                <w:rFonts w:ascii="Times New Roman;Times;Serif" w:hAnsi="Times New Roman;Times;Serif"/>
                <w:b/>
                <w:i w:val="false"/>
                <w:caps w:val="false"/>
                <w:smallCaps w:val="false"/>
                <w:sz w:val="20"/>
              </w:rPr>
              <w:t>Suite 1400,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4_edei--EntityAddressCityOrTown_c2"/>
            <w:bookmarkEnd w:id="12"/>
            <w:r>
              <w:rPr>
                <w:rFonts w:ascii="Times New Roman;Times;Serif" w:hAnsi="Times New Roman;Times;Serif"/>
                <w:b/>
                <w:i w:val="false"/>
                <w:caps w:val="false"/>
                <w:smallCaps w:val="false"/>
                <w:sz w:val="20"/>
              </w:rPr>
              <w:t xml:space="preserve">Las Vegas, </w:t>
            </w:r>
            <w:bookmarkStart w:id="13" w:name="xdx_90C_edei--EntityAddressStateOrProvin"/>
            <w:bookmarkEnd w:id="13"/>
            <w:r>
              <w:rPr>
                <w:rFonts w:ascii="Times New Roman;Times;Serif" w:hAnsi="Times New Roman;Times;Serif"/>
                <w:b/>
                <w:i w:val="false"/>
                <w:caps w:val="false"/>
                <w:smallCaps w:val="false"/>
                <w:sz w:val="20"/>
              </w:rPr>
              <w:t>Nevada</w:t>
            </w:r>
          </w:p>
        </w:tc>
        <w:tc>
          <w:tcPr>
            <w:tcW w:w="2780" w:type="dxa"/>
            <w:tcBorders/>
            <w:vAlign w:val="center"/>
          </w:tcPr>
          <w:p>
            <w:pPr>
              <w:pStyle w:val="TableContents"/>
              <w:bidi w:val="0"/>
              <w:spacing w:before="0" w:after="283"/>
              <w:jc w:val="center"/>
              <w:rPr>
                <w:b/>
                <w:sz w:val="20"/>
              </w:rPr>
            </w:pPr>
            <w:bookmarkStart w:id="14" w:name="xdx_90A_edei--EntityAddressPostalZipCode"/>
            <w:bookmarkEnd w:id="14"/>
            <w:r>
              <w:rPr>
                <w:b/>
                <w:sz w:val="20"/>
              </w:rPr>
              <w:t>89169</w:t>
            </w:r>
          </w:p>
        </w:tc>
      </w:tr>
      <w:tr>
        <w:trPr/>
        <w:tc>
          <w:tcPr>
            <w:tcW w:w="4880" w:type="dxa"/>
            <w:tcBorders/>
            <w:vAlign w:val="center"/>
          </w:tcPr>
          <w:p>
            <w:pPr>
              <w:pStyle w:val="TableContents"/>
              <w:bidi w:val="0"/>
              <w:spacing w:before="0" w:after="283"/>
              <w:jc w:val="center"/>
              <w:rPr>
                <w:sz w:val="20"/>
              </w:rPr>
            </w:pPr>
            <w:r>
              <w:rPr>
                <w:sz w:val="20"/>
              </w:rPr>
              <w:t>(Address of principal executive offices)</w:t>
            </w:r>
          </w:p>
        </w:tc>
        <w:tc>
          <w:tcPr>
            <w:tcW w:w="278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5" w:name="xdx_900_edei--CityAreaCode_c20260101__20"/>
      <w:bookmarkEnd w:id="15"/>
      <w:r>
        <w:rPr>
          <w:rFonts w:ascii="Times New Roman;Times;Serif" w:hAnsi="Times New Roman;Times;Serif"/>
          <w:b/>
          <w:i w:val="false"/>
          <w:caps w:val="false"/>
          <w:smallCaps w:val="false"/>
          <w:sz w:val="20"/>
        </w:rPr>
        <w:t xml:space="preserve">949) </w:t>
      </w:r>
      <w:bookmarkStart w:id="16" w:name="xdx_909_edei--LocalPhoneNumber_c20260101"/>
      <w:bookmarkEnd w:id="16"/>
      <w:r>
        <w:rPr>
          <w:rFonts w:ascii="Times New Roman;Times;Serif" w:hAnsi="Times New Roman;Times;Serif"/>
          <w:b/>
          <w:i w:val="false"/>
          <w:caps w:val="false"/>
          <w:smallCaps w:val="false"/>
          <w:sz w:val="20"/>
        </w:rPr>
        <w:t>753-6800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 N/A</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822" w:type="dxa"/>
        <w:jc w:val="left"/>
        <w:tblInd w:w="0" w:type="dxa"/>
        <w:tblLayout w:type="fixed"/>
        <w:tblCellMar>
          <w:top w:w="0" w:type="dxa"/>
          <w:left w:w="0" w:type="dxa"/>
          <w:bottom w:w="0" w:type="dxa"/>
          <w:right w:w="0" w:type="dxa"/>
        </w:tblCellMar>
      </w:tblPr>
      <w:tblGrid>
        <w:gridCol w:w="2397"/>
        <w:gridCol w:w="1340"/>
        <w:gridCol w:w="4085"/>
      </w:tblGrid>
      <w:tr>
        <w:trPr/>
        <w:tc>
          <w:tcPr>
            <w:tcW w:w="2397" w:type="dxa"/>
            <w:tcBorders/>
            <w:vAlign w:val="center"/>
          </w:tcPr>
          <w:p>
            <w:pPr>
              <w:pStyle w:val="TableContents"/>
              <w:bidi w:val="0"/>
              <w:spacing w:before="0" w:after="283"/>
              <w:ind w:left="0" w:right="0" w:firstLine="7"/>
              <w:jc w:val="center"/>
              <w:rPr>
                <w:sz w:val="20"/>
                <w:u w:val="single"/>
              </w:rPr>
            </w:pPr>
            <w:r>
              <w:rPr>
                <w:sz w:val="20"/>
                <w:u w:val="single"/>
              </w:rPr>
              <w:t>Title of Each Class</w:t>
            </w:r>
          </w:p>
        </w:tc>
        <w:tc>
          <w:tcPr>
            <w:tcW w:w="1340" w:type="dxa"/>
            <w:tcBorders/>
            <w:vAlign w:val="center"/>
          </w:tcPr>
          <w:p>
            <w:pPr>
              <w:pStyle w:val="TableContents"/>
              <w:bidi w:val="0"/>
              <w:spacing w:before="0" w:after="283"/>
              <w:jc w:val="center"/>
              <w:rPr>
                <w:sz w:val="20"/>
                <w:u w:val="single"/>
              </w:rPr>
            </w:pPr>
            <w:r>
              <w:rPr>
                <w:sz w:val="20"/>
                <w:u w:val="single"/>
              </w:rPr>
              <w:t>Trading Symbol</w:t>
            </w:r>
          </w:p>
        </w:tc>
        <w:tc>
          <w:tcPr>
            <w:tcW w:w="4085" w:type="dxa"/>
            <w:tcBorders/>
            <w:vAlign w:val="center"/>
          </w:tcPr>
          <w:p>
            <w:pPr>
              <w:pStyle w:val="TableContents"/>
              <w:bidi w:val="0"/>
              <w:spacing w:before="0" w:after="283"/>
              <w:jc w:val="center"/>
              <w:rPr>
                <w:sz w:val="20"/>
                <w:u w:val="single"/>
              </w:rPr>
            </w:pPr>
            <w:r>
              <w:rPr>
                <w:sz w:val="20"/>
                <w:u w:val="single"/>
              </w:rPr>
              <w:t>Name of Each Exchange on Which Registered</w:t>
            </w:r>
          </w:p>
        </w:tc>
      </w:tr>
      <w:tr>
        <w:trPr/>
        <w:tc>
          <w:tcPr>
            <w:tcW w:w="2397" w:type="dxa"/>
            <w:tcBorders/>
            <w:vAlign w:val="center"/>
          </w:tcPr>
          <w:p>
            <w:pPr>
              <w:pStyle w:val="TableContents"/>
              <w:bidi w:val="0"/>
              <w:spacing w:before="0" w:after="283"/>
              <w:ind w:left="0" w:right="0" w:firstLine="7"/>
              <w:jc w:val="center"/>
              <w:rPr>
                <w:sz w:val="20"/>
              </w:rPr>
            </w:pPr>
            <w:bookmarkStart w:id="17" w:name="xdx_904_edei--Security12bTitle_c20260101"/>
            <w:bookmarkEnd w:id="17"/>
            <w:r>
              <w:rPr>
                <w:sz w:val="20"/>
              </w:rPr>
              <w:t>Common Stock, no par value</w:t>
            </w:r>
          </w:p>
        </w:tc>
        <w:tc>
          <w:tcPr>
            <w:tcW w:w="1340" w:type="dxa"/>
            <w:tcBorders/>
            <w:vAlign w:val="center"/>
          </w:tcPr>
          <w:p>
            <w:pPr>
              <w:pStyle w:val="TableContents"/>
              <w:bidi w:val="0"/>
              <w:spacing w:before="0" w:after="283"/>
              <w:jc w:val="center"/>
              <w:rPr>
                <w:sz w:val="20"/>
              </w:rPr>
            </w:pPr>
            <w:bookmarkStart w:id="18" w:name="xdx_90C_edei--TradingSymbol_c20260101__2"/>
            <w:bookmarkEnd w:id="18"/>
            <w:r>
              <w:rPr>
                <w:sz w:val="20"/>
              </w:rPr>
              <w:t>CPSS</w:t>
            </w:r>
          </w:p>
        </w:tc>
        <w:tc>
          <w:tcPr>
            <w:tcW w:w="4085" w:type="dxa"/>
            <w:tcBorders/>
            <w:vAlign w:val="center"/>
          </w:tcPr>
          <w:p>
            <w:pPr>
              <w:pStyle w:val="TableContents"/>
              <w:bidi w:val="0"/>
              <w:spacing w:before="0" w:after="283"/>
              <w:jc w:val="center"/>
              <w:rPr>
                <w:sz w:val="20"/>
              </w:rPr>
            </w:pPr>
            <w:r>
              <w:rPr>
                <w:sz w:val="20"/>
              </w:rPr>
              <w:t>The </w:t>
            </w:r>
            <w:bookmarkStart w:id="19" w:name="xdx_907_edei--SecurityExchangeName_c2026"/>
            <w:bookmarkEnd w:id="19"/>
            <w:r>
              <w:rPr>
                <w:sz w:val="20"/>
              </w:rPr>
              <w:t>NASDAQ Stock Market LLC (Global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F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1" w:name="xdx_905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2150"/>
        <w:gridCol w:w="3020"/>
      </w:tblGrid>
      <w:tr>
        <w:trPr/>
        <w:tc>
          <w:tcPr>
            <w:tcW w:w="2150" w:type="dxa"/>
            <w:tcBorders/>
            <w:vAlign w:val="center"/>
          </w:tcPr>
          <w:p>
            <w:pPr>
              <w:pStyle w:val="TableContents"/>
              <w:bidi w:val="0"/>
              <w:spacing w:before="0" w:after="283"/>
              <w:jc w:val="left"/>
              <w:rPr>
                <w:sz w:val="20"/>
              </w:rPr>
            </w:pPr>
            <w:r>
              <w:rPr>
                <w:sz w:val="20"/>
              </w:rPr>
              <w:t>Large Accelerated Filer ☐</w:t>
            </w:r>
          </w:p>
        </w:tc>
        <w:tc>
          <w:tcPr>
            <w:tcW w:w="3020" w:type="dxa"/>
            <w:tcBorders/>
            <w:vAlign w:val="center"/>
          </w:tcPr>
          <w:p>
            <w:pPr>
              <w:pStyle w:val="TableContents"/>
              <w:bidi w:val="0"/>
              <w:spacing w:before="0" w:after="283"/>
              <w:jc w:val="left"/>
              <w:rPr>
                <w:sz w:val="20"/>
              </w:rPr>
            </w:pPr>
            <w:bookmarkStart w:id="22" w:name="xdx_903_edei--EntityFilerCategory_c20260"/>
            <w:bookmarkEnd w:id="22"/>
            <w:r>
              <w:rPr>
                <w:sz w:val="20"/>
              </w:rPr>
              <w:t>Accelerated Filer ☒</w:t>
            </w:r>
          </w:p>
        </w:tc>
      </w:tr>
      <w:tr>
        <w:trPr/>
        <w:tc>
          <w:tcPr>
            <w:tcW w:w="2150" w:type="dxa"/>
            <w:tcBorders/>
            <w:vAlign w:val="center"/>
          </w:tcPr>
          <w:p>
            <w:pPr>
              <w:pStyle w:val="TableContents"/>
              <w:bidi w:val="0"/>
              <w:spacing w:before="0" w:after="283"/>
              <w:jc w:val="left"/>
              <w:rPr>
                <w:sz w:val="20"/>
              </w:rPr>
            </w:pPr>
            <w:r>
              <w:rPr>
                <w:sz w:val="20"/>
              </w:rPr>
              <w:t>Non-Accelerated Filer ☐</w:t>
            </w:r>
          </w:p>
        </w:tc>
        <w:tc>
          <w:tcPr>
            <w:tcW w:w="3020" w:type="dxa"/>
            <w:tcBorders/>
            <w:vAlign w:val="center"/>
          </w:tcPr>
          <w:p>
            <w:pPr>
              <w:pStyle w:val="TableContents"/>
              <w:bidi w:val="0"/>
              <w:spacing w:before="0" w:after="283"/>
              <w:jc w:val="left"/>
              <w:rPr>
                <w:sz w:val="20"/>
              </w:rPr>
            </w:pPr>
            <w:r>
              <w:rPr>
                <w:sz w:val="20"/>
              </w:rPr>
              <w:t xml:space="preserve">Smaller Reporting Company </w:t>
            </w:r>
            <w:bookmarkStart w:id="23" w:name="xdx_904_edei--EntitySmallBusiness_c20260"/>
            <w:bookmarkEnd w:id="23"/>
            <w:r>
              <w:rPr>
                <w:sz w:val="20"/>
              </w:rPr>
              <w:t>☒</w:t>
            </w:r>
          </w:p>
        </w:tc>
      </w:tr>
      <w:tr>
        <w:trPr/>
        <w:tc>
          <w:tcPr>
            <w:tcW w:w="215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xml:space="preserve">Emerging Growth Company </w:t>
            </w:r>
            <w:bookmarkStart w:id="24" w:name="xdx_90F_edei--EntityEmergingGrowthCompan"/>
            <w:bookmarkEnd w:id="24"/>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5" w:name="xdx_906_edei--EntityShellCompany_dbF_c20"/>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July 24, 2026, the registrant had </w:t>
      </w:r>
      <w:bookmarkStart w:id="26" w:name="xdx_904_edei--EntityCommonStockSharesOut"/>
      <w:bookmarkEnd w:id="26"/>
      <w:r>
        <w:rPr>
          <w:rFonts w:ascii="Times New Roman;Times;Serif" w:hAnsi="Times New Roman;Times;Serif"/>
          <w:b w:val="false"/>
          <w:i w:val="false"/>
          <w:caps w:val="false"/>
          <w:smallCaps w:val="false"/>
          <w:sz w:val="20"/>
        </w:rPr>
        <w:t>21,554,714 common shares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7" w:name="toc"/>
      <w:bookmarkEnd w:id="27"/>
      <w:r>
        <w:rPr>
          <w:rFonts w:ascii="Times New Roman;Times;Serif" w:hAnsi="Times New Roman;Times;Serif"/>
          <w:b w:val="false"/>
          <w:i w:val="false"/>
          <w:caps w:val="false"/>
          <w:smallCaps w:val="false"/>
          <w:sz w:val="20"/>
        </w:rPr>
        <w:t>INDEX TO 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3"/>
        <w:gridCol w:w="9116"/>
        <w:gridCol w:w="456"/>
      </w:tblGrid>
      <w:tr>
        <w:trPr/>
        <w:tc>
          <w:tcPr>
            <w:tcW w:w="633" w:type="dxa"/>
            <w:tcBorders/>
            <w:vAlign w:val="center"/>
          </w:tcPr>
          <w:p>
            <w:pPr>
              <w:pStyle w:val="TableContents"/>
              <w:bidi w:val="0"/>
              <w:spacing w:before="0" w:after="283"/>
              <w:jc w:val="both"/>
              <w:rPr/>
            </w:pPr>
            <w:r>
              <w:rPr/>
              <w:t> </w:t>
            </w:r>
          </w:p>
        </w:tc>
        <w:tc>
          <w:tcPr>
            <w:tcW w:w="9116" w:type="dxa"/>
            <w:tcBorders/>
            <w:vAlign w:val="center"/>
          </w:tcPr>
          <w:p>
            <w:pPr>
              <w:pStyle w:val="TableContents"/>
              <w:bidi w:val="0"/>
              <w:spacing w:before="0" w:after="283"/>
              <w:jc w:val="both"/>
              <w:rPr/>
            </w:pPr>
            <w:r>
              <w:rPr/>
              <w:t> </w:t>
            </w:r>
          </w:p>
        </w:tc>
        <w:tc>
          <w:tcPr>
            <w:tcW w:w="456" w:type="dxa"/>
            <w:tcBorders/>
            <w:vAlign w:val="center"/>
          </w:tcPr>
          <w:p>
            <w:pPr>
              <w:pStyle w:val="TableContents"/>
              <w:bidi w:val="0"/>
              <w:spacing w:before="0" w:after="283"/>
              <w:jc w:val="center"/>
              <w:rPr>
                <w:b/>
                <w:sz w:val="20"/>
                <w:u w:val="single"/>
              </w:rPr>
            </w:pPr>
            <w:r>
              <w:rPr>
                <w:b/>
                <w:sz w:val="20"/>
                <w:u w:val="single"/>
              </w:rPr>
              <w:t>Page</w:t>
            </w:r>
          </w:p>
        </w:tc>
      </w:tr>
      <w:tr>
        <w:trPr/>
        <w:tc>
          <w:tcPr>
            <w:tcW w:w="633" w:type="dxa"/>
            <w:tcBorders/>
            <w:vAlign w:val="center"/>
          </w:tcPr>
          <w:p>
            <w:pPr>
              <w:pStyle w:val="TableContents"/>
              <w:bidi w:val="0"/>
              <w:spacing w:before="0" w:after="283"/>
              <w:jc w:val="both"/>
              <w:rPr/>
            </w:pPr>
            <w:r>
              <w:rPr/>
              <w:t> </w:t>
            </w:r>
          </w:p>
        </w:tc>
        <w:tc>
          <w:tcPr>
            <w:tcW w:w="9116" w:type="dxa"/>
            <w:tcBorders/>
            <w:vAlign w:val="center"/>
          </w:tcPr>
          <w:p>
            <w:pPr>
              <w:pStyle w:val="TableContents"/>
              <w:bidi w:val="0"/>
              <w:spacing w:before="0" w:after="283"/>
              <w:jc w:val="both"/>
              <w:rPr/>
            </w:pPr>
            <w:r>
              <w:rPr/>
              <w:t> </w:t>
            </w:r>
          </w:p>
        </w:tc>
        <w:tc>
          <w:tcPr>
            <w:tcW w:w="456"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283"/>
              <w:jc w:val="center"/>
              <w:rPr/>
            </w:pPr>
            <w:hyperlink w:anchor="q2_001">
              <w:r>
                <w:rPr>
                  <w:rStyle w:val="InternetLink"/>
                  <w:b/>
                </w:rPr>
                <w:t>PART I. FINANCIAL INFORMATION</w:t>
              </w:r>
            </w:hyperlink>
          </w:p>
        </w:tc>
      </w:tr>
      <w:tr>
        <w:trPr/>
        <w:tc>
          <w:tcPr>
            <w:tcW w:w="633" w:type="dxa"/>
            <w:tcBorders/>
            <w:vAlign w:val="center"/>
          </w:tcPr>
          <w:p>
            <w:pPr>
              <w:pStyle w:val="TableContents"/>
              <w:bidi w:val="0"/>
              <w:spacing w:before="0" w:after="283"/>
              <w:jc w:val="both"/>
              <w:rPr/>
            </w:pPr>
            <w:r>
              <w:rPr/>
              <w:t> </w:t>
            </w:r>
          </w:p>
        </w:tc>
        <w:tc>
          <w:tcPr>
            <w:tcW w:w="9116" w:type="dxa"/>
            <w:tcBorders/>
            <w:vAlign w:val="center"/>
          </w:tcPr>
          <w:p>
            <w:pPr>
              <w:pStyle w:val="TableContents"/>
              <w:bidi w:val="0"/>
              <w:spacing w:before="0" w:after="283"/>
              <w:jc w:val="both"/>
              <w:rPr/>
            </w:pPr>
            <w:r>
              <w:rPr/>
              <w:t> </w:t>
            </w:r>
          </w:p>
        </w:tc>
        <w:tc>
          <w:tcPr>
            <w:tcW w:w="456" w:type="dxa"/>
            <w:tcBorders/>
            <w:vAlign w:val="center"/>
          </w:tcPr>
          <w:p>
            <w:pPr>
              <w:pStyle w:val="TableContents"/>
              <w:bidi w:val="0"/>
              <w:spacing w:before="0" w:after="283"/>
              <w:jc w:val="center"/>
              <w:rPr/>
            </w:pPr>
            <w:r>
              <w:rPr/>
              <w:t> </w:t>
            </w:r>
          </w:p>
        </w:tc>
      </w:tr>
      <w:tr>
        <w:trPr/>
        <w:tc>
          <w:tcPr>
            <w:tcW w:w="633" w:type="dxa"/>
            <w:tcBorders/>
            <w:vAlign w:val="center"/>
          </w:tcPr>
          <w:p>
            <w:pPr>
              <w:pStyle w:val="TableContents"/>
              <w:bidi w:val="0"/>
              <w:spacing w:before="0" w:after="283"/>
              <w:jc w:val="left"/>
              <w:rPr>
                <w:sz w:val="20"/>
              </w:rPr>
            </w:pPr>
            <w:r>
              <w:rPr>
                <w:sz w:val="20"/>
              </w:rPr>
              <w:t>Item 1.</w:t>
            </w:r>
          </w:p>
        </w:tc>
        <w:tc>
          <w:tcPr>
            <w:tcW w:w="9116" w:type="dxa"/>
            <w:tcBorders/>
            <w:vAlign w:val="center"/>
          </w:tcPr>
          <w:p>
            <w:pPr>
              <w:pStyle w:val="TableContents"/>
              <w:bidi w:val="0"/>
              <w:spacing w:before="0" w:after="283"/>
              <w:jc w:val="left"/>
              <w:rPr/>
            </w:pPr>
            <w:hyperlink w:anchor="q2_002">
              <w:r>
                <w:rPr>
                  <w:rStyle w:val="InternetLink"/>
                  <w:sz w:val="20"/>
                </w:rPr>
                <w:t>Financial Statements</w:t>
              </w:r>
            </w:hyperlink>
          </w:p>
        </w:tc>
        <w:tc>
          <w:tcPr>
            <w:tcW w:w="456" w:type="dxa"/>
            <w:tcBorders/>
            <w:vAlign w:val="center"/>
          </w:tcPr>
          <w:p>
            <w:pPr>
              <w:pStyle w:val="TableContents"/>
              <w:bidi w:val="0"/>
              <w:spacing w:before="0" w:after="283"/>
              <w:jc w:val="center"/>
              <w:rPr/>
            </w:pPr>
            <w:r>
              <w:rPr/>
              <w:t>3</w:t>
            </w:r>
          </w:p>
        </w:tc>
      </w:tr>
      <w:tr>
        <w:trPr/>
        <w:tc>
          <w:tcPr>
            <w:tcW w:w="633"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283"/>
              <w:jc w:val="left"/>
              <w:rPr/>
            </w:pPr>
            <w:hyperlink w:anchor="q2_003">
              <w:r>
                <w:rPr>
                  <w:rStyle w:val="InternetLink"/>
                  <w:sz w:val="20"/>
                </w:rPr>
                <w:t>Unaudited Condensed Consolidated Balance Sheets as of June 30, 2026, and December 31, 2025</w:t>
              </w:r>
            </w:hyperlink>
          </w:p>
        </w:tc>
        <w:tc>
          <w:tcPr>
            <w:tcW w:w="456" w:type="dxa"/>
            <w:tcBorders/>
            <w:vAlign w:val="center"/>
          </w:tcPr>
          <w:p>
            <w:pPr>
              <w:pStyle w:val="TableContents"/>
              <w:bidi w:val="0"/>
              <w:spacing w:before="0" w:after="283"/>
              <w:jc w:val="center"/>
              <w:rPr>
                <w:sz w:val="20"/>
              </w:rPr>
            </w:pPr>
            <w:r>
              <w:rPr>
                <w:sz w:val="20"/>
              </w:rPr>
              <w:t>3</w:t>
            </w:r>
          </w:p>
        </w:tc>
      </w:tr>
      <w:tr>
        <w:trPr/>
        <w:tc>
          <w:tcPr>
            <w:tcW w:w="633"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283"/>
              <w:jc w:val="left"/>
              <w:rPr/>
            </w:pPr>
            <w:hyperlink w:anchor="q2_004">
              <w:r>
                <w:rPr>
                  <w:rStyle w:val="InternetLink"/>
                  <w:sz w:val="20"/>
                </w:rPr>
                <w:t>Unaudited Condensed Consolidated Statements of Operations for the three-month and six-month periods ended June 30, 2026, and 2025</w:t>
              </w:r>
            </w:hyperlink>
          </w:p>
        </w:tc>
        <w:tc>
          <w:tcPr>
            <w:tcW w:w="456" w:type="dxa"/>
            <w:tcBorders/>
            <w:vAlign w:val="center"/>
          </w:tcPr>
          <w:p>
            <w:pPr>
              <w:pStyle w:val="TableContents"/>
              <w:bidi w:val="0"/>
              <w:spacing w:before="0" w:after="283"/>
              <w:jc w:val="center"/>
              <w:rPr>
                <w:sz w:val="20"/>
              </w:rPr>
            </w:pPr>
            <w:r>
              <w:rPr>
                <w:sz w:val="20"/>
              </w:rPr>
              <w:t>4</w:t>
            </w:r>
          </w:p>
        </w:tc>
      </w:tr>
      <w:tr>
        <w:trPr/>
        <w:tc>
          <w:tcPr>
            <w:tcW w:w="633"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283"/>
              <w:jc w:val="left"/>
              <w:rPr/>
            </w:pPr>
            <w:hyperlink w:anchor="q2_005">
              <w:r>
                <w:rPr>
                  <w:rStyle w:val="InternetLink"/>
                  <w:sz w:val="20"/>
                </w:rPr>
                <w:t>Unaudited Condensed Consolidated Statements of Comprehensive Income for the three-month and six-month periods ended June 30, 2026, and 2025</w:t>
              </w:r>
            </w:hyperlink>
          </w:p>
        </w:tc>
        <w:tc>
          <w:tcPr>
            <w:tcW w:w="456" w:type="dxa"/>
            <w:tcBorders/>
            <w:vAlign w:val="center"/>
          </w:tcPr>
          <w:p>
            <w:pPr>
              <w:pStyle w:val="TableContents"/>
              <w:bidi w:val="0"/>
              <w:spacing w:before="0" w:after="283"/>
              <w:jc w:val="center"/>
              <w:rPr>
                <w:sz w:val="20"/>
              </w:rPr>
            </w:pPr>
            <w:r>
              <w:rPr>
                <w:sz w:val="20"/>
              </w:rPr>
              <w:t>5</w:t>
            </w:r>
          </w:p>
        </w:tc>
      </w:tr>
      <w:tr>
        <w:trPr/>
        <w:tc>
          <w:tcPr>
            <w:tcW w:w="633"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283"/>
              <w:jc w:val="left"/>
              <w:rPr/>
            </w:pPr>
            <w:hyperlink w:anchor="q2_006">
              <w:r>
                <w:rPr>
                  <w:rStyle w:val="InternetLink"/>
                  <w:sz w:val="20"/>
                </w:rPr>
                <w:t>Unaudited Condensed Consolidated Statements of Cash Flows for the six-month periods ended June 30, 2026, and 2025</w:t>
              </w:r>
            </w:hyperlink>
          </w:p>
        </w:tc>
        <w:tc>
          <w:tcPr>
            <w:tcW w:w="456" w:type="dxa"/>
            <w:tcBorders/>
            <w:vAlign w:val="center"/>
          </w:tcPr>
          <w:p>
            <w:pPr>
              <w:pStyle w:val="TableContents"/>
              <w:bidi w:val="0"/>
              <w:spacing w:before="0" w:after="283"/>
              <w:jc w:val="center"/>
              <w:rPr>
                <w:sz w:val="20"/>
              </w:rPr>
            </w:pPr>
            <w:r>
              <w:rPr>
                <w:sz w:val="20"/>
              </w:rPr>
              <w:t>6</w:t>
            </w:r>
          </w:p>
        </w:tc>
      </w:tr>
      <w:tr>
        <w:trPr/>
        <w:tc>
          <w:tcPr>
            <w:tcW w:w="633"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283"/>
              <w:jc w:val="left"/>
              <w:rPr/>
            </w:pPr>
            <w:hyperlink w:anchor="q2_007">
              <w:r>
                <w:rPr>
                  <w:rStyle w:val="InternetLink"/>
                  <w:sz w:val="20"/>
                </w:rPr>
                <w:t>Unaudited Condensed Consolidated Statements of Shareholders’ Equity for the three-month and six-month periods ended June 30, 2026, and 2025</w:t>
              </w:r>
            </w:hyperlink>
          </w:p>
        </w:tc>
        <w:tc>
          <w:tcPr>
            <w:tcW w:w="456" w:type="dxa"/>
            <w:tcBorders/>
            <w:vAlign w:val="center"/>
          </w:tcPr>
          <w:p>
            <w:pPr>
              <w:pStyle w:val="TableContents"/>
              <w:bidi w:val="0"/>
              <w:spacing w:before="0" w:after="283"/>
              <w:jc w:val="center"/>
              <w:rPr>
                <w:sz w:val="20"/>
              </w:rPr>
            </w:pPr>
            <w:r>
              <w:rPr>
                <w:sz w:val="20"/>
              </w:rPr>
              <w:t>7</w:t>
            </w:r>
          </w:p>
        </w:tc>
      </w:tr>
      <w:tr>
        <w:trPr/>
        <w:tc>
          <w:tcPr>
            <w:tcW w:w="633"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283"/>
              <w:jc w:val="left"/>
              <w:rPr/>
            </w:pPr>
            <w:hyperlink w:anchor="q2_008">
              <w:r>
                <w:rPr>
                  <w:rStyle w:val="InternetLink"/>
                  <w:sz w:val="20"/>
                </w:rPr>
                <w:t>Notes to Unaudited Condensed Consolidated Financial Statements</w:t>
              </w:r>
            </w:hyperlink>
          </w:p>
        </w:tc>
        <w:tc>
          <w:tcPr>
            <w:tcW w:w="456" w:type="dxa"/>
            <w:tcBorders/>
            <w:vAlign w:val="center"/>
          </w:tcPr>
          <w:p>
            <w:pPr>
              <w:pStyle w:val="TableContents"/>
              <w:bidi w:val="0"/>
              <w:spacing w:before="0" w:after="283"/>
              <w:jc w:val="center"/>
              <w:rPr>
                <w:sz w:val="20"/>
              </w:rPr>
            </w:pPr>
            <w:r>
              <w:rPr>
                <w:sz w:val="20"/>
              </w:rPr>
              <w:t>8</w:t>
            </w:r>
          </w:p>
        </w:tc>
      </w:tr>
      <w:tr>
        <w:trPr/>
        <w:tc>
          <w:tcPr>
            <w:tcW w:w="633" w:type="dxa"/>
            <w:tcBorders/>
            <w:vAlign w:val="center"/>
          </w:tcPr>
          <w:p>
            <w:pPr>
              <w:pStyle w:val="TableContents"/>
              <w:bidi w:val="0"/>
              <w:spacing w:before="0" w:after="283"/>
              <w:jc w:val="left"/>
              <w:rPr>
                <w:sz w:val="20"/>
              </w:rPr>
            </w:pPr>
            <w:r>
              <w:rPr>
                <w:sz w:val="20"/>
              </w:rPr>
              <w:t>Item 2.</w:t>
            </w:r>
          </w:p>
        </w:tc>
        <w:tc>
          <w:tcPr>
            <w:tcW w:w="9116" w:type="dxa"/>
            <w:tcBorders/>
            <w:vAlign w:val="center"/>
          </w:tcPr>
          <w:p>
            <w:pPr>
              <w:pStyle w:val="TableContents"/>
              <w:bidi w:val="0"/>
              <w:spacing w:before="0" w:after="283"/>
              <w:jc w:val="left"/>
              <w:rPr/>
            </w:pPr>
            <w:hyperlink w:anchor="q2_009">
              <w:r>
                <w:rPr>
                  <w:rStyle w:val="InternetLink"/>
                  <w:sz w:val="20"/>
                </w:rPr>
                <w:t>Management’s Discussion and Analysis of Financial Condition and Results of Operations</w:t>
              </w:r>
            </w:hyperlink>
          </w:p>
        </w:tc>
        <w:tc>
          <w:tcPr>
            <w:tcW w:w="456" w:type="dxa"/>
            <w:tcBorders/>
            <w:vAlign w:val="center"/>
          </w:tcPr>
          <w:p>
            <w:pPr>
              <w:pStyle w:val="TableContents"/>
              <w:bidi w:val="0"/>
              <w:spacing w:before="0" w:after="283"/>
              <w:jc w:val="center"/>
              <w:rPr>
                <w:sz w:val="20"/>
              </w:rPr>
            </w:pPr>
            <w:r>
              <w:rPr>
                <w:sz w:val="20"/>
              </w:rPr>
              <w:t>26</w:t>
            </w:r>
          </w:p>
        </w:tc>
      </w:tr>
      <w:tr>
        <w:trPr/>
        <w:tc>
          <w:tcPr>
            <w:tcW w:w="633" w:type="dxa"/>
            <w:tcBorders/>
            <w:vAlign w:val="center"/>
          </w:tcPr>
          <w:p>
            <w:pPr>
              <w:pStyle w:val="TableContents"/>
              <w:bidi w:val="0"/>
              <w:spacing w:before="0" w:after="283"/>
              <w:jc w:val="left"/>
              <w:rPr>
                <w:sz w:val="20"/>
              </w:rPr>
            </w:pPr>
            <w:r>
              <w:rPr>
                <w:sz w:val="20"/>
              </w:rPr>
              <w:t>Item 4.</w:t>
            </w:r>
          </w:p>
        </w:tc>
        <w:tc>
          <w:tcPr>
            <w:tcW w:w="9116" w:type="dxa"/>
            <w:tcBorders/>
            <w:vAlign w:val="center"/>
          </w:tcPr>
          <w:p>
            <w:pPr>
              <w:pStyle w:val="TableContents"/>
              <w:bidi w:val="0"/>
              <w:spacing w:before="0" w:after="283"/>
              <w:jc w:val="left"/>
              <w:rPr/>
            </w:pPr>
            <w:hyperlink w:anchor="q2_010">
              <w:r>
                <w:rPr>
                  <w:rStyle w:val="InternetLink"/>
                  <w:sz w:val="20"/>
                </w:rPr>
                <w:t>Controls and Procedures</w:t>
              </w:r>
            </w:hyperlink>
          </w:p>
        </w:tc>
        <w:tc>
          <w:tcPr>
            <w:tcW w:w="456" w:type="dxa"/>
            <w:tcBorders/>
            <w:vAlign w:val="center"/>
          </w:tcPr>
          <w:p>
            <w:pPr>
              <w:pStyle w:val="TableContents"/>
              <w:bidi w:val="0"/>
              <w:spacing w:before="0" w:after="283"/>
              <w:jc w:val="center"/>
              <w:rPr>
                <w:sz w:val="20"/>
              </w:rPr>
            </w:pPr>
            <w:r>
              <w:rPr>
                <w:sz w:val="20"/>
              </w:rPr>
              <w:t>42</w:t>
            </w:r>
          </w:p>
        </w:tc>
      </w:tr>
      <w:tr>
        <w:trPr/>
        <w:tc>
          <w:tcPr>
            <w:tcW w:w="633"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283"/>
              <w:jc w:val="center"/>
              <w:rPr/>
            </w:pPr>
            <w:hyperlink w:anchor="q2_011">
              <w:r>
                <w:rPr>
                  <w:rStyle w:val="InternetLink"/>
                  <w:b/>
                </w:rPr>
                <w:t>PART II. OTHER INFORMATION</w:t>
              </w:r>
            </w:hyperlink>
          </w:p>
        </w:tc>
      </w:tr>
      <w:tr>
        <w:trPr/>
        <w:tc>
          <w:tcPr>
            <w:tcW w:w="633" w:type="dxa"/>
            <w:tcBorders/>
            <w:vAlign w:val="center"/>
          </w:tcPr>
          <w:p>
            <w:pPr>
              <w:pStyle w:val="TableContents"/>
              <w:bidi w:val="0"/>
              <w:spacing w:before="0" w:after="283"/>
              <w:jc w:val="both"/>
              <w:rPr/>
            </w:pPr>
            <w:r>
              <w:rPr/>
              <w:t> </w:t>
            </w:r>
          </w:p>
        </w:tc>
        <w:tc>
          <w:tcPr>
            <w:tcW w:w="9116" w:type="dxa"/>
            <w:tcBorders/>
            <w:vAlign w:val="center"/>
          </w:tcPr>
          <w:p>
            <w:pPr>
              <w:pStyle w:val="TableContents"/>
              <w:bidi w:val="0"/>
              <w:spacing w:before="0" w:after="283"/>
              <w:jc w:val="both"/>
              <w:rPr/>
            </w:pPr>
            <w:r>
              <w:rPr/>
              <w:t> </w:t>
            </w:r>
          </w:p>
        </w:tc>
        <w:tc>
          <w:tcPr>
            <w:tcW w:w="456" w:type="dxa"/>
            <w:tcBorders/>
            <w:vAlign w:val="center"/>
          </w:tcPr>
          <w:p>
            <w:pPr>
              <w:pStyle w:val="TableContents"/>
              <w:bidi w:val="0"/>
              <w:spacing w:before="0" w:after="283"/>
              <w:jc w:val="center"/>
              <w:rPr/>
            </w:pPr>
            <w:r>
              <w:rPr/>
              <w:t> </w:t>
            </w:r>
          </w:p>
        </w:tc>
      </w:tr>
      <w:tr>
        <w:trPr/>
        <w:tc>
          <w:tcPr>
            <w:tcW w:w="633" w:type="dxa"/>
            <w:tcBorders/>
            <w:vAlign w:val="center"/>
          </w:tcPr>
          <w:p>
            <w:pPr>
              <w:pStyle w:val="TableContents"/>
              <w:bidi w:val="0"/>
              <w:spacing w:before="0" w:after="283"/>
              <w:jc w:val="left"/>
              <w:rPr>
                <w:sz w:val="20"/>
              </w:rPr>
            </w:pPr>
            <w:r>
              <w:rPr>
                <w:sz w:val="20"/>
              </w:rPr>
              <w:t>Item 1.</w:t>
            </w:r>
          </w:p>
        </w:tc>
        <w:tc>
          <w:tcPr>
            <w:tcW w:w="9116" w:type="dxa"/>
            <w:tcBorders/>
            <w:vAlign w:val="center"/>
          </w:tcPr>
          <w:p>
            <w:pPr>
              <w:pStyle w:val="TableContents"/>
              <w:bidi w:val="0"/>
              <w:spacing w:before="0" w:after="283"/>
              <w:jc w:val="left"/>
              <w:rPr/>
            </w:pPr>
            <w:hyperlink w:anchor="q2_012">
              <w:r>
                <w:rPr>
                  <w:rStyle w:val="InternetLink"/>
                  <w:sz w:val="20"/>
                </w:rPr>
                <w:t>Legal Proceedings</w:t>
              </w:r>
            </w:hyperlink>
          </w:p>
        </w:tc>
        <w:tc>
          <w:tcPr>
            <w:tcW w:w="456" w:type="dxa"/>
            <w:tcBorders/>
            <w:vAlign w:val="center"/>
          </w:tcPr>
          <w:p>
            <w:pPr>
              <w:pStyle w:val="TableContents"/>
              <w:bidi w:val="0"/>
              <w:spacing w:before="0" w:after="283"/>
              <w:jc w:val="center"/>
              <w:rPr>
                <w:sz w:val="20"/>
              </w:rPr>
            </w:pPr>
            <w:r>
              <w:rPr>
                <w:sz w:val="20"/>
              </w:rPr>
              <w:t>43</w:t>
            </w:r>
          </w:p>
        </w:tc>
      </w:tr>
      <w:tr>
        <w:trPr/>
        <w:tc>
          <w:tcPr>
            <w:tcW w:w="633" w:type="dxa"/>
            <w:tcBorders/>
            <w:vAlign w:val="center"/>
          </w:tcPr>
          <w:p>
            <w:pPr>
              <w:pStyle w:val="TableContents"/>
              <w:bidi w:val="0"/>
              <w:spacing w:before="0" w:after="283"/>
              <w:jc w:val="left"/>
              <w:rPr>
                <w:sz w:val="20"/>
              </w:rPr>
            </w:pPr>
            <w:r>
              <w:rPr>
                <w:sz w:val="20"/>
              </w:rPr>
              <w:t>Item 1A.</w:t>
            </w:r>
          </w:p>
        </w:tc>
        <w:tc>
          <w:tcPr>
            <w:tcW w:w="9116" w:type="dxa"/>
            <w:tcBorders/>
            <w:vAlign w:val="center"/>
          </w:tcPr>
          <w:p>
            <w:pPr>
              <w:pStyle w:val="TableContents"/>
              <w:bidi w:val="0"/>
              <w:spacing w:before="0" w:after="283"/>
              <w:jc w:val="left"/>
              <w:rPr/>
            </w:pPr>
            <w:hyperlink w:anchor="q2_013">
              <w:r>
                <w:rPr>
                  <w:rStyle w:val="InternetLink"/>
                  <w:sz w:val="20"/>
                </w:rPr>
                <w:t>Risk Factors</w:t>
              </w:r>
            </w:hyperlink>
          </w:p>
        </w:tc>
        <w:tc>
          <w:tcPr>
            <w:tcW w:w="456" w:type="dxa"/>
            <w:tcBorders/>
            <w:vAlign w:val="center"/>
          </w:tcPr>
          <w:p>
            <w:pPr>
              <w:pStyle w:val="TableContents"/>
              <w:bidi w:val="0"/>
              <w:spacing w:before="0" w:after="283"/>
              <w:jc w:val="center"/>
              <w:rPr>
                <w:sz w:val="20"/>
              </w:rPr>
            </w:pPr>
            <w:r>
              <w:rPr>
                <w:sz w:val="20"/>
              </w:rPr>
              <w:t>43</w:t>
            </w:r>
          </w:p>
        </w:tc>
      </w:tr>
      <w:tr>
        <w:trPr/>
        <w:tc>
          <w:tcPr>
            <w:tcW w:w="633" w:type="dxa"/>
            <w:tcBorders/>
            <w:vAlign w:val="center"/>
          </w:tcPr>
          <w:p>
            <w:pPr>
              <w:pStyle w:val="TableContents"/>
              <w:bidi w:val="0"/>
              <w:spacing w:before="0" w:after="283"/>
              <w:jc w:val="left"/>
              <w:rPr>
                <w:sz w:val="20"/>
              </w:rPr>
            </w:pPr>
            <w:r>
              <w:rPr>
                <w:sz w:val="20"/>
              </w:rPr>
              <w:t>Item 2.</w:t>
            </w:r>
          </w:p>
        </w:tc>
        <w:tc>
          <w:tcPr>
            <w:tcW w:w="9116" w:type="dxa"/>
            <w:tcBorders/>
            <w:vAlign w:val="center"/>
          </w:tcPr>
          <w:p>
            <w:pPr>
              <w:pStyle w:val="TableContents"/>
              <w:bidi w:val="0"/>
              <w:spacing w:before="0" w:after="283"/>
              <w:jc w:val="left"/>
              <w:rPr/>
            </w:pPr>
            <w:hyperlink w:anchor="q2_014">
              <w:r>
                <w:rPr>
                  <w:rStyle w:val="InternetLink"/>
                  <w:sz w:val="20"/>
                </w:rPr>
                <w:t>Unregistered Sales of Equity Securities and Use of Proceeds</w:t>
              </w:r>
            </w:hyperlink>
          </w:p>
        </w:tc>
        <w:tc>
          <w:tcPr>
            <w:tcW w:w="456" w:type="dxa"/>
            <w:tcBorders/>
            <w:vAlign w:val="center"/>
          </w:tcPr>
          <w:p>
            <w:pPr>
              <w:pStyle w:val="TableContents"/>
              <w:bidi w:val="0"/>
              <w:spacing w:before="0" w:after="283"/>
              <w:jc w:val="center"/>
              <w:rPr>
                <w:sz w:val="20"/>
              </w:rPr>
            </w:pPr>
            <w:r>
              <w:rPr>
                <w:sz w:val="20"/>
              </w:rPr>
              <w:t>44</w:t>
            </w:r>
          </w:p>
        </w:tc>
      </w:tr>
      <w:tr>
        <w:trPr/>
        <w:tc>
          <w:tcPr>
            <w:tcW w:w="633" w:type="dxa"/>
            <w:tcBorders/>
            <w:vAlign w:val="center"/>
          </w:tcPr>
          <w:p>
            <w:pPr>
              <w:pStyle w:val="TableContents"/>
              <w:bidi w:val="0"/>
              <w:spacing w:before="0" w:after="283"/>
              <w:jc w:val="left"/>
              <w:rPr>
                <w:sz w:val="20"/>
              </w:rPr>
            </w:pPr>
            <w:r>
              <w:rPr>
                <w:sz w:val="20"/>
              </w:rPr>
              <w:t xml:space="preserve">Item 5. </w:t>
            </w:r>
          </w:p>
        </w:tc>
        <w:tc>
          <w:tcPr>
            <w:tcW w:w="9116" w:type="dxa"/>
            <w:tcBorders/>
            <w:vAlign w:val="center"/>
          </w:tcPr>
          <w:p>
            <w:pPr>
              <w:pStyle w:val="TableContents"/>
              <w:bidi w:val="0"/>
              <w:spacing w:before="0" w:after="283"/>
              <w:jc w:val="left"/>
              <w:rPr/>
            </w:pPr>
            <w:hyperlink w:anchor="q2_015">
              <w:r>
                <w:rPr>
                  <w:rStyle w:val="InternetLink"/>
                  <w:sz w:val="20"/>
                </w:rPr>
                <w:t>Other Information</w:t>
              </w:r>
            </w:hyperlink>
          </w:p>
        </w:tc>
        <w:tc>
          <w:tcPr>
            <w:tcW w:w="456" w:type="dxa"/>
            <w:tcBorders/>
            <w:vAlign w:val="center"/>
          </w:tcPr>
          <w:p>
            <w:pPr>
              <w:pStyle w:val="TableContents"/>
              <w:bidi w:val="0"/>
              <w:spacing w:before="0" w:after="283"/>
              <w:jc w:val="center"/>
              <w:rPr/>
            </w:pPr>
            <w:r>
              <w:rPr>
                <w:sz w:val="20"/>
              </w:rPr>
              <w:t>4</w:t>
            </w:r>
            <w:r>
              <w:rPr/>
              <w:t>4</w:t>
            </w:r>
          </w:p>
        </w:tc>
      </w:tr>
      <w:tr>
        <w:trPr/>
        <w:tc>
          <w:tcPr>
            <w:tcW w:w="633" w:type="dxa"/>
            <w:tcBorders/>
            <w:vAlign w:val="center"/>
          </w:tcPr>
          <w:p>
            <w:pPr>
              <w:pStyle w:val="TableContents"/>
              <w:bidi w:val="0"/>
              <w:spacing w:before="0" w:after="283"/>
              <w:jc w:val="left"/>
              <w:rPr>
                <w:sz w:val="20"/>
              </w:rPr>
            </w:pPr>
            <w:r>
              <w:rPr>
                <w:sz w:val="20"/>
              </w:rPr>
              <w:t>Item 6.</w:t>
            </w:r>
          </w:p>
        </w:tc>
        <w:tc>
          <w:tcPr>
            <w:tcW w:w="9116" w:type="dxa"/>
            <w:tcBorders/>
            <w:vAlign w:val="center"/>
          </w:tcPr>
          <w:p>
            <w:pPr>
              <w:pStyle w:val="TableContents"/>
              <w:bidi w:val="0"/>
              <w:spacing w:before="0" w:after="283"/>
              <w:jc w:val="left"/>
              <w:rPr/>
            </w:pPr>
            <w:hyperlink w:anchor="q2_016">
              <w:r>
                <w:rPr>
                  <w:rStyle w:val="InternetLink"/>
                  <w:sz w:val="20"/>
                </w:rPr>
                <w:t>Exhibits</w:t>
              </w:r>
            </w:hyperlink>
          </w:p>
        </w:tc>
        <w:tc>
          <w:tcPr>
            <w:tcW w:w="456" w:type="dxa"/>
            <w:tcBorders/>
            <w:vAlign w:val="center"/>
          </w:tcPr>
          <w:p>
            <w:pPr>
              <w:pStyle w:val="TableContents"/>
              <w:bidi w:val="0"/>
              <w:spacing w:before="0" w:after="283"/>
              <w:jc w:val="center"/>
              <w:rPr>
                <w:sz w:val="20"/>
              </w:rPr>
            </w:pPr>
            <w:r>
              <w:rPr>
                <w:sz w:val="20"/>
              </w:rPr>
              <w:t>45</w:t>
            </w:r>
          </w:p>
        </w:tc>
      </w:tr>
      <w:tr>
        <w:trPr/>
        <w:tc>
          <w:tcPr>
            <w:tcW w:w="633"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283"/>
              <w:jc w:val="left"/>
              <w:rPr/>
            </w:pPr>
            <w:hyperlink w:anchor="q2_017">
              <w:r>
                <w:rPr>
                  <w:rStyle w:val="InternetLink"/>
                  <w:sz w:val="20"/>
                </w:rPr>
                <w:t>Signatures</w:t>
              </w:r>
            </w:hyperlink>
          </w:p>
        </w:tc>
        <w:tc>
          <w:tcPr>
            <w:tcW w:w="456"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q2_001"/>
      <w:bookmarkEnd w:id="28"/>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q2_002"/>
      <w:bookmarkEnd w:id="29"/>
      <w:r>
        <w:rPr>
          <w:rFonts w:ascii="Times New Roman;Times;Serif" w:hAnsi="Times New Roman;Times;Serif"/>
          <w:b/>
          <w:i w:val="false"/>
          <w:caps w:val="false"/>
          <w:smallCaps w:val="false"/>
          <w:sz w:val="20"/>
        </w:rPr>
        <w:t xml:space="preserve">Item 1. </w:t>
      </w:r>
      <w:r>
        <w:rPr>
          <w:rFonts w:ascii="Times New Roman;Times;Serif" w:hAnsi="Times New Roman;Times;Serif"/>
          <w:b/>
          <w:i/>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q2_003"/>
      <w:bookmarkEnd w:id="30"/>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9_111_pn3n3_zFqm1V1hrs33"/>
      <w:bookmarkStart w:id="32" w:name="xdx_309_111_pn3n3_zFqm1V1hrs33"/>
      <w:bookmarkEnd w:id="32"/>
    </w:p>
    <w:tbl>
      <w:tblPr>
        <w:tblW w:w="10205" w:type="dxa"/>
        <w:jc w:val="left"/>
        <w:tblInd w:w="0" w:type="dxa"/>
        <w:tblLayout w:type="fixed"/>
        <w:tblCellMar>
          <w:top w:w="0" w:type="dxa"/>
          <w:left w:w="0" w:type="dxa"/>
          <w:bottom w:w="0" w:type="dxa"/>
          <w:right w:w="0" w:type="dxa"/>
        </w:tblCellMar>
      </w:tblPr>
      <w:tblGrid>
        <w:gridCol w:w="7529"/>
        <w:gridCol w:w="60"/>
        <w:gridCol w:w="140"/>
        <w:gridCol w:w="980"/>
        <w:gridCol w:w="95"/>
        <w:gridCol w:w="60"/>
        <w:gridCol w:w="153"/>
        <w:gridCol w:w="1077"/>
        <w:gridCol w:w="111"/>
      </w:tblGrid>
      <w:tr>
        <w:trPr/>
        <w:tc>
          <w:tcPr>
            <w:tcW w:w="75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3" w:name="xdx_49B_20260630_z3LRw41xi2Ea"/>
            <w:bookmarkEnd w:id="33"/>
          </w:p>
        </w:tc>
        <w:tc>
          <w:tcPr>
            <w:tcW w:w="980"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bookmarkStart w:id="34" w:name="xdx_49C_20251231_zxKMHtxyy8zg"/>
            <w:bookmarkEnd w:id="34"/>
          </w:p>
        </w:tc>
        <w:tc>
          <w:tcPr>
            <w:tcW w:w="1077" w:type="dxa"/>
            <w:tcBorders/>
            <w:shd w:fill="FFFFFF" w:val="clear"/>
            <w:vAlign w:val="center"/>
          </w:tcPr>
          <w:p>
            <w:pPr>
              <w:pStyle w:val="TableContents"/>
              <w:bidi w:val="0"/>
              <w:spacing w:before="0" w:after="283"/>
              <w:jc w:val="center"/>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5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75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bookmarkStart w:id="35" w:name="xdx_408_eus-gaap--AssetsAbstract_iB_zhvd"/>
            <w:bookmarkEnd w:id="35"/>
          </w:p>
        </w:tc>
      </w:tr>
      <w:tr>
        <w:trPr/>
        <w:tc>
          <w:tcPr>
            <w:tcW w:w="7529" w:type="dxa"/>
            <w:tcBorders/>
            <w:shd w:fill="EEEEEE" w:val="clear"/>
            <w:vAlign w:val="center"/>
          </w:tcPr>
          <w:p>
            <w:pPr>
              <w:pStyle w:val="TableContents"/>
              <w:bidi w:val="0"/>
              <w:spacing w:before="0" w:after="283"/>
              <w:jc w:val="left"/>
              <w:rPr>
                <w:b/>
              </w:rPr>
            </w:pPr>
            <w:r>
              <w:rPr>
                <w:b/>
              </w:rPr>
              <w:t>ASSETS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r>
              <w:rPr/>
              <w:t> </w:t>
            </w:r>
          </w:p>
        </w:tc>
        <w:tc>
          <w:tcPr>
            <w:tcW w:w="111" w:type="dxa"/>
            <w:tcBorders/>
            <w:shd w:fill="EEEEEE" w:val="clear"/>
            <w:vAlign w:val="center"/>
          </w:tcPr>
          <w:p>
            <w:pPr>
              <w:pStyle w:val="TableContents"/>
              <w:bidi w:val="0"/>
              <w:spacing w:before="0" w:after="283"/>
              <w:jc w:val="left"/>
              <w:rPr/>
            </w:pPr>
            <w:r>
              <w:rPr/>
              <w:t> </w:t>
            </w:r>
            <w:bookmarkStart w:id="36" w:name="xdx_40A_eus-gaap--CashAndCashEquivalents"/>
            <w:bookmarkEnd w:id="36"/>
          </w:p>
        </w:tc>
      </w:tr>
      <w:tr>
        <w:trPr/>
        <w:tc>
          <w:tcPr>
            <w:tcW w:w="7529"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6,322</w:t>
            </w:r>
          </w:p>
        </w:tc>
        <w:tc>
          <w:tcPr>
            <w:tcW w:w="111" w:type="dxa"/>
            <w:tcBorders/>
            <w:shd w:fill="FFFFFF" w:val="clear"/>
            <w:vAlign w:val="center"/>
          </w:tcPr>
          <w:p>
            <w:pPr>
              <w:pStyle w:val="TableContents"/>
              <w:bidi w:val="0"/>
              <w:spacing w:before="0" w:after="283"/>
              <w:jc w:val="left"/>
              <w:rPr/>
            </w:pPr>
            <w:r>
              <w:rPr/>
              <w:t> </w:t>
            </w:r>
            <w:bookmarkStart w:id="37" w:name="xdx_404_eus-gaap--RestrictedCashAndCashE"/>
            <w:bookmarkEnd w:id="37"/>
          </w:p>
        </w:tc>
      </w:tr>
      <w:tr>
        <w:trPr/>
        <w:tc>
          <w:tcPr>
            <w:tcW w:w="7529" w:type="dxa"/>
            <w:tcBorders/>
            <w:shd w:fill="EEEEEE" w:val="clear"/>
            <w:vAlign w:val="center"/>
          </w:tcPr>
          <w:p>
            <w:pPr>
              <w:pStyle w:val="TableContents"/>
              <w:bidi w:val="0"/>
              <w:spacing w:before="0" w:after="283"/>
              <w:jc w:val="left"/>
              <w:rPr/>
            </w:pPr>
            <w:r>
              <w:rPr/>
              <w:t>Restricted cash and equivalents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172,703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r>
              <w:rPr/>
              <w:t>165,885</w:t>
            </w:r>
          </w:p>
        </w:tc>
        <w:tc>
          <w:tcPr>
            <w:tcW w:w="111" w:type="dxa"/>
            <w:tcBorders/>
            <w:shd w:fill="EEEEEE" w:val="clear"/>
            <w:vAlign w:val="center"/>
          </w:tcPr>
          <w:p>
            <w:pPr>
              <w:pStyle w:val="TableContents"/>
              <w:bidi w:val="0"/>
              <w:spacing w:before="0" w:after="283"/>
              <w:jc w:val="left"/>
              <w:rPr/>
            </w:pPr>
            <w:r>
              <w:rPr/>
              <w:t> </w:t>
            </w:r>
            <w:bookmarkStart w:id="38" w:name="xdx_406_eus-gaap--LoansReceivableFairVal"/>
            <w:bookmarkEnd w:id="38"/>
          </w:p>
        </w:tc>
      </w:tr>
      <w:tr>
        <w:trPr/>
        <w:tc>
          <w:tcPr>
            <w:tcW w:w="7529" w:type="dxa"/>
            <w:tcBorders/>
            <w:shd w:fill="FFFFFF" w:val="clear"/>
            <w:vAlign w:val="center"/>
          </w:tcPr>
          <w:p>
            <w:pPr>
              <w:pStyle w:val="TableContents"/>
              <w:bidi w:val="0"/>
              <w:spacing w:before="0" w:after="283"/>
              <w:jc w:val="left"/>
              <w:rPr/>
            </w:pPr>
            <w:r>
              <w:rPr/>
              <w:t>Finance receivables measured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4,212,167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3,655,855</w:t>
            </w:r>
          </w:p>
        </w:tc>
        <w:tc>
          <w:tcPr>
            <w:tcW w:w="111" w:type="dxa"/>
            <w:tcBorders/>
            <w:shd w:fill="FFFFFF" w:val="clear"/>
            <w:vAlign w:val="center"/>
          </w:tcPr>
          <w:p>
            <w:pPr>
              <w:pStyle w:val="TableContents"/>
              <w:bidi w:val="0"/>
              <w:spacing w:before="0" w:after="283"/>
              <w:jc w:val="left"/>
              <w:rPr/>
            </w:pPr>
            <w:r>
              <w:rPr/>
              <w:t> </w:t>
            </w:r>
            <w:bookmarkStart w:id="39" w:name="xdx_40D_eus-gaap--PropertyPlantAndEquipm"/>
            <w:bookmarkEnd w:id="39"/>
          </w:p>
        </w:tc>
      </w:tr>
      <w:tr>
        <w:trPr/>
        <w:tc>
          <w:tcPr>
            <w:tcW w:w="7529" w:type="dxa"/>
            <w:tcBorders/>
            <w:shd w:fill="EEEEEE" w:val="clear"/>
            <w:vAlign w:val="center"/>
          </w:tcPr>
          <w:p>
            <w:pPr>
              <w:pStyle w:val="TableContents"/>
              <w:bidi w:val="0"/>
              <w:spacing w:before="0" w:after="283"/>
              <w:jc w:val="left"/>
              <w:rPr/>
            </w:pPr>
            <w:r>
              <w:rPr/>
              <w:t>Furniture and equipment, net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1,265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r>
              <w:rPr/>
              <w:t>771</w:t>
            </w:r>
          </w:p>
        </w:tc>
        <w:tc>
          <w:tcPr>
            <w:tcW w:w="111" w:type="dxa"/>
            <w:tcBorders/>
            <w:shd w:fill="EEEEEE" w:val="clear"/>
            <w:vAlign w:val="center"/>
          </w:tcPr>
          <w:p>
            <w:pPr>
              <w:pStyle w:val="TableContents"/>
              <w:bidi w:val="0"/>
              <w:spacing w:before="0" w:after="283"/>
              <w:jc w:val="left"/>
              <w:rPr/>
            </w:pPr>
            <w:r>
              <w:rPr/>
              <w:t> </w:t>
            </w:r>
            <w:bookmarkStart w:id="40" w:name="xdx_405_eus-gaap--OtherAssetsNoncurrent_"/>
            <w:bookmarkEnd w:id="40"/>
          </w:p>
        </w:tc>
      </w:tr>
      <w:tr>
        <w:trPr/>
        <w:tc>
          <w:tcPr>
            <w:tcW w:w="7529"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29,360</w:t>
            </w:r>
          </w:p>
        </w:tc>
        <w:tc>
          <w:tcPr>
            <w:tcW w:w="111" w:type="dxa"/>
            <w:tcBorders/>
            <w:shd w:fill="FFFFFF" w:val="clear"/>
            <w:vAlign w:val="center"/>
          </w:tcPr>
          <w:p>
            <w:pPr>
              <w:pStyle w:val="TableContents"/>
              <w:bidi w:val="0"/>
              <w:spacing w:before="0" w:after="283"/>
              <w:jc w:val="left"/>
              <w:rPr/>
            </w:pPr>
            <w:r>
              <w:rPr/>
              <w:t> </w:t>
            </w:r>
            <w:bookmarkStart w:id="41" w:name="xdx_40D_eus-gaap--Assets_i01TI_mtCz10Y_z"/>
            <w:bookmarkEnd w:id="41"/>
          </w:p>
        </w:tc>
      </w:tr>
      <w:tr>
        <w:trPr/>
        <w:tc>
          <w:tcPr>
            <w:tcW w:w="7529" w:type="dxa"/>
            <w:tcBorders/>
            <w:shd w:fill="EEEEEE" w:val="clear"/>
            <w:vAlign w:val="center"/>
          </w:tcPr>
          <w:p>
            <w:pPr>
              <w:pStyle w:val="TableContents"/>
              <w:bidi w:val="0"/>
              <w:spacing w:before="0" w:after="283"/>
              <w:jc w:val="left"/>
              <w:rPr>
                <w:b/>
              </w:rPr>
            </w:pPr>
            <w:r>
              <w:rPr>
                <w:b/>
              </w:rPr>
              <w:t>Total assets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4,422,221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77" w:type="dxa"/>
            <w:tcBorders>
              <w:bottom w:val="double" w:sz="6" w:space="0" w:color="000000"/>
            </w:tcBorders>
            <w:shd w:fill="EEEEEE" w:val="clear"/>
            <w:tcMar>
              <w:bottom w:w="28" w:type="dxa"/>
            </w:tcMar>
            <w:vAlign w:val="center"/>
          </w:tcPr>
          <w:p>
            <w:pPr>
              <w:pStyle w:val="TableContents"/>
              <w:bidi w:val="0"/>
              <w:spacing w:before="0" w:after="283"/>
              <w:jc w:val="right"/>
              <w:rPr/>
            </w:pPr>
            <w:r>
              <w:rPr/>
              <w:t>3,858,193</w:t>
            </w:r>
          </w:p>
        </w:tc>
        <w:tc>
          <w:tcPr>
            <w:tcW w:w="111" w:type="dxa"/>
            <w:tcBorders/>
            <w:shd w:fill="EEEEEE" w:val="clear"/>
            <w:vAlign w:val="center"/>
          </w:tcPr>
          <w:p>
            <w:pPr>
              <w:pStyle w:val="TableContents"/>
              <w:bidi w:val="0"/>
              <w:spacing w:before="0" w:after="283"/>
              <w:jc w:val="left"/>
              <w:rPr/>
            </w:pPr>
            <w:r>
              <w:rPr/>
              <w:t> </w:t>
            </w:r>
          </w:p>
        </w:tc>
      </w:tr>
      <w:tr>
        <w:trPr/>
        <w:tc>
          <w:tcPr>
            <w:tcW w:w="75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42" w:name="xdx_40E_eus-gaap--LiabilitiesAndStockhol"/>
            <w:bookmarkEnd w:id="42"/>
          </w:p>
        </w:tc>
      </w:tr>
      <w:tr>
        <w:trPr/>
        <w:tc>
          <w:tcPr>
            <w:tcW w:w="7529" w:type="dxa"/>
            <w:tcBorders/>
            <w:shd w:fill="EEEEEE" w:val="clear"/>
            <w:vAlign w:val="center"/>
          </w:tcPr>
          <w:p>
            <w:pPr>
              <w:pStyle w:val="TableContents"/>
              <w:bidi w:val="0"/>
              <w:spacing w:before="0" w:after="283"/>
              <w:jc w:val="left"/>
              <w:rPr>
                <w:b/>
              </w:rPr>
            </w:pPr>
            <w:r>
              <w:rPr>
                <w:b/>
              </w:rPr>
              <w:t>LIABILITIES AND SHAREHOLDERS’ EQUITY</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r>
              <w:rPr/>
              <w:t> </w:t>
            </w:r>
          </w:p>
        </w:tc>
        <w:tc>
          <w:tcPr>
            <w:tcW w:w="111" w:type="dxa"/>
            <w:tcBorders/>
            <w:shd w:fill="EEEEEE" w:val="clear"/>
            <w:vAlign w:val="center"/>
          </w:tcPr>
          <w:p>
            <w:pPr>
              <w:pStyle w:val="TableContents"/>
              <w:bidi w:val="0"/>
              <w:spacing w:before="0" w:after="283"/>
              <w:jc w:val="left"/>
              <w:rPr/>
            </w:pPr>
            <w:r>
              <w:rPr/>
              <w:t> </w:t>
            </w:r>
            <w:bookmarkStart w:id="43" w:name="xdx_40E_eus-gaap--LiabilitiesAbstract_i0"/>
            <w:bookmarkEnd w:id="43"/>
          </w:p>
        </w:tc>
      </w:tr>
      <w:tr>
        <w:trPr/>
        <w:tc>
          <w:tcPr>
            <w:tcW w:w="7529"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44" w:name="xdx_401_eus-gaap--AccountsPayableAndAccr"/>
            <w:bookmarkEnd w:id="44"/>
          </w:p>
        </w:tc>
      </w:tr>
      <w:tr>
        <w:trPr/>
        <w:tc>
          <w:tcPr>
            <w:tcW w:w="7529" w:type="dxa"/>
            <w:tcBorders/>
            <w:shd w:fill="EEEEEE" w:val="clear"/>
            <w:vAlign w:val="center"/>
          </w:tcPr>
          <w:p>
            <w:pPr>
              <w:pStyle w:val="TableContents"/>
              <w:bidi w:val="0"/>
              <w:spacing w:before="0" w:after="283"/>
              <w:jc w:val="left"/>
              <w:rPr/>
            </w:pPr>
            <w:r>
              <w:rPr/>
              <w:t>Accounts payable and accrued expenses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94,698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w:t>
            </w:r>
          </w:p>
        </w:tc>
        <w:tc>
          <w:tcPr>
            <w:tcW w:w="1077" w:type="dxa"/>
            <w:tcBorders/>
            <w:shd w:fill="EEEEEE" w:val="clear"/>
            <w:vAlign w:val="center"/>
          </w:tcPr>
          <w:p>
            <w:pPr>
              <w:pStyle w:val="TableContents"/>
              <w:bidi w:val="0"/>
              <w:spacing w:before="0" w:after="283"/>
              <w:jc w:val="right"/>
              <w:rPr/>
            </w:pPr>
            <w:r>
              <w:rPr/>
              <w:t>65,244</w:t>
            </w:r>
          </w:p>
        </w:tc>
        <w:tc>
          <w:tcPr>
            <w:tcW w:w="111" w:type="dxa"/>
            <w:tcBorders/>
            <w:shd w:fill="EEEEEE" w:val="clear"/>
            <w:vAlign w:val="center"/>
          </w:tcPr>
          <w:p>
            <w:pPr>
              <w:pStyle w:val="TableContents"/>
              <w:bidi w:val="0"/>
              <w:spacing w:before="0" w:after="283"/>
              <w:jc w:val="left"/>
              <w:rPr/>
            </w:pPr>
            <w:r>
              <w:rPr/>
              <w:t> </w:t>
            </w:r>
            <w:bookmarkStart w:id="45" w:name="xdx_405_eus-gaap--WarehouseAgreementBorr"/>
            <w:bookmarkEnd w:id="45"/>
          </w:p>
        </w:tc>
      </w:tr>
      <w:tr>
        <w:trPr/>
        <w:tc>
          <w:tcPr>
            <w:tcW w:w="7529" w:type="dxa"/>
            <w:tcBorders/>
            <w:shd w:fill="FFFFFF" w:val="clear"/>
            <w:vAlign w:val="center"/>
          </w:tcPr>
          <w:p>
            <w:pPr>
              <w:pStyle w:val="TableContents"/>
              <w:bidi w:val="0"/>
              <w:spacing w:before="0" w:after="283"/>
              <w:jc w:val="left"/>
              <w:rPr/>
            </w:pPr>
            <w:r>
              <w:rPr/>
              <w:t>Warehouse lines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679,900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324,871</w:t>
            </w:r>
          </w:p>
        </w:tc>
        <w:tc>
          <w:tcPr>
            <w:tcW w:w="111" w:type="dxa"/>
            <w:tcBorders/>
            <w:shd w:fill="FFFFFF" w:val="clear"/>
            <w:vAlign w:val="center"/>
          </w:tcPr>
          <w:p>
            <w:pPr>
              <w:pStyle w:val="TableContents"/>
              <w:bidi w:val="0"/>
              <w:spacing w:before="0" w:after="283"/>
              <w:jc w:val="left"/>
              <w:rPr/>
            </w:pPr>
            <w:r>
              <w:rPr/>
              <w:t> </w:t>
            </w:r>
            <w:bookmarkStart w:id="46" w:name="xdx_40A_ecustom--ResidualInterestFinanci"/>
            <w:bookmarkEnd w:id="46"/>
          </w:p>
        </w:tc>
      </w:tr>
      <w:tr>
        <w:trPr/>
        <w:tc>
          <w:tcPr>
            <w:tcW w:w="7529" w:type="dxa"/>
            <w:tcBorders/>
            <w:shd w:fill="EEEEEE" w:val="clear"/>
            <w:vAlign w:val="center"/>
          </w:tcPr>
          <w:p>
            <w:pPr>
              <w:pStyle w:val="TableContents"/>
              <w:bidi w:val="0"/>
              <w:spacing w:before="0" w:after="283"/>
              <w:jc w:val="left"/>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168,809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r>
              <w:rPr/>
              <w:t>142,982</w:t>
            </w:r>
          </w:p>
        </w:tc>
        <w:tc>
          <w:tcPr>
            <w:tcW w:w="111" w:type="dxa"/>
            <w:tcBorders/>
            <w:shd w:fill="EEEEEE" w:val="clear"/>
            <w:vAlign w:val="center"/>
          </w:tcPr>
          <w:p>
            <w:pPr>
              <w:pStyle w:val="TableContents"/>
              <w:bidi w:val="0"/>
              <w:spacing w:before="0" w:after="283"/>
              <w:jc w:val="left"/>
              <w:rPr/>
            </w:pPr>
            <w:r>
              <w:rPr/>
              <w:t> </w:t>
            </w:r>
            <w:bookmarkStart w:id="47" w:name="xdx_400_eus-gaap--PrincipalAmountOutstan"/>
            <w:bookmarkEnd w:id="47"/>
          </w:p>
        </w:tc>
      </w:tr>
      <w:tr>
        <w:trPr/>
        <w:tc>
          <w:tcPr>
            <w:tcW w:w="7529" w:type="dxa"/>
            <w:tcBorders/>
            <w:shd w:fill="FFFFFF" w:val="clear"/>
            <w:vAlign w:val="center"/>
          </w:tcPr>
          <w:p>
            <w:pPr>
              <w:pStyle w:val="TableContents"/>
              <w:bidi w:val="0"/>
              <w:spacing w:before="0" w:after="283"/>
              <w:jc w:val="left"/>
              <w:rPr/>
            </w:pPr>
            <w:r>
              <w:rPr/>
              <w:t>Securitization trust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3,131,105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2,986,574</w:t>
            </w:r>
          </w:p>
        </w:tc>
        <w:tc>
          <w:tcPr>
            <w:tcW w:w="111" w:type="dxa"/>
            <w:tcBorders/>
            <w:shd w:fill="FFFFFF" w:val="clear"/>
            <w:vAlign w:val="center"/>
          </w:tcPr>
          <w:p>
            <w:pPr>
              <w:pStyle w:val="TableContents"/>
              <w:bidi w:val="0"/>
              <w:spacing w:before="0" w:after="283"/>
              <w:jc w:val="left"/>
              <w:rPr/>
            </w:pPr>
            <w:r>
              <w:rPr/>
              <w:t> </w:t>
            </w:r>
            <w:bookmarkStart w:id="48" w:name="xdx_406_eus-gaap--SubordinatedDebt_i02I_"/>
            <w:bookmarkEnd w:id="48"/>
          </w:p>
        </w:tc>
      </w:tr>
      <w:tr>
        <w:trPr/>
        <w:tc>
          <w:tcPr>
            <w:tcW w:w="7529" w:type="dxa"/>
            <w:tcBorders/>
            <w:shd w:fill="EEEEEE" w:val="clear"/>
            <w:vAlign w:val="center"/>
          </w:tcPr>
          <w:p>
            <w:pPr>
              <w:pStyle w:val="TableContents"/>
              <w:bidi w:val="0"/>
              <w:spacing w:before="0" w:after="283"/>
              <w:jc w:val="left"/>
              <w:rPr/>
            </w:pPr>
            <w:r>
              <w:rPr/>
              <w:t>Subordinated renewable notes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28,461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EEEEEE" w:val="clear"/>
            <w:tcMar>
              <w:bottom w:w="28" w:type="dxa"/>
            </w:tcMar>
            <w:vAlign w:val="center"/>
          </w:tcPr>
          <w:p>
            <w:pPr>
              <w:pStyle w:val="TableContents"/>
              <w:bidi w:val="0"/>
              <w:spacing w:before="0" w:after="283"/>
              <w:jc w:val="right"/>
              <w:rPr/>
            </w:pPr>
            <w:r>
              <w:rPr/>
              <w:t>28,986</w:t>
            </w:r>
          </w:p>
        </w:tc>
        <w:tc>
          <w:tcPr>
            <w:tcW w:w="111" w:type="dxa"/>
            <w:tcBorders/>
            <w:shd w:fill="EEEEEE" w:val="clear"/>
            <w:vAlign w:val="center"/>
          </w:tcPr>
          <w:p>
            <w:pPr>
              <w:pStyle w:val="TableContents"/>
              <w:bidi w:val="0"/>
              <w:spacing w:before="0" w:after="283"/>
              <w:jc w:val="left"/>
              <w:rPr/>
            </w:pPr>
            <w:r>
              <w:rPr/>
              <w:t> </w:t>
            </w:r>
            <w:bookmarkStart w:id="49" w:name="xdx_40C_eus-gaap--Liabilities_i02TI_mtCz"/>
            <w:bookmarkEnd w:id="49"/>
          </w:p>
        </w:tc>
      </w:tr>
      <w:tr>
        <w:trPr/>
        <w:tc>
          <w:tcPr>
            <w:tcW w:w="7529"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4,102,973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3,548,657</w:t>
            </w:r>
          </w:p>
        </w:tc>
        <w:tc>
          <w:tcPr>
            <w:tcW w:w="111" w:type="dxa"/>
            <w:tcBorders/>
            <w:shd w:fill="FFFFFF" w:val="clear"/>
            <w:vAlign w:val="center"/>
          </w:tcPr>
          <w:p>
            <w:pPr>
              <w:pStyle w:val="TableContents"/>
              <w:bidi w:val="0"/>
              <w:spacing w:before="0" w:after="283"/>
              <w:jc w:val="left"/>
              <w:rPr/>
            </w:pPr>
            <w:r>
              <w:rPr/>
              <w:t> </w:t>
            </w:r>
            <w:bookmarkStart w:id="50" w:name="xdx_40B_eus-gaap--CommitmentsAndContinge"/>
            <w:bookmarkEnd w:id="50"/>
          </w:p>
        </w:tc>
      </w:tr>
      <w:tr>
        <w:trPr/>
        <w:tc>
          <w:tcPr>
            <w:tcW w:w="7529" w:type="dxa"/>
            <w:tcBorders/>
            <w:shd w:fill="EEEEEE" w:val="clear"/>
            <w:vAlign w:val="center"/>
          </w:tcPr>
          <w:p>
            <w:pPr>
              <w:pStyle w:val="TableContents"/>
              <w:bidi w:val="0"/>
              <w:spacing w:before="0" w:after="283"/>
              <w:jc w:val="left"/>
              <w:rPr>
                <w:b/>
              </w:rPr>
            </w:pPr>
            <w:r>
              <w:rPr>
                <w:b/>
              </w:rPr>
              <w:t>COMMITMENTS AND CONTINGENCIES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r>
              <w:rPr/>
              <w:t>–</w:t>
            </w:r>
          </w:p>
        </w:tc>
        <w:tc>
          <w:tcPr>
            <w:tcW w:w="111" w:type="dxa"/>
            <w:tcBorders/>
            <w:shd w:fill="EEEEEE" w:val="clear"/>
            <w:vAlign w:val="center"/>
          </w:tcPr>
          <w:p>
            <w:pPr>
              <w:pStyle w:val="TableContents"/>
              <w:bidi w:val="0"/>
              <w:spacing w:before="0" w:after="283"/>
              <w:jc w:val="left"/>
              <w:rPr/>
            </w:pPr>
            <w:r>
              <w:rPr/>
              <w:t> </w:t>
            </w:r>
            <w:bookmarkStart w:id="51" w:name="xdx_407_eus-gaap--StockholdersEquityAbst"/>
            <w:bookmarkEnd w:id="51"/>
          </w:p>
        </w:tc>
      </w:tr>
      <w:tr>
        <w:trPr/>
        <w:tc>
          <w:tcPr>
            <w:tcW w:w="7529"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7529" w:type="dxa"/>
            <w:tcBorders/>
            <w:shd w:fill="EEEEEE" w:val="clear"/>
            <w:vAlign w:val="center"/>
          </w:tcPr>
          <w:p>
            <w:pPr>
              <w:pStyle w:val="TableContents"/>
              <w:bidi w:val="0"/>
              <w:spacing w:before="0" w:after="283"/>
              <w:jc w:val="left"/>
              <w:rPr/>
            </w:pPr>
            <w:r>
              <w:rPr/>
              <w:t>Preferred stock, $</w:t>
            </w:r>
            <w:bookmarkStart w:id="52" w:name="xdx_90B_eus-gaap--PreferredStockParOrSta"/>
            <w:bookmarkStart w:id="53" w:name="xdx_907_eus-gaap--PreferredStockParOrSta"/>
            <w:bookmarkEnd w:id="52"/>
            <w:bookmarkEnd w:id="53"/>
            <w:r>
              <w:rPr/>
              <w:t xml:space="preserve">1 par value; authorized </w:t>
            </w:r>
            <w:bookmarkStart w:id="54" w:name="xdx_906_eus-gaap--PreferredStockSharesAu"/>
            <w:bookmarkStart w:id="55" w:name="xdx_90E_eus-gaap--PreferredStockSharesAu"/>
            <w:bookmarkEnd w:id="54"/>
            <w:bookmarkEnd w:id="55"/>
            <w:r>
              <w:rPr/>
              <w:t xml:space="preserve">4,998,130 shares; </w:t>
            </w:r>
            <w:bookmarkStart w:id="56" w:name="xdx_901_eus-gaap--PreferredStockSharesIs"/>
            <w:bookmarkStart w:id="57" w:name="xdx_907_eus-gaap--PreferredStockSharesIs"/>
            <w:bookmarkEnd w:id="56"/>
            <w:bookmarkEnd w:id="57"/>
            <w:r>
              <w:rPr/>
              <w:t>none issued</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8" w:name="xdx_983_eus-gaap--PreferredStockValue_iI"/>
            <w:bookmarkEnd w:id="58"/>
          </w:p>
        </w:tc>
        <w:tc>
          <w:tcPr>
            <w:tcW w:w="98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bookmarkStart w:id="59" w:name="xdx_98B_eus-gaap--PreferredStockValue_iI"/>
            <w:bookmarkEnd w:id="59"/>
          </w:p>
        </w:tc>
        <w:tc>
          <w:tcPr>
            <w:tcW w:w="1077" w:type="dxa"/>
            <w:tcBorders/>
            <w:shd w:fill="EEEEEE" w:val="clear"/>
            <w:vAlign w:val="center"/>
          </w:tcPr>
          <w:p>
            <w:pPr>
              <w:pStyle w:val="TableContents"/>
              <w:bidi w:val="0"/>
              <w:spacing w:before="0" w:after="283"/>
              <w:jc w:val="right"/>
              <w:rPr/>
            </w:pPr>
            <w:r>
              <w:rPr/>
              <w:t>–</w:t>
            </w:r>
          </w:p>
        </w:tc>
        <w:tc>
          <w:tcPr>
            <w:tcW w:w="111" w:type="dxa"/>
            <w:tcBorders/>
            <w:shd w:fill="EEEEEE" w:val="clear"/>
            <w:vAlign w:val="center"/>
          </w:tcPr>
          <w:p>
            <w:pPr>
              <w:pStyle w:val="TableContents"/>
              <w:bidi w:val="0"/>
              <w:spacing w:before="0" w:after="283"/>
              <w:ind w:left="0" w:right="0" w:hanging="200"/>
              <w:jc w:val="left"/>
              <w:rPr/>
            </w:pPr>
            <w:r>
              <w:rPr/>
              <w:t> </w:t>
            </w:r>
          </w:p>
        </w:tc>
      </w:tr>
      <w:tr>
        <w:trPr/>
        <w:tc>
          <w:tcPr>
            <w:tcW w:w="7529" w:type="dxa"/>
            <w:tcBorders/>
            <w:shd w:fill="FFFFFF" w:val="clear"/>
            <w:vAlign w:val="center"/>
          </w:tcPr>
          <w:p>
            <w:pPr>
              <w:pStyle w:val="TableContents"/>
              <w:bidi w:val="0"/>
              <w:spacing w:before="0" w:after="283"/>
              <w:jc w:val="left"/>
              <w:rPr/>
            </w:pPr>
            <w:r>
              <w:rPr/>
              <w:t>Series A preferred stock, $</w:t>
            </w:r>
            <w:bookmarkStart w:id="60" w:name="xdx_903_eus-gaap--PreferredStockParOrSta"/>
            <w:bookmarkStart w:id="61" w:name="xdx_902_eus-gaap--PreferredStockParOrSta"/>
            <w:bookmarkEnd w:id="60"/>
            <w:bookmarkEnd w:id="61"/>
            <w:r>
              <w:rPr/>
              <w:t xml:space="preserve">1 par value; authorized </w:t>
            </w:r>
            <w:bookmarkStart w:id="62" w:name="xdx_905_eus-gaap--PreferredStockSharesAu"/>
            <w:bookmarkStart w:id="63" w:name="xdx_90D_eus-gaap--PreferredStockSharesAu"/>
            <w:bookmarkEnd w:id="62"/>
            <w:bookmarkEnd w:id="63"/>
            <w:r>
              <w:rPr/>
              <w:t xml:space="preserve">5,000,000 shares; </w:t>
            </w:r>
            <w:bookmarkStart w:id="64" w:name="xdx_90B_eus-gaap--PreferredStockSharesIs"/>
            <w:bookmarkStart w:id="65" w:name="xdx_90F_eus-gaap--PreferredStockSharesIs"/>
            <w:bookmarkEnd w:id="64"/>
            <w:bookmarkEnd w:id="65"/>
            <w:r>
              <w:rPr/>
              <w:t>none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6" w:name="xdx_982_eus-gaap--PreferredStockValue_iI"/>
            <w:bookmarkEnd w:id="66"/>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bookmarkStart w:id="67" w:name="xdx_984_eus-gaap--PreferredStockValue_iI"/>
            <w:bookmarkEnd w:id="67"/>
          </w:p>
        </w:tc>
        <w:tc>
          <w:tcPr>
            <w:tcW w:w="1077"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7529" w:type="dxa"/>
            <w:tcBorders/>
            <w:shd w:fill="EEEEEE" w:val="clear"/>
            <w:vAlign w:val="center"/>
          </w:tcPr>
          <w:p>
            <w:pPr>
              <w:pStyle w:val="TableContents"/>
              <w:bidi w:val="0"/>
              <w:spacing w:before="0" w:after="283"/>
              <w:jc w:val="left"/>
              <w:rPr/>
            </w:pPr>
            <w:r>
              <w:rPr/>
              <w:t>Series B preferred stock, $</w:t>
            </w:r>
            <w:bookmarkStart w:id="68" w:name="xdx_90F_eus-gaap--PreferredStockParOrSta"/>
            <w:bookmarkStart w:id="69" w:name="xdx_90E_eus-gaap--PreferredStockParOrSta"/>
            <w:bookmarkEnd w:id="68"/>
            <w:bookmarkEnd w:id="69"/>
            <w:r>
              <w:rPr/>
              <w:t xml:space="preserve">1 par value; authorized </w:t>
            </w:r>
            <w:bookmarkStart w:id="70" w:name="xdx_909_eus-gaap--PreferredStockSharesAu"/>
            <w:bookmarkStart w:id="71" w:name="xdx_900_eus-gaap--PreferredStockSharesAu"/>
            <w:bookmarkEnd w:id="70"/>
            <w:bookmarkEnd w:id="71"/>
            <w:r>
              <w:rPr/>
              <w:t xml:space="preserve">1,870 shares; </w:t>
            </w:r>
            <w:bookmarkStart w:id="72" w:name="xdx_90F_eus-gaap--PreferredStockSharesIs"/>
            <w:bookmarkStart w:id="73" w:name="xdx_90A_eus-gaap--PreferredStockSharesIs"/>
            <w:bookmarkEnd w:id="72"/>
            <w:bookmarkEnd w:id="73"/>
            <w:r>
              <w:rPr/>
              <w:t>none issued</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74" w:name="xdx_985_eus-gaap--PreferredStockValue_iI"/>
            <w:bookmarkEnd w:id="74"/>
          </w:p>
        </w:tc>
        <w:tc>
          <w:tcPr>
            <w:tcW w:w="98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bookmarkStart w:id="75" w:name="xdx_987_eus-gaap--PreferredStockValue_iI"/>
            <w:bookmarkEnd w:id="75"/>
          </w:p>
        </w:tc>
        <w:tc>
          <w:tcPr>
            <w:tcW w:w="1077" w:type="dxa"/>
            <w:tcBorders/>
            <w:shd w:fill="EEEEEE" w:val="clear"/>
            <w:vAlign w:val="center"/>
          </w:tcPr>
          <w:p>
            <w:pPr>
              <w:pStyle w:val="TableContents"/>
              <w:bidi w:val="0"/>
              <w:spacing w:before="0" w:after="283"/>
              <w:jc w:val="right"/>
              <w:rPr/>
            </w:pPr>
            <w:r>
              <w:rPr/>
              <w:t>–</w:t>
            </w:r>
          </w:p>
        </w:tc>
        <w:tc>
          <w:tcPr>
            <w:tcW w:w="111" w:type="dxa"/>
            <w:tcBorders/>
            <w:shd w:fill="EEEEEE" w:val="clear"/>
            <w:vAlign w:val="center"/>
          </w:tcPr>
          <w:p>
            <w:pPr>
              <w:pStyle w:val="TableContents"/>
              <w:bidi w:val="0"/>
              <w:spacing w:before="0" w:after="283"/>
              <w:ind w:left="0" w:right="0" w:hanging="200"/>
              <w:jc w:val="left"/>
              <w:rPr/>
            </w:pPr>
            <w:r>
              <w:rPr/>
              <w:t> </w:t>
            </w:r>
            <w:bookmarkStart w:id="76" w:name="xdx_405_eus-gaap--CommonStockValue_iI_ma"/>
            <w:bookmarkEnd w:id="76"/>
          </w:p>
        </w:tc>
      </w:tr>
      <w:tr>
        <w:trPr/>
        <w:tc>
          <w:tcPr>
            <w:tcW w:w="7529" w:type="dxa"/>
            <w:tcBorders/>
            <w:shd w:fill="FFFFFF" w:val="clear"/>
            <w:vAlign w:val="center"/>
          </w:tcPr>
          <w:p>
            <w:pPr>
              <w:pStyle w:val="TableContents"/>
              <w:bidi w:val="0"/>
              <w:spacing w:before="0" w:after="283"/>
              <w:jc w:val="left"/>
              <w:rPr/>
            </w:pPr>
            <w:r>
              <w:rPr/>
              <w:t xml:space="preserve">Common stock, </w:t>
            </w:r>
            <w:bookmarkStart w:id="77" w:name="xdx_904_eus-gaap--CommonStockNoParValue_"/>
            <w:bookmarkStart w:id="78" w:name="xdx_90A_eus-gaap--CommonStockNoParValue_"/>
            <w:bookmarkEnd w:id="77"/>
            <w:bookmarkEnd w:id="78"/>
            <w:r>
              <w:rPr/>
              <w:t xml:space="preserve">no par value; authorized </w:t>
            </w:r>
            <w:bookmarkStart w:id="79" w:name="xdx_902_eus-gaap--CommonStockSharesAutho"/>
            <w:bookmarkStart w:id="80" w:name="xdx_902_eus-gaap--CommonStockSharesAutho"/>
            <w:bookmarkEnd w:id="79"/>
            <w:bookmarkEnd w:id="80"/>
            <w:r>
              <w:rPr/>
              <w:t xml:space="preserve">75,000,000 shares; </w:t>
            </w:r>
            <w:bookmarkStart w:id="81" w:name="xdx_909_eus-gaap--CommonStockSharesOutst"/>
            <w:bookmarkStart w:id="82" w:name="xdx_906_eus-gaap--CommonStockSharesIssue"/>
            <w:bookmarkEnd w:id="81"/>
            <w:bookmarkEnd w:id="82"/>
            <w:r>
              <w:rPr/>
              <w:t xml:space="preserve">21,598,965 and </w:t>
            </w:r>
            <w:bookmarkStart w:id="83" w:name="xdx_90D_eus-gaap--CommonStockSharesOutst"/>
            <w:bookmarkStart w:id="84" w:name="xdx_909_eus-gaap--CommonStockSharesIssue"/>
            <w:bookmarkEnd w:id="83"/>
            <w:bookmarkEnd w:id="84"/>
            <w:r>
              <w:rPr/>
              <w:t>21,842,457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24,426</w:t>
            </w:r>
          </w:p>
        </w:tc>
        <w:tc>
          <w:tcPr>
            <w:tcW w:w="111" w:type="dxa"/>
            <w:tcBorders/>
            <w:shd w:fill="FFFFFF" w:val="clear"/>
            <w:vAlign w:val="center"/>
          </w:tcPr>
          <w:p>
            <w:pPr>
              <w:pStyle w:val="TableContents"/>
              <w:bidi w:val="0"/>
              <w:spacing w:before="0" w:after="283"/>
              <w:jc w:val="left"/>
              <w:rPr/>
            </w:pPr>
            <w:r>
              <w:rPr/>
              <w:t> </w:t>
            </w:r>
            <w:bookmarkStart w:id="85" w:name="xdx_409_eus-gaap--RetainedEarningsAccumu"/>
            <w:bookmarkEnd w:id="85"/>
          </w:p>
        </w:tc>
      </w:tr>
      <w:tr>
        <w:trPr/>
        <w:tc>
          <w:tcPr>
            <w:tcW w:w="7529" w:type="dxa"/>
            <w:tcBorders/>
            <w:shd w:fill="EEEEEE" w:val="clear"/>
            <w:vAlign w:val="center"/>
          </w:tcPr>
          <w:p>
            <w:pPr>
              <w:pStyle w:val="TableContents"/>
              <w:bidi w:val="0"/>
              <w:spacing w:before="0" w:after="283"/>
              <w:jc w:val="left"/>
              <w:rPr/>
            </w:pPr>
            <w:r>
              <w:rPr/>
              <w:t>Retained earnings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298,158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77" w:type="dxa"/>
            <w:tcBorders/>
            <w:shd w:fill="EEEEEE" w:val="clear"/>
            <w:vAlign w:val="center"/>
          </w:tcPr>
          <w:p>
            <w:pPr>
              <w:pStyle w:val="TableContents"/>
              <w:bidi w:val="0"/>
              <w:spacing w:before="0" w:after="283"/>
              <w:jc w:val="right"/>
              <w:rPr/>
            </w:pPr>
            <w:r>
              <w:rPr/>
              <w:t>286,385</w:t>
            </w:r>
          </w:p>
        </w:tc>
        <w:tc>
          <w:tcPr>
            <w:tcW w:w="111" w:type="dxa"/>
            <w:tcBorders/>
            <w:shd w:fill="EEEEEE" w:val="clear"/>
            <w:vAlign w:val="center"/>
          </w:tcPr>
          <w:p>
            <w:pPr>
              <w:pStyle w:val="TableContents"/>
              <w:bidi w:val="0"/>
              <w:spacing w:before="0" w:after="283"/>
              <w:jc w:val="left"/>
              <w:rPr/>
            </w:pPr>
            <w:r>
              <w:rPr/>
              <w:t> </w:t>
            </w:r>
            <w:bookmarkStart w:id="86" w:name="xdx_401_eus-gaap--AccumulatedOtherCompre"/>
            <w:bookmarkEnd w:id="86"/>
          </w:p>
        </w:tc>
      </w:tr>
      <w:tr>
        <w:trPr/>
        <w:tc>
          <w:tcPr>
            <w:tcW w:w="7529"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(1,275</w:t>
            </w:r>
          </w:p>
        </w:tc>
        <w:tc>
          <w:tcPr>
            <w:tcW w:w="111" w:type="dxa"/>
            <w:tcBorders/>
            <w:shd w:fill="FFFFFF" w:val="clear"/>
            <w:vAlign w:val="center"/>
          </w:tcPr>
          <w:p>
            <w:pPr>
              <w:pStyle w:val="TableContents"/>
              <w:bidi w:val="0"/>
              <w:spacing w:before="0" w:after="283"/>
              <w:jc w:val="left"/>
              <w:rPr/>
            </w:pPr>
            <w:r>
              <w:rPr/>
              <w:t>)</w:t>
            </w:r>
            <w:bookmarkStart w:id="87" w:name="xdx_408_eus-gaap--StockholdersEquity_iTI"/>
            <w:bookmarkEnd w:id="87"/>
          </w:p>
        </w:tc>
      </w:tr>
      <w:tr>
        <w:trPr/>
        <w:tc>
          <w:tcPr>
            <w:tcW w:w="7529" w:type="dxa"/>
            <w:tcBorders/>
            <w:shd w:fill="EEEEEE" w:val="clear"/>
            <w:vAlign w:val="center"/>
          </w:tcPr>
          <w:p>
            <w:pPr>
              <w:pStyle w:val="TableContents"/>
              <w:bidi w:val="0"/>
              <w:spacing w:before="0" w:after="283"/>
              <w:jc w:val="left"/>
              <w:rPr>
                <w:b/>
              </w:rPr>
            </w:pPr>
            <w:r>
              <w:rPr>
                <w:b/>
              </w:rPr>
              <w:t>Total shareholders’ equity</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319,248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EEEEEE" w:val="clear"/>
            <w:tcMar>
              <w:bottom w:w="28" w:type="dxa"/>
            </w:tcMar>
            <w:vAlign w:val="center"/>
          </w:tcPr>
          <w:p>
            <w:pPr>
              <w:pStyle w:val="TableContents"/>
              <w:bidi w:val="0"/>
              <w:spacing w:before="0" w:after="283"/>
              <w:jc w:val="right"/>
              <w:rPr/>
            </w:pPr>
            <w:r>
              <w:rPr/>
              <w:t>309,536</w:t>
            </w:r>
          </w:p>
        </w:tc>
        <w:tc>
          <w:tcPr>
            <w:tcW w:w="111" w:type="dxa"/>
            <w:tcBorders/>
            <w:shd w:fill="EEEEEE" w:val="clear"/>
            <w:vAlign w:val="center"/>
          </w:tcPr>
          <w:p>
            <w:pPr>
              <w:pStyle w:val="TableContents"/>
              <w:bidi w:val="0"/>
              <w:spacing w:before="0" w:after="283"/>
              <w:jc w:val="left"/>
              <w:rPr/>
            </w:pPr>
            <w:r>
              <w:rPr/>
              <w:t> </w:t>
            </w:r>
          </w:p>
        </w:tc>
      </w:tr>
      <w:tr>
        <w:trPr/>
        <w:tc>
          <w:tcPr>
            <w:tcW w:w="75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88" w:name="xdx_402_eus-gaap--LiabilitiesAndStockhol"/>
            <w:bookmarkEnd w:id="88"/>
          </w:p>
        </w:tc>
      </w:tr>
      <w:tr>
        <w:trPr/>
        <w:tc>
          <w:tcPr>
            <w:tcW w:w="7529" w:type="dxa"/>
            <w:tcBorders/>
            <w:shd w:fill="EEEEEE" w:val="clear"/>
            <w:vAlign w:val="center"/>
          </w:tcPr>
          <w:p>
            <w:pPr>
              <w:pStyle w:val="TableContents"/>
              <w:bidi w:val="0"/>
              <w:spacing w:before="0" w:after="283"/>
              <w:jc w:val="left"/>
              <w:rPr>
                <w:b/>
              </w:rPr>
            </w:pPr>
            <w:r>
              <w:rPr>
                <w:b/>
              </w:rPr>
              <w:t>Total liabilities and shareholders’ equity</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4,422,221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77" w:type="dxa"/>
            <w:tcBorders>
              <w:bottom w:val="double" w:sz="6" w:space="0" w:color="000000"/>
            </w:tcBorders>
            <w:shd w:fill="EEEEEE" w:val="clear"/>
            <w:tcMar>
              <w:bottom w:w="28" w:type="dxa"/>
            </w:tcMar>
            <w:vAlign w:val="center"/>
          </w:tcPr>
          <w:p>
            <w:pPr>
              <w:pStyle w:val="TableContents"/>
              <w:bidi w:val="0"/>
              <w:spacing w:before="0" w:after="283"/>
              <w:jc w:val="right"/>
              <w:rPr/>
            </w:pPr>
            <w:r>
              <w:rPr/>
              <w:t>3,858,193</w:t>
            </w:r>
          </w:p>
        </w:tc>
        <w:tc>
          <w:tcPr>
            <w:tcW w:w="111"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9" w:name="q2_004"/>
      <w:bookmarkEnd w:id="89"/>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0" w:name="xdx_308_113_pn3n3_zqlTDsIyWvG4"/>
      <w:bookmarkStart w:id="91" w:name="xdx_308_113_pn3n3_zqlTDsIyWvG4"/>
      <w:bookmarkEnd w:id="91"/>
    </w:p>
    <w:tbl>
      <w:tblPr>
        <w:tblW w:w="9808" w:type="dxa"/>
        <w:jc w:val="left"/>
        <w:tblInd w:w="0" w:type="dxa"/>
        <w:tblLayout w:type="fixed"/>
        <w:tblCellMar>
          <w:top w:w="0" w:type="dxa"/>
          <w:left w:w="0" w:type="dxa"/>
          <w:bottom w:w="0" w:type="dxa"/>
          <w:right w:w="0" w:type="dxa"/>
        </w:tblCellMar>
      </w:tblPr>
      <w:tblGrid>
        <w:gridCol w:w="5345"/>
        <w:gridCol w:w="60"/>
        <w:gridCol w:w="154"/>
        <w:gridCol w:w="884"/>
        <w:gridCol w:w="66"/>
        <w:gridCol w:w="66"/>
        <w:gridCol w:w="154"/>
        <w:gridCol w:w="884"/>
        <w:gridCol w:w="60"/>
        <w:gridCol w:w="60"/>
        <w:gridCol w:w="140"/>
        <w:gridCol w:w="800"/>
        <w:gridCol w:w="60"/>
        <w:gridCol w:w="60"/>
        <w:gridCol w:w="140"/>
        <w:gridCol w:w="800"/>
        <w:gridCol w:w="75"/>
      </w:tblGrid>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bookmarkStart w:id="92" w:name="xdx_49A_20260401__20260630_zwsyfakBMEQl"/>
            <w:bookmarkEnd w:id="92"/>
          </w:p>
        </w:tc>
        <w:tc>
          <w:tcPr>
            <w:tcW w:w="884" w:type="dxa"/>
            <w:tcBorders/>
            <w:shd w:fill="FFFFFF" w:val="clear"/>
            <w:vAlign w:val="center"/>
          </w:tcPr>
          <w:p>
            <w:pPr>
              <w:pStyle w:val="TableContents"/>
              <w:bidi w:val="0"/>
              <w:spacing w:before="0" w:after="283"/>
              <w:jc w:val="center"/>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bookmarkStart w:id="93" w:name="xdx_491_20250401__20250630_z2T2uVpPynij"/>
            <w:bookmarkEnd w:id="93"/>
          </w:p>
        </w:tc>
        <w:tc>
          <w:tcPr>
            <w:tcW w:w="88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4" w:name="xdx_49A_20260101__20260630_z4oDFHCfyF2a"/>
            <w:bookmarkEnd w:id="94"/>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5" w:name="xdx_492_20250101__20250630_zTCBRfxRKsoc"/>
            <w:bookmarkEnd w:id="95"/>
          </w:p>
        </w:tc>
        <w:tc>
          <w:tcPr>
            <w:tcW w:w="80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96" w:name="xdx_40F_eus-gaap--RevenuesAbstract_iB"/>
            <w:bookmarkEnd w:id="96"/>
          </w:p>
        </w:tc>
      </w:tr>
      <w:tr>
        <w:trPr/>
        <w:tc>
          <w:tcPr>
            <w:tcW w:w="5345" w:type="dxa"/>
            <w:tcBorders/>
            <w:shd w:fill="EEEEEE" w:val="clear"/>
            <w:vAlign w:val="center"/>
          </w:tcPr>
          <w:p>
            <w:pPr>
              <w:pStyle w:val="TableContents"/>
              <w:bidi w:val="0"/>
              <w:spacing w:before="0" w:after="283"/>
              <w:jc w:val="left"/>
              <w:rPr>
                <w:b/>
              </w:rPr>
            </w:pPr>
            <w:r>
              <w:rPr>
                <w:b/>
              </w:rPr>
              <w:t>Revenues:</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 </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bookmarkStart w:id="97" w:name="xdx_401_eus-gaap--InterestAndFeeIncomeLo"/>
            <w:bookmarkEnd w:id="97"/>
          </w:p>
        </w:tc>
      </w:tr>
      <w:tr>
        <w:trPr/>
        <w:tc>
          <w:tcPr>
            <w:tcW w:w="534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884" w:type="dxa"/>
            <w:tcBorders/>
            <w:shd w:fill="FFFFFF" w:val="clear"/>
            <w:vAlign w:val="center"/>
          </w:tcPr>
          <w:p>
            <w:pPr>
              <w:pStyle w:val="TableContents"/>
              <w:bidi w:val="0"/>
              <w:spacing w:before="0" w:after="283"/>
              <w:jc w:val="right"/>
              <w:rPr/>
            </w:pPr>
            <w:r>
              <w:rPr/>
              <w:t>118,112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884" w:type="dxa"/>
            <w:tcBorders/>
            <w:shd w:fill="FFFFFF" w:val="clear"/>
            <w:vAlign w:val="center"/>
          </w:tcPr>
          <w:p>
            <w:pPr>
              <w:pStyle w:val="TableContents"/>
              <w:bidi w:val="0"/>
              <w:spacing w:before="0" w:after="283"/>
              <w:jc w:val="right"/>
              <w:rPr/>
            </w:pPr>
            <w:r>
              <w:rPr/>
              <w:t>105,362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226,833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207,295</w:t>
            </w:r>
          </w:p>
        </w:tc>
        <w:tc>
          <w:tcPr>
            <w:tcW w:w="75" w:type="dxa"/>
            <w:tcBorders/>
            <w:shd w:fill="FFFFFF" w:val="clear"/>
            <w:vAlign w:val="center"/>
          </w:tcPr>
          <w:p>
            <w:pPr>
              <w:pStyle w:val="TableContents"/>
              <w:bidi w:val="0"/>
              <w:spacing w:before="0" w:after="283"/>
              <w:jc w:val="left"/>
              <w:rPr/>
            </w:pPr>
            <w:r>
              <w:rPr/>
              <w:t> </w:t>
            </w:r>
            <w:bookmarkStart w:id="98" w:name="xdx_403_ecustom--MarkToFinanceReceivable"/>
            <w:bookmarkEnd w:id="98"/>
          </w:p>
        </w:tc>
      </w:tr>
      <w:tr>
        <w:trPr/>
        <w:tc>
          <w:tcPr>
            <w:tcW w:w="5345" w:type="dxa"/>
            <w:tcBorders/>
            <w:shd w:fill="EEEEEE" w:val="clear"/>
            <w:vAlign w:val="center"/>
          </w:tcPr>
          <w:p>
            <w:pPr>
              <w:pStyle w:val="TableContents"/>
              <w:bidi w:val="0"/>
              <w:spacing w:before="0" w:after="283"/>
              <w:jc w:val="left"/>
              <w:rPr/>
            </w:pPr>
            <w:r>
              <w:rPr/>
              <w:t>Mark to finance receivables measured at fair value</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3,000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6,500</w:t>
            </w:r>
          </w:p>
        </w:tc>
        <w:tc>
          <w:tcPr>
            <w:tcW w:w="75" w:type="dxa"/>
            <w:tcBorders/>
            <w:shd w:fill="EEEEEE" w:val="clear"/>
            <w:vAlign w:val="center"/>
          </w:tcPr>
          <w:p>
            <w:pPr>
              <w:pStyle w:val="TableContents"/>
              <w:bidi w:val="0"/>
              <w:spacing w:before="0" w:after="283"/>
              <w:jc w:val="left"/>
              <w:rPr/>
            </w:pPr>
            <w:r>
              <w:rPr/>
              <w:t> </w:t>
            </w:r>
            <w:bookmarkStart w:id="99" w:name="xdx_40E_eus-gaap--OtherOperatingIncome_i"/>
            <w:bookmarkEnd w:id="99"/>
          </w:p>
        </w:tc>
      </w:tr>
      <w:tr>
        <w:trPr/>
        <w:tc>
          <w:tcPr>
            <w:tcW w:w="534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3,277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2,843</w:t>
            </w:r>
          </w:p>
        </w:tc>
        <w:tc>
          <w:tcPr>
            <w:tcW w:w="75" w:type="dxa"/>
            <w:tcBorders/>
            <w:shd w:fill="FFFFFF" w:val="clear"/>
            <w:vAlign w:val="center"/>
          </w:tcPr>
          <w:p>
            <w:pPr>
              <w:pStyle w:val="TableContents"/>
              <w:bidi w:val="0"/>
              <w:spacing w:before="0" w:after="283"/>
              <w:jc w:val="left"/>
              <w:rPr/>
            </w:pPr>
            <w:r>
              <w:rPr/>
              <w:t> </w:t>
            </w:r>
            <w:bookmarkStart w:id="100" w:name="xdx_40C_eus-gaap--Revenues_i01T_pn3n3_mt"/>
            <w:bookmarkEnd w:id="100"/>
          </w:p>
        </w:tc>
      </w:tr>
      <w:tr>
        <w:trPr/>
        <w:tc>
          <w:tcPr>
            <w:tcW w:w="5345" w:type="dxa"/>
            <w:tcBorders/>
            <w:shd w:fill="EEEEEE" w:val="clear"/>
            <w:vAlign w:val="center"/>
          </w:tcPr>
          <w:p>
            <w:pPr>
              <w:pStyle w:val="TableContents"/>
              <w:bidi w:val="0"/>
              <w:spacing w:before="0" w:after="283"/>
              <w:jc w:val="left"/>
              <w:rPr>
                <w:b/>
              </w:rPr>
            </w:pPr>
            <w:r>
              <w:rPr>
                <w:b/>
              </w:rPr>
              <w:t>Total revenues</w:t>
            </w:r>
          </w:p>
        </w:tc>
        <w:tc>
          <w:tcPr>
            <w:tcW w:w="60" w:type="dxa"/>
            <w:tcBorders/>
            <w:shd w:fill="EEEEEE" w:val="clear"/>
            <w:vAlign w:val="center"/>
          </w:tcPr>
          <w:p>
            <w:pPr>
              <w:pStyle w:val="TableContents"/>
              <w:bidi w:val="0"/>
              <w:spacing w:before="0" w:after="283"/>
              <w:jc w:val="left"/>
              <w:rPr/>
            </w:pPr>
            <w:r>
              <w:rPr/>
              <w:t> </w:t>
            </w:r>
          </w:p>
        </w:tc>
        <w:tc>
          <w:tcPr>
            <w:tcW w:w="15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EEEEEE" w:val="clear"/>
            <w:tcMar>
              <w:bottom w:w="28" w:type="dxa"/>
            </w:tcMar>
            <w:vAlign w:val="center"/>
          </w:tcPr>
          <w:p>
            <w:pPr>
              <w:pStyle w:val="TableContents"/>
              <w:bidi w:val="0"/>
              <w:spacing w:before="0" w:after="283"/>
              <w:jc w:val="right"/>
              <w:rPr/>
            </w:pPr>
            <w:r>
              <w:rPr/>
              <w:t>121,389</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EEEEEE" w:val="clear"/>
            <w:tcMar>
              <w:bottom w:w="28" w:type="dxa"/>
            </w:tcMar>
            <w:vAlign w:val="center"/>
          </w:tcPr>
          <w:p>
            <w:pPr>
              <w:pStyle w:val="TableContents"/>
              <w:bidi w:val="0"/>
              <w:spacing w:before="0" w:after="283"/>
              <w:jc w:val="right"/>
              <w:rPr/>
            </w:pPr>
            <w:r>
              <w:rPr/>
              <w:t>109,764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233,723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216,638</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1" w:name="xdx_40A_eus-gaap--OperatingExpensesAbstr"/>
            <w:bookmarkEnd w:id="101"/>
          </w:p>
        </w:tc>
      </w:tr>
      <w:tr>
        <w:trPr/>
        <w:tc>
          <w:tcPr>
            <w:tcW w:w="5345" w:type="dxa"/>
            <w:tcBorders/>
            <w:shd w:fill="EEEEEE" w:val="clear"/>
            <w:vAlign w:val="center"/>
          </w:tcPr>
          <w:p>
            <w:pPr>
              <w:pStyle w:val="TableContents"/>
              <w:bidi w:val="0"/>
              <w:spacing w:before="0" w:after="283"/>
              <w:jc w:val="left"/>
              <w:rPr>
                <w:b/>
              </w:rPr>
            </w:pPr>
            <w:r>
              <w:rPr>
                <w:b/>
              </w:rPr>
              <w:t>Expenses:</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 </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bookmarkStart w:id="102" w:name="xdx_40B_eus-gaap--SalariesAndWages_i01_p"/>
            <w:bookmarkEnd w:id="102"/>
          </w:p>
        </w:tc>
      </w:tr>
      <w:tr>
        <w:trPr/>
        <w:tc>
          <w:tcPr>
            <w:tcW w:w="5345" w:type="dxa"/>
            <w:tcBorders/>
            <w:shd w:fill="FFFFFF" w:val="clear"/>
            <w:vAlign w:val="center"/>
          </w:tcPr>
          <w:p>
            <w:pPr>
              <w:pStyle w:val="TableContents"/>
              <w:bidi w:val="0"/>
              <w:spacing w:before="0" w:after="283"/>
              <w:jc w:val="left"/>
              <w:rPr/>
            </w:pPr>
            <w:r>
              <w:rPr/>
              <w:t>Employee costs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23,418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24,362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46,464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49,395</w:t>
            </w:r>
          </w:p>
        </w:tc>
        <w:tc>
          <w:tcPr>
            <w:tcW w:w="75" w:type="dxa"/>
            <w:tcBorders/>
            <w:shd w:fill="FFFFFF" w:val="clear"/>
            <w:vAlign w:val="center"/>
          </w:tcPr>
          <w:p>
            <w:pPr>
              <w:pStyle w:val="TableContents"/>
              <w:bidi w:val="0"/>
              <w:spacing w:before="0" w:after="283"/>
              <w:jc w:val="left"/>
              <w:rPr/>
            </w:pPr>
            <w:r>
              <w:rPr/>
              <w:t> </w:t>
            </w:r>
            <w:bookmarkStart w:id="103" w:name="xdx_40E_eus-gaap--GeneralAndAdministrati"/>
            <w:bookmarkEnd w:id="103"/>
          </w:p>
        </w:tc>
      </w:tr>
      <w:tr>
        <w:trPr/>
        <w:tc>
          <w:tcPr>
            <w:tcW w:w="5345" w:type="dxa"/>
            <w:tcBorders/>
            <w:shd w:fill="EEEEEE" w:val="clear"/>
            <w:vAlign w:val="center"/>
          </w:tcPr>
          <w:p>
            <w:pPr>
              <w:pStyle w:val="TableContents"/>
              <w:bidi w:val="0"/>
              <w:spacing w:before="0" w:after="283"/>
              <w:jc w:val="left"/>
              <w:rPr/>
            </w:pPr>
            <w:r>
              <w:rPr/>
              <w:t>General and administrative</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14,673</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12,402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27,581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24,966</w:t>
            </w:r>
          </w:p>
        </w:tc>
        <w:tc>
          <w:tcPr>
            <w:tcW w:w="75" w:type="dxa"/>
            <w:tcBorders/>
            <w:shd w:fill="EEEEEE" w:val="clear"/>
            <w:vAlign w:val="center"/>
          </w:tcPr>
          <w:p>
            <w:pPr>
              <w:pStyle w:val="TableContents"/>
              <w:bidi w:val="0"/>
              <w:spacing w:before="0" w:after="283"/>
              <w:jc w:val="left"/>
              <w:rPr/>
            </w:pPr>
            <w:r>
              <w:rPr/>
              <w:t> </w:t>
            </w:r>
            <w:bookmarkStart w:id="104" w:name="xdx_400_eus-gaap--InterestExpenseOperati"/>
            <w:bookmarkEnd w:id="104"/>
          </w:p>
        </w:tc>
      </w:tr>
      <w:tr>
        <w:trPr/>
        <w:tc>
          <w:tcPr>
            <w:tcW w:w="5345"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64,253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58,704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124,314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113,622</w:t>
            </w:r>
          </w:p>
        </w:tc>
        <w:tc>
          <w:tcPr>
            <w:tcW w:w="75" w:type="dxa"/>
            <w:tcBorders/>
            <w:shd w:fill="FFFFFF" w:val="clear"/>
            <w:vAlign w:val="center"/>
          </w:tcPr>
          <w:p>
            <w:pPr>
              <w:pStyle w:val="TableContents"/>
              <w:bidi w:val="0"/>
              <w:spacing w:before="0" w:after="283"/>
              <w:jc w:val="left"/>
              <w:rPr/>
            </w:pPr>
            <w:r>
              <w:rPr/>
              <w:t> </w:t>
            </w:r>
            <w:bookmarkStart w:id="105" w:name="xdx_408_eus-gaap--SellingAndMarketingExp"/>
            <w:bookmarkEnd w:id="105"/>
          </w:p>
        </w:tc>
      </w:tr>
      <w:tr>
        <w:trPr/>
        <w:tc>
          <w:tcPr>
            <w:tcW w:w="5345" w:type="dxa"/>
            <w:tcBorders/>
            <w:shd w:fill="EEEEEE" w:val="clear"/>
            <w:vAlign w:val="center"/>
          </w:tcPr>
          <w:p>
            <w:pPr>
              <w:pStyle w:val="TableContents"/>
              <w:bidi w:val="0"/>
              <w:spacing w:before="0" w:after="283"/>
              <w:jc w:val="left"/>
              <w:rPr/>
            </w:pPr>
            <w:r>
              <w:rPr/>
              <w:t>Sales</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8,303</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5,721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14,855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11,632</w:t>
            </w:r>
          </w:p>
        </w:tc>
        <w:tc>
          <w:tcPr>
            <w:tcW w:w="75" w:type="dxa"/>
            <w:tcBorders/>
            <w:shd w:fill="EEEEEE" w:val="clear"/>
            <w:vAlign w:val="center"/>
          </w:tcPr>
          <w:p>
            <w:pPr>
              <w:pStyle w:val="TableContents"/>
              <w:bidi w:val="0"/>
              <w:spacing w:before="0" w:after="283"/>
              <w:jc w:val="left"/>
              <w:rPr/>
            </w:pPr>
            <w:r>
              <w:rPr/>
              <w:t> </w:t>
            </w:r>
            <w:bookmarkStart w:id="106" w:name="xdx_408_eus-gaap--OccupancyNet_i01_pn3n3"/>
            <w:bookmarkEnd w:id="106"/>
          </w:p>
        </w:tc>
      </w:tr>
      <w:tr>
        <w:trPr/>
        <w:tc>
          <w:tcPr>
            <w:tcW w:w="5345" w:type="dxa"/>
            <w:tcBorders/>
            <w:shd w:fill="FFFFFF" w:val="clear"/>
            <w:vAlign w:val="center"/>
          </w:tcPr>
          <w:p>
            <w:pPr>
              <w:pStyle w:val="TableContents"/>
              <w:bidi w:val="0"/>
              <w:spacing w:before="0" w:after="283"/>
              <w:jc w:val="left"/>
              <w:rPr/>
            </w:pPr>
            <w:r>
              <w:rPr/>
              <w:t>Occupancy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1,458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1,374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2,771</w:t>
            </w:r>
          </w:p>
        </w:tc>
        <w:tc>
          <w:tcPr>
            <w:tcW w:w="75" w:type="dxa"/>
            <w:tcBorders/>
            <w:shd w:fill="FFFFFF" w:val="clear"/>
            <w:vAlign w:val="center"/>
          </w:tcPr>
          <w:p>
            <w:pPr>
              <w:pStyle w:val="TableContents"/>
              <w:bidi w:val="0"/>
              <w:spacing w:before="0" w:after="283"/>
              <w:jc w:val="left"/>
              <w:rPr/>
            </w:pPr>
            <w:r>
              <w:rPr/>
              <w:t> </w:t>
            </w:r>
            <w:bookmarkStart w:id="107" w:name="xdx_409_eus-gaap--DepreciationAndAmortiz"/>
            <w:bookmarkEnd w:id="107"/>
          </w:p>
        </w:tc>
      </w:tr>
      <w:tr>
        <w:trPr/>
        <w:tc>
          <w:tcPr>
            <w:tcW w:w="5345" w:type="dxa"/>
            <w:tcBorders/>
            <w:shd w:fill="EEEEEE" w:val="clear"/>
            <w:vAlign w:val="center"/>
          </w:tcPr>
          <w:p>
            <w:pPr>
              <w:pStyle w:val="TableContents"/>
              <w:bidi w:val="0"/>
              <w:spacing w:before="0" w:after="283"/>
              <w:jc w:val="left"/>
              <w:rPr/>
            </w:pPr>
            <w:r>
              <w:rPr/>
              <w:t>Depreciation and amortization</w:t>
            </w:r>
          </w:p>
        </w:tc>
        <w:tc>
          <w:tcPr>
            <w:tcW w:w="60" w:type="dxa"/>
            <w:tcBorders/>
            <w:shd w:fill="EEEEEE" w:val="clear"/>
            <w:vAlign w:val="center"/>
          </w:tcPr>
          <w:p>
            <w:pPr>
              <w:pStyle w:val="TableContents"/>
              <w:bidi w:val="0"/>
              <w:spacing w:before="0" w:after="283"/>
              <w:jc w:val="left"/>
              <w:rPr/>
            </w:pPr>
            <w:r>
              <w:rPr/>
              <w:t> </w:t>
            </w:r>
          </w:p>
        </w:tc>
        <w:tc>
          <w:tcPr>
            <w:tcW w:w="15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EEEEEE" w:val="clear"/>
            <w:tcMar>
              <w:bottom w:w="28" w:type="dxa"/>
            </w:tcMar>
            <w:vAlign w:val="center"/>
          </w:tcPr>
          <w:p>
            <w:pPr>
              <w:pStyle w:val="TableContents"/>
              <w:bidi w:val="0"/>
              <w:spacing w:before="0" w:after="283"/>
              <w:jc w:val="right"/>
              <w:rPr/>
            </w:pPr>
            <w:r>
              <w:rPr/>
              <w:t>249</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EEEEEE" w:val="clear"/>
            <w:tcMar>
              <w:bottom w:w="28" w:type="dxa"/>
            </w:tcMar>
            <w:vAlign w:val="center"/>
          </w:tcPr>
          <w:p>
            <w:pPr>
              <w:pStyle w:val="TableContents"/>
              <w:bidi w:val="0"/>
              <w:spacing w:before="0" w:after="283"/>
              <w:jc w:val="right"/>
              <w:rPr/>
            </w:pPr>
            <w:r>
              <w:rPr/>
              <w:t>249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474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498</w:t>
            </w:r>
          </w:p>
        </w:tc>
        <w:tc>
          <w:tcPr>
            <w:tcW w:w="75" w:type="dxa"/>
            <w:tcBorders/>
            <w:shd w:fill="EEEEEE" w:val="clear"/>
            <w:vAlign w:val="center"/>
          </w:tcPr>
          <w:p>
            <w:pPr>
              <w:pStyle w:val="TableContents"/>
              <w:bidi w:val="0"/>
              <w:spacing w:before="0" w:after="283"/>
              <w:jc w:val="left"/>
              <w:rPr/>
            </w:pPr>
            <w:r>
              <w:rPr/>
              <w:t> </w:t>
            </w:r>
            <w:bookmarkStart w:id="108" w:name="xdx_40E_eus-gaap--OperatingExpenses_i01T"/>
            <w:bookmarkEnd w:id="108"/>
          </w:p>
        </w:tc>
      </w:tr>
      <w:tr>
        <w:trPr/>
        <w:tc>
          <w:tcPr>
            <w:tcW w:w="5345" w:type="dxa"/>
            <w:tcBorders/>
            <w:shd w:fill="FFFFFF" w:val="clear"/>
            <w:vAlign w:val="center"/>
          </w:tcPr>
          <w:p>
            <w:pPr>
              <w:pStyle w:val="TableContents"/>
              <w:bidi w:val="0"/>
              <w:spacing w:before="0" w:after="283"/>
              <w:jc w:val="left"/>
              <w:rPr>
                <w:b/>
              </w:rPr>
            </w:pPr>
            <w:r>
              <w:rPr>
                <w:b/>
              </w:rPr>
              <w:t>Total expenses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112,354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102,812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216,660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202,884</w:t>
            </w:r>
          </w:p>
        </w:tc>
        <w:tc>
          <w:tcPr>
            <w:tcW w:w="75" w:type="dxa"/>
            <w:tcBorders/>
            <w:shd w:fill="FFFFFF" w:val="clear"/>
            <w:vAlign w:val="center"/>
          </w:tcPr>
          <w:p>
            <w:pPr>
              <w:pStyle w:val="TableContents"/>
              <w:bidi w:val="0"/>
              <w:spacing w:before="0" w:after="283"/>
              <w:jc w:val="left"/>
              <w:rPr/>
            </w:pPr>
            <w:r>
              <w:rPr/>
              <w:t> </w:t>
            </w:r>
            <w:bookmarkStart w:id="109" w:name="xdx_402_eus-gaap--IncomeLossFromContinui"/>
            <w:bookmarkEnd w:id="109"/>
          </w:p>
        </w:tc>
      </w:tr>
      <w:tr>
        <w:trPr/>
        <w:tc>
          <w:tcPr>
            <w:tcW w:w="5345" w:type="dxa"/>
            <w:tcBorders/>
            <w:shd w:fill="EEEEEE" w:val="clear"/>
            <w:vAlign w:val="center"/>
          </w:tcPr>
          <w:p>
            <w:pPr>
              <w:pStyle w:val="TableContents"/>
              <w:bidi w:val="0"/>
              <w:spacing w:before="0" w:after="283"/>
              <w:jc w:val="left"/>
              <w:rPr/>
            </w:pPr>
            <w:r>
              <w:rPr/>
              <w:t>Income before income tax expense</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9,035</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6,952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17,063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13,754</w:t>
            </w:r>
          </w:p>
        </w:tc>
        <w:tc>
          <w:tcPr>
            <w:tcW w:w="75" w:type="dxa"/>
            <w:tcBorders/>
            <w:shd w:fill="EEEEEE" w:val="clear"/>
            <w:vAlign w:val="center"/>
          </w:tcPr>
          <w:p>
            <w:pPr>
              <w:pStyle w:val="TableContents"/>
              <w:bidi w:val="0"/>
              <w:spacing w:before="0" w:after="283"/>
              <w:jc w:val="left"/>
              <w:rPr/>
            </w:pPr>
            <w:r>
              <w:rPr/>
              <w:t> </w:t>
            </w:r>
            <w:bookmarkStart w:id="110" w:name="xdx_408_eus-gaap--IncomeTaxExpenseBenefi"/>
            <w:bookmarkEnd w:id="110"/>
          </w:p>
        </w:tc>
      </w:tr>
      <w:tr>
        <w:trPr/>
        <w:tc>
          <w:tcPr>
            <w:tcW w:w="534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2,801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2,155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4,263</w:t>
            </w:r>
          </w:p>
        </w:tc>
        <w:tc>
          <w:tcPr>
            <w:tcW w:w="75" w:type="dxa"/>
            <w:tcBorders/>
            <w:shd w:fill="FFFFFF" w:val="clear"/>
            <w:vAlign w:val="center"/>
          </w:tcPr>
          <w:p>
            <w:pPr>
              <w:pStyle w:val="TableContents"/>
              <w:bidi w:val="0"/>
              <w:spacing w:before="0" w:after="283"/>
              <w:jc w:val="left"/>
              <w:rPr/>
            </w:pPr>
            <w:r>
              <w:rPr/>
              <w:t> </w:t>
            </w:r>
            <w:bookmarkStart w:id="111" w:name="xdx_404_eus-gaap--NetIncomeLoss_iT_pn3n3"/>
            <w:bookmarkEnd w:id="111"/>
          </w:p>
        </w:tc>
      </w:tr>
      <w:tr>
        <w:trPr/>
        <w:tc>
          <w:tcPr>
            <w:tcW w:w="5345" w:type="dxa"/>
            <w:tcBorders/>
            <w:shd w:fill="EEEEEE" w:val="clear"/>
            <w:vAlign w:val="center"/>
          </w:tcPr>
          <w:p>
            <w:pPr>
              <w:pStyle w:val="TableContents"/>
              <w:bidi w:val="0"/>
              <w:spacing w:before="0" w:after="283"/>
              <w:jc w:val="left"/>
              <w:rPr/>
            </w:pPr>
            <w:r>
              <w:rPr/>
              <w:t>Net income</w:t>
            </w:r>
          </w:p>
        </w:tc>
        <w:tc>
          <w:tcPr>
            <w:tcW w:w="60" w:type="dxa"/>
            <w:tcBorders/>
            <w:shd w:fill="EEEEEE" w:val="clear"/>
            <w:vAlign w:val="center"/>
          </w:tcPr>
          <w:p>
            <w:pPr>
              <w:pStyle w:val="TableContents"/>
              <w:bidi w:val="0"/>
              <w:spacing w:before="0" w:after="283"/>
              <w:jc w:val="left"/>
              <w:rPr/>
            </w:pPr>
            <w:r>
              <w:rPr/>
              <w:t> </w:t>
            </w:r>
          </w:p>
        </w:tc>
        <w:tc>
          <w:tcPr>
            <w:tcW w:w="154"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EEEEEE" w:val="clear"/>
            <w:tcMar>
              <w:bottom w:w="28" w:type="dxa"/>
            </w:tcMar>
            <w:vAlign w:val="center"/>
          </w:tcPr>
          <w:p>
            <w:pPr>
              <w:pStyle w:val="TableContents"/>
              <w:bidi w:val="0"/>
              <w:spacing w:before="0" w:after="283"/>
              <w:jc w:val="right"/>
              <w:rPr/>
            </w:pPr>
            <w:r>
              <w:rPr/>
              <w:t>6,234</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EEEEEE" w:val="clear"/>
            <w:tcMar>
              <w:bottom w:w="28" w:type="dxa"/>
            </w:tcMar>
            <w:vAlign w:val="center"/>
          </w:tcPr>
          <w:p>
            <w:pPr>
              <w:pStyle w:val="TableContents"/>
              <w:bidi w:val="0"/>
              <w:spacing w:before="0" w:after="283"/>
              <w:jc w:val="right"/>
              <w:rPr/>
            </w:pPr>
            <w:r>
              <w:rPr/>
              <w:t>4,797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11,773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9,491</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12" w:name="xdx_40E_eus-gaap--EarningsPerShareAbstra"/>
            <w:bookmarkEnd w:id="112"/>
          </w:p>
        </w:tc>
      </w:tr>
      <w:tr>
        <w:trPr/>
        <w:tc>
          <w:tcPr>
            <w:tcW w:w="5345" w:type="dxa"/>
            <w:tcBorders/>
            <w:shd w:fill="EEEEEE" w:val="clear"/>
            <w:vAlign w:val="center"/>
          </w:tcPr>
          <w:p>
            <w:pPr>
              <w:pStyle w:val="TableContents"/>
              <w:bidi w:val="0"/>
              <w:spacing w:before="0" w:after="283"/>
              <w:jc w:val="left"/>
              <w:rPr/>
            </w:pPr>
            <w:r>
              <w:rPr/>
              <w:t>Earnings per share:</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 </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bookmarkStart w:id="113" w:name="xdx_403_eus-gaap--EarningsPerShareBasic_"/>
            <w:bookmarkEnd w:id="113"/>
          </w:p>
        </w:tc>
      </w:tr>
      <w:tr>
        <w:trPr/>
        <w:tc>
          <w:tcPr>
            <w:tcW w:w="534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884" w:type="dxa"/>
            <w:tcBorders/>
            <w:shd w:fill="FFFFFF" w:val="clear"/>
            <w:vAlign w:val="center"/>
          </w:tcPr>
          <w:p>
            <w:pPr>
              <w:pStyle w:val="TableContents"/>
              <w:bidi w:val="0"/>
              <w:spacing w:before="0" w:after="283"/>
              <w:jc w:val="right"/>
              <w:rPr/>
            </w:pPr>
            <w:r>
              <w:rPr/>
              <w:t>0.29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884" w:type="dxa"/>
            <w:tcBorders/>
            <w:shd w:fill="FFFFFF" w:val="clear"/>
            <w:vAlign w:val="center"/>
          </w:tcPr>
          <w:p>
            <w:pPr>
              <w:pStyle w:val="TableContents"/>
              <w:bidi w:val="0"/>
              <w:spacing w:before="0" w:after="283"/>
              <w:jc w:val="right"/>
              <w:rPr/>
            </w:pPr>
            <w:r>
              <w:rPr/>
              <w:t>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0.44</w:t>
            </w:r>
          </w:p>
        </w:tc>
        <w:tc>
          <w:tcPr>
            <w:tcW w:w="75" w:type="dxa"/>
            <w:tcBorders/>
            <w:shd w:fill="FFFFFF" w:val="clear"/>
            <w:vAlign w:val="center"/>
          </w:tcPr>
          <w:p>
            <w:pPr>
              <w:pStyle w:val="TableContents"/>
              <w:bidi w:val="0"/>
              <w:spacing w:before="0" w:after="283"/>
              <w:jc w:val="left"/>
              <w:rPr/>
            </w:pPr>
            <w:r>
              <w:rPr/>
              <w:t> </w:t>
            </w:r>
            <w:bookmarkStart w:id="114" w:name="xdx_402_eus-gaap--EarningsPerShareDilute"/>
            <w:bookmarkEnd w:id="114"/>
          </w:p>
        </w:tc>
      </w:tr>
      <w:tr>
        <w:trPr/>
        <w:tc>
          <w:tcPr>
            <w:tcW w:w="5345"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w:t>
            </w:r>
          </w:p>
        </w:tc>
        <w:tc>
          <w:tcPr>
            <w:tcW w:w="884" w:type="dxa"/>
            <w:tcBorders/>
            <w:shd w:fill="EEEEEE" w:val="clear"/>
            <w:vAlign w:val="center"/>
          </w:tcPr>
          <w:p>
            <w:pPr>
              <w:pStyle w:val="TableContents"/>
              <w:bidi w:val="0"/>
              <w:spacing w:before="0" w:after="283"/>
              <w:jc w:val="right"/>
              <w:rPr/>
            </w:pPr>
            <w:r>
              <w:rPr/>
              <w:t>0.27</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w:t>
            </w:r>
          </w:p>
        </w:tc>
        <w:tc>
          <w:tcPr>
            <w:tcW w:w="884" w:type="dxa"/>
            <w:tcBorders/>
            <w:shd w:fill="EEEEEE" w:val="clear"/>
            <w:vAlign w:val="center"/>
          </w:tcPr>
          <w:p>
            <w:pPr>
              <w:pStyle w:val="TableContents"/>
              <w:bidi w:val="0"/>
              <w:spacing w:before="0" w:after="283"/>
              <w:jc w:val="right"/>
              <w:rPr/>
            </w:pPr>
            <w:r>
              <w:rPr/>
              <w:t>0.20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0.50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0.39</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bookmarkStart w:id="115" w:name="xdx_40D_eus-gaap--WeightedAverageNumberO"/>
            <w:bookmarkEnd w:id="115"/>
          </w:p>
        </w:tc>
      </w:tr>
      <w:tr>
        <w:trPr/>
        <w:tc>
          <w:tcPr>
            <w:tcW w:w="5345" w:type="dxa"/>
            <w:tcBorders/>
            <w:shd w:fill="EEEEEE" w:val="clear"/>
            <w:vAlign w:val="center"/>
          </w:tcPr>
          <w:p>
            <w:pPr>
              <w:pStyle w:val="TableContents"/>
              <w:bidi w:val="0"/>
              <w:spacing w:before="0" w:after="283"/>
              <w:jc w:val="left"/>
              <w:rPr/>
            </w:pPr>
            <w:r>
              <w:rPr/>
              <w:t>Number of shares used in computing earnings per share:</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 </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bookmarkStart w:id="116" w:name="xdx_401_eus-gaap--WeightedAverageNumberO"/>
            <w:bookmarkEnd w:id="116"/>
          </w:p>
        </w:tc>
      </w:tr>
      <w:tr>
        <w:trPr/>
        <w:tc>
          <w:tcPr>
            <w:tcW w:w="534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21,633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21,893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21,670</w:t>
            </w:r>
          </w:p>
        </w:tc>
        <w:tc>
          <w:tcPr>
            <w:tcW w:w="75" w:type="dxa"/>
            <w:tcBorders/>
            <w:shd w:fill="FFFFFF" w:val="clear"/>
            <w:vAlign w:val="center"/>
          </w:tcPr>
          <w:p>
            <w:pPr>
              <w:pStyle w:val="TableContents"/>
              <w:bidi w:val="0"/>
              <w:spacing w:before="0" w:after="283"/>
              <w:jc w:val="left"/>
              <w:rPr/>
            </w:pPr>
            <w:r>
              <w:rPr/>
              <w:t> </w:t>
            </w:r>
            <w:bookmarkStart w:id="117" w:name="xdx_403_eus-gaap--WeightedAverageNumberO"/>
            <w:bookmarkEnd w:id="117"/>
          </w:p>
        </w:tc>
      </w:tr>
      <w:tr>
        <w:trPr/>
        <w:tc>
          <w:tcPr>
            <w:tcW w:w="5345"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23,485</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4" w:type="dxa"/>
            <w:tcBorders/>
            <w:shd w:fill="EEEEEE" w:val="clear"/>
            <w:vAlign w:val="center"/>
          </w:tcPr>
          <w:p>
            <w:pPr>
              <w:pStyle w:val="TableContents"/>
              <w:bidi w:val="0"/>
              <w:spacing w:before="0" w:after="283"/>
              <w:jc w:val="right"/>
              <w:rPr/>
            </w:pPr>
            <w:r>
              <w:rPr/>
              <w:t>24,180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23,509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24,254</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CONSUMER PORTFOLIO SERVICES, INC. AND SUBSIDIARIES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8" w:name="q2_005"/>
      <w:bookmarkEnd w:id="118"/>
      <w:r>
        <w:rPr>
          <w:rFonts w:ascii="Times New Roman;Times;Serif" w:hAnsi="Times New Roman;Times;Serif"/>
          <w:b/>
          <w:i w:val="false"/>
          <w:caps w:val="false"/>
          <w:smallCaps w:val="false"/>
          <w:sz w:val="20"/>
        </w:rPr>
        <w:t>UNAUDITED CONDENSED CONSOLIDATED STATEMENTS OF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19" w:name="xdx_305_113_pn3n3_zHsWO3kww7qb"/>
      <w:bookmarkStart w:id="120" w:name="xdx_305_113_pn3n3_zHsWO3kww7qb"/>
      <w:bookmarkEnd w:id="120"/>
    </w:p>
    <w:tbl>
      <w:tblPr>
        <w:tblW w:w="10205" w:type="dxa"/>
        <w:jc w:val="left"/>
        <w:tblInd w:w="0" w:type="dxa"/>
        <w:tblLayout w:type="fixed"/>
        <w:tblCellMar>
          <w:top w:w="0" w:type="dxa"/>
          <w:left w:w="0" w:type="dxa"/>
          <w:bottom w:w="0" w:type="dxa"/>
          <w:right w:w="0" w:type="dxa"/>
        </w:tblCellMar>
      </w:tblPr>
      <w:tblGrid>
        <w:gridCol w:w="6035"/>
        <w:gridCol w:w="60"/>
        <w:gridCol w:w="189"/>
        <w:gridCol w:w="760"/>
        <w:gridCol w:w="81"/>
        <w:gridCol w:w="81"/>
        <w:gridCol w:w="189"/>
        <w:gridCol w:w="760"/>
        <w:gridCol w:w="60"/>
        <w:gridCol w:w="60"/>
        <w:gridCol w:w="158"/>
        <w:gridCol w:w="767"/>
        <w:gridCol w:w="67"/>
        <w:gridCol w:w="67"/>
        <w:gridCol w:w="158"/>
        <w:gridCol w:w="632"/>
        <w:gridCol w:w="81"/>
      </w:tblGrid>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bookmarkStart w:id="121" w:name="xdx_49B_20260401__20260630_zifJG2dJmuV8"/>
            <w:bookmarkEnd w:id="121"/>
          </w:p>
        </w:tc>
        <w:tc>
          <w:tcPr>
            <w:tcW w:w="760"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bookmarkStart w:id="122" w:name="xdx_492_20250401__20250630_zOZcUg38nqdf"/>
            <w:bookmarkEnd w:id="122"/>
          </w:p>
        </w:tc>
        <w:tc>
          <w:tcPr>
            <w:tcW w:w="7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123" w:name="xdx_495_20260101__20260630_zNxlGamvMzeb"/>
            <w:bookmarkEnd w:id="123"/>
          </w:p>
        </w:tc>
        <w:tc>
          <w:tcPr>
            <w:tcW w:w="767" w:type="dxa"/>
            <w:tcBorders/>
            <w:shd w:fill="FFFFFF" w:val="clear"/>
            <w:vAlign w:val="center"/>
          </w:tcPr>
          <w:p>
            <w:pPr>
              <w:pStyle w:val="TableContents"/>
              <w:bidi w:val="0"/>
              <w:spacing w:before="0" w:after="283"/>
              <w:jc w:val="center"/>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124" w:name="xdx_490_20250101__20250630_z1ogsNSoblxl"/>
            <w:bookmarkEnd w:id="124"/>
          </w:p>
        </w:tc>
        <w:tc>
          <w:tcPr>
            <w:tcW w:w="632"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9" w:type="dxa"/>
            <w:gridSpan w:val="6"/>
            <w:tcBorders/>
            <w:vAlign w:val="center"/>
          </w:tcPr>
          <w:p>
            <w:pPr>
              <w:pStyle w:val="TableContents"/>
              <w:bidi w:val="0"/>
              <w:spacing w:before="0" w:after="283"/>
              <w:jc w:val="center"/>
              <w:rPr>
                <w:b/>
              </w:rPr>
            </w:pPr>
            <w:r>
              <w:rPr>
                <w:b/>
              </w:rPr>
              <w:t>Six Months Ended</w:t>
            </w:r>
          </w:p>
        </w:tc>
        <w:tc>
          <w:tcPr>
            <w:tcW w:w="81"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81"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righ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90" w:type="dxa"/>
            <w:gridSpan w:val="2"/>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bookmarkStart w:id="125" w:name="xdx_407_eus-gaap--NetIncomeLoss_pn3n3_ms"/>
            <w:bookmarkEnd w:id="125"/>
          </w:p>
        </w:tc>
      </w:tr>
      <w:tr>
        <w:trPr/>
        <w:tc>
          <w:tcPr>
            <w:tcW w:w="6035" w:type="dxa"/>
            <w:tcBorders/>
            <w:shd w:fill="EEEEEE" w:val="clear"/>
            <w:vAlign w:val="center"/>
          </w:tcPr>
          <w:p>
            <w:pPr>
              <w:pStyle w:val="TableContents"/>
              <w:bidi w:val="0"/>
              <w:spacing w:before="0" w:after="283"/>
              <w:jc w:val="left"/>
              <w:rPr/>
            </w:pPr>
            <w:r>
              <w:rPr/>
              <w:t>Net income</w:t>
            </w:r>
          </w:p>
        </w:tc>
        <w:tc>
          <w:tcPr>
            <w:tcW w:w="60"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w:t>
            </w:r>
          </w:p>
        </w:tc>
        <w:tc>
          <w:tcPr>
            <w:tcW w:w="760" w:type="dxa"/>
            <w:tcBorders/>
            <w:shd w:fill="EEEEEE" w:val="clear"/>
            <w:vAlign w:val="center"/>
          </w:tcPr>
          <w:p>
            <w:pPr>
              <w:pStyle w:val="TableContents"/>
              <w:bidi w:val="0"/>
              <w:spacing w:before="0" w:after="283"/>
              <w:jc w:val="right"/>
              <w:rPr/>
            </w:pPr>
            <w:r>
              <w:rPr/>
              <w:t>6,234</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w:t>
            </w:r>
          </w:p>
        </w:tc>
        <w:tc>
          <w:tcPr>
            <w:tcW w:w="760" w:type="dxa"/>
            <w:tcBorders/>
            <w:shd w:fill="EEEEEE" w:val="clear"/>
            <w:vAlign w:val="center"/>
          </w:tcPr>
          <w:p>
            <w:pPr>
              <w:pStyle w:val="TableContents"/>
              <w:bidi w:val="0"/>
              <w:spacing w:before="0" w:after="283"/>
              <w:jc w:val="right"/>
              <w:rPr/>
            </w:pPr>
            <w:r>
              <w:rPr/>
              <w:t>4,797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w:t>
            </w:r>
          </w:p>
        </w:tc>
        <w:tc>
          <w:tcPr>
            <w:tcW w:w="767" w:type="dxa"/>
            <w:tcBorders/>
            <w:shd w:fill="EEEEEE" w:val="clear"/>
            <w:vAlign w:val="center"/>
          </w:tcPr>
          <w:p>
            <w:pPr>
              <w:pStyle w:val="TableContents"/>
              <w:bidi w:val="0"/>
              <w:spacing w:before="0" w:after="283"/>
              <w:jc w:val="right"/>
              <w:rPr/>
            </w:pPr>
            <w:r>
              <w:rPr/>
              <w:t>11,773</w:t>
            </w:r>
          </w:p>
        </w:tc>
        <w:tc>
          <w:tcPr>
            <w:tcW w:w="67"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w:t>
            </w:r>
          </w:p>
        </w:tc>
        <w:tc>
          <w:tcPr>
            <w:tcW w:w="632" w:type="dxa"/>
            <w:tcBorders/>
            <w:shd w:fill="EEEEEE" w:val="clear"/>
            <w:vAlign w:val="center"/>
          </w:tcPr>
          <w:p>
            <w:pPr>
              <w:pStyle w:val="TableContents"/>
              <w:bidi w:val="0"/>
              <w:spacing w:before="0" w:after="283"/>
              <w:jc w:val="right"/>
              <w:rPr/>
            </w:pPr>
            <w:r>
              <w:rPr/>
              <w:t>9,491</w:t>
            </w:r>
          </w:p>
        </w:tc>
        <w:tc>
          <w:tcPr>
            <w:tcW w:w="81" w:type="dxa"/>
            <w:tcBorders/>
            <w:shd w:fill="EEEEEE"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200"/>
              <w:jc w:val="left"/>
              <w:rPr/>
            </w:pPr>
            <w:r>
              <w:rPr/>
              <w:t> </w:t>
            </w:r>
            <w:bookmarkStart w:id="126" w:name="xdx_402_eus-gaap--OtherComprehensiveInco"/>
            <w:bookmarkEnd w:id="126"/>
          </w:p>
        </w:tc>
      </w:tr>
      <w:tr>
        <w:trPr/>
        <w:tc>
          <w:tcPr>
            <w:tcW w:w="6035" w:type="dxa"/>
            <w:tcBorders/>
            <w:shd w:fill="EEEEEE" w:val="clear"/>
            <w:vAlign w:val="center"/>
          </w:tcPr>
          <w:p>
            <w:pPr>
              <w:pStyle w:val="TableContents"/>
              <w:bidi w:val="0"/>
              <w:spacing w:before="0" w:after="283"/>
              <w:jc w:val="left"/>
              <w:rPr/>
            </w:pPr>
            <w:r>
              <w:rPr/>
              <w:t>Other comprehensive income/(loss); change in funded status of pension plan</w:t>
            </w:r>
          </w:p>
        </w:tc>
        <w:tc>
          <w:tcPr>
            <w:tcW w:w="60" w:type="dxa"/>
            <w:tcBorders/>
            <w:shd w:fill="EEEEEE" w:val="clear"/>
            <w:vAlign w:val="center"/>
          </w:tcPr>
          <w:p>
            <w:pPr>
              <w:pStyle w:val="TableContents"/>
              <w:bidi w:val="0"/>
              <w:spacing w:before="0" w:after="283"/>
              <w:jc w:val="left"/>
              <w:rPr/>
            </w:pPr>
            <w:r>
              <w:rPr/>
              <w:t> </w:t>
            </w:r>
          </w:p>
        </w:tc>
        <w:tc>
          <w:tcPr>
            <w:tcW w:w="18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8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7"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15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1" w:type="dxa"/>
            <w:tcBorders/>
            <w:shd w:fill="EEEEEE" w:val="clear"/>
            <w:vAlign w:val="center"/>
          </w:tcPr>
          <w:p>
            <w:pPr>
              <w:pStyle w:val="TableContents"/>
              <w:bidi w:val="0"/>
              <w:spacing w:before="0" w:after="283"/>
              <w:jc w:val="left"/>
              <w:rPr/>
            </w:pPr>
            <w:r>
              <w:rPr/>
              <w:t> </w:t>
            </w:r>
            <w:bookmarkStart w:id="127" w:name="xdx_405_eus-gaap--ComprehensiveIncomeNet"/>
            <w:bookmarkEnd w:id="127"/>
          </w:p>
        </w:tc>
      </w:tr>
      <w:tr>
        <w:trPr/>
        <w:tc>
          <w:tcPr>
            <w:tcW w:w="6035" w:type="dxa"/>
            <w:tcBorders/>
            <w:shd w:fill="FFFFFF" w:val="clear"/>
            <w:vAlign w:val="center"/>
          </w:tcPr>
          <w:p>
            <w:pPr>
              <w:pStyle w:val="TableContents"/>
              <w:bidi w:val="0"/>
              <w:spacing w:before="0" w:after="283"/>
              <w:jc w:val="left"/>
              <w:rPr/>
            </w:pPr>
            <w:r>
              <w:rPr/>
              <w:t>Comprehensive income</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jc w:val="right"/>
              <w:rPr/>
            </w:pPr>
            <w:r>
              <w:rPr/>
              <w:t>6,234</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jc w:val="right"/>
              <w:rPr/>
            </w:pPr>
            <w:r>
              <w:rPr/>
              <w:t>4,797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jc w:val="right"/>
              <w:rPr/>
            </w:pPr>
            <w:r>
              <w:rPr/>
              <w:t>11,773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2" w:type="dxa"/>
            <w:tcBorders>
              <w:bottom w:val="double" w:sz="6" w:space="0" w:color="000000"/>
            </w:tcBorders>
            <w:shd w:fill="FFFFFF" w:val="clear"/>
            <w:tcMar>
              <w:bottom w:w="28" w:type="dxa"/>
            </w:tcMar>
            <w:vAlign w:val="center"/>
          </w:tcPr>
          <w:p>
            <w:pPr>
              <w:pStyle w:val="TableContents"/>
              <w:bidi w:val="0"/>
              <w:spacing w:before="0" w:after="283"/>
              <w:jc w:val="right"/>
              <w:rPr/>
            </w:pPr>
            <w:r>
              <w:rPr/>
              <w:t>9,491</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jc w:val="center"/>
        <w:rPr>
          <w:rFonts w:ascii="Times New Roman;Times;Serif" w:hAnsi="Times New Roman;Times;Serif"/>
          <w:b/>
          <w:i w:val="false"/>
          <w:caps w:val="false"/>
          <w:smallCaps w:val="false"/>
          <w:sz w:val="20"/>
        </w:rPr>
      </w:pPr>
      <w:bookmarkStart w:id="128" w:name="q2_006"/>
      <w:bookmarkEnd w:id="128"/>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9" w:name="xdx_30C_112_pn3n3_z1lTcEx0c6F8"/>
      <w:bookmarkStart w:id="130" w:name="xdx_30C_112_pn3n3_z1lTcEx0c6F8"/>
      <w:bookmarkEnd w:id="130"/>
    </w:p>
    <w:tbl>
      <w:tblPr>
        <w:tblW w:w="10160" w:type="dxa"/>
        <w:jc w:val="left"/>
        <w:tblInd w:w="0" w:type="dxa"/>
        <w:tblLayout w:type="fixed"/>
        <w:tblCellMar>
          <w:top w:w="0" w:type="dxa"/>
          <w:left w:w="0" w:type="dxa"/>
          <w:bottom w:w="0" w:type="dxa"/>
          <w:right w:w="0" w:type="dxa"/>
        </w:tblCellMar>
      </w:tblPr>
      <w:tblGrid>
        <w:gridCol w:w="7625"/>
        <w:gridCol w:w="60"/>
        <w:gridCol w:w="140"/>
        <w:gridCol w:w="1055"/>
        <w:gridCol w:w="95"/>
        <w:gridCol w:w="60"/>
        <w:gridCol w:w="140"/>
        <w:gridCol w:w="875"/>
        <w:gridCol w:w="110"/>
      </w:tblGrid>
      <w:tr>
        <w:trPr/>
        <w:tc>
          <w:tcPr>
            <w:tcW w:w="7625"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1" w:name="xdx_49E_20260101__20260630_z6iD6rXCWHsa"/>
            <w:bookmarkEnd w:id="131"/>
          </w:p>
        </w:tc>
        <w:tc>
          <w:tcPr>
            <w:tcW w:w="105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2" w:name="xdx_491_20250101__20250630_zY58WGpWwFQc"/>
            <w:bookmarkEnd w:id="132"/>
          </w:p>
        </w:tc>
        <w:tc>
          <w:tcPr>
            <w:tcW w:w="875"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33" w:name="xdx_400_eus-gaap--NetCashProvidedByUsedI"/>
            <w:bookmarkEnd w:id="133"/>
          </w:p>
        </w:tc>
      </w:tr>
      <w:tr>
        <w:trPr/>
        <w:tc>
          <w:tcPr>
            <w:tcW w:w="7625" w:type="dxa"/>
            <w:tcBorders/>
            <w:shd w:fill="EEEEEE" w:val="clear"/>
            <w:vAlign w:val="center"/>
          </w:tcPr>
          <w:p>
            <w:pPr>
              <w:pStyle w:val="TableContents"/>
              <w:bidi w:val="0"/>
              <w:spacing w:before="0" w:after="283"/>
              <w:jc w:val="left"/>
              <w:rPr>
                <w:i/>
              </w:rPr>
            </w:pPr>
            <w:r>
              <w:rPr>
                <w:i/>
              </w:rPr>
              <w:t>Cash flows from operating activities: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ind w:left="0" w:right="0" w:hanging="200"/>
              <w:jc w:val="left"/>
              <w:rPr/>
            </w:pPr>
            <w:r>
              <w:rPr/>
              <w:t> </w:t>
            </w:r>
            <w:bookmarkStart w:id="134" w:name="xdx_406_eus-gaap--NetIncomeLoss_i01_maCz"/>
            <w:bookmarkEnd w:id="134"/>
          </w:p>
        </w:tc>
      </w:tr>
      <w:tr>
        <w:trPr/>
        <w:tc>
          <w:tcPr>
            <w:tcW w:w="762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11,773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9,491</w:t>
            </w:r>
          </w:p>
        </w:tc>
        <w:tc>
          <w:tcPr>
            <w:tcW w:w="110" w:type="dxa"/>
            <w:tcBorders/>
            <w:shd w:fill="FFFFFF" w:val="clear"/>
            <w:vAlign w:val="center"/>
          </w:tcPr>
          <w:p>
            <w:pPr>
              <w:pStyle w:val="TableContents"/>
              <w:bidi w:val="0"/>
              <w:spacing w:before="0" w:after="283"/>
              <w:ind w:left="0" w:right="0" w:hanging="200"/>
              <w:jc w:val="left"/>
              <w:rPr/>
            </w:pPr>
            <w:r>
              <w:rPr/>
              <w:t> </w:t>
            </w:r>
            <w:bookmarkStart w:id="135" w:name="xdx_400_eus-gaap--AdjustmentsToReconcile"/>
            <w:bookmarkEnd w:id="135"/>
          </w:p>
        </w:tc>
      </w:tr>
      <w:tr>
        <w:trPr/>
        <w:tc>
          <w:tcPr>
            <w:tcW w:w="7625" w:type="dxa"/>
            <w:tcBorders/>
            <w:shd w:fill="EEEEEE" w:val="clear"/>
            <w:vAlign w:val="center"/>
          </w:tcPr>
          <w:p>
            <w:pPr>
              <w:pStyle w:val="TableContents"/>
              <w:bidi w:val="0"/>
              <w:spacing w:before="0" w:after="283"/>
              <w:jc w:val="left"/>
              <w:rPr/>
            </w:pPr>
            <w:r>
              <w:rPr/>
              <w:t>Adjustments to reconcile net income to net cash provided by operating activities: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ind w:left="0" w:right="0" w:hanging="200"/>
              <w:jc w:val="left"/>
              <w:rPr/>
            </w:pPr>
            <w:r>
              <w:rPr/>
              <w:t> </w:t>
            </w:r>
            <w:bookmarkStart w:id="136" w:name="xdx_40F_ecustom--NetInterestIncomeAccret"/>
            <w:bookmarkEnd w:id="136"/>
          </w:p>
        </w:tc>
      </w:tr>
      <w:tr>
        <w:trPr/>
        <w:tc>
          <w:tcPr>
            <w:tcW w:w="7625" w:type="dxa"/>
            <w:tcBorders/>
            <w:shd w:fill="FFFFFF" w:val="clear"/>
            <w:vAlign w:val="center"/>
          </w:tcPr>
          <w:p>
            <w:pPr>
              <w:pStyle w:val="TableContents"/>
              <w:bidi w:val="0"/>
              <w:spacing w:before="0" w:after="283"/>
              <w:jc w:val="left"/>
              <w:rPr/>
            </w:pPr>
            <w:r>
              <w:rPr/>
              <w:t>Net interest income accretion on fair value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139,685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126,548</w:t>
            </w:r>
          </w:p>
        </w:tc>
        <w:tc>
          <w:tcPr>
            <w:tcW w:w="110" w:type="dxa"/>
            <w:tcBorders/>
            <w:shd w:fill="FFFFFF" w:val="clear"/>
            <w:vAlign w:val="center"/>
          </w:tcPr>
          <w:p>
            <w:pPr>
              <w:pStyle w:val="TableContents"/>
              <w:bidi w:val="0"/>
              <w:spacing w:before="0" w:after="283"/>
              <w:ind w:left="0" w:right="0" w:hanging="200"/>
              <w:jc w:val="left"/>
              <w:rPr/>
            </w:pPr>
            <w:r>
              <w:rPr/>
              <w:t> </w:t>
            </w:r>
            <w:bookmarkStart w:id="137" w:name="xdx_404_eus-gaap--DepreciationDepletionA"/>
            <w:bookmarkEnd w:id="137"/>
          </w:p>
        </w:tc>
      </w:tr>
      <w:tr>
        <w:trPr/>
        <w:tc>
          <w:tcPr>
            <w:tcW w:w="7625" w:type="dxa"/>
            <w:tcBorders/>
            <w:shd w:fill="EEEEEE" w:val="clear"/>
            <w:vAlign w:val="center"/>
          </w:tcPr>
          <w:p>
            <w:pPr>
              <w:pStyle w:val="TableContents"/>
              <w:bidi w:val="0"/>
              <w:spacing w:before="0" w:after="283"/>
              <w:jc w:val="left"/>
              <w:rPr/>
            </w:pPr>
            <w:r>
              <w:rPr/>
              <w:t>Depreciation and amortization</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474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498</w:t>
            </w:r>
          </w:p>
        </w:tc>
        <w:tc>
          <w:tcPr>
            <w:tcW w:w="110" w:type="dxa"/>
            <w:tcBorders/>
            <w:shd w:fill="EEEEEE" w:val="clear"/>
            <w:vAlign w:val="center"/>
          </w:tcPr>
          <w:p>
            <w:pPr>
              <w:pStyle w:val="TableContents"/>
              <w:bidi w:val="0"/>
              <w:spacing w:before="0" w:after="283"/>
              <w:ind w:left="0" w:right="0" w:hanging="200"/>
              <w:jc w:val="left"/>
              <w:rPr/>
            </w:pPr>
            <w:r>
              <w:rPr/>
              <w:t> </w:t>
            </w:r>
            <w:bookmarkStart w:id="138" w:name="xdx_408_eus-gaap--AmortizationOfFinancin"/>
            <w:bookmarkEnd w:id="138"/>
          </w:p>
        </w:tc>
      </w:tr>
      <w:tr>
        <w:trPr/>
        <w:tc>
          <w:tcPr>
            <w:tcW w:w="7625" w:type="dxa"/>
            <w:tcBorders/>
            <w:shd w:fill="FFFFFF" w:val="clear"/>
            <w:vAlign w:val="center"/>
          </w:tcPr>
          <w:p>
            <w:pPr>
              <w:pStyle w:val="TableContents"/>
              <w:bidi w:val="0"/>
              <w:spacing w:before="0" w:after="283"/>
              <w:jc w:val="left"/>
              <w:rPr/>
            </w:pPr>
            <w:r>
              <w:rPr/>
              <w:t>Amortization of deferred financing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6,021</w:t>
            </w:r>
          </w:p>
        </w:tc>
        <w:tc>
          <w:tcPr>
            <w:tcW w:w="110" w:type="dxa"/>
            <w:tcBorders/>
            <w:shd w:fill="FFFFFF" w:val="clear"/>
            <w:vAlign w:val="center"/>
          </w:tcPr>
          <w:p>
            <w:pPr>
              <w:pStyle w:val="TableContents"/>
              <w:bidi w:val="0"/>
              <w:spacing w:before="0" w:after="283"/>
              <w:ind w:left="0" w:right="0" w:hanging="200"/>
              <w:jc w:val="left"/>
              <w:rPr/>
            </w:pPr>
            <w:r>
              <w:rPr/>
              <w:t> </w:t>
            </w:r>
            <w:bookmarkStart w:id="139" w:name="xdx_40A_ecustom--MarkToFinanceReceivable"/>
            <w:bookmarkEnd w:id="139"/>
          </w:p>
        </w:tc>
      </w:tr>
      <w:tr>
        <w:trPr/>
        <w:tc>
          <w:tcPr>
            <w:tcW w:w="7625" w:type="dxa"/>
            <w:tcBorders/>
            <w:shd w:fill="EEEEEE" w:val="clear"/>
            <w:vAlign w:val="center"/>
          </w:tcPr>
          <w:p>
            <w:pPr>
              <w:pStyle w:val="TableContents"/>
              <w:bidi w:val="0"/>
              <w:spacing w:before="0" w:after="283"/>
              <w:jc w:val="left"/>
              <w:rPr/>
            </w:pPr>
            <w:r>
              <w:rPr/>
              <w:t>Mark to finance receivables measured at fair value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(6,500</w:t>
            </w:r>
          </w:p>
        </w:tc>
        <w:tc>
          <w:tcPr>
            <w:tcW w:w="110" w:type="dxa"/>
            <w:tcBorders/>
            <w:shd w:fill="EEEEEE" w:val="clear"/>
            <w:vAlign w:val="center"/>
          </w:tcPr>
          <w:p>
            <w:pPr>
              <w:pStyle w:val="TableContents"/>
              <w:bidi w:val="0"/>
              <w:spacing w:before="0" w:after="283"/>
              <w:ind w:left="0" w:right="0" w:hanging="200"/>
              <w:jc w:val="left"/>
              <w:rPr/>
            </w:pPr>
            <w:r>
              <w:rPr/>
              <w:t>)</w:t>
            </w:r>
            <w:bookmarkStart w:id="140" w:name="xdx_400_ecustom--ReversalOfProvisionForC"/>
            <w:bookmarkEnd w:id="140"/>
          </w:p>
        </w:tc>
      </w:tr>
      <w:tr>
        <w:trPr/>
        <w:tc>
          <w:tcPr>
            <w:tcW w:w="7625"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(1,760</w:t>
            </w:r>
          </w:p>
        </w:tc>
        <w:tc>
          <w:tcPr>
            <w:tcW w:w="110" w:type="dxa"/>
            <w:tcBorders/>
            <w:shd w:fill="FFFFFF" w:val="clear"/>
            <w:vAlign w:val="center"/>
          </w:tcPr>
          <w:p>
            <w:pPr>
              <w:pStyle w:val="TableContents"/>
              <w:bidi w:val="0"/>
              <w:spacing w:before="0" w:after="283"/>
              <w:ind w:left="0" w:right="0" w:hanging="200"/>
              <w:jc w:val="left"/>
              <w:rPr/>
            </w:pPr>
            <w:r>
              <w:rPr/>
              <w:t>)</w:t>
            </w:r>
            <w:bookmarkStart w:id="141" w:name="xdx_40C_eus-gaap--AllocatedShareBasedCom"/>
            <w:bookmarkEnd w:id="141"/>
          </w:p>
        </w:tc>
      </w:tr>
      <w:tr>
        <w:trPr/>
        <w:tc>
          <w:tcPr>
            <w:tcW w:w="7625" w:type="dxa"/>
            <w:tcBorders/>
            <w:shd w:fill="EEEEEE" w:val="clear"/>
            <w:vAlign w:val="center"/>
          </w:tcPr>
          <w:p>
            <w:pPr>
              <w:pStyle w:val="TableContents"/>
              <w:bidi w:val="0"/>
              <w:spacing w:before="0" w:after="283"/>
              <w:jc w:val="left"/>
              <w:rPr/>
            </w:pPr>
            <w:r>
              <w:rPr/>
              <w:t>Stock-based compensation expense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1,090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1,361</w:t>
            </w:r>
          </w:p>
        </w:tc>
        <w:tc>
          <w:tcPr>
            <w:tcW w:w="110" w:type="dxa"/>
            <w:tcBorders/>
            <w:shd w:fill="EEEEEE" w:val="clear"/>
            <w:vAlign w:val="center"/>
          </w:tcPr>
          <w:p>
            <w:pPr>
              <w:pStyle w:val="TableContents"/>
              <w:bidi w:val="0"/>
              <w:spacing w:before="0" w:after="283"/>
              <w:ind w:left="0" w:right="0" w:hanging="200"/>
              <w:jc w:val="left"/>
              <w:rPr/>
            </w:pPr>
            <w:r>
              <w:rPr/>
              <w:t> </w:t>
            </w:r>
            <w:bookmarkStart w:id="142" w:name="xdx_400_eus-gaap--IncreaseDecreaseInOper"/>
            <w:bookmarkEnd w:id="142"/>
          </w:p>
        </w:tc>
      </w:tr>
      <w:tr>
        <w:trPr/>
        <w:tc>
          <w:tcPr>
            <w:tcW w:w="7625"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bookmarkStart w:id="143" w:name="xdx_40C_eus-gaap--IncreaseDecreaseInOthe"/>
            <w:bookmarkEnd w:id="143"/>
          </w:p>
        </w:tc>
      </w:tr>
      <w:tr>
        <w:trPr/>
        <w:tc>
          <w:tcPr>
            <w:tcW w:w="7625" w:type="dxa"/>
            <w:tcBorders/>
            <w:shd w:fill="EEEEEE" w:val="clear"/>
            <w:vAlign w:val="center"/>
          </w:tcPr>
          <w:p>
            <w:pPr>
              <w:pStyle w:val="TableContents"/>
              <w:bidi w:val="0"/>
              <w:spacing w:before="0" w:after="283"/>
              <w:jc w:val="left"/>
              <w:rPr/>
            </w:pPr>
            <w:r>
              <w:rPr/>
              <w:t>Other assets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775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(5,108</w:t>
            </w:r>
          </w:p>
        </w:tc>
        <w:tc>
          <w:tcPr>
            <w:tcW w:w="110" w:type="dxa"/>
            <w:tcBorders/>
            <w:shd w:fill="EEEEEE" w:val="clear"/>
            <w:vAlign w:val="center"/>
          </w:tcPr>
          <w:p>
            <w:pPr>
              <w:pStyle w:val="TableContents"/>
              <w:bidi w:val="0"/>
              <w:spacing w:before="0" w:after="283"/>
              <w:ind w:left="0" w:right="0" w:hanging="200"/>
              <w:jc w:val="left"/>
              <w:rPr/>
            </w:pPr>
            <w:r>
              <w:rPr/>
              <w:t>)</w:t>
            </w:r>
            <w:bookmarkStart w:id="144" w:name="xdx_401_eus-gaap--IncreaseDecreaseInAcco"/>
            <w:bookmarkEnd w:id="144"/>
          </w:p>
        </w:tc>
      </w:tr>
      <w:tr>
        <w:trPr/>
        <w:tc>
          <w:tcPr>
            <w:tcW w:w="762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(2,223</w:t>
            </w:r>
          </w:p>
        </w:tc>
        <w:tc>
          <w:tcPr>
            <w:tcW w:w="110" w:type="dxa"/>
            <w:tcBorders/>
            <w:shd w:fill="FFFFFF" w:val="clear"/>
            <w:vAlign w:val="center"/>
          </w:tcPr>
          <w:p>
            <w:pPr>
              <w:pStyle w:val="TableContents"/>
              <w:bidi w:val="0"/>
              <w:spacing w:before="0" w:after="283"/>
              <w:ind w:left="0" w:right="0" w:hanging="200"/>
              <w:jc w:val="left"/>
              <w:rPr/>
            </w:pPr>
            <w:r>
              <w:rPr/>
              <w:t>)</w:t>
            </w:r>
            <w:bookmarkStart w:id="145" w:name="xdx_406_eus-gaap--NetCashProvidedByUsedI"/>
            <w:bookmarkEnd w:id="145"/>
          </w:p>
        </w:tc>
      </w:tr>
      <w:tr>
        <w:trPr/>
        <w:tc>
          <w:tcPr>
            <w:tcW w:w="7625" w:type="dxa"/>
            <w:tcBorders/>
            <w:shd w:fill="EEEEEE" w:val="clear"/>
            <w:vAlign w:val="center"/>
          </w:tcPr>
          <w:p>
            <w:pPr>
              <w:pStyle w:val="TableContents"/>
              <w:bidi w:val="0"/>
              <w:spacing w:before="0" w:after="283"/>
              <w:jc w:val="left"/>
              <w:rPr/>
            </w:pPr>
            <w:r>
              <w:rPr/>
              <w:t>Net cash provided by operating activities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189,871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EEEEEE" w:val="clear"/>
            <w:tcMar>
              <w:bottom w:w="28" w:type="dxa"/>
            </w:tcMar>
            <w:vAlign w:val="center"/>
          </w:tcPr>
          <w:p>
            <w:pPr>
              <w:pStyle w:val="TableContents"/>
              <w:bidi w:val="0"/>
              <w:spacing w:before="0" w:after="283"/>
              <w:jc w:val="right"/>
              <w:rPr/>
            </w:pPr>
            <w:r>
              <w:rPr/>
              <w:t>128,328</w:t>
            </w:r>
          </w:p>
        </w:tc>
        <w:tc>
          <w:tcPr>
            <w:tcW w:w="110" w:type="dxa"/>
            <w:tcBorders/>
            <w:shd w:fill="EEEEEE"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6" w:name="xdx_40F_eus-gaap--NetCashProvidedByUsedI"/>
            <w:bookmarkEnd w:id="146"/>
          </w:p>
        </w:tc>
      </w:tr>
      <w:tr>
        <w:trPr/>
        <w:tc>
          <w:tcPr>
            <w:tcW w:w="7625" w:type="dxa"/>
            <w:tcBorders/>
            <w:shd w:fill="EEEEEE" w:val="clear"/>
            <w:vAlign w:val="center"/>
          </w:tcPr>
          <w:p>
            <w:pPr>
              <w:pStyle w:val="TableContents"/>
              <w:bidi w:val="0"/>
              <w:spacing w:before="0" w:after="283"/>
              <w:jc w:val="left"/>
              <w:rPr>
                <w:i/>
              </w:rPr>
            </w:pPr>
            <w:r>
              <w:rPr>
                <w:i/>
              </w:rPr>
              <w:t>Cash flows from investing activities: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ind w:left="0" w:right="0" w:hanging="200"/>
              <w:jc w:val="left"/>
              <w:rPr/>
            </w:pPr>
            <w:r>
              <w:rPr/>
              <w:t> </w:t>
            </w:r>
            <w:bookmarkStart w:id="147" w:name="xdx_40D_eus-gaap--ProceedsFromSaleOfFina"/>
            <w:bookmarkEnd w:id="147"/>
          </w:p>
        </w:tc>
      </w:tr>
      <w:tr>
        <w:trPr/>
        <w:tc>
          <w:tcPr>
            <w:tcW w:w="7625" w:type="dxa"/>
            <w:tcBorders/>
            <w:shd w:fill="FFFFFF" w:val="clear"/>
            <w:vAlign w:val="center"/>
          </w:tcPr>
          <w:p>
            <w:pPr>
              <w:pStyle w:val="TableContents"/>
              <w:bidi w:val="0"/>
              <w:spacing w:before="0" w:after="283"/>
              <w:jc w:val="left"/>
              <w:rPr/>
            </w:pPr>
            <w:r>
              <w:rPr/>
              <w:t>Payments received on finance receivables held for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5,076</w:t>
            </w:r>
          </w:p>
        </w:tc>
        <w:tc>
          <w:tcPr>
            <w:tcW w:w="110" w:type="dxa"/>
            <w:tcBorders/>
            <w:shd w:fill="FFFFFF" w:val="clear"/>
            <w:vAlign w:val="center"/>
          </w:tcPr>
          <w:p>
            <w:pPr>
              <w:pStyle w:val="TableContents"/>
              <w:bidi w:val="0"/>
              <w:spacing w:before="0" w:after="283"/>
              <w:ind w:left="0" w:right="0" w:hanging="200"/>
              <w:jc w:val="left"/>
              <w:rPr/>
            </w:pPr>
            <w:r>
              <w:rPr/>
              <w:t> </w:t>
            </w:r>
            <w:bookmarkStart w:id="148" w:name="xdx_406_eus-gaap--PaymentsToAcquireFinan"/>
            <w:bookmarkEnd w:id="148"/>
          </w:p>
        </w:tc>
      </w:tr>
      <w:tr>
        <w:trPr/>
        <w:tc>
          <w:tcPr>
            <w:tcW w:w="7625" w:type="dxa"/>
            <w:tcBorders/>
            <w:shd w:fill="EEEEEE" w:val="clear"/>
            <w:vAlign w:val="center"/>
          </w:tcPr>
          <w:p>
            <w:pPr>
              <w:pStyle w:val="TableContents"/>
              <w:bidi w:val="0"/>
              <w:spacing w:before="0" w:after="283"/>
              <w:jc w:val="left"/>
              <w:rPr/>
            </w:pPr>
            <w:r>
              <w:rPr/>
              <w:t>Purchases of finance receivables measured at fair value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(1,266,636</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(882,879</w:t>
            </w:r>
          </w:p>
        </w:tc>
        <w:tc>
          <w:tcPr>
            <w:tcW w:w="110" w:type="dxa"/>
            <w:tcBorders/>
            <w:shd w:fill="EEEEEE" w:val="clear"/>
            <w:vAlign w:val="center"/>
          </w:tcPr>
          <w:p>
            <w:pPr>
              <w:pStyle w:val="TableContents"/>
              <w:bidi w:val="0"/>
              <w:spacing w:before="0" w:after="283"/>
              <w:ind w:left="0" w:right="0" w:hanging="200"/>
              <w:jc w:val="left"/>
              <w:rPr/>
            </w:pPr>
            <w:r>
              <w:rPr/>
              <w:t>)</w:t>
            </w:r>
            <w:bookmarkStart w:id="149" w:name="xdx_400_eus-gaap--ProceedsFromCollection"/>
            <w:bookmarkEnd w:id="149"/>
          </w:p>
        </w:tc>
      </w:tr>
      <w:tr>
        <w:trPr/>
        <w:tc>
          <w:tcPr>
            <w:tcW w:w="7625" w:type="dxa"/>
            <w:tcBorders/>
            <w:shd w:fill="FFFFFF" w:val="clear"/>
            <w:vAlign w:val="center"/>
          </w:tcPr>
          <w:p>
            <w:pPr>
              <w:pStyle w:val="TableContents"/>
              <w:bidi w:val="0"/>
              <w:spacing w:before="0" w:after="283"/>
              <w:jc w:val="left"/>
              <w:rPr/>
            </w:pPr>
            <w:r>
              <w:rPr/>
              <w:t>Payments received on finance receivables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570,639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517,569</w:t>
            </w:r>
          </w:p>
        </w:tc>
        <w:tc>
          <w:tcPr>
            <w:tcW w:w="110" w:type="dxa"/>
            <w:tcBorders/>
            <w:shd w:fill="FFFFFF" w:val="clear"/>
            <w:vAlign w:val="center"/>
          </w:tcPr>
          <w:p>
            <w:pPr>
              <w:pStyle w:val="TableContents"/>
              <w:bidi w:val="0"/>
              <w:spacing w:before="0" w:after="283"/>
              <w:ind w:left="0" w:right="0" w:hanging="200"/>
              <w:jc w:val="left"/>
              <w:rPr/>
            </w:pPr>
            <w:r>
              <w:rPr/>
              <w:t> </w:t>
            </w:r>
            <w:bookmarkStart w:id="150" w:name="xdx_409_eus-gaap--PaymentsToAcquirePrope"/>
            <w:bookmarkEnd w:id="150"/>
          </w:p>
        </w:tc>
      </w:tr>
      <w:tr>
        <w:trPr/>
        <w:tc>
          <w:tcPr>
            <w:tcW w:w="7625" w:type="dxa"/>
            <w:tcBorders/>
            <w:shd w:fill="EEEEEE" w:val="clear"/>
            <w:vAlign w:val="center"/>
          </w:tcPr>
          <w:p>
            <w:pPr>
              <w:pStyle w:val="TableContents"/>
              <w:bidi w:val="0"/>
              <w:spacing w:before="0" w:after="283"/>
              <w:jc w:val="left"/>
              <w:rPr/>
            </w:pPr>
            <w:r>
              <w:rPr/>
              <w:t>Purchase of furniture and equipment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(968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EEEEEE" w:val="clear"/>
            <w:tcMar>
              <w:bottom w:w="28" w:type="dxa"/>
            </w:tcMar>
            <w:vAlign w:val="center"/>
          </w:tcPr>
          <w:p>
            <w:pPr>
              <w:pStyle w:val="TableContents"/>
              <w:bidi w:val="0"/>
              <w:spacing w:before="0" w:after="283"/>
              <w:jc w:val="right"/>
              <w:rPr/>
            </w:pPr>
            <w:r>
              <w:rPr/>
              <w:t>(595</w:t>
            </w:r>
          </w:p>
        </w:tc>
        <w:tc>
          <w:tcPr>
            <w:tcW w:w="110" w:type="dxa"/>
            <w:tcBorders/>
            <w:shd w:fill="EEEEEE" w:val="clear"/>
            <w:vAlign w:val="center"/>
          </w:tcPr>
          <w:p>
            <w:pPr>
              <w:pStyle w:val="TableContents"/>
              <w:bidi w:val="0"/>
              <w:spacing w:before="0" w:after="283"/>
              <w:ind w:left="0" w:right="0" w:hanging="200"/>
              <w:jc w:val="left"/>
              <w:rPr/>
            </w:pPr>
            <w:r>
              <w:rPr/>
              <w:t>)</w:t>
            </w:r>
            <w:bookmarkStart w:id="151" w:name="xdx_40B_eus-gaap--NetCashProvidedByUsedI"/>
            <w:bookmarkEnd w:id="151"/>
          </w:p>
        </w:tc>
      </w:tr>
      <w:tr>
        <w:trPr/>
        <w:tc>
          <w:tcPr>
            <w:tcW w:w="762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(696,965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(360,829</w:t>
            </w:r>
          </w:p>
        </w:tc>
        <w:tc>
          <w:tcPr>
            <w:tcW w:w="110" w:type="dxa"/>
            <w:tcBorders/>
            <w:shd w:fill="FFFFFF" w:val="clear"/>
            <w:vAlign w:val="center"/>
          </w:tcPr>
          <w:p>
            <w:pPr>
              <w:pStyle w:val="TableContents"/>
              <w:bidi w:val="0"/>
              <w:spacing w:before="0" w:after="283"/>
              <w:jc w:val="left"/>
              <w:rPr/>
            </w:pPr>
            <w:r>
              <w:rPr/>
              <w:t>)</w:t>
            </w:r>
          </w:p>
        </w:tc>
      </w:tr>
      <w:tr>
        <w:trPr/>
        <w:tc>
          <w:tcPr>
            <w:tcW w:w="76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52" w:name="xdx_401_eus-gaap--NetCashProvidedByUsedI"/>
            <w:bookmarkEnd w:id="152"/>
          </w:p>
        </w:tc>
      </w:tr>
      <w:tr>
        <w:trPr/>
        <w:tc>
          <w:tcPr>
            <w:tcW w:w="7625" w:type="dxa"/>
            <w:tcBorders/>
            <w:shd w:fill="FFFFFF" w:val="clear"/>
            <w:vAlign w:val="center"/>
          </w:tcPr>
          <w:p>
            <w:pPr>
              <w:pStyle w:val="TableContents"/>
              <w:bidi w:val="0"/>
              <w:spacing w:before="0" w:after="283"/>
              <w:jc w:val="left"/>
              <w:rPr>
                <w:i/>
              </w:rPr>
            </w:pPr>
            <w:r>
              <w:rPr>
                <w:i/>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bookmarkStart w:id="153" w:name="xdx_40A_eus-gaap--ProceedsFromIssuanceOf"/>
            <w:bookmarkEnd w:id="153"/>
          </w:p>
        </w:tc>
      </w:tr>
      <w:tr>
        <w:trPr/>
        <w:tc>
          <w:tcPr>
            <w:tcW w:w="7625" w:type="dxa"/>
            <w:tcBorders/>
            <w:shd w:fill="EEEEEE" w:val="clear"/>
            <w:vAlign w:val="center"/>
          </w:tcPr>
          <w:p>
            <w:pPr>
              <w:pStyle w:val="TableContents"/>
              <w:bidi w:val="0"/>
              <w:spacing w:before="0" w:after="283"/>
              <w:jc w:val="left"/>
              <w:rPr/>
            </w:pPr>
            <w:r>
              <w:rPr/>
              <w:t>Proceeds from issuance of securitization trust debt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859,680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862,370</w:t>
            </w:r>
          </w:p>
        </w:tc>
        <w:tc>
          <w:tcPr>
            <w:tcW w:w="110" w:type="dxa"/>
            <w:tcBorders/>
            <w:shd w:fill="EEEEEE" w:val="clear"/>
            <w:vAlign w:val="center"/>
          </w:tcPr>
          <w:p>
            <w:pPr>
              <w:pStyle w:val="TableContents"/>
              <w:bidi w:val="0"/>
              <w:spacing w:before="0" w:after="283"/>
              <w:ind w:left="0" w:right="0" w:hanging="200"/>
              <w:jc w:val="left"/>
              <w:rPr/>
            </w:pPr>
            <w:r>
              <w:rPr/>
              <w:t> </w:t>
            </w:r>
            <w:bookmarkStart w:id="154" w:name="xdx_40C_eus-gaap--ProceedsFromIssuanceOf"/>
            <w:bookmarkEnd w:id="154"/>
          </w:p>
        </w:tc>
      </w:tr>
      <w:tr>
        <w:trPr/>
        <w:tc>
          <w:tcPr>
            <w:tcW w:w="7625" w:type="dxa"/>
            <w:tcBorders/>
            <w:shd w:fill="FFFFFF" w:val="clear"/>
            <w:vAlign w:val="center"/>
          </w:tcPr>
          <w:p>
            <w:pPr>
              <w:pStyle w:val="TableContents"/>
              <w:bidi w:val="0"/>
              <w:spacing w:before="0" w:after="283"/>
              <w:jc w:val="left"/>
              <w:rPr/>
            </w:pPr>
            <w:r>
              <w:rPr/>
              <w:t>Proceeds from issuance of subordinated renewable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3,212</w:t>
            </w:r>
          </w:p>
        </w:tc>
        <w:tc>
          <w:tcPr>
            <w:tcW w:w="110" w:type="dxa"/>
            <w:tcBorders/>
            <w:shd w:fill="FFFFFF" w:val="clear"/>
            <w:vAlign w:val="center"/>
          </w:tcPr>
          <w:p>
            <w:pPr>
              <w:pStyle w:val="TableContents"/>
              <w:bidi w:val="0"/>
              <w:spacing w:before="0" w:after="283"/>
              <w:ind w:left="0" w:right="0" w:hanging="200"/>
              <w:jc w:val="left"/>
              <w:rPr/>
            </w:pPr>
            <w:r>
              <w:rPr/>
              <w:t> </w:t>
            </w:r>
            <w:bookmarkStart w:id="155" w:name="xdx_40D_eus-gaap--RepaymentsOfMediumTerm"/>
            <w:bookmarkEnd w:id="155"/>
          </w:p>
        </w:tc>
      </w:tr>
      <w:tr>
        <w:trPr/>
        <w:tc>
          <w:tcPr>
            <w:tcW w:w="7625" w:type="dxa"/>
            <w:tcBorders/>
            <w:shd w:fill="EEEEEE" w:val="clear"/>
            <w:vAlign w:val="center"/>
          </w:tcPr>
          <w:p>
            <w:pPr>
              <w:pStyle w:val="TableContents"/>
              <w:bidi w:val="0"/>
              <w:spacing w:before="0" w:after="283"/>
              <w:jc w:val="left"/>
              <w:rPr/>
            </w:pPr>
            <w:r>
              <w:rPr/>
              <w:t>Payments on subordinated renewable notes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(1,657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(873</w:t>
            </w:r>
          </w:p>
        </w:tc>
        <w:tc>
          <w:tcPr>
            <w:tcW w:w="110" w:type="dxa"/>
            <w:tcBorders/>
            <w:shd w:fill="EEEEEE" w:val="clear"/>
            <w:vAlign w:val="center"/>
          </w:tcPr>
          <w:p>
            <w:pPr>
              <w:pStyle w:val="TableContents"/>
              <w:bidi w:val="0"/>
              <w:spacing w:before="0" w:after="283"/>
              <w:ind w:left="0" w:right="0" w:hanging="200"/>
              <w:jc w:val="left"/>
              <w:rPr/>
            </w:pPr>
            <w:r>
              <w:rPr/>
              <w:t>)</w:t>
            </w:r>
            <w:bookmarkStart w:id="156" w:name="xdx_400_eus-gaap--ProceedsFromRepayments"/>
            <w:bookmarkEnd w:id="156"/>
          </w:p>
        </w:tc>
      </w:tr>
      <w:tr>
        <w:trPr/>
        <w:tc>
          <w:tcPr>
            <w:tcW w:w="7625" w:type="dxa"/>
            <w:tcBorders/>
            <w:shd w:fill="FFFFFF" w:val="clear"/>
            <w:vAlign w:val="center"/>
          </w:tcPr>
          <w:p>
            <w:pPr>
              <w:pStyle w:val="TableContents"/>
              <w:bidi w:val="0"/>
              <w:spacing w:before="0" w:after="283"/>
              <w:jc w:val="left"/>
              <w:rPr/>
            </w:pPr>
            <w:r>
              <w:rPr/>
              <w:t>Net proceeds from (repayments of) warehouse lines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354,416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(16,564</w:t>
            </w:r>
          </w:p>
        </w:tc>
        <w:tc>
          <w:tcPr>
            <w:tcW w:w="110" w:type="dxa"/>
            <w:tcBorders/>
            <w:shd w:fill="FFFFFF" w:val="clear"/>
            <w:vAlign w:val="center"/>
          </w:tcPr>
          <w:p>
            <w:pPr>
              <w:pStyle w:val="TableContents"/>
              <w:bidi w:val="0"/>
              <w:spacing w:before="0" w:after="283"/>
              <w:ind w:left="0" w:right="0" w:hanging="200"/>
              <w:jc w:val="left"/>
              <w:rPr/>
            </w:pPr>
            <w:r>
              <w:rPr/>
              <w:t>)</w:t>
            </w:r>
            <w:bookmarkStart w:id="157" w:name="xdx_408_ecustom--ProceedsFromIssuanceOfR"/>
            <w:bookmarkEnd w:id="157"/>
          </w:p>
        </w:tc>
      </w:tr>
      <w:tr>
        <w:trPr/>
        <w:tc>
          <w:tcPr>
            <w:tcW w:w="7625" w:type="dxa"/>
            <w:tcBorders/>
            <w:shd w:fill="EEEEEE" w:val="clear"/>
            <w:vAlign w:val="center"/>
          </w:tcPr>
          <w:p>
            <w:pPr>
              <w:pStyle w:val="TableContents"/>
              <w:bidi w:val="0"/>
              <w:spacing w:before="0" w:after="283"/>
              <w:jc w:val="left"/>
              <w:rPr/>
            </w:pPr>
            <w:r>
              <w:rPr/>
              <w:t>Proceeds from issuance of residual interest financing debt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50,000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65,000</w:t>
            </w:r>
          </w:p>
        </w:tc>
        <w:tc>
          <w:tcPr>
            <w:tcW w:w="110" w:type="dxa"/>
            <w:tcBorders/>
            <w:shd w:fill="EEEEEE" w:val="clear"/>
            <w:vAlign w:val="center"/>
          </w:tcPr>
          <w:p>
            <w:pPr>
              <w:pStyle w:val="TableContents"/>
              <w:bidi w:val="0"/>
              <w:spacing w:before="0" w:after="283"/>
              <w:ind w:left="0" w:right="0" w:hanging="200"/>
              <w:jc w:val="left"/>
              <w:rPr/>
            </w:pPr>
            <w:r>
              <w:rPr/>
              <w:t> </w:t>
            </w:r>
            <w:bookmarkStart w:id="158" w:name="xdx_406_ecustom--RepaymentOfResidualInte"/>
            <w:bookmarkEnd w:id="158"/>
          </w:p>
        </w:tc>
      </w:tr>
      <w:tr>
        <w:trPr/>
        <w:tc>
          <w:tcPr>
            <w:tcW w:w="7625" w:type="dxa"/>
            <w:tcBorders/>
            <w:shd w:fill="FFFFFF" w:val="clear"/>
            <w:vAlign w:val="center"/>
          </w:tcPr>
          <w:p>
            <w:pPr>
              <w:pStyle w:val="TableContents"/>
              <w:bidi w:val="0"/>
              <w:spacing w:before="0" w:after="283"/>
              <w:jc w:val="left"/>
              <w:rPr/>
            </w:pPr>
            <w:r>
              <w:rPr/>
              <w:t>Repayment of  residual interest financing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(8,205</w:t>
            </w:r>
          </w:p>
        </w:tc>
        <w:tc>
          <w:tcPr>
            <w:tcW w:w="110" w:type="dxa"/>
            <w:tcBorders/>
            <w:shd w:fill="FFFFFF" w:val="clear"/>
            <w:vAlign w:val="center"/>
          </w:tcPr>
          <w:p>
            <w:pPr>
              <w:pStyle w:val="TableContents"/>
              <w:bidi w:val="0"/>
              <w:spacing w:before="0" w:after="283"/>
              <w:ind w:left="0" w:right="0" w:hanging="200"/>
              <w:jc w:val="left"/>
              <w:rPr/>
            </w:pPr>
            <w:r>
              <w:rPr/>
              <w:t>)</w:t>
            </w:r>
            <w:bookmarkStart w:id="159" w:name="xdx_408_eus-gaap--RepaymentsOfSecuredDeb"/>
            <w:bookmarkEnd w:id="159"/>
          </w:p>
        </w:tc>
      </w:tr>
      <w:tr>
        <w:trPr/>
        <w:tc>
          <w:tcPr>
            <w:tcW w:w="7625" w:type="dxa"/>
            <w:tcBorders/>
            <w:shd w:fill="EEEEEE" w:val="clear"/>
            <w:vAlign w:val="center"/>
          </w:tcPr>
          <w:p>
            <w:pPr>
              <w:pStyle w:val="TableContents"/>
              <w:bidi w:val="0"/>
              <w:spacing w:before="0" w:after="283"/>
              <w:jc w:val="left"/>
              <w:rPr/>
            </w:pPr>
            <w:r>
              <w:rPr/>
              <w:t>Repayment of securitization trust debt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(715,050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(642,697</w:t>
            </w:r>
          </w:p>
        </w:tc>
        <w:tc>
          <w:tcPr>
            <w:tcW w:w="110" w:type="dxa"/>
            <w:tcBorders/>
            <w:shd w:fill="EEEEEE" w:val="clear"/>
            <w:vAlign w:val="center"/>
          </w:tcPr>
          <w:p>
            <w:pPr>
              <w:pStyle w:val="TableContents"/>
              <w:bidi w:val="0"/>
              <w:spacing w:before="0" w:after="283"/>
              <w:ind w:left="0" w:right="0" w:hanging="200"/>
              <w:jc w:val="left"/>
              <w:rPr/>
            </w:pPr>
            <w:r>
              <w:rPr/>
              <w:t>)</w:t>
            </w:r>
            <w:bookmarkStart w:id="160" w:name="xdx_40F_eus-gaap--PaymentsOfFinancingCos"/>
            <w:bookmarkEnd w:id="160"/>
          </w:p>
        </w:tc>
      </w:tr>
      <w:tr>
        <w:trPr/>
        <w:tc>
          <w:tcPr>
            <w:tcW w:w="7625" w:type="dxa"/>
            <w:tcBorders/>
            <w:shd w:fill="FFFFFF" w:val="clear"/>
            <w:vAlign w:val="center"/>
          </w:tcPr>
          <w:p>
            <w:pPr>
              <w:pStyle w:val="TableContents"/>
              <w:bidi w:val="0"/>
              <w:spacing w:before="0" w:after="283"/>
              <w:jc w:val="left"/>
              <w:rPr/>
            </w:pPr>
            <w:r>
              <w:rPr/>
              <w:t>Payment of financing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(6,450</w:t>
            </w:r>
          </w:p>
        </w:tc>
        <w:tc>
          <w:tcPr>
            <w:tcW w:w="110" w:type="dxa"/>
            <w:tcBorders/>
            <w:shd w:fill="FFFFFF" w:val="clear"/>
            <w:vAlign w:val="center"/>
          </w:tcPr>
          <w:p>
            <w:pPr>
              <w:pStyle w:val="TableContents"/>
              <w:bidi w:val="0"/>
              <w:spacing w:before="0" w:after="283"/>
              <w:ind w:left="0" w:right="0" w:hanging="200"/>
              <w:jc w:val="left"/>
              <w:rPr/>
            </w:pPr>
            <w:r>
              <w:rPr/>
              <w:t>)</w:t>
            </w:r>
            <w:bookmarkStart w:id="161" w:name="xdx_402_eus-gaap--PaymentsForRepurchaseO"/>
            <w:bookmarkEnd w:id="161"/>
          </w:p>
        </w:tc>
      </w:tr>
      <w:tr>
        <w:trPr/>
        <w:tc>
          <w:tcPr>
            <w:tcW w:w="7625" w:type="dxa"/>
            <w:tcBorders/>
            <w:shd w:fill="EEEEEE" w:val="clear"/>
            <w:vAlign w:val="center"/>
          </w:tcPr>
          <w:p>
            <w:pPr>
              <w:pStyle w:val="TableContents"/>
              <w:bidi w:val="0"/>
              <w:spacing w:before="0" w:after="283"/>
              <w:jc w:val="left"/>
              <w:rPr/>
            </w:pPr>
            <w:r>
              <w:rPr/>
              <w:t>Purchase of common stock</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(3,694</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(5,138</w:t>
            </w:r>
          </w:p>
        </w:tc>
        <w:tc>
          <w:tcPr>
            <w:tcW w:w="110" w:type="dxa"/>
            <w:tcBorders/>
            <w:shd w:fill="EEEEEE" w:val="clear"/>
            <w:vAlign w:val="center"/>
          </w:tcPr>
          <w:p>
            <w:pPr>
              <w:pStyle w:val="TableContents"/>
              <w:bidi w:val="0"/>
              <w:spacing w:before="0" w:after="283"/>
              <w:ind w:left="0" w:right="0" w:hanging="200"/>
              <w:jc w:val="left"/>
              <w:rPr/>
            </w:pPr>
            <w:r>
              <w:rPr/>
              <w:t>)</w:t>
            </w:r>
            <w:bookmarkStart w:id="162" w:name="xdx_406_eus-gaap--ProceedsFromStockOptio"/>
            <w:bookmarkEnd w:id="162"/>
          </w:p>
        </w:tc>
      </w:tr>
      <w:tr>
        <w:trPr/>
        <w:tc>
          <w:tcPr>
            <w:tcW w:w="7625" w:type="dxa"/>
            <w:tcBorders/>
            <w:shd w:fill="FFFFFF" w:val="clear"/>
            <w:vAlign w:val="center"/>
          </w:tcPr>
          <w:p>
            <w:pPr>
              <w:pStyle w:val="TableContents"/>
              <w:bidi w:val="0"/>
              <w:spacing w:before="0" w:after="283"/>
              <w:jc w:val="left"/>
              <w:rPr/>
            </w:pPr>
            <w:r>
              <w:rPr/>
              <w:t>Exercise of options and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4,617</w:t>
            </w:r>
          </w:p>
        </w:tc>
        <w:tc>
          <w:tcPr>
            <w:tcW w:w="110" w:type="dxa"/>
            <w:tcBorders/>
            <w:shd w:fill="FFFFFF" w:val="clear"/>
            <w:vAlign w:val="center"/>
          </w:tcPr>
          <w:p>
            <w:pPr>
              <w:pStyle w:val="TableContents"/>
              <w:bidi w:val="0"/>
              <w:spacing w:before="0" w:after="283"/>
              <w:ind w:left="0" w:right="0" w:hanging="200"/>
              <w:jc w:val="left"/>
              <w:rPr/>
            </w:pPr>
            <w:r>
              <w:rPr/>
              <w:t> </w:t>
            </w:r>
            <w:bookmarkStart w:id="163" w:name="xdx_404_eus-gaap--NetCashProvidedByUsedI"/>
            <w:bookmarkEnd w:id="163"/>
          </w:p>
        </w:tc>
      </w:tr>
      <w:tr>
        <w:trPr/>
        <w:tc>
          <w:tcPr>
            <w:tcW w:w="7625" w:type="dxa"/>
            <w:tcBorders/>
            <w:shd w:fill="EEEEEE" w:val="clear"/>
            <w:vAlign w:val="center"/>
          </w:tcPr>
          <w:p>
            <w:pPr>
              <w:pStyle w:val="TableContents"/>
              <w:bidi w:val="0"/>
              <w:spacing w:before="0" w:after="283"/>
              <w:jc w:val="left"/>
              <w:rPr/>
            </w:pPr>
            <w:r>
              <w:rPr/>
              <w:t>Net cash provided by financing activities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515,091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EEEEEE" w:val="clear"/>
            <w:tcMar>
              <w:bottom w:w="28" w:type="dxa"/>
            </w:tcMar>
            <w:vAlign w:val="center"/>
          </w:tcPr>
          <w:p>
            <w:pPr>
              <w:pStyle w:val="TableContents"/>
              <w:bidi w:val="0"/>
              <w:spacing w:before="0" w:after="283"/>
              <w:jc w:val="right"/>
              <w:rPr/>
            </w:pPr>
            <w:r>
              <w:rPr/>
              <w:t>255,272</w:t>
            </w:r>
          </w:p>
        </w:tc>
        <w:tc>
          <w:tcPr>
            <w:tcW w:w="110" w:type="dxa"/>
            <w:tcBorders/>
            <w:shd w:fill="EEEEEE" w:val="clear"/>
            <w:vAlign w:val="center"/>
          </w:tcPr>
          <w:p>
            <w:pPr>
              <w:pStyle w:val="TableContents"/>
              <w:bidi w:val="0"/>
              <w:spacing w:before="0" w:after="283"/>
              <w:jc w:val="left"/>
              <w:rPr/>
            </w:pPr>
            <w:r>
              <w:rPr/>
              <w:t> </w:t>
            </w:r>
            <w:bookmarkStart w:id="164" w:name="xdx_401_eus-gaap--CashCashEquivalentsRes"/>
            <w:bookmarkEnd w:id="164"/>
          </w:p>
        </w:tc>
      </w:tr>
      <w:tr>
        <w:trPr/>
        <w:tc>
          <w:tcPr>
            <w:tcW w:w="7625" w:type="dxa"/>
            <w:tcBorders/>
            <w:shd w:fill="FFFFFF" w:val="clear"/>
            <w:vAlign w:val="center"/>
          </w:tcPr>
          <w:p>
            <w:pPr>
              <w:pStyle w:val="TableContents"/>
              <w:bidi w:val="0"/>
              <w:spacing w:before="0" w:after="283"/>
              <w:jc w:val="left"/>
              <w:rPr/>
            </w:pPr>
            <w:r>
              <w:rPr/>
              <w:t>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22,771</w:t>
            </w:r>
          </w:p>
        </w:tc>
        <w:tc>
          <w:tcPr>
            <w:tcW w:w="110" w:type="dxa"/>
            <w:tcBorders/>
            <w:shd w:fill="FFFFFF" w:val="clear"/>
            <w:vAlign w:val="center"/>
          </w:tcPr>
          <w:p>
            <w:pPr>
              <w:pStyle w:val="TableContents"/>
              <w:bidi w:val="0"/>
              <w:spacing w:before="0" w:after="283"/>
              <w:jc w:val="left"/>
              <w:rPr/>
            </w:pPr>
            <w:r>
              <w:rPr/>
              <w:t> </w:t>
            </w:r>
            <w:bookmarkStart w:id="165" w:name="xdx_40C_eus-gaap--CashCashEquivalentsRes"/>
            <w:bookmarkEnd w:id="165"/>
          </w:p>
        </w:tc>
      </w:tr>
      <w:tr>
        <w:trPr/>
        <w:tc>
          <w:tcPr>
            <w:tcW w:w="7625" w:type="dxa"/>
            <w:tcBorders/>
            <w:shd w:fill="EEEEEE" w:val="clear"/>
            <w:vAlign w:val="center"/>
          </w:tcPr>
          <w:p>
            <w:pPr>
              <w:pStyle w:val="TableContents"/>
              <w:bidi w:val="0"/>
              <w:spacing w:before="0" w:after="283"/>
              <w:jc w:val="left"/>
              <w:rPr/>
            </w:pPr>
            <w:r>
              <w:rPr/>
              <w:t>Cash and restricted cash at beginning of period</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172,207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EEEEEE" w:val="clear"/>
            <w:tcMar>
              <w:bottom w:w="28" w:type="dxa"/>
            </w:tcMar>
            <w:vAlign w:val="center"/>
          </w:tcPr>
          <w:p>
            <w:pPr>
              <w:pStyle w:val="TableContents"/>
              <w:bidi w:val="0"/>
              <w:spacing w:before="0" w:after="283"/>
              <w:jc w:val="right"/>
              <w:rPr/>
            </w:pPr>
            <w:r>
              <w:rPr/>
              <w:t>137,397</w:t>
            </w:r>
          </w:p>
        </w:tc>
        <w:tc>
          <w:tcPr>
            <w:tcW w:w="110" w:type="dxa"/>
            <w:tcBorders/>
            <w:shd w:fill="EEEEEE" w:val="clear"/>
            <w:vAlign w:val="center"/>
          </w:tcPr>
          <w:p>
            <w:pPr>
              <w:pStyle w:val="TableContents"/>
              <w:bidi w:val="0"/>
              <w:spacing w:before="0" w:after="283"/>
              <w:jc w:val="left"/>
              <w:rPr/>
            </w:pPr>
            <w:r>
              <w:rPr/>
              <w:t> </w:t>
            </w:r>
            <w:bookmarkStart w:id="166" w:name="xdx_407_eus-gaap--CashCashEquivalentsRes"/>
            <w:bookmarkEnd w:id="166"/>
          </w:p>
        </w:tc>
      </w:tr>
      <w:tr>
        <w:trPr/>
        <w:tc>
          <w:tcPr>
            <w:tcW w:w="7625" w:type="dxa"/>
            <w:tcBorders/>
            <w:shd w:fill="FFFFFF" w:val="clear"/>
            <w:vAlign w:val="center"/>
          </w:tcPr>
          <w:p>
            <w:pPr>
              <w:pStyle w:val="TableContents"/>
              <w:bidi w:val="0"/>
              <w:spacing w:before="0" w:after="283"/>
              <w:jc w:val="left"/>
              <w:rPr/>
            </w:pPr>
            <w:r>
              <w:rPr/>
              <w:t>Cash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180,204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160,168</w:t>
            </w:r>
          </w:p>
        </w:tc>
        <w:tc>
          <w:tcPr>
            <w:tcW w:w="110" w:type="dxa"/>
            <w:tcBorders/>
            <w:shd w:fill="FFFFFF" w:val="clear"/>
            <w:vAlign w:val="center"/>
          </w:tcPr>
          <w:p>
            <w:pPr>
              <w:pStyle w:val="TableContents"/>
              <w:bidi w:val="0"/>
              <w:spacing w:before="0" w:after="283"/>
              <w:jc w:val="left"/>
              <w:rPr/>
            </w:pPr>
            <w:r>
              <w:rPr/>
              <w:t> </w:t>
            </w:r>
          </w:p>
        </w:tc>
      </w:tr>
      <w:tr>
        <w:trPr/>
        <w:tc>
          <w:tcPr>
            <w:tcW w:w="762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67" w:name="xdx_40C_eus-gaap--SupplementalCashFlowIn"/>
            <w:bookmarkEnd w:id="167"/>
          </w:p>
        </w:tc>
      </w:tr>
      <w:tr>
        <w:trPr/>
        <w:tc>
          <w:tcPr>
            <w:tcW w:w="7625" w:type="dxa"/>
            <w:tcBorders/>
            <w:shd w:fill="FFFFFF" w:val="clear"/>
            <w:vAlign w:val="center"/>
          </w:tcPr>
          <w:p>
            <w:pPr>
              <w:pStyle w:val="TableContents"/>
              <w:bidi w:val="0"/>
              <w:spacing w:before="0" w:after="283"/>
              <w:jc w:val="left"/>
              <w:rPr/>
            </w:pPr>
            <w:r>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bookmarkStart w:id="168" w:name="xdx_402_ecustom--CashPaidReceivedDuringT"/>
            <w:bookmarkEnd w:id="168"/>
          </w:p>
        </w:tc>
      </w:tr>
      <w:tr>
        <w:trPr/>
        <w:tc>
          <w:tcPr>
            <w:tcW w:w="7625" w:type="dxa"/>
            <w:tcBorders/>
            <w:shd w:fill="EEEEEE" w:val="clear"/>
            <w:vAlign w:val="center"/>
          </w:tcPr>
          <w:p>
            <w:pPr>
              <w:pStyle w:val="TableContents"/>
              <w:bidi w:val="0"/>
              <w:spacing w:before="0" w:after="283"/>
              <w:jc w:val="left"/>
              <w:rPr/>
            </w:pPr>
            <w:r>
              <w:rPr/>
              <w:t>Cash paid during the period for:</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ind w:left="0" w:right="0" w:hanging="200"/>
              <w:jc w:val="left"/>
              <w:rPr/>
            </w:pPr>
            <w:r>
              <w:rPr/>
              <w:t> </w:t>
            </w:r>
            <w:bookmarkStart w:id="169" w:name="xdx_40A_eus-gaap--InterestPaidNet_i02_zx"/>
            <w:bookmarkEnd w:id="169"/>
          </w:p>
        </w:tc>
      </w:tr>
      <w:tr>
        <w:trPr/>
        <w:tc>
          <w:tcPr>
            <w:tcW w:w="7625"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116,237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106,773</w:t>
            </w:r>
          </w:p>
        </w:tc>
        <w:tc>
          <w:tcPr>
            <w:tcW w:w="110" w:type="dxa"/>
            <w:tcBorders/>
            <w:shd w:fill="FFFFFF" w:val="clear"/>
            <w:vAlign w:val="center"/>
          </w:tcPr>
          <w:p>
            <w:pPr>
              <w:pStyle w:val="TableContents"/>
              <w:bidi w:val="0"/>
              <w:spacing w:before="0" w:after="283"/>
              <w:ind w:left="0" w:right="0" w:hanging="200"/>
              <w:jc w:val="left"/>
              <w:rPr/>
            </w:pPr>
            <w:r>
              <w:rPr/>
              <w:t> </w:t>
            </w:r>
            <w:bookmarkStart w:id="170" w:name="xdx_404_eus-gaap--IncomeTaxesPaidNet_i02"/>
            <w:bookmarkEnd w:id="170"/>
          </w:p>
        </w:tc>
      </w:tr>
      <w:tr>
        <w:trPr/>
        <w:tc>
          <w:tcPr>
            <w:tcW w:w="7625" w:type="dxa"/>
            <w:tcBorders/>
            <w:shd w:fill="EEEEEE" w:val="clear"/>
            <w:vAlign w:val="center"/>
          </w:tcPr>
          <w:p>
            <w:pPr>
              <w:pStyle w:val="TableContents"/>
              <w:bidi w:val="0"/>
              <w:spacing w:before="0" w:after="283"/>
              <w:jc w:val="left"/>
              <w:rPr/>
            </w:pPr>
            <w:r>
              <w:rPr/>
              <w:t>Income taxes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055" w:type="dxa"/>
            <w:tcBorders/>
            <w:shd w:fill="EEEEEE" w:val="clear"/>
            <w:vAlign w:val="center"/>
          </w:tcPr>
          <w:p>
            <w:pPr>
              <w:pStyle w:val="TableContents"/>
              <w:bidi w:val="0"/>
              <w:spacing w:before="0" w:after="283"/>
              <w:jc w:val="right"/>
              <w:rPr/>
            </w:pPr>
            <w:r>
              <w:rPr/>
              <w:t>4,285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75" w:type="dxa"/>
            <w:tcBorders/>
            <w:shd w:fill="EEEEEE" w:val="clear"/>
            <w:vAlign w:val="center"/>
          </w:tcPr>
          <w:p>
            <w:pPr>
              <w:pStyle w:val="TableContents"/>
              <w:bidi w:val="0"/>
              <w:spacing w:before="0" w:after="283"/>
              <w:jc w:val="right"/>
              <w:rPr/>
            </w:pPr>
            <w:r>
              <w:rPr/>
              <w:t>5,306</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1" w:name="q2_007"/>
      <w:bookmarkEnd w:id="171"/>
      <w:r>
        <w:rPr>
          <w:rFonts w:ascii="Times New Roman;Times;Serif" w:hAnsi="Times New Roman;Times;Serif"/>
          <w:b/>
          <w:i w:val="false"/>
          <w:caps w:val="false"/>
          <w:smallCaps w:val="false"/>
          <w:sz w:val="20"/>
        </w:rPr>
        <w:t>UNAUDITED CONDENSED 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2" w:name="xdx_302_114_pn3n3_zOHnCgnXGaw4"/>
      <w:bookmarkStart w:id="173" w:name="xdx_302_114_pn3n3_zOHnCgnXGaw4"/>
      <w:bookmarkEnd w:id="173"/>
    </w:p>
    <w:tbl>
      <w:tblPr>
        <w:tblW w:w="10205" w:type="dxa"/>
        <w:jc w:val="left"/>
        <w:tblInd w:w="0" w:type="dxa"/>
        <w:tblLayout w:type="fixed"/>
        <w:tblCellMar>
          <w:top w:w="0" w:type="dxa"/>
          <w:left w:w="0" w:type="dxa"/>
          <w:bottom w:w="0" w:type="dxa"/>
          <w:right w:w="0" w:type="dxa"/>
        </w:tblCellMar>
      </w:tblPr>
      <w:tblGrid>
        <w:gridCol w:w="5642"/>
        <w:gridCol w:w="60"/>
        <w:gridCol w:w="151"/>
        <w:gridCol w:w="865"/>
        <w:gridCol w:w="102"/>
        <w:gridCol w:w="64"/>
        <w:gridCol w:w="151"/>
        <w:gridCol w:w="865"/>
        <w:gridCol w:w="95"/>
        <w:gridCol w:w="60"/>
        <w:gridCol w:w="140"/>
        <w:gridCol w:w="800"/>
        <w:gridCol w:w="95"/>
        <w:gridCol w:w="60"/>
        <w:gridCol w:w="140"/>
        <w:gridCol w:w="800"/>
        <w:gridCol w:w="115"/>
      </w:tblGrid>
      <w:tr>
        <w:trPr/>
        <w:tc>
          <w:tcPr>
            <w:tcW w:w="56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8"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vAlign w:val="center"/>
          </w:tcPr>
          <w:p>
            <w:pPr>
              <w:pStyle w:val="TableContents"/>
              <w:bidi w:val="0"/>
              <w:spacing w:before="0" w:after="283"/>
              <w:jc w:val="center"/>
              <w:rPr>
                <w:b/>
              </w:rPr>
            </w:pPr>
            <w:r>
              <w:rPr>
                <w:b/>
              </w:rPr>
              <w:t>Six Months Ended</w:t>
            </w:r>
          </w:p>
        </w:tc>
        <w:tc>
          <w:tcPr>
            <w:tcW w:w="115" w:type="dxa"/>
            <w:tcBorders/>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5" w:type="dxa"/>
            <w:tcBorders/>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642" w:type="dxa"/>
            <w:tcBorders/>
            <w:shd w:fill="EEEEEE" w:val="clear"/>
            <w:vAlign w:val="center"/>
          </w:tcPr>
          <w:p>
            <w:pPr>
              <w:pStyle w:val="TableContents"/>
              <w:bidi w:val="0"/>
              <w:spacing w:before="0" w:after="283"/>
              <w:jc w:val="left"/>
              <w:rPr>
                <w:b/>
              </w:rPr>
            </w:pPr>
            <w:r>
              <w:rPr>
                <w:b/>
              </w:rPr>
              <w:t>Common Stock (Shares Outstanding)</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174" w:name="xdx_987_eus-gaap--SharesOutstanding_iS_p"/>
            <w:bookmarkEnd w:id="174"/>
          </w:p>
        </w:tc>
        <w:tc>
          <w:tcPr>
            <w:tcW w:w="865" w:type="dxa"/>
            <w:tcBorders/>
            <w:shd w:fill="FFFFFF" w:val="clear"/>
            <w:vAlign w:val="center"/>
          </w:tcPr>
          <w:p>
            <w:pPr>
              <w:pStyle w:val="TableContents"/>
              <w:bidi w:val="0"/>
              <w:spacing w:before="0" w:after="283"/>
              <w:jc w:val="right"/>
              <w:rPr/>
            </w:pPr>
            <w:r>
              <w:rPr/>
              <w:t>21,696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175" w:name="xdx_984_eus-gaap--SharesOutstanding_iS_p"/>
            <w:bookmarkEnd w:id="175"/>
          </w:p>
        </w:tc>
        <w:tc>
          <w:tcPr>
            <w:tcW w:w="865" w:type="dxa"/>
            <w:tcBorders/>
            <w:shd w:fill="FFFFFF" w:val="clear"/>
            <w:vAlign w:val="center"/>
          </w:tcPr>
          <w:p>
            <w:pPr>
              <w:pStyle w:val="TableContents"/>
              <w:bidi w:val="0"/>
              <w:spacing w:before="0" w:after="283"/>
              <w:jc w:val="right"/>
              <w:rPr/>
            </w:pPr>
            <w:r>
              <w:rPr/>
              <w:t>21,503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76" w:name="xdx_98C_eus-gaap--SharesOutstanding_iS_p"/>
            <w:bookmarkEnd w:id="176"/>
          </w:p>
        </w:tc>
        <w:tc>
          <w:tcPr>
            <w:tcW w:w="800" w:type="dxa"/>
            <w:tcBorders/>
            <w:shd w:fill="FFFFFF" w:val="clear"/>
            <w:vAlign w:val="center"/>
          </w:tcPr>
          <w:p>
            <w:pPr>
              <w:pStyle w:val="TableContents"/>
              <w:bidi w:val="0"/>
              <w:spacing w:before="0" w:after="283"/>
              <w:jc w:val="right"/>
              <w:rPr/>
            </w:pPr>
            <w:r>
              <w:rPr/>
              <w:t>21,842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77" w:name="xdx_980_eus-gaap--SharesOutstanding_iS_p"/>
            <w:bookmarkEnd w:id="177"/>
          </w:p>
        </w:tc>
        <w:tc>
          <w:tcPr>
            <w:tcW w:w="800" w:type="dxa"/>
            <w:tcBorders/>
            <w:shd w:fill="FFFFFF" w:val="clear"/>
            <w:vAlign w:val="center"/>
          </w:tcPr>
          <w:p>
            <w:pPr>
              <w:pStyle w:val="TableContents"/>
              <w:bidi w:val="0"/>
              <w:spacing w:before="0" w:after="283"/>
              <w:jc w:val="right"/>
              <w:rPr/>
            </w:pPr>
            <w:r>
              <w:rPr/>
              <w:t>21,433</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5642" w:type="dxa"/>
            <w:tcBorders/>
            <w:shd w:fill="EEEEEE" w:val="clear"/>
            <w:vAlign w:val="center"/>
          </w:tcPr>
          <w:p>
            <w:pPr>
              <w:pStyle w:val="TableContents"/>
              <w:bidi w:val="0"/>
              <w:spacing w:before="0" w:after="283"/>
              <w:jc w:val="left"/>
              <w:rPr/>
            </w:pPr>
            <w:r>
              <w:rPr/>
              <w:t>Common stock issued upon exercise of options and warrants</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178" w:name="xdx_98F_eus-gaap--StockIssuedDuringPerio"/>
            <w:bookmarkEnd w:id="178"/>
          </w:p>
        </w:tc>
        <w:tc>
          <w:tcPr>
            <w:tcW w:w="865" w:type="dxa"/>
            <w:tcBorders/>
            <w:shd w:fill="EEEEEE" w:val="clear"/>
            <w:vAlign w:val="center"/>
          </w:tcPr>
          <w:p>
            <w:pPr>
              <w:pStyle w:val="TableContents"/>
              <w:bidi w:val="0"/>
              <w:spacing w:before="0" w:after="283"/>
              <w:jc w:val="right"/>
              <w:rPr/>
            </w:pPr>
            <w:r>
              <w:rPr/>
              <w:t>157</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179" w:name="xdx_988_eus-gaap--StockIssuedDuringPerio"/>
            <w:bookmarkEnd w:id="179"/>
          </w:p>
        </w:tc>
        <w:tc>
          <w:tcPr>
            <w:tcW w:w="865" w:type="dxa"/>
            <w:tcBorders/>
            <w:shd w:fill="EEEEEE" w:val="clear"/>
            <w:vAlign w:val="center"/>
          </w:tcPr>
          <w:p>
            <w:pPr>
              <w:pStyle w:val="TableContents"/>
              <w:bidi w:val="0"/>
              <w:spacing w:before="0" w:after="283"/>
              <w:jc w:val="right"/>
              <w:rPr/>
            </w:pPr>
            <w:r>
              <w:rPr/>
              <w:t>1,248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180" w:name="xdx_986_eus-gaap--StockIssuedDuringPerio"/>
            <w:bookmarkEnd w:id="180"/>
          </w:p>
        </w:tc>
        <w:tc>
          <w:tcPr>
            <w:tcW w:w="800" w:type="dxa"/>
            <w:tcBorders/>
            <w:shd w:fill="EEEEEE" w:val="clear"/>
            <w:vAlign w:val="center"/>
          </w:tcPr>
          <w:p>
            <w:pPr>
              <w:pStyle w:val="TableContents"/>
              <w:bidi w:val="0"/>
              <w:spacing w:before="0" w:after="283"/>
              <w:jc w:val="right"/>
              <w:rPr/>
            </w:pPr>
            <w:r>
              <w:rPr/>
              <w:t>157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181" w:name="xdx_987_eus-gaap--StockIssuedDuringPerio"/>
            <w:bookmarkEnd w:id="181"/>
          </w:p>
        </w:tc>
        <w:tc>
          <w:tcPr>
            <w:tcW w:w="800" w:type="dxa"/>
            <w:tcBorders/>
            <w:shd w:fill="EEEEEE" w:val="clear"/>
            <w:vAlign w:val="center"/>
          </w:tcPr>
          <w:p>
            <w:pPr>
              <w:pStyle w:val="TableContents"/>
              <w:bidi w:val="0"/>
              <w:spacing w:before="0" w:after="283"/>
              <w:jc w:val="right"/>
              <w:rPr/>
            </w:pPr>
            <w:r>
              <w:rPr/>
              <w:t>1,318</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pPr>
            <w:r>
              <w:rPr/>
              <w:t>Repurchase of common stock</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2" w:name="xdx_988_eus-gaap--StockRepurchasedDuring"/>
            <w:bookmarkEnd w:id="182"/>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(254</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3" w:name="xdx_98B_eus-gaap--StockRepurchasedDuring"/>
            <w:bookmarkEnd w:id="183"/>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4" w:name="xdx_983_eus-gaap--StockRepurchasedDuring"/>
            <w:bookmarkEnd w:id="184"/>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5" w:name="xdx_986_eus-gaap--StockRepurchasedDuring"/>
            <w:bookmarkEnd w:id="185"/>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(527</w:t>
            </w:r>
          </w:p>
        </w:tc>
        <w:tc>
          <w:tcPr>
            <w:tcW w:w="115" w:type="dxa"/>
            <w:tcBorders/>
            <w:shd w:fill="FFFFFF" w:val="clear"/>
            <w:vAlign w:val="center"/>
          </w:tcPr>
          <w:p>
            <w:pPr>
              <w:pStyle w:val="TableContents"/>
              <w:bidi w:val="0"/>
              <w:spacing w:before="0" w:after="283"/>
              <w:jc w:val="left"/>
              <w:rPr/>
            </w:pPr>
            <w:r>
              <w:rPr/>
              <w:t>)</w:t>
            </w:r>
          </w:p>
        </w:tc>
      </w:tr>
      <w:tr>
        <w:trPr/>
        <w:tc>
          <w:tcPr>
            <w:tcW w:w="5642" w:type="dxa"/>
            <w:tcBorders/>
            <w:shd w:fill="EEEEEE" w:val="clear"/>
            <w:vAlign w:val="center"/>
          </w:tcPr>
          <w:p>
            <w:pPr>
              <w:pStyle w:val="TableContents"/>
              <w:bidi w:val="0"/>
              <w:spacing w:before="0" w:after="283"/>
              <w:jc w:val="left"/>
              <w:rPr/>
            </w:pPr>
            <w:r>
              <w:rPr/>
              <w:t>Balance, end of period</w:t>
            </w:r>
          </w:p>
        </w:tc>
        <w:tc>
          <w:tcPr>
            <w:tcW w:w="60" w:type="dxa"/>
            <w:tcBorders/>
            <w:shd w:fill="EEEEEE" w:val="clear"/>
            <w:vAlign w:val="center"/>
          </w:tcPr>
          <w:p>
            <w:pPr>
              <w:pStyle w:val="TableContents"/>
              <w:bidi w:val="0"/>
              <w:spacing w:before="0" w:after="283"/>
              <w:jc w:val="left"/>
              <w:rPr/>
            </w:pPr>
            <w:r>
              <w:rPr/>
              <w:t> </w:t>
            </w:r>
          </w:p>
        </w:tc>
        <w:tc>
          <w:tcPr>
            <w:tcW w:w="151"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186" w:name="xdx_98D_eus-gaap--SharesOutstanding_iE_p"/>
            <w:bookmarkEnd w:id="186"/>
          </w:p>
        </w:tc>
        <w:tc>
          <w:tcPr>
            <w:tcW w:w="865" w:type="dxa"/>
            <w:tcBorders>
              <w:bottom w:val="double" w:sz="6" w:space="0" w:color="000000"/>
            </w:tcBorders>
            <w:shd w:fill="EEEEEE" w:val="clear"/>
            <w:tcMar>
              <w:bottom w:w="28" w:type="dxa"/>
            </w:tcMar>
            <w:vAlign w:val="center"/>
          </w:tcPr>
          <w:p>
            <w:pPr>
              <w:pStyle w:val="TableContents"/>
              <w:bidi w:val="0"/>
              <w:spacing w:before="0" w:after="283"/>
              <w:jc w:val="right"/>
              <w:rPr/>
            </w:pPr>
            <w:r>
              <w:rPr/>
              <w:t>21,599</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187" w:name="xdx_985_eus-gaap--SharesOutstanding_iE_p"/>
            <w:bookmarkEnd w:id="187"/>
          </w:p>
        </w:tc>
        <w:tc>
          <w:tcPr>
            <w:tcW w:w="865" w:type="dxa"/>
            <w:tcBorders>
              <w:bottom w:val="double" w:sz="6" w:space="0" w:color="000000"/>
            </w:tcBorders>
            <w:shd w:fill="EEEEEE" w:val="clear"/>
            <w:tcMar>
              <w:bottom w:w="28" w:type="dxa"/>
            </w:tcMar>
            <w:vAlign w:val="center"/>
          </w:tcPr>
          <w:p>
            <w:pPr>
              <w:pStyle w:val="TableContents"/>
              <w:bidi w:val="0"/>
              <w:spacing w:before="0" w:after="283"/>
              <w:jc w:val="right"/>
              <w:rPr/>
            </w:pPr>
            <w:r>
              <w:rPr/>
              <w:t>22,224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188" w:name="xdx_98D_eus-gaap--SharesOutstanding_iE_p"/>
            <w:bookmarkEnd w:id="188"/>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21,599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189" w:name="xdx_987_eus-gaap--SharesOutstanding_iE_p"/>
            <w:bookmarkEnd w:id="189"/>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22,224</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642" w:type="dxa"/>
            <w:tcBorders/>
            <w:shd w:fill="EEEEEE" w:val="clear"/>
            <w:vAlign w:val="center"/>
          </w:tcPr>
          <w:p>
            <w:pPr>
              <w:pStyle w:val="TableContents"/>
              <w:bidi w:val="0"/>
              <w:spacing w:before="0" w:after="283"/>
              <w:jc w:val="left"/>
              <w:rPr>
                <w:b/>
              </w:rPr>
            </w:pPr>
            <w:r>
              <w:rPr>
                <w:b/>
              </w:rPr>
              <w:t>Common Stock</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190" w:name="xdx_986_eus-gaap--StockholdersEquity_iS_"/>
            <w:bookmarkEnd w:id="190"/>
          </w:p>
        </w:tc>
        <w:tc>
          <w:tcPr>
            <w:tcW w:w="865" w:type="dxa"/>
            <w:tcBorders/>
            <w:shd w:fill="FFFFFF" w:val="clear"/>
            <w:vAlign w:val="center"/>
          </w:tcPr>
          <w:p>
            <w:pPr>
              <w:pStyle w:val="TableContents"/>
              <w:bidi w:val="0"/>
              <w:spacing w:before="0" w:after="283"/>
              <w:jc w:val="right"/>
              <w:rPr/>
            </w:pPr>
            <w:r>
              <w:rPr/>
              <w:t>23,703</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191" w:name="xdx_98B_eus-gaap--StockholdersEquity_iS_"/>
            <w:bookmarkEnd w:id="191"/>
          </w:p>
        </w:tc>
        <w:tc>
          <w:tcPr>
            <w:tcW w:w="865" w:type="dxa"/>
            <w:tcBorders/>
            <w:shd w:fill="FFFFFF" w:val="clear"/>
            <w:vAlign w:val="center"/>
          </w:tcPr>
          <w:p>
            <w:pPr>
              <w:pStyle w:val="TableContents"/>
              <w:bidi w:val="0"/>
              <w:spacing w:before="0" w:after="283"/>
              <w:jc w:val="right"/>
              <w:rPr/>
            </w:pPr>
            <w:r>
              <w:rPr/>
              <w:t>26,683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92" w:name="xdx_98B_eus-gaap--StockholdersEquity_iS_"/>
            <w:bookmarkEnd w:id="192"/>
          </w:p>
        </w:tc>
        <w:tc>
          <w:tcPr>
            <w:tcW w:w="800" w:type="dxa"/>
            <w:tcBorders/>
            <w:shd w:fill="FFFFFF" w:val="clear"/>
            <w:vAlign w:val="center"/>
          </w:tcPr>
          <w:p>
            <w:pPr>
              <w:pStyle w:val="TableContents"/>
              <w:bidi w:val="0"/>
              <w:spacing w:before="0" w:after="283"/>
              <w:jc w:val="right"/>
              <w:rPr/>
            </w:pPr>
            <w:r>
              <w:rPr/>
              <w:t>24,426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93" w:name="xdx_98D_eus-gaap--StockholdersEquity_iS_"/>
            <w:bookmarkEnd w:id="193"/>
          </w:p>
        </w:tc>
        <w:tc>
          <w:tcPr>
            <w:tcW w:w="800" w:type="dxa"/>
            <w:tcBorders/>
            <w:shd w:fill="FFFFFF" w:val="clear"/>
            <w:vAlign w:val="center"/>
          </w:tcPr>
          <w:p>
            <w:pPr>
              <w:pStyle w:val="TableContents"/>
              <w:bidi w:val="0"/>
              <w:spacing w:before="0" w:after="283"/>
              <w:jc w:val="right"/>
              <w:rPr/>
            </w:pPr>
            <w:r>
              <w:rPr/>
              <w:t>25,720</w:t>
            </w:r>
          </w:p>
        </w:tc>
        <w:tc>
          <w:tcPr>
            <w:tcW w:w="115" w:type="dxa"/>
            <w:tcBorders/>
            <w:shd w:fill="FFFFFF" w:val="clear"/>
            <w:vAlign w:val="center"/>
          </w:tcPr>
          <w:p>
            <w:pPr>
              <w:pStyle w:val="TableContents"/>
              <w:bidi w:val="0"/>
              <w:spacing w:before="0" w:after="283"/>
              <w:ind w:left="0" w:right="0" w:hanging="200"/>
              <w:jc w:val="left"/>
              <w:rPr/>
            </w:pPr>
            <w:r>
              <w:rPr/>
              <w:t> </w:t>
            </w:r>
          </w:p>
        </w:tc>
      </w:tr>
      <w:tr>
        <w:trPr/>
        <w:tc>
          <w:tcPr>
            <w:tcW w:w="5642" w:type="dxa"/>
            <w:tcBorders/>
            <w:shd w:fill="EEEEEE" w:val="clear"/>
            <w:vAlign w:val="center"/>
          </w:tcPr>
          <w:p>
            <w:pPr>
              <w:pStyle w:val="TableContents"/>
              <w:bidi w:val="0"/>
              <w:spacing w:before="0" w:after="283"/>
              <w:jc w:val="left"/>
              <w:rPr/>
            </w:pPr>
            <w:r>
              <w:rPr/>
              <w:t>Common stock issued upon exercise of options and warrants</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194" w:name="xdx_985_eus-gaap--StockIssuedDuringPerio"/>
            <w:bookmarkEnd w:id="194"/>
          </w:p>
        </w:tc>
        <w:tc>
          <w:tcPr>
            <w:tcW w:w="865" w:type="dxa"/>
            <w:tcBorders/>
            <w:shd w:fill="EEEEEE" w:val="clear"/>
            <w:vAlign w:val="center"/>
          </w:tcPr>
          <w:p>
            <w:pPr>
              <w:pStyle w:val="TableContents"/>
              <w:bidi w:val="0"/>
              <w:spacing w:before="0" w:after="283"/>
              <w:jc w:val="right"/>
              <w:rPr/>
            </w:pPr>
            <w:r>
              <w:rPr/>
              <w:t>543</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195" w:name="xdx_98B_eus-gaap--StockIssuedDuringPerio"/>
            <w:bookmarkEnd w:id="195"/>
          </w:p>
        </w:tc>
        <w:tc>
          <w:tcPr>
            <w:tcW w:w="865" w:type="dxa"/>
            <w:tcBorders/>
            <w:shd w:fill="EEEEEE" w:val="clear"/>
            <w:vAlign w:val="center"/>
          </w:tcPr>
          <w:p>
            <w:pPr>
              <w:pStyle w:val="TableContents"/>
              <w:bidi w:val="0"/>
              <w:spacing w:before="0" w:after="283"/>
              <w:jc w:val="right"/>
              <w:rPr/>
            </w:pPr>
            <w:r>
              <w:rPr/>
              <w:t>4,371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196" w:name="xdx_980_eus-gaap--StockIssuedDuringPerio"/>
            <w:bookmarkEnd w:id="196"/>
          </w:p>
        </w:tc>
        <w:tc>
          <w:tcPr>
            <w:tcW w:w="800" w:type="dxa"/>
            <w:tcBorders/>
            <w:shd w:fill="EEEEEE" w:val="clear"/>
            <w:vAlign w:val="center"/>
          </w:tcPr>
          <w:p>
            <w:pPr>
              <w:pStyle w:val="TableContents"/>
              <w:bidi w:val="0"/>
              <w:spacing w:before="0" w:after="283"/>
              <w:jc w:val="right"/>
              <w:rPr/>
            </w:pPr>
            <w:r>
              <w:rPr/>
              <w:t>543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197" w:name="xdx_983_eus-gaap--StockIssuedDuringPerio"/>
            <w:bookmarkEnd w:id="197"/>
          </w:p>
        </w:tc>
        <w:tc>
          <w:tcPr>
            <w:tcW w:w="800" w:type="dxa"/>
            <w:tcBorders/>
            <w:shd w:fill="EEEEEE" w:val="clear"/>
            <w:vAlign w:val="center"/>
          </w:tcPr>
          <w:p>
            <w:pPr>
              <w:pStyle w:val="TableContents"/>
              <w:bidi w:val="0"/>
              <w:spacing w:before="0" w:after="283"/>
              <w:jc w:val="right"/>
              <w:rPr/>
            </w:pPr>
            <w:r>
              <w:rPr/>
              <w:t>4,617</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pPr>
            <w:r>
              <w:rPr/>
              <w:t>Repurchase of common stock</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198" w:name="xdx_987_eus-gaap--StockRepurchasedDuring"/>
            <w:bookmarkEnd w:id="198"/>
          </w:p>
        </w:tc>
        <w:tc>
          <w:tcPr>
            <w:tcW w:w="865" w:type="dxa"/>
            <w:tcBorders/>
            <w:shd w:fill="FFFFFF" w:val="clear"/>
            <w:vAlign w:val="center"/>
          </w:tcPr>
          <w:p>
            <w:pPr>
              <w:pStyle w:val="TableContents"/>
              <w:bidi w:val="0"/>
              <w:spacing w:before="0" w:after="283"/>
              <w:jc w:val="right"/>
              <w:rPr/>
            </w:pPr>
            <w:r>
              <w:rPr/>
              <w:t>(2,459</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199" w:name="xdx_98B_eus-gaap--StockRepurchasedDuring"/>
            <w:bookmarkEnd w:id="199"/>
          </w:p>
        </w:tc>
        <w:tc>
          <w:tcPr>
            <w:tcW w:w="865" w:type="dxa"/>
            <w:tcBorders/>
            <w:shd w:fill="FFFFFF" w:val="clear"/>
            <w:vAlign w:val="center"/>
          </w:tcPr>
          <w:p>
            <w:pPr>
              <w:pStyle w:val="TableContents"/>
              <w:bidi w:val="0"/>
              <w:spacing w:before="0" w:after="283"/>
              <w:jc w:val="right"/>
              <w:rPr/>
            </w:pPr>
            <w:r>
              <w:rPr/>
              <w:t>(5,138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0" w:name="xdx_985_eus-gaap--StockRepurchasedDuring"/>
            <w:bookmarkEnd w:id="200"/>
          </w:p>
        </w:tc>
        <w:tc>
          <w:tcPr>
            <w:tcW w:w="800" w:type="dxa"/>
            <w:tcBorders/>
            <w:shd w:fill="FFFFFF" w:val="clear"/>
            <w:vAlign w:val="center"/>
          </w:tcPr>
          <w:p>
            <w:pPr>
              <w:pStyle w:val="TableContents"/>
              <w:bidi w:val="0"/>
              <w:spacing w:before="0" w:after="283"/>
              <w:jc w:val="right"/>
              <w:rPr/>
            </w:pPr>
            <w:r>
              <w:rPr/>
              <w:t>(3,694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1" w:name="xdx_988_eus-gaap--StockRepurchasedDuring"/>
            <w:bookmarkEnd w:id="201"/>
          </w:p>
        </w:tc>
        <w:tc>
          <w:tcPr>
            <w:tcW w:w="800" w:type="dxa"/>
            <w:tcBorders/>
            <w:shd w:fill="FFFFFF" w:val="clear"/>
            <w:vAlign w:val="center"/>
          </w:tcPr>
          <w:p>
            <w:pPr>
              <w:pStyle w:val="TableContents"/>
              <w:bidi w:val="0"/>
              <w:spacing w:before="0" w:after="283"/>
              <w:jc w:val="right"/>
              <w:rPr/>
            </w:pPr>
            <w:r>
              <w:rPr/>
              <w:t>(5,138</w:t>
            </w:r>
          </w:p>
        </w:tc>
        <w:tc>
          <w:tcPr>
            <w:tcW w:w="115" w:type="dxa"/>
            <w:tcBorders/>
            <w:shd w:fill="FFFFFF" w:val="clear"/>
            <w:vAlign w:val="center"/>
          </w:tcPr>
          <w:p>
            <w:pPr>
              <w:pStyle w:val="TableContents"/>
              <w:bidi w:val="0"/>
              <w:spacing w:before="0" w:after="283"/>
              <w:jc w:val="left"/>
              <w:rPr/>
            </w:pPr>
            <w:r>
              <w:rPr/>
              <w:t>)</w:t>
            </w:r>
          </w:p>
        </w:tc>
      </w:tr>
      <w:tr>
        <w:trPr/>
        <w:tc>
          <w:tcPr>
            <w:tcW w:w="5642"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02" w:name="xdx_981_eus-gaap--StockIssuedDuringPerio"/>
            <w:bookmarkEnd w:id="202"/>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578</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03" w:name="xdx_982_eus-gaap--StockIssuedDuringPerio"/>
            <w:bookmarkEnd w:id="203"/>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644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04" w:name="xdx_985_eus-gaap--StockIssuedDuringPerio"/>
            <w:bookmarkEnd w:id="204"/>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1,090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05" w:name="xdx_980_eus-gaap--StockIssuedDuringPerio"/>
            <w:bookmarkEnd w:id="205"/>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1,361</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06" w:name="xdx_989_eus-gaap--StockholdersEquity_iE_"/>
            <w:bookmarkEnd w:id="206"/>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pPr>
            <w:r>
              <w:rPr/>
              <w:t>22,365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07" w:name="xdx_981_eus-gaap--StockholdersEquity_iE_"/>
            <w:bookmarkEnd w:id="207"/>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pPr>
            <w:r>
              <w:rPr/>
              <w:t>26,560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08" w:name="xdx_98B_eus-gaap--StockholdersEquity_iE_"/>
            <w:bookmarkEnd w:id="208"/>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22,365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09" w:name="xdx_987_eus-gaap--StockholdersEquity_iE_"/>
            <w:bookmarkEnd w:id="209"/>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26,560</w:t>
            </w:r>
          </w:p>
        </w:tc>
        <w:tc>
          <w:tcPr>
            <w:tcW w:w="115" w:type="dxa"/>
            <w:tcBorders/>
            <w:shd w:fill="FFFFFF" w:val="clear"/>
            <w:vAlign w:val="center"/>
          </w:tcPr>
          <w:p>
            <w:pPr>
              <w:pStyle w:val="TableContents"/>
              <w:bidi w:val="0"/>
              <w:spacing w:before="0" w:after="283"/>
              <w:jc w:val="left"/>
              <w:rPr/>
            </w:pPr>
            <w:r>
              <w:rPr/>
              <w:t> </w:t>
            </w:r>
          </w:p>
        </w:tc>
      </w:tr>
      <w:tr>
        <w:trPr/>
        <w:tc>
          <w:tcPr>
            <w:tcW w:w="5642"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b/>
              </w:rPr>
            </w:pPr>
            <w:r>
              <w:rPr>
                <w:b/>
              </w:rPr>
              <w:t>Retained Earnings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642" w:type="dxa"/>
            <w:tcBorders/>
            <w:shd w:fill="EEEEEE" w:val="clear"/>
            <w:vAlign w:val="center"/>
          </w:tcPr>
          <w:p>
            <w:pPr>
              <w:pStyle w:val="TableContents"/>
              <w:bidi w:val="0"/>
              <w:spacing w:before="0" w:after="283"/>
              <w:jc w:val="left"/>
              <w:rPr/>
            </w:pPr>
            <w:r>
              <w:rPr/>
              <w:t>Balance, beginning of period</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w:t>
            </w:r>
            <w:bookmarkStart w:id="210" w:name="xdx_987_eus-gaap--StockholdersEquity_iS_"/>
            <w:bookmarkEnd w:id="210"/>
          </w:p>
        </w:tc>
        <w:tc>
          <w:tcPr>
            <w:tcW w:w="865" w:type="dxa"/>
            <w:tcBorders/>
            <w:shd w:fill="EEEEEE" w:val="clear"/>
            <w:vAlign w:val="center"/>
          </w:tcPr>
          <w:p>
            <w:pPr>
              <w:pStyle w:val="TableContents"/>
              <w:bidi w:val="0"/>
              <w:spacing w:before="0" w:after="283"/>
              <w:jc w:val="right"/>
              <w:rPr/>
            </w:pPr>
            <w:r>
              <w:rPr/>
              <w:t>291,924</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w:t>
            </w:r>
            <w:bookmarkStart w:id="211" w:name="xdx_985_eus-gaap--StockholdersEquity_iS_"/>
            <w:bookmarkEnd w:id="211"/>
          </w:p>
        </w:tc>
        <w:tc>
          <w:tcPr>
            <w:tcW w:w="865" w:type="dxa"/>
            <w:tcBorders/>
            <w:shd w:fill="EEEEEE" w:val="clear"/>
            <w:vAlign w:val="center"/>
          </w:tcPr>
          <w:p>
            <w:pPr>
              <w:pStyle w:val="TableContents"/>
              <w:bidi w:val="0"/>
              <w:spacing w:before="0" w:after="283"/>
              <w:jc w:val="right"/>
              <w:rPr/>
            </w:pPr>
            <w:r>
              <w:rPr/>
              <w:t>271,754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212" w:name="xdx_982_eus-gaap--StockholdersEquity_iS_"/>
            <w:bookmarkEnd w:id="212"/>
          </w:p>
        </w:tc>
        <w:tc>
          <w:tcPr>
            <w:tcW w:w="800" w:type="dxa"/>
            <w:tcBorders/>
            <w:shd w:fill="EEEEEE" w:val="clear"/>
            <w:vAlign w:val="center"/>
          </w:tcPr>
          <w:p>
            <w:pPr>
              <w:pStyle w:val="TableContents"/>
              <w:bidi w:val="0"/>
              <w:spacing w:before="0" w:after="283"/>
              <w:jc w:val="right"/>
              <w:rPr/>
            </w:pPr>
            <w:r>
              <w:rPr/>
              <w:t>286,385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213" w:name="xdx_982_eus-gaap--StockholdersEquity_iS_"/>
            <w:bookmarkEnd w:id="213"/>
          </w:p>
        </w:tc>
        <w:tc>
          <w:tcPr>
            <w:tcW w:w="800" w:type="dxa"/>
            <w:tcBorders/>
            <w:shd w:fill="EEEEEE" w:val="clear"/>
            <w:vAlign w:val="center"/>
          </w:tcPr>
          <w:p>
            <w:pPr>
              <w:pStyle w:val="TableContents"/>
              <w:bidi w:val="0"/>
              <w:spacing w:before="0" w:after="283"/>
              <w:jc w:val="right"/>
              <w:rPr/>
            </w:pPr>
            <w:r>
              <w:rPr/>
              <w:t>267,060</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4" w:name="xdx_98D_eus-gaap--NetIncomeLoss_pn3n3_c2"/>
            <w:bookmarkEnd w:id="214"/>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6,234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5" w:name="xdx_982_eus-gaap--NetIncomeLoss_pn3n3_c2"/>
            <w:bookmarkEnd w:id="215"/>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4,797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6" w:name="xdx_98C_eus-gaap--NetIncomeLoss_pn3n3_c2"/>
            <w:bookmarkEnd w:id="216"/>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7" w:name="xdx_986_eus-gaap--NetIncomeLoss_pn3n3_c2"/>
            <w:bookmarkEnd w:id="217"/>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9,491</w:t>
            </w:r>
          </w:p>
        </w:tc>
        <w:tc>
          <w:tcPr>
            <w:tcW w:w="115" w:type="dxa"/>
            <w:tcBorders/>
            <w:shd w:fill="FFFFFF" w:val="clear"/>
            <w:vAlign w:val="center"/>
          </w:tcPr>
          <w:p>
            <w:pPr>
              <w:pStyle w:val="TableContents"/>
              <w:bidi w:val="0"/>
              <w:spacing w:before="0" w:after="283"/>
              <w:jc w:val="left"/>
              <w:rPr/>
            </w:pPr>
            <w:r>
              <w:rPr/>
              <w:t> </w:t>
            </w:r>
          </w:p>
        </w:tc>
      </w:tr>
      <w:tr>
        <w:trPr/>
        <w:tc>
          <w:tcPr>
            <w:tcW w:w="5642" w:type="dxa"/>
            <w:tcBorders/>
            <w:shd w:fill="EEEEEE" w:val="clear"/>
            <w:vAlign w:val="center"/>
          </w:tcPr>
          <w:p>
            <w:pPr>
              <w:pStyle w:val="TableContents"/>
              <w:bidi w:val="0"/>
              <w:spacing w:before="0" w:after="283"/>
              <w:jc w:val="left"/>
              <w:rPr/>
            </w:pPr>
            <w:r>
              <w:rPr/>
              <w:t>Balance, end of period</w:t>
            </w:r>
          </w:p>
        </w:tc>
        <w:tc>
          <w:tcPr>
            <w:tcW w:w="60" w:type="dxa"/>
            <w:tcBorders/>
            <w:shd w:fill="EEEEEE" w:val="clear"/>
            <w:vAlign w:val="center"/>
          </w:tcPr>
          <w:p>
            <w:pPr>
              <w:pStyle w:val="TableContents"/>
              <w:bidi w:val="0"/>
              <w:spacing w:before="0" w:after="283"/>
              <w:jc w:val="left"/>
              <w:rPr/>
            </w:pPr>
            <w:r>
              <w:rPr/>
              <w:t> </w:t>
            </w:r>
          </w:p>
        </w:tc>
        <w:tc>
          <w:tcPr>
            <w:tcW w:w="15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18" w:name="xdx_981_eus-gaap--StockholdersEquity_iE_"/>
            <w:bookmarkEnd w:id="218"/>
          </w:p>
        </w:tc>
        <w:tc>
          <w:tcPr>
            <w:tcW w:w="865" w:type="dxa"/>
            <w:tcBorders>
              <w:bottom w:val="double" w:sz="6" w:space="0" w:color="000000"/>
            </w:tcBorders>
            <w:shd w:fill="EEEEEE" w:val="clear"/>
            <w:tcMar>
              <w:bottom w:w="28" w:type="dxa"/>
            </w:tcMar>
            <w:vAlign w:val="center"/>
          </w:tcPr>
          <w:p>
            <w:pPr>
              <w:pStyle w:val="TableContents"/>
              <w:bidi w:val="0"/>
              <w:spacing w:before="0" w:after="283"/>
              <w:jc w:val="right"/>
              <w:rPr/>
            </w:pPr>
            <w:r>
              <w:rPr/>
              <w:t>298,158</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19" w:name="xdx_980_eus-gaap--StockholdersEquity_iE_"/>
            <w:bookmarkEnd w:id="219"/>
          </w:p>
        </w:tc>
        <w:tc>
          <w:tcPr>
            <w:tcW w:w="865" w:type="dxa"/>
            <w:tcBorders>
              <w:bottom w:val="double" w:sz="6" w:space="0" w:color="000000"/>
            </w:tcBorders>
            <w:shd w:fill="EEEEEE" w:val="clear"/>
            <w:tcMar>
              <w:bottom w:w="28" w:type="dxa"/>
            </w:tcMar>
            <w:vAlign w:val="center"/>
          </w:tcPr>
          <w:p>
            <w:pPr>
              <w:pStyle w:val="TableContents"/>
              <w:bidi w:val="0"/>
              <w:spacing w:before="0" w:after="283"/>
              <w:jc w:val="right"/>
              <w:rPr/>
            </w:pPr>
            <w:r>
              <w:rPr/>
              <w:t>276,551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20" w:name="xdx_98B_eus-gaap--StockholdersEquity_iE_"/>
            <w:bookmarkEnd w:id="220"/>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298,158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21" w:name="xdx_985_eus-gaap--StockholdersEquity_iE_"/>
            <w:bookmarkEnd w:id="221"/>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276,551</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642" w:type="dxa"/>
            <w:tcBorders/>
            <w:shd w:fill="EEEEEE" w:val="clear"/>
            <w:vAlign w:val="center"/>
          </w:tcPr>
          <w:p>
            <w:pPr>
              <w:pStyle w:val="TableContents"/>
              <w:bidi w:val="0"/>
              <w:spacing w:before="0" w:after="283"/>
              <w:jc w:val="left"/>
              <w:rPr>
                <w:b/>
              </w:rPr>
            </w:pPr>
            <w:r>
              <w:rPr>
                <w:b/>
              </w:rPr>
              <w:t>Accumulated Other Comprehensive Loss</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222" w:name="xdx_98D_eus-gaap--StockholdersEquity_iS_"/>
            <w:bookmarkEnd w:id="222"/>
          </w:p>
        </w:tc>
        <w:tc>
          <w:tcPr>
            <w:tcW w:w="865" w:type="dxa"/>
            <w:tcBorders/>
            <w:shd w:fill="FFFFFF" w:val="clear"/>
            <w:vAlign w:val="center"/>
          </w:tcPr>
          <w:p>
            <w:pPr>
              <w:pStyle w:val="TableContents"/>
              <w:bidi w:val="0"/>
              <w:spacing w:before="0" w:after="283"/>
              <w:jc w:val="right"/>
              <w:rPr/>
            </w:pPr>
            <w:r>
              <w:rPr/>
              <w:t>(1,275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223" w:name="xdx_98F_eus-gaap--StockholdersEquity_iS_"/>
            <w:bookmarkEnd w:id="223"/>
          </w:p>
        </w:tc>
        <w:tc>
          <w:tcPr>
            <w:tcW w:w="865"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24" w:name="xdx_98A_eus-gaap--StockholdersEquity_iS_"/>
            <w:bookmarkEnd w:id="224"/>
          </w:p>
        </w:tc>
        <w:tc>
          <w:tcPr>
            <w:tcW w:w="800" w:type="dxa"/>
            <w:tcBorders/>
            <w:shd w:fill="FFFFFF" w:val="clear"/>
            <w:vAlign w:val="center"/>
          </w:tcPr>
          <w:p>
            <w:pPr>
              <w:pStyle w:val="TableContents"/>
              <w:bidi w:val="0"/>
              <w:spacing w:before="0" w:after="283"/>
              <w:jc w:val="right"/>
              <w:rPr/>
            </w:pPr>
            <w:r>
              <w:rPr/>
              <w:t>(1,275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25" w:name="xdx_988_eus-gaap--StockholdersEquity_iS_"/>
            <w:bookmarkEnd w:id="225"/>
          </w:p>
        </w:tc>
        <w:tc>
          <w:tcPr>
            <w:tcW w:w="800" w:type="dxa"/>
            <w:tcBorders/>
            <w:shd w:fill="FFFFFF" w:val="clear"/>
            <w:vAlign w:val="center"/>
          </w:tcPr>
          <w:p>
            <w:pPr>
              <w:pStyle w:val="TableContents"/>
              <w:bidi w:val="0"/>
              <w:spacing w:before="0" w:after="283"/>
              <w:jc w:val="right"/>
              <w:rPr/>
            </w:pPr>
            <w:r>
              <w:rPr/>
              <w:t>(10</w:t>
            </w:r>
          </w:p>
        </w:tc>
        <w:tc>
          <w:tcPr>
            <w:tcW w:w="115" w:type="dxa"/>
            <w:tcBorders/>
            <w:shd w:fill="FFFFFF" w:val="clear"/>
            <w:vAlign w:val="center"/>
          </w:tcPr>
          <w:p>
            <w:pPr>
              <w:pStyle w:val="TableContents"/>
              <w:bidi w:val="0"/>
              <w:spacing w:before="0" w:after="283"/>
              <w:jc w:val="left"/>
              <w:rPr/>
            </w:pPr>
            <w:r>
              <w:rPr/>
              <w:t>)</w:t>
            </w:r>
          </w:p>
        </w:tc>
      </w:tr>
      <w:tr>
        <w:trPr/>
        <w:tc>
          <w:tcPr>
            <w:tcW w:w="5642" w:type="dxa"/>
            <w:tcBorders/>
            <w:shd w:fill="EEEEEE" w:val="clear"/>
            <w:vAlign w:val="center"/>
          </w:tcPr>
          <w:p>
            <w:pPr>
              <w:pStyle w:val="TableContents"/>
              <w:bidi w:val="0"/>
              <w:spacing w:before="0" w:after="283"/>
              <w:jc w:val="left"/>
              <w:rPr/>
            </w:pPr>
            <w:r>
              <w:rPr/>
              <w:t>Pension benefit obligation</w:t>
            </w:r>
          </w:p>
        </w:tc>
        <w:tc>
          <w:tcPr>
            <w:tcW w:w="60"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26" w:name="xdx_986_ecustom--PensionBenefitObligatio"/>
            <w:bookmarkEnd w:id="226"/>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27" w:name="xdx_981_ecustom--PensionBenefitObligatio"/>
            <w:bookmarkEnd w:id="227"/>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28" w:name="xdx_985_ecustom--PensionBenefitObligatio"/>
            <w:bookmarkEnd w:id="228"/>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29" w:name="xdx_980_ecustom--PensionBenefitObligatio"/>
            <w:bookmarkEnd w:id="229"/>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30" w:name="xdx_986_eus-gaap--StockholdersEquity_iE_"/>
            <w:bookmarkEnd w:id="230"/>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pPr>
            <w:r>
              <w:rPr/>
              <w:t>(1,275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31" w:name="xdx_98C_eus-gaap--StockholdersEquity_iE_"/>
            <w:bookmarkEnd w:id="231"/>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32" w:name="xdx_98C_eus-gaap--StockholdersEquity_iE_"/>
            <w:bookmarkEnd w:id="232"/>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(1,275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33" w:name="xdx_98D_eus-gaap--StockholdersEquity_iE_"/>
            <w:bookmarkEnd w:id="233"/>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w:t>
            </w:r>
          </w:p>
        </w:tc>
        <w:tc>
          <w:tcPr>
            <w:tcW w:w="115" w:type="dxa"/>
            <w:tcBorders/>
            <w:shd w:fill="FFFFFF" w:val="clear"/>
            <w:vAlign w:val="center"/>
          </w:tcPr>
          <w:p>
            <w:pPr>
              <w:pStyle w:val="TableContents"/>
              <w:bidi w:val="0"/>
              <w:spacing w:before="0" w:after="283"/>
              <w:jc w:val="left"/>
              <w:rPr/>
            </w:pPr>
            <w:r>
              <w:rPr/>
              <w:t>)</w:t>
            </w:r>
          </w:p>
        </w:tc>
      </w:tr>
      <w:tr>
        <w:trPr/>
        <w:tc>
          <w:tcPr>
            <w:tcW w:w="564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b/>
              </w:rPr>
            </w:pPr>
            <w:r>
              <w:rPr>
                <w:b/>
              </w:rPr>
              <w:t>Balance, beginning of period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234" w:name="xdx_987_eus-gaap--StockholdersEquity_iS_"/>
            <w:bookmarkEnd w:id="234"/>
          </w:p>
        </w:tc>
        <w:tc>
          <w:tcPr>
            <w:tcW w:w="86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235" w:name="xdx_986_eus-gaap--StockholdersEquity_iS_"/>
            <w:bookmarkEnd w:id="235"/>
          </w:p>
        </w:tc>
        <w:tc>
          <w:tcPr>
            <w:tcW w:w="8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36" w:name="xdx_980_eus-gaap--StockholdersEquity_iS_"/>
            <w:bookmarkEnd w:id="236"/>
          </w:p>
        </w:tc>
        <w:tc>
          <w:tcPr>
            <w:tcW w:w="800" w:type="dxa"/>
            <w:tcBorders/>
            <w:shd w:fill="FFFFFF" w:val="clear"/>
            <w:vAlign w:val="center"/>
          </w:tcPr>
          <w:p>
            <w:pPr>
              <w:pStyle w:val="TableContents"/>
              <w:bidi w:val="0"/>
              <w:spacing w:before="0" w:after="283"/>
              <w:jc w:val="right"/>
              <w:rPr>
                <w:b/>
              </w:rPr>
            </w:pPr>
            <w:r>
              <w:rPr>
                <w:b/>
              </w:rPr>
              <w:t>309,536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37" w:name="xdx_980_eus-gaap--StockholdersEquity_iS_"/>
            <w:bookmarkEnd w:id="237"/>
          </w:p>
        </w:tc>
        <w:tc>
          <w:tcPr>
            <w:tcW w:w="80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b/>
              </w:rPr>
            </w:pPr>
            <w:r>
              <w:rPr>
                <w:b/>
              </w:rPr>
              <w:t>Pension benefit obligation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238" w:name="xdx_984_ecustom--PensionBenefitObligatio"/>
            <w:bookmarkEnd w:id="238"/>
          </w:p>
        </w:tc>
        <w:tc>
          <w:tcPr>
            <w:tcW w:w="86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239" w:name="xdx_981_ecustom--PensionBenefitObligatio"/>
            <w:bookmarkEnd w:id="239"/>
          </w:p>
        </w:tc>
        <w:tc>
          <w:tcPr>
            <w:tcW w:w="8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40" w:name="xdx_98F_ecustom--PensionBenefitObligatio"/>
            <w:bookmarkEnd w:id="240"/>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41" w:name="xdx_985_ecustom--PensionBenefitObligatio"/>
            <w:bookmarkEnd w:id="241"/>
          </w:p>
        </w:tc>
        <w:tc>
          <w:tcPr>
            <w:tcW w:w="80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5642"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42" w:name="xdx_98C_eus-gaap--StockholdersEquity_iE_"/>
            <w:bookmarkEnd w:id="242"/>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pPr>
            <w:r>
              <w:rPr/>
              <w:t>319,248</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43" w:name="xdx_98D_eus-gaap--StockholdersEquity_iE_"/>
            <w:bookmarkEnd w:id="243"/>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pPr>
            <w:r>
              <w:rPr/>
              <w:t>303,101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44" w:name="xdx_987_eus-gaap--StockholdersEquity_iE_"/>
            <w:bookmarkEnd w:id="244"/>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319,248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45" w:name="xdx_986_eus-gaap--StockholdersEquity_iE_"/>
            <w:bookmarkEnd w:id="245"/>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303,101</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6" w:name="q2_008"/>
      <w:bookmarkEnd w:id="246"/>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7" w:name="xdx_80B_eus-gaap--SignificantAccountingP"/>
      <w:bookmarkEnd w:id="247"/>
      <w:r>
        <w:rPr>
          <w:rFonts w:ascii="Times New Roman;Times;Serif" w:hAnsi="Times New Roman;Times;Serif"/>
          <w:b/>
          <w:i w:val="false"/>
          <w:caps w:val="false"/>
          <w:smallCaps w:val="false"/>
          <w:sz w:val="20"/>
        </w:rPr>
        <w:t xml:space="preserve">(1) </w:t>
      </w:r>
      <w:bookmarkStart w:id="248" w:name="xdx_825_zAgx9osYvYk3"/>
      <w:bookmarkEnd w:id="248"/>
      <w:r>
        <w:rPr>
          <w:rFonts w:ascii="Times New Roman;Times;Serif" w:hAnsi="Times New Roman;Times;Serif"/>
          <w:b/>
          <w:i/>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9" w:name="xdx_862_zNoNJyUt1IE7"/>
      <w:bookmarkStart w:id="250" w:name="xdx_846_ecustom--DescriptionOfBusinessPo"/>
      <w:bookmarkEnd w:id="249"/>
      <w:bookmarkEnd w:id="250"/>
      <w:r>
        <w:rPr>
          <w:rFonts w:ascii="Times New Roman;Times;Serif" w:hAnsi="Times New Roman;Times;Serif"/>
          <w:b/>
          <w:i w:val="false"/>
          <w:caps w:val="false"/>
          <w:smallCaps w:val="false"/>
          <w:sz w:val="20"/>
        </w:rPr>
        <w:t xml:space="preserve">Description of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also, to a lesser extent, originate loans directly to consumers for the refinancing of an existing loan from other lenders secured by an automobile and have also (i) lent money directly to consumers for vehicle purchase money loans secured by vehicles, (ii) purchased immaterial amounts of vehicle purchase money loans from non-affiliated lenders, and (iii) acquired installment purchase contracts in four merger and acquisition transactions. In this report, we refer to all of such contracts and loans as "automobile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1" w:name="xdx_865_zYTqUR6OM2Ri"/>
      <w:bookmarkStart w:id="252" w:name="xdx_846_eus-gaap--BasisOfAccountingPolic"/>
      <w:bookmarkEnd w:id="251"/>
      <w:bookmarkEnd w:id="252"/>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six-month period ended June 30, 2026, are not necessarily indicative of the operating results to be expected for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3" w:name="xdx_864_zRw7XWtB7n7h"/>
      <w:bookmarkStart w:id="254" w:name="xdx_843_eus-gaap--UseOfEstimates_zQUdxju"/>
      <w:bookmarkEnd w:id="253"/>
      <w:bookmarkEnd w:id="254"/>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5" w:name="xdx_867_zNgeUVzzekAh"/>
      <w:bookmarkStart w:id="256" w:name="xdx_848_ecustom--FinanceReceivablesMeasu"/>
      <w:bookmarkEnd w:id="255"/>
      <w:bookmarkEnd w:id="256"/>
      <w:r>
        <w:rPr>
          <w:rFonts w:ascii="Times New Roman;Times;Serif" w:hAnsi="Times New Roman;Times;Serif"/>
          <w:b/>
          <w:i w:val="false"/>
          <w:caps w:val="false"/>
          <w:smallCaps w:val="false"/>
          <w:sz w:val="20"/>
        </w:rPr>
        <w:t>Finance Receivables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57" w:name="xdx_236_zx65ZWQ627n8"/>
      <w:bookmarkEnd w:id="257"/>
      <w:r>
        <w:rPr>
          <w:caps w:val="false"/>
          <w:smallCaps w:val="false"/>
        </w:rPr>
        <w:t> </w:t>
      </w:r>
    </w:p>
    <w:p>
      <w:pPr>
        <w:pStyle w:val="TextBody"/>
        <w:bidi w:val="0"/>
        <w:spacing w:before="0" w:after="0"/>
        <w:ind w:left="0" w:right="0" w:hanging="0"/>
        <w:jc w:val="both"/>
        <w:rPr>
          <w:caps w:val="false"/>
          <w:smallCaps w:val="false"/>
        </w:rPr>
      </w:pPr>
      <w:bookmarkStart w:id="258" w:name="xdx_232_zMGK3cAhGIZ7"/>
      <w:bookmarkEnd w:id="258"/>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59" w:name="xdx_23D_zLpvNVDxrY0c"/>
      <w:bookmarkEnd w:id="25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re-evaluate the fair value of such receivables at the close of each measurement period. If the reevaluation were to yield a value materially different from the recorded value, an adjustment would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the contractual principal balance, we do not record acquisition fees as an amortizing asset related to the receivables, nor do we capitalize costs of acquiring the receivables. Rather we recognize the costs of acquisition as expenses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0" w:name="xdx_863_zBrMCRPlWbn5"/>
      <w:bookmarkStart w:id="261" w:name="xdx_84E_eus-gaap--RevenueRecognitionPoli"/>
      <w:bookmarkEnd w:id="260"/>
      <w:bookmarkEnd w:id="261"/>
      <w:r>
        <w:rPr>
          <w:rFonts w:ascii="Times New Roman;Times;Serif" w:hAnsi="Times New Roman;Times;Serif"/>
          <w:b/>
          <w:i w:val="false"/>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primary components of Other Income for the three-month and six-month periods ending June 30, 2026, and 2025:</w:t>
      </w:r>
    </w:p>
    <w:p>
      <w:pPr>
        <w:pStyle w:val="Normal"/>
        <w:bidi w:val="0"/>
        <w:spacing w:before="0" w:after="0"/>
        <w:ind w:left="0" w:right="0" w:hanging="0"/>
        <w:jc w:val="left"/>
        <w:rPr>
          <w:sz w:val="4"/>
          <w:szCs w:val="4"/>
        </w:rPr>
      </w:pPr>
      <w:r>
        <w:rPr>
          <w:sz w:val="4"/>
          <w:szCs w:val="4"/>
        </w:rPr>
      </w:r>
      <w:bookmarkStart w:id="262" w:name="xdx_895_eus-gaap--ScheduleOfOtherNonoper"/>
      <w:bookmarkStart w:id="263" w:name="xdx_895_eus-gaap--ScheduleOfOtherNonoper"/>
      <w:bookmarkEnd w:id="263"/>
    </w:p>
    <w:tbl>
      <w:tblPr>
        <w:tblW w:w="9894" w:type="dxa"/>
        <w:jc w:val="left"/>
        <w:tblInd w:w="0" w:type="dxa"/>
        <w:tblLayout w:type="fixed"/>
        <w:tblCellMar>
          <w:top w:w="0" w:type="dxa"/>
          <w:left w:w="0" w:type="dxa"/>
          <w:bottom w:w="0" w:type="dxa"/>
          <w:right w:w="0" w:type="dxa"/>
        </w:tblCellMar>
      </w:tblPr>
      <w:tblGrid>
        <w:gridCol w:w="5525"/>
        <w:gridCol w:w="60"/>
        <w:gridCol w:w="203"/>
        <w:gridCol w:w="814"/>
        <w:gridCol w:w="87"/>
        <w:gridCol w:w="87"/>
        <w:gridCol w:w="203"/>
        <w:gridCol w:w="814"/>
        <w:gridCol w:w="60"/>
        <w:gridCol w:w="60"/>
        <w:gridCol w:w="175"/>
        <w:gridCol w:w="703"/>
        <w:gridCol w:w="75"/>
        <w:gridCol w:w="75"/>
        <w:gridCol w:w="175"/>
        <w:gridCol w:w="703"/>
        <w:gridCol w:w="75"/>
      </w:tblGrid>
      <w:tr>
        <w:trPr/>
        <w:tc>
          <w:tcPr>
            <w:tcW w:w="5525" w:type="dxa"/>
            <w:tcBorders/>
            <w:shd w:fill="FFFFFF" w:val="clear"/>
            <w:vAlign w:val="center"/>
          </w:tcPr>
          <w:p>
            <w:pPr>
              <w:pStyle w:val="TableContents"/>
              <w:bidi w:val="0"/>
              <w:spacing w:before="0" w:after="283"/>
              <w:jc w:val="left"/>
              <w:rPr/>
            </w:pPr>
            <w:bookmarkStart w:id="264" w:name="xdx_8BD_zPuJTT0HXs34"/>
            <w:bookmarkEnd w:id="264"/>
            <w:r>
              <w:rPr/>
              <w:t>Schedule of other income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ind w:left="0" w:right="0" w:hanging="200"/>
              <w:jc w:val="left"/>
              <w:rPr/>
            </w:pPr>
            <w:r>
              <w:rPr/>
              <w:t> </w:t>
            </w:r>
          </w:p>
        </w:tc>
      </w:tr>
      <w:tr>
        <w:trPr/>
        <w:tc>
          <w:tcPr>
            <w:tcW w:w="5525" w:type="dxa"/>
            <w:tcBorders/>
            <w:shd w:fill="EEEEEE" w:val="clear"/>
            <w:vAlign w:val="center"/>
          </w:tcPr>
          <w:p>
            <w:pPr>
              <w:pStyle w:val="TableContents"/>
              <w:bidi w:val="0"/>
              <w:spacing w:before="0" w:after="283"/>
              <w:jc w:val="left"/>
              <w:rPr/>
            </w:pPr>
            <w:r>
              <w:rPr/>
              <w:t>Origination and servicing fees from third party receivables</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bookmarkStart w:id="265" w:name="xdx_985_eus-gaap--OtherOperatingIncome_p"/>
            <w:bookmarkEnd w:id="265"/>
          </w:p>
        </w:tc>
        <w:tc>
          <w:tcPr>
            <w:tcW w:w="814" w:type="dxa"/>
            <w:tcBorders/>
            <w:shd w:fill="EEEEEE" w:val="clear"/>
            <w:vAlign w:val="center"/>
          </w:tcPr>
          <w:p>
            <w:pPr>
              <w:pStyle w:val="TableContents"/>
              <w:bidi w:val="0"/>
              <w:spacing w:before="0" w:after="283"/>
              <w:jc w:val="right"/>
              <w:rPr/>
            </w:pPr>
            <w:r>
              <w:rPr/>
              <w:t>1,438</w:t>
            </w:r>
          </w:p>
        </w:tc>
        <w:tc>
          <w:tcPr>
            <w:tcW w:w="87" w:type="dxa"/>
            <w:tcBorders/>
            <w:shd w:fill="EEEEEE" w:val="clear"/>
            <w:vAlign w:val="center"/>
          </w:tcPr>
          <w:p>
            <w:pPr>
              <w:pStyle w:val="TableContents"/>
              <w:bidi w:val="0"/>
              <w:spacing w:before="0" w:after="283"/>
              <w:jc w:val="left"/>
              <w:rPr>
                <w:sz w:val="4"/>
                <w:szCs w:val="4"/>
              </w:rPr>
            </w:pPr>
            <w:r>
              <w:rPr>
                <w:sz w:val="4"/>
                <w:szCs w:val="4"/>
              </w:rPr>
            </w:r>
          </w:p>
        </w:tc>
        <w:tc>
          <w:tcPr>
            <w:tcW w:w="87"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bookmarkStart w:id="266" w:name="xdx_98B_eus-gaap--OtherOperatingIncome_p"/>
            <w:bookmarkEnd w:id="266"/>
          </w:p>
        </w:tc>
        <w:tc>
          <w:tcPr>
            <w:tcW w:w="814" w:type="dxa"/>
            <w:tcBorders/>
            <w:shd w:fill="EEEEEE" w:val="clear"/>
            <w:vAlign w:val="center"/>
          </w:tcPr>
          <w:p>
            <w:pPr>
              <w:pStyle w:val="TableContents"/>
              <w:bidi w:val="0"/>
              <w:spacing w:before="0" w:after="283"/>
              <w:jc w:val="right"/>
              <w:rPr/>
            </w:pPr>
            <w:r>
              <w:rPr/>
              <w:t>1,384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w:t>
            </w:r>
            <w:bookmarkStart w:id="267" w:name="xdx_989_eus-gaap--OtherOperatingIncome_p"/>
            <w:bookmarkEnd w:id="267"/>
          </w:p>
        </w:tc>
        <w:tc>
          <w:tcPr>
            <w:tcW w:w="703" w:type="dxa"/>
            <w:tcBorders/>
            <w:shd w:fill="EEEEEE" w:val="clear"/>
            <w:vAlign w:val="center"/>
          </w:tcPr>
          <w:p>
            <w:pPr>
              <w:pStyle w:val="TableContents"/>
              <w:bidi w:val="0"/>
              <w:spacing w:before="0" w:after="283"/>
              <w:jc w:val="right"/>
              <w:rPr/>
            </w:pPr>
            <w:r>
              <w:rPr/>
              <w:t>2,725</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w:t>
            </w:r>
            <w:bookmarkStart w:id="268" w:name="xdx_980_eus-gaap--OtherOperatingIncome_p"/>
            <w:bookmarkEnd w:id="268"/>
          </w:p>
        </w:tc>
        <w:tc>
          <w:tcPr>
            <w:tcW w:w="703" w:type="dxa"/>
            <w:tcBorders/>
            <w:shd w:fill="EEEEEE" w:val="clear"/>
            <w:vAlign w:val="center"/>
          </w:tcPr>
          <w:p>
            <w:pPr>
              <w:pStyle w:val="TableContents"/>
              <w:bidi w:val="0"/>
              <w:spacing w:before="0" w:after="283"/>
              <w:jc w:val="right"/>
              <w:rPr/>
            </w:pPr>
            <w:r>
              <w:rPr/>
              <w:t>2,815</w:t>
            </w:r>
          </w:p>
        </w:tc>
        <w:tc>
          <w:tcPr>
            <w:tcW w:w="75" w:type="dxa"/>
            <w:tcBorders/>
            <w:shd w:fill="EEEEEE"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69" w:name="xdx_98D_eus-gaap--OtherOperatingIncome_p"/>
            <w:bookmarkEnd w:id="269"/>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1,839</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0" w:name="xdx_983_eus-gaap--OtherOperatingIncome_p"/>
            <w:bookmarkEnd w:id="270"/>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1" w:name="xdx_982_eus-gaap--OtherOperatingIncome_p"/>
            <w:bookmarkEnd w:id="271"/>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pPr>
            <w:r>
              <w:rPr/>
              <w:t>4,165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2" w:name="xdx_984_eus-gaap--OtherOperatingIncome_p"/>
            <w:bookmarkEnd w:id="272"/>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75" w:type="dxa"/>
            <w:tcBorders/>
            <w:shd w:fill="FFFFFF" w:val="clear"/>
            <w:vAlign w:val="center"/>
          </w:tcPr>
          <w:p>
            <w:pPr>
              <w:pStyle w:val="TableContents"/>
              <w:bidi w:val="0"/>
              <w:spacing w:before="0" w:after="283"/>
              <w:jc w:val="left"/>
              <w:rPr/>
            </w:pPr>
            <w:r>
              <w:rPr/>
              <w:t> </w:t>
            </w:r>
          </w:p>
        </w:tc>
      </w:tr>
      <w:tr>
        <w:trPr/>
        <w:tc>
          <w:tcPr>
            <w:tcW w:w="5525" w:type="dxa"/>
            <w:tcBorders/>
            <w:shd w:fill="EEEEEE" w:val="clear"/>
            <w:vAlign w:val="center"/>
          </w:tcPr>
          <w:p>
            <w:pPr>
              <w:pStyle w:val="TableContents"/>
              <w:bidi w:val="0"/>
              <w:spacing w:before="0" w:after="283"/>
              <w:jc w:val="left"/>
              <w:rPr/>
            </w:pPr>
            <w:r>
              <w:rPr/>
              <w:t>Other income for the period</w:t>
            </w:r>
          </w:p>
        </w:tc>
        <w:tc>
          <w:tcPr>
            <w:tcW w:w="60" w:type="dxa"/>
            <w:tcBorders/>
            <w:shd w:fill="EEEEEE" w:val="clear"/>
            <w:vAlign w:val="center"/>
          </w:tcPr>
          <w:p>
            <w:pPr>
              <w:pStyle w:val="TableContents"/>
              <w:bidi w:val="0"/>
              <w:spacing w:before="0" w:after="283"/>
              <w:jc w:val="left"/>
              <w:rPr/>
            </w:pPr>
            <w:r>
              <w:rPr/>
              <w:t> </w:t>
            </w:r>
          </w:p>
        </w:tc>
        <w:tc>
          <w:tcPr>
            <w:tcW w:w="20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73" w:name="xdx_98F_eus-gaap--OtherOperatingIncome_p"/>
            <w:bookmarkEnd w:id="273"/>
          </w:p>
        </w:tc>
        <w:tc>
          <w:tcPr>
            <w:tcW w:w="814" w:type="dxa"/>
            <w:tcBorders>
              <w:bottom w:val="double" w:sz="6" w:space="0" w:color="000000"/>
            </w:tcBorders>
            <w:shd w:fill="EEEEEE" w:val="clear"/>
            <w:tcMar>
              <w:bottom w:w="28" w:type="dxa"/>
            </w:tcMar>
            <w:vAlign w:val="center"/>
          </w:tcPr>
          <w:p>
            <w:pPr>
              <w:pStyle w:val="TableContents"/>
              <w:bidi w:val="0"/>
              <w:spacing w:before="0" w:after="283"/>
              <w:jc w:val="right"/>
              <w:rPr/>
            </w:pPr>
            <w:r>
              <w:rPr/>
              <w:t>3,277</w:t>
            </w:r>
          </w:p>
        </w:tc>
        <w:tc>
          <w:tcPr>
            <w:tcW w:w="87" w:type="dxa"/>
            <w:tcBorders/>
            <w:shd w:fill="EEEEEE" w:val="clear"/>
            <w:vAlign w:val="center"/>
          </w:tcPr>
          <w:p>
            <w:pPr>
              <w:pStyle w:val="TableContents"/>
              <w:bidi w:val="0"/>
              <w:spacing w:before="0" w:after="283"/>
              <w:jc w:val="left"/>
              <w:rPr>
                <w:sz w:val="4"/>
                <w:szCs w:val="4"/>
              </w:rPr>
            </w:pPr>
            <w:r>
              <w:rPr>
                <w:sz w:val="4"/>
                <w:szCs w:val="4"/>
              </w:rPr>
            </w:r>
          </w:p>
        </w:tc>
        <w:tc>
          <w:tcPr>
            <w:tcW w:w="87" w:type="dxa"/>
            <w:tcBorders/>
            <w:shd w:fill="EEEEEE" w:val="clear"/>
            <w:vAlign w:val="center"/>
          </w:tcPr>
          <w:p>
            <w:pPr>
              <w:pStyle w:val="TableContents"/>
              <w:bidi w:val="0"/>
              <w:spacing w:before="0" w:after="283"/>
              <w:jc w:val="left"/>
              <w:rPr/>
            </w:pPr>
            <w:r>
              <w:rPr/>
              <w:t> </w:t>
            </w:r>
          </w:p>
        </w:tc>
        <w:tc>
          <w:tcPr>
            <w:tcW w:w="20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74" w:name="xdx_98D_eus-gaap--OtherOperatingIncome_p"/>
            <w:bookmarkEnd w:id="274"/>
          </w:p>
        </w:tc>
        <w:tc>
          <w:tcPr>
            <w:tcW w:w="814" w:type="dxa"/>
            <w:tcBorders>
              <w:bottom w:val="double" w:sz="6" w:space="0" w:color="000000"/>
            </w:tcBorders>
            <w:shd w:fill="EEEEEE" w:val="clear"/>
            <w:tcMar>
              <w:bottom w:w="28" w:type="dxa"/>
            </w:tcMar>
            <w:vAlign w:val="center"/>
          </w:tcPr>
          <w:p>
            <w:pPr>
              <w:pStyle w:val="TableContents"/>
              <w:bidi w:val="0"/>
              <w:spacing w:before="0" w:after="283"/>
              <w:jc w:val="right"/>
              <w:rPr/>
            </w:pPr>
            <w:r>
              <w:rPr/>
              <w:t>1,402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75" w:name="xdx_986_eus-gaap--OtherOperatingIncome_p"/>
            <w:bookmarkEnd w:id="275"/>
          </w:p>
        </w:tc>
        <w:tc>
          <w:tcPr>
            <w:tcW w:w="703" w:type="dxa"/>
            <w:tcBorders>
              <w:bottom w:val="double" w:sz="6" w:space="0" w:color="000000"/>
            </w:tcBorders>
            <w:shd w:fill="EEEEEE" w:val="clear"/>
            <w:tcMar>
              <w:bottom w:w="28" w:type="dxa"/>
            </w:tcMar>
            <w:vAlign w:val="center"/>
          </w:tcPr>
          <w:p>
            <w:pPr>
              <w:pStyle w:val="TableContents"/>
              <w:bidi w:val="0"/>
              <w:spacing w:before="0" w:after="283"/>
              <w:jc w:val="right"/>
              <w:rPr/>
            </w:pPr>
            <w:r>
              <w:rPr/>
              <w:t>6,890</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76" w:name="xdx_986_eus-gaap--OtherOperatingIncome_p"/>
            <w:bookmarkEnd w:id="276"/>
          </w:p>
        </w:tc>
        <w:tc>
          <w:tcPr>
            <w:tcW w:w="703" w:type="dxa"/>
            <w:tcBorders>
              <w:bottom w:val="double" w:sz="6" w:space="0" w:color="000000"/>
            </w:tcBorders>
            <w:shd w:fill="EEEEEE" w:val="clear"/>
            <w:tcMar>
              <w:bottom w:w="28" w:type="dxa"/>
            </w:tcMar>
            <w:vAlign w:val="center"/>
          </w:tcPr>
          <w:p>
            <w:pPr>
              <w:pStyle w:val="TableContents"/>
              <w:bidi w:val="0"/>
              <w:spacing w:before="0" w:after="283"/>
              <w:jc w:val="right"/>
              <w:rPr/>
            </w:pPr>
            <w:r>
              <w:rPr/>
              <w:t>2,843</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7" w:name="xdx_8A0_zZzGronDFNvc"/>
      <w:bookmarkEnd w:id="27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8" w:name="xdx_864_zYfqQ6WCZYwc"/>
      <w:bookmarkStart w:id="279" w:name="xdx_848_eus-gaap--LesseeLeasesPolicyText"/>
      <w:bookmarkEnd w:id="278"/>
      <w:bookmarkEnd w:id="279"/>
      <w:r>
        <w:rPr>
          <w:rFonts w:ascii="Times New Roman;Times;Serif" w:hAnsi="Times New Roman;Times;Serif"/>
          <w:b/>
          <w:i w:val="false"/>
          <w:caps w:val="false"/>
          <w:smallCaps w:val="false"/>
          <w:sz w:val="20"/>
        </w:rPr>
        <w:t>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80" w:name="xdx_23F_zrQlTBYZVfBg"/>
      <w:bookmarkEnd w:id="280"/>
      <w:r>
        <w:rPr>
          <w:caps w:val="false"/>
          <w:smallCaps w:val="false"/>
        </w:rPr>
        <w:t> </w:t>
      </w:r>
    </w:p>
    <w:p>
      <w:pPr>
        <w:pStyle w:val="TextBody"/>
        <w:bidi w:val="0"/>
        <w:spacing w:before="0" w:after="0"/>
        <w:ind w:left="0" w:right="0" w:hanging="0"/>
        <w:jc w:val="both"/>
        <w:rPr>
          <w:caps w:val="false"/>
          <w:smallCaps w:val="false"/>
        </w:rPr>
      </w:pPr>
      <w:bookmarkStart w:id="281" w:name="xdx_231_zxbHRx8SkvIa"/>
      <w:bookmarkEnd w:id="28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82" w:name="xdx_23C_zjMDmXUxgfJi"/>
      <w:bookmarkEnd w:id="28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supplemental balance sheet information related to leases:</w:t>
      </w:r>
    </w:p>
    <w:p>
      <w:pPr>
        <w:pStyle w:val="Normal"/>
        <w:bidi w:val="0"/>
        <w:spacing w:before="0" w:after="0"/>
        <w:ind w:left="0" w:right="0" w:hanging="0"/>
        <w:jc w:val="left"/>
        <w:rPr>
          <w:sz w:val="4"/>
          <w:szCs w:val="4"/>
        </w:rPr>
      </w:pPr>
      <w:r>
        <w:rPr>
          <w:sz w:val="4"/>
          <w:szCs w:val="4"/>
        </w:rPr>
      </w:r>
      <w:bookmarkStart w:id="283" w:name="xdx_89E_esrt--ScheduleOfCondensedBalance"/>
      <w:bookmarkStart w:id="284" w:name="xdx_89E_esrt--ScheduleOfCondensedBalance"/>
      <w:bookmarkEnd w:id="284"/>
    </w:p>
    <w:tbl>
      <w:tblPr>
        <w:tblW w:w="9119" w:type="dxa"/>
        <w:jc w:val="left"/>
        <w:tblInd w:w="0" w:type="dxa"/>
        <w:tblLayout w:type="fixed"/>
        <w:tblCellMar>
          <w:top w:w="0" w:type="dxa"/>
          <w:left w:w="0" w:type="dxa"/>
          <w:bottom w:w="0" w:type="dxa"/>
          <w:right w:w="0" w:type="dxa"/>
        </w:tblCellMar>
      </w:tblPr>
      <w:tblGrid>
        <w:gridCol w:w="6485"/>
        <w:gridCol w:w="60"/>
        <w:gridCol w:w="140"/>
        <w:gridCol w:w="755"/>
        <w:gridCol w:w="95"/>
        <w:gridCol w:w="60"/>
        <w:gridCol w:w="221"/>
        <w:gridCol w:w="1193"/>
        <w:gridCol w:w="110"/>
      </w:tblGrid>
      <w:tr>
        <w:trPr/>
        <w:tc>
          <w:tcPr>
            <w:tcW w:w="6485" w:type="dxa"/>
            <w:tcBorders/>
            <w:vAlign w:val="center"/>
          </w:tcPr>
          <w:p>
            <w:pPr>
              <w:pStyle w:val="TableContents"/>
              <w:bidi w:val="0"/>
              <w:spacing w:before="0" w:after="283"/>
              <w:jc w:val="left"/>
              <w:rPr/>
            </w:pPr>
            <w:bookmarkStart w:id="285" w:name="xdx_8BE_zji1SLt0GWMb"/>
            <w:bookmarkEnd w:id="285"/>
            <w:r>
              <w:rPr/>
              <w:t>Schedule of supplemental balance sheet information related to leases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286" w:name="xdx_496_20260630_zjHHyGfrVsx"/>
            <w:bookmarkEnd w:id="286"/>
          </w:p>
        </w:tc>
        <w:tc>
          <w:tcPr>
            <w:tcW w:w="75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bookmarkStart w:id="287" w:name="xdx_49D_20251231_zZfMEmrslhw2"/>
            <w:bookmarkEnd w:id="287"/>
          </w:p>
        </w:tc>
        <w:tc>
          <w:tcPr>
            <w:tcW w:w="1193"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4"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bookmarkStart w:id="288" w:name="xdx_40C_eus-gaap--AssetsAndLiabilitiesLe"/>
            <w:bookmarkEnd w:id="288"/>
          </w:p>
        </w:tc>
      </w:tr>
      <w:tr>
        <w:trPr/>
        <w:tc>
          <w:tcPr>
            <w:tcW w:w="6485" w:type="dxa"/>
            <w:tcBorders/>
            <w:shd w:fill="EEEEEE" w:val="clear"/>
            <w:vAlign w:val="center"/>
          </w:tcPr>
          <w:p>
            <w:pPr>
              <w:pStyle w:val="TableContents"/>
              <w:bidi w:val="0"/>
              <w:spacing w:before="0" w:after="283"/>
              <w:jc w:val="left"/>
              <w:rPr>
                <w:b/>
              </w:rPr>
            </w:pPr>
            <w:r>
              <w:rPr>
                <w:b/>
              </w:rPr>
              <w:t>Operating Leases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193"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289" w:name="xdx_40C_ecustom--OperatingLeaseRightOfUs"/>
            <w:bookmarkEnd w:id="289"/>
          </w:p>
        </w:tc>
      </w:tr>
      <w:tr>
        <w:trPr/>
        <w:tc>
          <w:tcPr>
            <w:tcW w:w="6485"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53,225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3" w:type="dxa"/>
            <w:tcBorders/>
            <w:shd w:fill="FFFFFF" w:val="clear"/>
            <w:vAlign w:val="center"/>
          </w:tcPr>
          <w:p>
            <w:pPr>
              <w:pStyle w:val="TableContents"/>
              <w:bidi w:val="0"/>
              <w:spacing w:before="0" w:after="283"/>
              <w:jc w:val="right"/>
              <w:rPr/>
            </w:pPr>
            <w:r>
              <w:rPr/>
              <w:t>53,225</w:t>
            </w:r>
          </w:p>
        </w:tc>
        <w:tc>
          <w:tcPr>
            <w:tcW w:w="110" w:type="dxa"/>
            <w:tcBorders/>
            <w:shd w:fill="FFFFFF" w:val="clear"/>
            <w:vAlign w:val="center"/>
          </w:tcPr>
          <w:p>
            <w:pPr>
              <w:pStyle w:val="TableContents"/>
              <w:bidi w:val="0"/>
              <w:spacing w:before="0" w:after="283"/>
              <w:jc w:val="left"/>
              <w:rPr/>
            </w:pPr>
            <w:r>
              <w:rPr/>
              <w:t> </w:t>
            </w:r>
            <w:bookmarkStart w:id="290" w:name="xdx_40D_ecustom--OperatingLeaseRightOfUs"/>
            <w:bookmarkEnd w:id="290"/>
          </w:p>
        </w:tc>
      </w:tr>
      <w:tr>
        <w:trPr/>
        <w:tc>
          <w:tcPr>
            <w:tcW w:w="6485" w:type="dxa"/>
            <w:tcBorders/>
            <w:shd w:fill="EEEEEE" w:val="clear"/>
            <w:vAlign w:val="center"/>
          </w:tcPr>
          <w:p>
            <w:pPr>
              <w:pStyle w:val="TableContents"/>
              <w:bidi w:val="0"/>
              <w:spacing w:before="0" w:after="283"/>
              <w:jc w:val="left"/>
              <w:rPr/>
            </w:pPr>
            <w:r>
              <w:rPr/>
              <w:t>Less: Accumulated amortization right-of-use assets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EEEEEE" w:val="clear"/>
            <w:tcMar>
              <w:bottom w:w="28" w:type="dxa"/>
            </w:tcMar>
            <w:vAlign w:val="center"/>
          </w:tcPr>
          <w:p>
            <w:pPr>
              <w:pStyle w:val="TableContents"/>
              <w:bidi w:val="0"/>
              <w:spacing w:before="0" w:after="283"/>
              <w:jc w:val="right"/>
              <w:rPr/>
            </w:pPr>
            <w:r>
              <w:rPr/>
              <w:t>(38,620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EEEEEE" w:val="clear"/>
            <w:tcMar>
              <w:bottom w:w="28" w:type="dxa"/>
            </w:tcMar>
            <w:vAlign w:val="center"/>
          </w:tcPr>
          <w:p>
            <w:pPr>
              <w:pStyle w:val="TableContents"/>
              <w:bidi w:val="0"/>
              <w:spacing w:before="0" w:after="283"/>
              <w:jc w:val="right"/>
              <w:rPr/>
            </w:pPr>
            <w:r>
              <w:rPr/>
              <w:t>(36,281</w:t>
            </w:r>
          </w:p>
        </w:tc>
        <w:tc>
          <w:tcPr>
            <w:tcW w:w="110" w:type="dxa"/>
            <w:tcBorders/>
            <w:shd w:fill="EEEEEE" w:val="clear"/>
            <w:vAlign w:val="center"/>
          </w:tcPr>
          <w:p>
            <w:pPr>
              <w:pStyle w:val="TableContents"/>
              <w:bidi w:val="0"/>
              <w:spacing w:before="0" w:after="283"/>
              <w:jc w:val="left"/>
              <w:rPr/>
            </w:pPr>
            <w:r>
              <w:rPr/>
              <w:t>)</w:t>
            </w:r>
            <w:bookmarkStart w:id="291" w:name="xdx_40B_eus-gaap--OperatingLeaseRightOfU"/>
            <w:bookmarkEnd w:id="291"/>
          </w:p>
        </w:tc>
      </w:tr>
      <w:tr>
        <w:trPr/>
        <w:tc>
          <w:tcPr>
            <w:tcW w:w="6485"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14,605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16,944</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193"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292" w:name="xdx_402_eus-gaap--OperatingLeaseLiabilit"/>
            <w:bookmarkEnd w:id="292"/>
          </w:p>
        </w:tc>
      </w:tr>
      <w:tr>
        <w:trPr/>
        <w:tc>
          <w:tcPr>
            <w:tcW w:w="648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(16,765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3" w:type="dxa"/>
            <w:tcBorders/>
            <w:shd w:fill="FFFFFF" w:val="clear"/>
            <w:vAlign w:val="center"/>
          </w:tcPr>
          <w:p>
            <w:pPr>
              <w:pStyle w:val="TableContents"/>
              <w:bidi w:val="0"/>
              <w:spacing w:before="0" w:after="283"/>
              <w:jc w:val="right"/>
              <w:rPr/>
            </w:pPr>
            <w:r>
              <w:rPr/>
              <w:t>(19,236</w:t>
            </w:r>
          </w:p>
        </w:tc>
        <w:tc>
          <w:tcPr>
            <w:tcW w:w="110" w:type="dxa"/>
            <w:tcBorders/>
            <w:shd w:fill="FFFFFF" w:val="clear"/>
            <w:vAlign w:val="center"/>
          </w:tcPr>
          <w:p>
            <w:pPr>
              <w:pStyle w:val="TableContents"/>
              <w:bidi w:val="0"/>
              <w:spacing w:before="0" w:after="283"/>
              <w:jc w:val="left"/>
              <w:rPr/>
            </w:pPr>
            <w:r>
              <w:rPr/>
              <w:t>)</w:t>
            </w:r>
          </w:p>
        </w:tc>
      </w:tr>
      <w:tr>
        <w:trPr/>
        <w:tc>
          <w:tcPr>
            <w:tcW w:w="64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193"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293" w:name="xdx_40D_ecustom--FinanceLeasesAbstract_i"/>
            <w:bookmarkEnd w:id="293"/>
          </w:p>
        </w:tc>
      </w:tr>
      <w:tr>
        <w:trPr/>
        <w:tc>
          <w:tcPr>
            <w:tcW w:w="6485" w:type="dxa"/>
            <w:tcBorders/>
            <w:shd w:fill="FFFFFF" w:val="clear"/>
            <w:vAlign w:val="center"/>
          </w:tcPr>
          <w:p>
            <w:pPr>
              <w:pStyle w:val="TableContents"/>
              <w:bidi w:val="0"/>
              <w:spacing w:before="0" w:after="283"/>
              <w:jc w:val="left"/>
              <w:rPr>
                <w:b/>
              </w:rPr>
            </w:pPr>
            <w:r>
              <w:rPr>
                <w:b/>
              </w:rPr>
              <w:t>Finance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4" w:name="xdx_40D_eus-gaap--FinanceLeaseRightOfUse"/>
            <w:bookmarkEnd w:id="294"/>
          </w:p>
        </w:tc>
      </w:tr>
      <w:tr>
        <w:trPr/>
        <w:tc>
          <w:tcPr>
            <w:tcW w:w="6485" w:type="dxa"/>
            <w:tcBorders/>
            <w:shd w:fill="EEEEEE" w:val="clear"/>
            <w:vAlign w:val="center"/>
          </w:tcPr>
          <w:p>
            <w:pPr>
              <w:pStyle w:val="TableContents"/>
              <w:bidi w:val="0"/>
              <w:spacing w:before="0" w:after="283"/>
              <w:jc w:val="left"/>
              <w:rPr/>
            </w:pPr>
            <w:r>
              <w:rPr/>
              <w:t>Property and equipment, at cost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55" w:type="dxa"/>
            <w:tcBorders/>
            <w:shd w:fill="EEEEEE" w:val="clear"/>
            <w:vAlign w:val="center"/>
          </w:tcPr>
          <w:p>
            <w:pPr>
              <w:pStyle w:val="TableContents"/>
              <w:bidi w:val="0"/>
              <w:spacing w:before="0" w:after="283"/>
              <w:jc w:val="right"/>
              <w:rPr/>
            </w:pPr>
            <w:r>
              <w:rPr/>
              <w:t>4,589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193" w:type="dxa"/>
            <w:tcBorders/>
            <w:shd w:fill="EEEEEE" w:val="clear"/>
            <w:vAlign w:val="center"/>
          </w:tcPr>
          <w:p>
            <w:pPr>
              <w:pStyle w:val="TableContents"/>
              <w:bidi w:val="0"/>
              <w:spacing w:before="0" w:after="283"/>
              <w:jc w:val="right"/>
              <w:rPr/>
            </w:pPr>
            <w:r>
              <w:rPr/>
              <w:t>4,097</w:t>
            </w:r>
          </w:p>
        </w:tc>
        <w:tc>
          <w:tcPr>
            <w:tcW w:w="110" w:type="dxa"/>
            <w:tcBorders/>
            <w:shd w:fill="EEEEEE" w:val="clear"/>
            <w:vAlign w:val="center"/>
          </w:tcPr>
          <w:p>
            <w:pPr>
              <w:pStyle w:val="TableContents"/>
              <w:bidi w:val="0"/>
              <w:spacing w:before="0" w:after="283"/>
              <w:jc w:val="left"/>
              <w:rPr/>
            </w:pPr>
            <w:r>
              <w:rPr/>
              <w:t> </w:t>
            </w:r>
            <w:bookmarkStart w:id="295" w:name="xdx_403_eus-gaap--FinanceLeaseRightOfUse"/>
            <w:bookmarkEnd w:id="295"/>
          </w:p>
        </w:tc>
      </w:tr>
      <w:tr>
        <w:trPr/>
        <w:tc>
          <w:tcPr>
            <w:tcW w:w="6485"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(3,869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(3,684</w:t>
            </w:r>
          </w:p>
        </w:tc>
        <w:tc>
          <w:tcPr>
            <w:tcW w:w="110" w:type="dxa"/>
            <w:tcBorders/>
            <w:shd w:fill="FFFFFF" w:val="clear"/>
            <w:vAlign w:val="center"/>
          </w:tcPr>
          <w:p>
            <w:pPr>
              <w:pStyle w:val="TableContents"/>
              <w:bidi w:val="0"/>
              <w:spacing w:before="0" w:after="283"/>
              <w:jc w:val="left"/>
              <w:rPr/>
            </w:pPr>
            <w:r>
              <w:rPr/>
              <w:t>)</w:t>
            </w:r>
            <w:bookmarkStart w:id="296" w:name="xdx_407_eus-gaap--FinanceLeaseRightOfUse"/>
            <w:bookmarkEnd w:id="296"/>
          </w:p>
        </w:tc>
      </w:tr>
      <w:tr>
        <w:trPr/>
        <w:tc>
          <w:tcPr>
            <w:tcW w:w="6485" w:type="dxa"/>
            <w:tcBorders/>
            <w:shd w:fill="EEEEEE" w:val="clear"/>
            <w:vAlign w:val="center"/>
          </w:tcPr>
          <w:p>
            <w:pPr>
              <w:pStyle w:val="TableContents"/>
              <w:bidi w:val="0"/>
              <w:spacing w:before="0" w:after="283"/>
              <w:jc w:val="left"/>
              <w:rPr/>
            </w:pPr>
            <w:r>
              <w:rPr/>
              <w:t>Property and equipment, net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EEEEEE" w:val="clear"/>
            <w:tcMar>
              <w:bottom w:w="28" w:type="dxa"/>
            </w:tcMar>
            <w:vAlign w:val="center"/>
          </w:tcPr>
          <w:p>
            <w:pPr>
              <w:pStyle w:val="TableContents"/>
              <w:bidi w:val="0"/>
              <w:spacing w:before="0" w:after="283"/>
              <w:jc w:val="right"/>
              <w:rPr/>
            </w:pPr>
            <w:r>
              <w:rPr/>
              <w:t>720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EEEEEE" w:val="clear"/>
            <w:tcMar>
              <w:bottom w:w="28" w:type="dxa"/>
            </w:tcMar>
            <w:vAlign w:val="center"/>
          </w:tcPr>
          <w:p>
            <w:pPr>
              <w:pStyle w:val="TableContents"/>
              <w:bidi w:val="0"/>
              <w:spacing w:before="0" w:after="283"/>
              <w:jc w:val="right"/>
              <w:rPr/>
            </w:pPr>
            <w:r>
              <w:rPr/>
              <w:t>413</w:t>
            </w:r>
          </w:p>
        </w:tc>
        <w:tc>
          <w:tcPr>
            <w:tcW w:w="110" w:type="dxa"/>
            <w:tcBorders/>
            <w:shd w:fill="EEEEEE"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7" w:name="xdx_400_eus-gaap--FinanceLeaseLiability_"/>
            <w:bookmarkEnd w:id="297"/>
          </w:p>
        </w:tc>
      </w:tr>
      <w:tr>
        <w:trPr/>
        <w:tc>
          <w:tcPr>
            <w:tcW w:w="6485" w:type="dxa"/>
            <w:tcBorders/>
            <w:shd w:fill="EEEEEE" w:val="clear"/>
            <w:vAlign w:val="center"/>
          </w:tcPr>
          <w:p>
            <w:pPr>
              <w:pStyle w:val="TableContents"/>
              <w:bidi w:val="0"/>
              <w:spacing w:before="0" w:after="283"/>
              <w:jc w:val="left"/>
              <w:rPr/>
            </w:pPr>
            <w:r>
              <w:rPr/>
              <w:t>Finance lease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55" w:type="dxa"/>
            <w:tcBorders/>
            <w:shd w:fill="EEEEEE" w:val="clear"/>
            <w:vAlign w:val="center"/>
          </w:tcPr>
          <w:p>
            <w:pPr>
              <w:pStyle w:val="TableContents"/>
              <w:bidi w:val="0"/>
              <w:spacing w:before="0" w:after="283"/>
              <w:jc w:val="right"/>
              <w:rPr/>
            </w:pPr>
            <w:r>
              <w:rPr/>
              <w:t>(743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193" w:type="dxa"/>
            <w:tcBorders/>
            <w:shd w:fill="EEEEEE" w:val="clear"/>
            <w:vAlign w:val="center"/>
          </w:tcPr>
          <w:p>
            <w:pPr>
              <w:pStyle w:val="TableContents"/>
              <w:bidi w:val="0"/>
              <w:spacing w:before="0" w:after="283"/>
              <w:jc w:val="right"/>
              <w:rPr/>
            </w:pPr>
            <w:r>
              <w:rPr/>
              <w:t>(428</w:t>
            </w:r>
          </w:p>
        </w:tc>
        <w:tc>
          <w:tcPr>
            <w:tcW w:w="110" w:type="dxa"/>
            <w:tcBorders/>
            <w:shd w:fill="EEEEEE" w:val="clear"/>
            <w:vAlign w:val="center"/>
          </w:tcPr>
          <w:p>
            <w:pPr>
              <w:pStyle w:val="TableContents"/>
              <w:bidi w:val="0"/>
              <w:spacing w:before="0" w:after="283"/>
              <w:jc w:val="left"/>
              <w:rPr/>
            </w:pPr>
            <w:r>
              <w:rPr/>
              <w:t>)</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8" w:name="xdx_40E_ecustom--WeightedAverageDiscount"/>
            <w:bookmarkEnd w:id="298"/>
          </w:p>
        </w:tc>
      </w:tr>
      <w:tr>
        <w:trPr/>
        <w:tc>
          <w:tcPr>
            <w:tcW w:w="6485" w:type="dxa"/>
            <w:tcBorders/>
            <w:shd w:fill="EEEEEE" w:val="clear"/>
            <w:vAlign w:val="center"/>
          </w:tcPr>
          <w:p>
            <w:pPr>
              <w:pStyle w:val="TableContents"/>
              <w:bidi w:val="0"/>
              <w:spacing w:before="0" w:after="283"/>
              <w:jc w:val="left"/>
              <w:rPr>
                <w:b/>
              </w:rPr>
            </w:pPr>
            <w:r>
              <w:rPr>
                <w:b/>
              </w:rPr>
              <w:t>Weighted Average Discount Rate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193"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299" w:name="xdx_403_eus-gaap--OperatingLeaseWeighted"/>
            <w:bookmarkEnd w:id="299"/>
          </w:p>
        </w:tc>
      </w:tr>
      <w:tr>
        <w:trPr/>
        <w:tc>
          <w:tcPr>
            <w:tcW w:w="6485" w:type="dxa"/>
            <w:tcBorders/>
            <w:shd w:fill="FFFFFF" w:val="clear"/>
            <w:vAlign w:val="center"/>
          </w:tcPr>
          <w:p>
            <w:pPr>
              <w:pStyle w:val="TableContents"/>
              <w:bidi w:val="0"/>
              <w:spacing w:before="0" w:after="283"/>
              <w:jc w:val="left"/>
              <w:rPr/>
            </w:pPr>
            <w:r>
              <w:rPr/>
              <w:t>Operating lease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 </w:t>
            </w:r>
            <w:bookmarkStart w:id="300" w:name="xdx_40D_eus-gaap--FinanceLeaseWeightedAv"/>
            <w:bookmarkEnd w:id="300"/>
          </w:p>
        </w:tc>
      </w:tr>
      <w:tr>
        <w:trPr/>
        <w:tc>
          <w:tcPr>
            <w:tcW w:w="6485" w:type="dxa"/>
            <w:tcBorders/>
            <w:shd w:fill="EEEEEE" w:val="clear"/>
            <w:vAlign w:val="center"/>
          </w:tcPr>
          <w:p>
            <w:pPr>
              <w:pStyle w:val="TableContents"/>
              <w:bidi w:val="0"/>
              <w:spacing w:before="0" w:after="283"/>
              <w:jc w:val="left"/>
              <w:rPr/>
            </w:pPr>
            <w:r>
              <w:rPr/>
              <w:t>Finance lease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pPr>
            <w:r>
              <w:rPr/>
              <w:t>6.6%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193" w:type="dxa"/>
            <w:tcBorders/>
            <w:shd w:fill="EEEEEE" w:val="clear"/>
            <w:vAlign w:val="center"/>
          </w:tcPr>
          <w:p>
            <w:pPr>
              <w:pStyle w:val="TableContents"/>
              <w:bidi w:val="0"/>
              <w:spacing w:before="0" w:after="283"/>
              <w:jc w:val="right"/>
              <w:rPr/>
            </w:pPr>
            <w:r>
              <w:rPr/>
              <w:t>6.4%</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bookmarkStart w:id="301" w:name="xdx_8AA_ziGJNxky9EQb"/>
      <w:bookmarkEnd w:id="301"/>
      <w:r>
        <w:rPr/>
        <w:t> </w:t>
      </w:r>
    </w:p>
    <w:p>
      <w:pPr>
        <w:pStyle w:val="TextBody"/>
        <w:bidi w:val="0"/>
        <w:jc w:val="left"/>
        <w:rPr>
          <w:b/>
        </w:rPr>
      </w:pPr>
      <w:r>
        <w:rPr>
          <w:b/>
        </w:rPr>
        <w:t>Maturities of lease liabilities were as follows:</w:t>
      </w:r>
    </w:p>
    <w:p>
      <w:pPr>
        <w:pStyle w:val="Normal"/>
        <w:bidi w:val="0"/>
        <w:spacing w:before="0" w:after="0"/>
        <w:jc w:val="left"/>
        <w:rPr>
          <w:sz w:val="4"/>
          <w:szCs w:val="4"/>
        </w:rPr>
      </w:pPr>
      <w:r>
        <w:rPr>
          <w:sz w:val="4"/>
          <w:szCs w:val="4"/>
        </w:rPr>
      </w:r>
      <w:bookmarkStart w:id="302" w:name="xdx_892_ecustom--LesseeOperatingAndFinan"/>
      <w:bookmarkStart w:id="303" w:name="xdx_892_ecustom--LesseeOperatingAndFinan"/>
      <w:bookmarkEnd w:id="303"/>
    </w:p>
    <w:tbl>
      <w:tblPr>
        <w:tblW w:w="7315" w:type="dxa"/>
        <w:jc w:val="left"/>
        <w:tblInd w:w="0" w:type="dxa"/>
        <w:tblLayout w:type="fixed"/>
        <w:tblCellMar>
          <w:top w:w="0" w:type="dxa"/>
          <w:left w:w="0" w:type="dxa"/>
          <w:bottom w:w="0" w:type="dxa"/>
          <w:right w:w="0" w:type="dxa"/>
        </w:tblCellMar>
      </w:tblPr>
      <w:tblGrid>
        <w:gridCol w:w="5105"/>
        <w:gridCol w:w="60"/>
        <w:gridCol w:w="180"/>
        <w:gridCol w:w="875"/>
        <w:gridCol w:w="95"/>
        <w:gridCol w:w="60"/>
        <w:gridCol w:w="223"/>
        <w:gridCol w:w="607"/>
        <w:gridCol w:w="110"/>
      </w:tblGrid>
      <w:tr>
        <w:trPr/>
        <w:tc>
          <w:tcPr>
            <w:tcW w:w="5105" w:type="dxa"/>
            <w:tcBorders/>
            <w:vAlign w:val="center"/>
          </w:tcPr>
          <w:p>
            <w:pPr>
              <w:pStyle w:val="TableContents"/>
              <w:bidi w:val="0"/>
              <w:spacing w:before="0" w:after="283"/>
              <w:jc w:val="left"/>
              <w:rPr/>
            </w:pPr>
            <w:bookmarkStart w:id="304" w:name="xdx_8BE_zhKoZqFkvlke"/>
            <w:bookmarkEnd w:id="304"/>
            <w:r>
              <w:rPr/>
              <w:t>Schedule of maturities of lease liabilities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b/>
              </w:rPr>
            </w:pPr>
            <w:r>
              <w:rPr>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Finance</w:t>
            </w:r>
          </w:p>
        </w:tc>
        <w:tc>
          <w:tcPr>
            <w:tcW w:w="11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Year Ending December 31,</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Lease</w:t>
            </w:r>
          </w:p>
        </w:tc>
        <w:tc>
          <w:tcPr>
            <w:tcW w:w="110" w:type="dxa"/>
            <w:tcBorders/>
            <w:vAlign w:val="center"/>
          </w:tcPr>
          <w:p>
            <w:pPr>
              <w:pStyle w:val="TableContents"/>
              <w:bidi w:val="0"/>
              <w:spacing w:before="0" w:after="283"/>
              <w:jc w:val="left"/>
              <w:rPr/>
            </w:pPr>
            <w:r>
              <w:rPr/>
              <w:t> </w:t>
            </w:r>
          </w:p>
        </w:tc>
      </w:tr>
      <w:tr>
        <w:trPr/>
        <w:tc>
          <w:tcPr>
            <w:tcW w:w="5105" w:type="dxa"/>
            <w:tcBorders/>
            <w:shd w:fill="EEEEEE" w:val="clear"/>
            <w:vAlign w:val="center"/>
          </w:tcPr>
          <w:p>
            <w:pPr>
              <w:pStyle w:val="TableContents"/>
              <w:bidi w:val="0"/>
              <w:spacing w:before="0" w:after="283"/>
              <w:jc w:val="left"/>
              <w:rPr/>
            </w:pPr>
            <w:r>
              <w:rPr/>
              <w:t>2026 (excluding the six months ended June 30, 2026)</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w:t>
            </w:r>
            <w:bookmarkStart w:id="305" w:name="xdx_982_eus-gaap--LesseeOperatingLeaseLi"/>
            <w:bookmarkEnd w:id="305"/>
          </w:p>
        </w:tc>
        <w:tc>
          <w:tcPr>
            <w:tcW w:w="875" w:type="dxa"/>
            <w:tcBorders/>
            <w:shd w:fill="EEEEEE" w:val="clear"/>
            <w:vAlign w:val="center"/>
          </w:tcPr>
          <w:p>
            <w:pPr>
              <w:pStyle w:val="TableContents"/>
              <w:bidi w:val="0"/>
              <w:spacing w:before="0" w:after="283"/>
              <w:jc w:val="right"/>
              <w:rPr/>
            </w:pPr>
            <w:r>
              <w:rPr/>
              <w:t>2,814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3" w:type="dxa"/>
            <w:tcBorders/>
            <w:shd w:fill="EEEEEE" w:val="clear"/>
            <w:vAlign w:val="center"/>
          </w:tcPr>
          <w:p>
            <w:pPr>
              <w:pStyle w:val="TableContents"/>
              <w:bidi w:val="0"/>
              <w:spacing w:before="0" w:after="283"/>
              <w:jc w:val="left"/>
              <w:rPr/>
            </w:pPr>
            <w:r>
              <w:rPr/>
              <w:t>$</w:t>
            </w:r>
            <w:bookmarkStart w:id="306" w:name="xdx_98B_eus-gaap--FinanceLeaseLiabilityP"/>
            <w:bookmarkEnd w:id="306"/>
          </w:p>
        </w:tc>
        <w:tc>
          <w:tcPr>
            <w:tcW w:w="607" w:type="dxa"/>
            <w:tcBorders/>
            <w:shd w:fill="EEEEEE" w:val="clear"/>
            <w:vAlign w:val="center"/>
          </w:tcPr>
          <w:p>
            <w:pPr>
              <w:pStyle w:val="TableContents"/>
              <w:bidi w:val="0"/>
              <w:spacing w:before="0" w:after="283"/>
              <w:jc w:val="right"/>
              <w:rPr/>
            </w:pPr>
            <w:r>
              <w:rPr/>
              <w:t>206</w:t>
            </w:r>
          </w:p>
        </w:tc>
        <w:tc>
          <w:tcPr>
            <w:tcW w:w="110" w:type="dxa"/>
            <w:tcBorders/>
            <w:shd w:fill="EEEEEE"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bookmarkStart w:id="307" w:name="xdx_98C_eus-gaap--LesseeOperatingLeaseLi"/>
            <w:bookmarkEnd w:id="307"/>
          </w:p>
        </w:tc>
        <w:tc>
          <w:tcPr>
            <w:tcW w:w="875" w:type="dxa"/>
            <w:tcBorders/>
            <w:shd w:fill="FFFFFF" w:val="clear"/>
            <w:vAlign w:val="center"/>
          </w:tcPr>
          <w:p>
            <w:pPr>
              <w:pStyle w:val="TableContents"/>
              <w:bidi w:val="0"/>
              <w:spacing w:before="0" w:after="283"/>
              <w:jc w:val="right"/>
              <w:rPr/>
            </w:pPr>
            <w:r>
              <w:rPr/>
              <w:t>5,756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308" w:name="xdx_985_eus-gaap--FinanceLeaseLiabilityP"/>
            <w:bookmarkEnd w:id="308"/>
          </w:p>
        </w:tc>
        <w:tc>
          <w:tcPr>
            <w:tcW w:w="607" w:type="dxa"/>
            <w:tcBorders/>
            <w:shd w:fill="FFFFFF" w:val="clear"/>
            <w:vAlign w:val="center"/>
          </w:tcPr>
          <w:p>
            <w:pPr>
              <w:pStyle w:val="TableContents"/>
              <w:bidi w:val="0"/>
              <w:spacing w:before="0" w:after="283"/>
              <w:jc w:val="right"/>
              <w:rPr/>
            </w:pPr>
            <w:r>
              <w:rPr/>
              <w:t>355</w:t>
            </w:r>
          </w:p>
        </w:tc>
        <w:tc>
          <w:tcPr>
            <w:tcW w:w="110" w:type="dxa"/>
            <w:tcBorders/>
            <w:shd w:fill="FFFFFF" w:val="clear"/>
            <w:vAlign w:val="center"/>
          </w:tcPr>
          <w:p>
            <w:pPr>
              <w:pStyle w:val="TableContents"/>
              <w:bidi w:val="0"/>
              <w:spacing w:before="0" w:after="283"/>
              <w:jc w:val="left"/>
              <w:rPr/>
            </w:pPr>
            <w:r>
              <w:rPr/>
              <w:t> </w:t>
            </w:r>
          </w:p>
        </w:tc>
      </w:tr>
      <w:tr>
        <w:trPr/>
        <w:tc>
          <w:tcPr>
            <w:tcW w:w="5105" w:type="dxa"/>
            <w:tcBorders/>
            <w:shd w:fill="EEEEEE" w:val="clear"/>
            <w:vAlign w:val="center"/>
          </w:tcPr>
          <w:p>
            <w:pPr>
              <w:pStyle w:val="TableContents"/>
              <w:bidi w:val="0"/>
              <w:spacing w:before="0" w:after="283"/>
              <w:jc w:val="left"/>
              <w:rPr/>
            </w:pPr>
            <w:r>
              <w:rPr/>
              <w:t>2028</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bookmarkStart w:id="309" w:name="xdx_98B_eus-gaap--LesseeOperatingLeaseLi"/>
            <w:bookmarkEnd w:id="309"/>
          </w:p>
        </w:tc>
        <w:tc>
          <w:tcPr>
            <w:tcW w:w="875" w:type="dxa"/>
            <w:tcBorders/>
            <w:shd w:fill="EEEEEE" w:val="clear"/>
            <w:vAlign w:val="center"/>
          </w:tcPr>
          <w:p>
            <w:pPr>
              <w:pStyle w:val="TableContents"/>
              <w:bidi w:val="0"/>
              <w:spacing w:before="0" w:after="283"/>
              <w:jc w:val="right"/>
              <w:rPr/>
            </w:pPr>
            <w:r>
              <w:rPr/>
              <w:t>5,937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3" w:type="dxa"/>
            <w:tcBorders/>
            <w:shd w:fill="EEEEEE" w:val="clear"/>
            <w:vAlign w:val="center"/>
          </w:tcPr>
          <w:p>
            <w:pPr>
              <w:pStyle w:val="TableContents"/>
              <w:bidi w:val="0"/>
              <w:spacing w:before="0" w:after="283"/>
              <w:jc w:val="left"/>
              <w:rPr/>
            </w:pPr>
            <w:r>
              <w:rPr/>
              <w:t> </w:t>
            </w:r>
            <w:bookmarkStart w:id="310" w:name="xdx_98D_eus-gaap--FinanceLeaseLiabilityP"/>
            <w:bookmarkEnd w:id="310"/>
          </w:p>
        </w:tc>
        <w:tc>
          <w:tcPr>
            <w:tcW w:w="607" w:type="dxa"/>
            <w:tcBorders/>
            <w:shd w:fill="EEEEEE" w:val="clear"/>
            <w:vAlign w:val="center"/>
          </w:tcPr>
          <w:p>
            <w:pPr>
              <w:pStyle w:val="TableContents"/>
              <w:bidi w:val="0"/>
              <w:spacing w:before="0" w:after="283"/>
              <w:jc w:val="right"/>
              <w:rPr/>
            </w:pPr>
            <w:r>
              <w:rPr/>
              <w:t>234</w:t>
            </w:r>
          </w:p>
        </w:tc>
        <w:tc>
          <w:tcPr>
            <w:tcW w:w="110" w:type="dxa"/>
            <w:tcBorders/>
            <w:shd w:fill="EEEEEE"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bookmarkStart w:id="311" w:name="xdx_98D_eus-gaap--LesseeOperatingLeaseLi"/>
            <w:bookmarkEnd w:id="311"/>
          </w:p>
        </w:tc>
        <w:tc>
          <w:tcPr>
            <w:tcW w:w="875" w:type="dxa"/>
            <w:tcBorders/>
            <w:shd w:fill="FFFFFF" w:val="clear"/>
            <w:vAlign w:val="center"/>
          </w:tcPr>
          <w:p>
            <w:pPr>
              <w:pStyle w:val="TableContents"/>
              <w:bidi w:val="0"/>
              <w:spacing w:before="0" w:after="283"/>
              <w:jc w:val="right"/>
              <w:rPr/>
            </w:pPr>
            <w:r>
              <w:rPr/>
              <w:t>4,331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312" w:name="xdx_989_eus-gaap--FinanceLeaseLiabilityP"/>
            <w:bookmarkEnd w:id="312"/>
          </w:p>
        </w:tc>
        <w:tc>
          <w:tcPr>
            <w:tcW w:w="607" w:type="dxa"/>
            <w:tcBorders/>
            <w:shd w:fill="FFFFFF" w:val="cle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jc w:val="left"/>
              <w:rPr/>
            </w:pPr>
            <w:r>
              <w:rPr/>
              <w:t> </w:t>
            </w:r>
          </w:p>
        </w:tc>
      </w:tr>
      <w:tr>
        <w:trPr/>
        <w:tc>
          <w:tcPr>
            <w:tcW w:w="5105" w:type="dxa"/>
            <w:tcBorders/>
            <w:shd w:fill="EEEEEE" w:val="clear"/>
            <w:vAlign w:val="center"/>
          </w:tcPr>
          <w:p>
            <w:pPr>
              <w:pStyle w:val="TableContents"/>
              <w:bidi w:val="0"/>
              <w:spacing w:before="0" w:after="283"/>
              <w:jc w:val="left"/>
              <w:rPr/>
            </w:pPr>
            <w:r>
              <w:rPr/>
              <w:t>2030</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bookmarkStart w:id="313" w:name="xdx_98F_eus-gaap--LesseeOperatingLeaseLi"/>
            <w:bookmarkEnd w:id="313"/>
          </w:p>
        </w:tc>
        <w:tc>
          <w:tcPr>
            <w:tcW w:w="875" w:type="dxa"/>
            <w:tcBorders/>
            <w:shd w:fill="EEEEEE" w:val="clear"/>
            <w:vAlign w:val="center"/>
          </w:tcPr>
          <w:p>
            <w:pPr>
              <w:pStyle w:val="TableContents"/>
              <w:bidi w:val="0"/>
              <w:spacing w:before="0" w:after="283"/>
              <w:jc w:val="right"/>
              <w:rPr/>
            </w:pPr>
            <w:r>
              <w:rPr/>
              <w:t>1,171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3" w:type="dxa"/>
            <w:tcBorders/>
            <w:shd w:fill="EEEEEE" w:val="clear"/>
            <w:vAlign w:val="center"/>
          </w:tcPr>
          <w:p>
            <w:pPr>
              <w:pStyle w:val="TableContents"/>
              <w:bidi w:val="0"/>
              <w:spacing w:before="0" w:after="283"/>
              <w:jc w:val="left"/>
              <w:rPr/>
            </w:pPr>
            <w:r>
              <w:rPr/>
              <w:t> </w:t>
            </w:r>
            <w:bookmarkStart w:id="314" w:name="xdx_986_eus-gaap--FinanceLeaseLiabilityP"/>
            <w:bookmarkEnd w:id="314"/>
          </w:p>
        </w:tc>
        <w:tc>
          <w:tcPr>
            <w:tcW w:w="607"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2031</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bookmarkStart w:id="315" w:name="xdx_983_eus-gaap--LesseeOperatingLeaseLi"/>
            <w:bookmarkEnd w:id="315"/>
          </w:p>
        </w:tc>
        <w:tc>
          <w:tcPr>
            <w:tcW w:w="875" w:type="dxa"/>
            <w:tcBorders/>
            <w:shd w:fill="FFFFFF" w:val="clear"/>
            <w:vAlign w:val="center"/>
          </w:tcPr>
          <w:p>
            <w:pPr>
              <w:pStyle w:val="TableContents"/>
              <w:bidi w:val="0"/>
              <w:spacing w:before="0" w:after="283"/>
              <w:jc w:val="right"/>
              <w:rPr/>
            </w:pPr>
            <w:r>
              <w:rPr/>
              <w:t>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316" w:name="xdx_98B_eus-gaap--FinanceLeaseLiabilityP"/>
            <w:bookmarkEnd w:id="316"/>
          </w:p>
        </w:tc>
        <w:tc>
          <w:tcPr>
            <w:tcW w:w="60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05" w:type="dxa"/>
            <w:tcBorders/>
            <w:shd w:fill="EEEEEE" w:val="clear"/>
            <w:vAlign w:val="center"/>
          </w:tcPr>
          <w:p>
            <w:pPr>
              <w:pStyle w:val="TableContents"/>
              <w:bidi w:val="0"/>
              <w:spacing w:before="0" w:after="283"/>
              <w:jc w:val="left"/>
              <w:rPr/>
            </w:pPr>
            <w:r>
              <w:rPr/>
              <w:t>Thereafter</w:t>
            </w:r>
          </w:p>
        </w:tc>
        <w:tc>
          <w:tcPr>
            <w:tcW w:w="60" w:type="dxa"/>
            <w:tcBorders/>
            <w:shd w:fill="EEEEEE" w:val="clear"/>
            <w:vAlign w:val="center"/>
          </w:tcPr>
          <w:p>
            <w:pPr>
              <w:pStyle w:val="TableContents"/>
              <w:bidi w:val="0"/>
              <w:spacing w:before="0" w:after="283"/>
              <w:jc w:val="left"/>
              <w:rPr/>
            </w:pPr>
            <w:r>
              <w:rPr/>
              <w:t> </w:t>
            </w:r>
          </w:p>
        </w:tc>
        <w:tc>
          <w:tcPr>
            <w:tcW w:w="18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317" w:name="xdx_980_eus-gaap--LesseeOperatingLeaseLi"/>
            <w:bookmarkEnd w:id="317"/>
          </w:p>
        </w:tc>
        <w:tc>
          <w:tcPr>
            <w:tcW w:w="875" w:type="dxa"/>
            <w:tcBorders>
              <w:bottom w:val="single" w:sz="8" w:space="0" w:color="000000"/>
            </w:tcBorders>
            <w:shd w:fill="EEEEEE" w:val="clear"/>
            <w:tcMar>
              <w:bottom w:w="28" w:type="dxa"/>
            </w:tcMar>
            <w:vAlign w:val="center"/>
          </w:tcPr>
          <w:p>
            <w:pPr>
              <w:pStyle w:val="TableContents"/>
              <w:bidi w:val="0"/>
              <w:spacing w:before="0" w:after="283"/>
              <w:jc w:val="right"/>
              <w:rPr/>
            </w:pPr>
            <w:r>
              <w:rPr/>
              <w:t>50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318" w:name="xdx_98B_eus-gaap--FinanceLeaseLiabilityP"/>
            <w:bookmarkEnd w:id="318"/>
          </w:p>
        </w:tc>
        <w:tc>
          <w:tcPr>
            <w:tcW w:w="607"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Total undiscounted lease payments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bookmarkStart w:id="319" w:name="xdx_986_eus-gaap--LesseeOperatingLeaseLi"/>
            <w:bookmarkEnd w:id="319"/>
          </w:p>
        </w:tc>
        <w:tc>
          <w:tcPr>
            <w:tcW w:w="875" w:type="dxa"/>
            <w:tcBorders/>
            <w:shd w:fill="FFFFFF" w:val="clear"/>
            <w:vAlign w:val="center"/>
          </w:tcPr>
          <w:p>
            <w:pPr>
              <w:pStyle w:val="TableContents"/>
              <w:bidi w:val="0"/>
              <w:spacing w:before="0" w:after="283"/>
              <w:jc w:val="right"/>
              <w:rPr/>
            </w:pPr>
            <w:r>
              <w:rPr/>
              <w:t>20,778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320" w:name="xdx_984_eus-gaap--FinanceLeaseLiabilityP"/>
            <w:bookmarkEnd w:id="320"/>
          </w:p>
        </w:tc>
        <w:tc>
          <w:tcPr>
            <w:tcW w:w="607" w:type="dxa"/>
            <w:tcBorders/>
            <w:shd w:fill="FFFFFF" w:val="clear"/>
            <w:vAlign w:val="center"/>
          </w:tcPr>
          <w:p>
            <w:pPr>
              <w:pStyle w:val="TableContents"/>
              <w:bidi w:val="0"/>
              <w:spacing w:before="0" w:after="283"/>
              <w:jc w:val="right"/>
              <w:rPr/>
            </w:pPr>
            <w:r>
              <w:rPr/>
              <w:t>805</w:t>
            </w:r>
          </w:p>
        </w:tc>
        <w:tc>
          <w:tcPr>
            <w:tcW w:w="110" w:type="dxa"/>
            <w:tcBorders/>
            <w:shd w:fill="FFFFFF" w:val="clear"/>
            <w:vAlign w:val="center"/>
          </w:tcPr>
          <w:p>
            <w:pPr>
              <w:pStyle w:val="TableContents"/>
              <w:bidi w:val="0"/>
              <w:spacing w:before="0" w:after="283"/>
              <w:jc w:val="left"/>
              <w:rPr/>
            </w:pPr>
            <w:r>
              <w:rPr/>
              <w:t> </w:t>
            </w:r>
          </w:p>
        </w:tc>
      </w:tr>
      <w:tr>
        <w:trPr/>
        <w:tc>
          <w:tcPr>
            <w:tcW w:w="5105" w:type="dxa"/>
            <w:tcBorders/>
            <w:shd w:fill="EEEEEE" w:val="clear"/>
            <w:vAlign w:val="center"/>
          </w:tcPr>
          <w:p>
            <w:pPr>
              <w:pStyle w:val="TableContents"/>
              <w:bidi w:val="0"/>
              <w:spacing w:before="0" w:after="283"/>
              <w:jc w:val="left"/>
              <w:rPr/>
            </w:pPr>
            <w:r>
              <w:rPr/>
              <w:t>Less amounts representing interest</w:t>
            </w:r>
          </w:p>
        </w:tc>
        <w:tc>
          <w:tcPr>
            <w:tcW w:w="60" w:type="dxa"/>
            <w:tcBorders/>
            <w:shd w:fill="EEEEEE" w:val="clear"/>
            <w:vAlign w:val="center"/>
          </w:tcPr>
          <w:p>
            <w:pPr>
              <w:pStyle w:val="TableContents"/>
              <w:bidi w:val="0"/>
              <w:spacing w:before="0" w:after="283"/>
              <w:jc w:val="left"/>
              <w:rPr/>
            </w:pPr>
            <w:r>
              <w:rPr/>
              <w:t> </w:t>
            </w:r>
          </w:p>
        </w:tc>
        <w:tc>
          <w:tcPr>
            <w:tcW w:w="18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321" w:name="xdx_981_eus-gaap--LesseeOperatingLeaseLi"/>
            <w:bookmarkEnd w:id="321"/>
          </w:p>
        </w:tc>
        <w:tc>
          <w:tcPr>
            <w:tcW w:w="875" w:type="dxa"/>
            <w:tcBorders>
              <w:bottom w:val="single" w:sz="8" w:space="0" w:color="000000"/>
            </w:tcBorders>
            <w:shd w:fill="EEEEEE" w:val="clear"/>
            <w:tcMar>
              <w:bottom w:w="28" w:type="dxa"/>
            </w:tcMar>
            <w:vAlign w:val="center"/>
          </w:tcPr>
          <w:p>
            <w:pPr>
              <w:pStyle w:val="TableContents"/>
              <w:bidi w:val="0"/>
              <w:spacing w:before="0" w:after="283"/>
              <w:jc w:val="right"/>
              <w:rPr/>
            </w:pPr>
            <w:r>
              <w:rPr/>
              <w:t>(4,013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322" w:name="xdx_98F_eus-gaap--FinanceLeaseLiabilityU"/>
            <w:bookmarkEnd w:id="322"/>
          </w:p>
        </w:tc>
        <w:tc>
          <w:tcPr>
            <w:tcW w:w="607" w:type="dxa"/>
            <w:tcBorders>
              <w:bottom w:val="single" w:sz="8" w:space="0" w:color="000000"/>
            </w:tcBorders>
            <w:shd w:fill="EEEEEE" w:val="clear"/>
            <w:tcMar>
              <w:bottom w:w="28" w:type="dxa"/>
            </w:tcMar>
            <w:vAlign w:val="center"/>
          </w:tcPr>
          <w:p>
            <w:pPr>
              <w:pStyle w:val="TableContents"/>
              <w:bidi w:val="0"/>
              <w:spacing w:before="0" w:after="283"/>
              <w:jc w:val="right"/>
              <w:rPr/>
            </w:pPr>
            <w:r>
              <w:rPr/>
              <w:t>(62</w:t>
            </w:r>
          </w:p>
        </w:tc>
        <w:tc>
          <w:tcPr>
            <w:tcW w:w="110" w:type="dxa"/>
            <w:tcBorders/>
            <w:shd w:fill="EEEEEE" w:val="clear"/>
            <w:vAlign w:val="center"/>
          </w:tcPr>
          <w:p>
            <w:pPr>
              <w:pStyle w:val="TableContents"/>
              <w:bidi w:val="0"/>
              <w:spacing w:before="0" w:after="283"/>
              <w:jc w:val="left"/>
              <w:rPr/>
            </w:pPr>
            <w:r>
              <w:rPr/>
              <w:t>)</w:t>
            </w:r>
          </w:p>
        </w:tc>
      </w:tr>
      <w:tr>
        <w:trPr/>
        <w:tc>
          <w:tcPr>
            <w:tcW w:w="5105"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23" w:name="xdx_986_eus-gaap--OperatingLeaseLiabilit"/>
            <w:bookmarkEnd w:id="323"/>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16,765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24" w:name="xdx_986_eus-gaap--FinanceLeaseLiability_"/>
            <w:bookmarkEnd w:id="324"/>
          </w:p>
        </w:tc>
        <w:tc>
          <w:tcPr>
            <w:tcW w:w="607" w:type="dxa"/>
            <w:tcBorders>
              <w:bottom w:val="double" w:sz="6" w:space="0" w:color="000000"/>
            </w:tcBorders>
            <w:shd w:fill="FFFFFF" w:val="clear"/>
            <w:tcMar>
              <w:bottom w:w="28" w:type="dxa"/>
            </w:tcMar>
            <w:vAlign w:val="center"/>
          </w:tcPr>
          <w:p>
            <w:pPr>
              <w:pStyle w:val="TableContents"/>
              <w:bidi w:val="0"/>
              <w:spacing w:before="0" w:after="283"/>
              <w:jc w:val="right"/>
              <w:rPr/>
            </w:pPr>
            <w:r>
              <w:rPr/>
              <w:t>743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25" w:name="xdx_8AB_zFYQE3BLZnHi"/>
      <w:bookmarkEnd w:id="325"/>
      <w:r>
        <w:rPr>
          <w:caps w:val="false"/>
          <w:smallCaps w:val="false"/>
        </w:rPr>
        <w:t> </w:t>
      </w:r>
    </w:p>
    <w:p>
      <w:pPr>
        <w:pStyle w:val="TextBody"/>
        <w:bidi w:val="0"/>
        <w:spacing w:before="0" w:after="0"/>
        <w:ind w:left="0" w:right="0" w:hanging="0"/>
        <w:jc w:val="left"/>
        <w:rPr>
          <w:caps w:val="false"/>
          <w:smallCaps w:val="false"/>
        </w:rPr>
      </w:pPr>
      <w:bookmarkStart w:id="326" w:name="xdx_236_zw9NHFUnSCWe"/>
      <w:bookmarkEnd w:id="326"/>
      <w:r>
        <w:rPr>
          <w:caps w:val="false"/>
          <w:smallCaps w:val="false"/>
        </w:rPr>
        <w:t> </w:t>
      </w:r>
    </w:p>
    <w:p>
      <w:pPr>
        <w:pStyle w:val="TextBody"/>
        <w:bidi w:val="0"/>
        <w:spacing w:before="0" w:after="0"/>
        <w:ind w:left="0" w:right="0" w:hanging="0"/>
        <w:jc w:val="left"/>
        <w:rPr>
          <w:caps w:val="false"/>
          <w:smallCaps w:val="false"/>
        </w:rPr>
      </w:pPr>
      <w:bookmarkStart w:id="327" w:name="xdx_238_zUiWSrcKD8Ok"/>
      <w:bookmarkEnd w:id="32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328" w:name="xdx_23D_z6ZS8VXD1rs"/>
      <w:bookmarkEnd w:id="32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lease expense included in General and administrative and Occupancy expense on our Unaudited Condensed Consolidated Statement of Operations:</w:t>
      </w:r>
    </w:p>
    <w:p>
      <w:pPr>
        <w:pStyle w:val="Normal"/>
        <w:bidi w:val="0"/>
        <w:spacing w:before="0" w:after="0"/>
        <w:ind w:left="0" w:right="0" w:hanging="0"/>
        <w:jc w:val="left"/>
        <w:rPr>
          <w:sz w:val="4"/>
          <w:szCs w:val="4"/>
        </w:rPr>
      </w:pPr>
      <w:r>
        <w:rPr>
          <w:sz w:val="4"/>
          <w:szCs w:val="4"/>
        </w:rPr>
      </w:r>
      <w:bookmarkStart w:id="329" w:name="xdx_890_eus-gaap--LeaseCostTableTextBloc"/>
      <w:bookmarkStart w:id="330" w:name="xdx_890_eus-gaap--LeaseCostTableTextBloc"/>
      <w:bookmarkEnd w:id="330"/>
    </w:p>
    <w:tbl>
      <w:tblPr>
        <w:tblW w:w="6489" w:type="dxa"/>
        <w:jc w:val="left"/>
        <w:tblInd w:w="0" w:type="dxa"/>
        <w:tblLayout w:type="fixed"/>
        <w:tblCellMar>
          <w:top w:w="0" w:type="dxa"/>
          <w:left w:w="0" w:type="dxa"/>
          <w:bottom w:w="0" w:type="dxa"/>
          <w:right w:w="0" w:type="dxa"/>
        </w:tblCellMar>
      </w:tblPr>
      <w:tblGrid>
        <w:gridCol w:w="2120"/>
        <w:gridCol w:w="60"/>
        <w:gridCol w:w="203"/>
        <w:gridCol w:w="814"/>
        <w:gridCol w:w="87"/>
        <w:gridCol w:w="87"/>
        <w:gridCol w:w="203"/>
        <w:gridCol w:w="814"/>
        <w:gridCol w:w="60"/>
        <w:gridCol w:w="60"/>
        <w:gridCol w:w="175"/>
        <w:gridCol w:w="703"/>
        <w:gridCol w:w="75"/>
        <w:gridCol w:w="75"/>
        <w:gridCol w:w="175"/>
        <w:gridCol w:w="703"/>
        <w:gridCol w:w="75"/>
      </w:tblGrid>
      <w:tr>
        <w:trPr/>
        <w:tc>
          <w:tcPr>
            <w:tcW w:w="2120" w:type="dxa"/>
            <w:tcBorders/>
            <w:vAlign w:val="center"/>
          </w:tcPr>
          <w:p>
            <w:pPr>
              <w:pStyle w:val="TableContents"/>
              <w:bidi w:val="0"/>
              <w:spacing w:before="0" w:after="283"/>
              <w:jc w:val="left"/>
              <w:rPr/>
            </w:pPr>
            <w:bookmarkStart w:id="331" w:name="xdx_8B5_ztYXSZD3dBra"/>
            <w:bookmarkEnd w:id="331"/>
            <w:r>
              <w:rPr/>
              <w:t>Schedule of lease cost</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bookmarkStart w:id="332" w:name="xdx_49C_20260401__20260630_zcnmcg2LKKO1"/>
            <w:bookmarkEnd w:id="332"/>
          </w:p>
        </w:tc>
        <w:tc>
          <w:tcPr>
            <w:tcW w:w="814"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bookmarkStart w:id="333" w:name="xdx_490_20250401__20250630_zpWBni2Ggu0j"/>
            <w:bookmarkEnd w:id="333"/>
          </w:p>
        </w:tc>
        <w:tc>
          <w:tcPr>
            <w:tcW w:w="8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bookmarkStart w:id="334" w:name="xdx_496_20260101__20260630_z4dWBJK8Ixm5"/>
            <w:bookmarkEnd w:id="334"/>
          </w:p>
        </w:tc>
        <w:tc>
          <w:tcPr>
            <w:tcW w:w="703"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bookmarkStart w:id="335" w:name="xdx_493_20250101__20250630_zqeUnRjbmpD5"/>
            <w:bookmarkEnd w:id="335"/>
          </w:p>
        </w:tc>
        <w:tc>
          <w:tcPr>
            <w:tcW w:w="703"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bookmarkStart w:id="336" w:name="xdx_407_eus-gaap--OperatingLeaseCost_zBU"/>
            <w:bookmarkEnd w:id="336"/>
          </w:p>
        </w:tc>
      </w:tr>
      <w:tr>
        <w:trPr/>
        <w:tc>
          <w:tcPr>
            <w:tcW w:w="2120" w:type="dxa"/>
            <w:tcBorders/>
            <w:shd w:fill="EEEEEE" w:val="clear"/>
            <w:vAlign w:val="center"/>
          </w:tcPr>
          <w:p>
            <w:pPr>
              <w:pStyle w:val="TableContents"/>
              <w:bidi w:val="0"/>
              <w:spacing w:before="0" w:after="283"/>
              <w:jc w:val="left"/>
              <w:rPr/>
            </w:pPr>
            <w:r>
              <w:rPr/>
              <w:t>Operating lease cost</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p>
        </w:tc>
        <w:tc>
          <w:tcPr>
            <w:tcW w:w="814" w:type="dxa"/>
            <w:tcBorders/>
            <w:shd w:fill="EEEEEE" w:val="clear"/>
            <w:vAlign w:val="center"/>
          </w:tcPr>
          <w:p>
            <w:pPr>
              <w:pStyle w:val="TableContents"/>
              <w:bidi w:val="0"/>
              <w:spacing w:before="0" w:after="283"/>
              <w:jc w:val="right"/>
              <w:rPr/>
            </w:pPr>
            <w:r>
              <w:rPr/>
              <w:t>1,317</w:t>
            </w:r>
          </w:p>
        </w:tc>
        <w:tc>
          <w:tcPr>
            <w:tcW w:w="87"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p>
        </w:tc>
        <w:tc>
          <w:tcPr>
            <w:tcW w:w="814" w:type="dxa"/>
            <w:tcBorders/>
            <w:shd w:fill="EEEEEE" w:val="clear"/>
            <w:vAlign w:val="center"/>
          </w:tcPr>
          <w:p>
            <w:pPr>
              <w:pStyle w:val="TableContents"/>
              <w:bidi w:val="0"/>
              <w:spacing w:before="0" w:after="283"/>
              <w:jc w:val="right"/>
              <w:rPr/>
            </w:pPr>
            <w:r>
              <w:rPr/>
              <w:t>1,310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w:t>
            </w:r>
          </w:p>
        </w:tc>
        <w:tc>
          <w:tcPr>
            <w:tcW w:w="703" w:type="dxa"/>
            <w:tcBorders/>
            <w:shd w:fill="EEEEEE" w:val="clear"/>
            <w:vAlign w:val="center"/>
          </w:tcPr>
          <w:p>
            <w:pPr>
              <w:pStyle w:val="TableContents"/>
              <w:bidi w:val="0"/>
              <w:spacing w:before="0" w:after="283"/>
              <w:jc w:val="right"/>
              <w:rPr/>
            </w:pPr>
            <w:r>
              <w:rPr/>
              <w:t>2,637</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w:t>
            </w:r>
          </w:p>
        </w:tc>
        <w:tc>
          <w:tcPr>
            <w:tcW w:w="703" w:type="dxa"/>
            <w:tcBorders/>
            <w:shd w:fill="EEEEEE" w:val="clear"/>
            <w:vAlign w:val="center"/>
          </w:tcPr>
          <w:p>
            <w:pPr>
              <w:pStyle w:val="TableContents"/>
              <w:bidi w:val="0"/>
              <w:spacing w:before="0" w:after="283"/>
              <w:jc w:val="right"/>
              <w:rPr/>
            </w:pPr>
            <w:r>
              <w:rPr/>
              <w:t>2,621</w:t>
            </w:r>
          </w:p>
        </w:tc>
        <w:tc>
          <w:tcPr>
            <w:tcW w:w="75" w:type="dxa"/>
            <w:tcBorders/>
            <w:shd w:fill="EEEEEE" w:val="clear"/>
            <w:vAlign w:val="center"/>
          </w:tcPr>
          <w:p>
            <w:pPr>
              <w:pStyle w:val="TableContents"/>
              <w:bidi w:val="0"/>
              <w:spacing w:before="0" w:after="283"/>
              <w:jc w:val="left"/>
              <w:rPr/>
            </w:pPr>
            <w:r>
              <w:rPr/>
              <w:t> </w:t>
            </w:r>
            <w:bookmarkStart w:id="337" w:name="xdx_408_ecustom--FinanceLeaseCost_zSbFFj"/>
            <w:bookmarkEnd w:id="337"/>
          </w:p>
        </w:tc>
      </w:tr>
      <w:tr>
        <w:trPr/>
        <w:tc>
          <w:tcPr>
            <w:tcW w:w="2120" w:type="dxa"/>
            <w:tcBorders/>
            <w:shd w:fill="FFFFFF" w:val="clear"/>
            <w:vAlign w:val="center"/>
          </w:tcPr>
          <w:p>
            <w:pPr>
              <w:pStyle w:val="TableContents"/>
              <w:bidi w:val="0"/>
              <w:spacing w:before="0" w:after="283"/>
              <w:jc w:val="left"/>
              <w:rPr/>
            </w:pPr>
            <w:r>
              <w:rPr/>
              <w:t>Finance lease cost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103</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pPr>
            <w:r>
              <w:rPr/>
              <w:t>207</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75" w:type="dxa"/>
            <w:tcBorders/>
            <w:shd w:fill="FFFFFF" w:val="clear"/>
            <w:vAlign w:val="center"/>
          </w:tcPr>
          <w:p>
            <w:pPr>
              <w:pStyle w:val="TableContents"/>
              <w:bidi w:val="0"/>
              <w:spacing w:before="0" w:after="283"/>
              <w:jc w:val="left"/>
              <w:rPr/>
            </w:pPr>
            <w:r>
              <w:rPr/>
              <w:t> </w:t>
            </w:r>
            <w:bookmarkStart w:id="338" w:name="xdx_40A_eus-gaap--LeaseCost_i_pn3n3"/>
            <w:bookmarkEnd w:id="338"/>
          </w:p>
        </w:tc>
      </w:tr>
      <w:tr>
        <w:trPr/>
        <w:tc>
          <w:tcPr>
            <w:tcW w:w="2120" w:type="dxa"/>
            <w:tcBorders/>
            <w:shd w:fill="EEEEEE" w:val="clear"/>
            <w:vAlign w:val="center"/>
          </w:tcPr>
          <w:p>
            <w:pPr>
              <w:pStyle w:val="TableContents"/>
              <w:bidi w:val="0"/>
              <w:spacing w:before="0" w:after="283"/>
              <w:jc w:val="left"/>
              <w:rPr/>
            </w:pPr>
            <w:r>
              <w:rPr/>
              <w:t>Total lease cost</w:t>
            </w:r>
          </w:p>
        </w:tc>
        <w:tc>
          <w:tcPr>
            <w:tcW w:w="60" w:type="dxa"/>
            <w:tcBorders/>
            <w:shd w:fill="EEEEEE" w:val="clear"/>
            <w:vAlign w:val="center"/>
          </w:tcPr>
          <w:p>
            <w:pPr>
              <w:pStyle w:val="TableContents"/>
              <w:bidi w:val="0"/>
              <w:spacing w:before="0" w:after="283"/>
              <w:jc w:val="left"/>
              <w:rPr/>
            </w:pPr>
            <w:r>
              <w:rPr/>
              <w:t> </w:t>
            </w:r>
          </w:p>
        </w:tc>
        <w:tc>
          <w:tcPr>
            <w:tcW w:w="20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14" w:type="dxa"/>
            <w:tcBorders>
              <w:bottom w:val="double" w:sz="6" w:space="0" w:color="000000"/>
            </w:tcBorders>
            <w:shd w:fill="EEEEEE" w:val="clear"/>
            <w:tcMar>
              <w:bottom w:w="28" w:type="dxa"/>
            </w:tcMar>
            <w:vAlign w:val="center"/>
          </w:tcPr>
          <w:p>
            <w:pPr>
              <w:pStyle w:val="TableContents"/>
              <w:bidi w:val="0"/>
              <w:spacing w:before="0" w:after="283"/>
              <w:jc w:val="right"/>
              <w:rPr/>
            </w:pPr>
            <w:r>
              <w:rPr/>
              <w:t>1,420</w:t>
            </w:r>
          </w:p>
        </w:tc>
        <w:tc>
          <w:tcPr>
            <w:tcW w:w="87"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14" w:type="dxa"/>
            <w:tcBorders>
              <w:bottom w:val="double" w:sz="6" w:space="0" w:color="000000"/>
            </w:tcBorders>
            <w:shd w:fill="EEEEEE" w:val="clear"/>
            <w:tcMar>
              <w:bottom w:w="28" w:type="dxa"/>
            </w:tcMar>
            <w:vAlign w:val="center"/>
          </w:tcPr>
          <w:p>
            <w:pPr>
              <w:pStyle w:val="TableContents"/>
              <w:bidi w:val="0"/>
              <w:spacing w:before="0" w:after="283"/>
              <w:jc w:val="right"/>
              <w:rPr/>
            </w:pPr>
            <w:r>
              <w:rPr/>
              <w:t>1,365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703" w:type="dxa"/>
            <w:tcBorders>
              <w:bottom w:val="double" w:sz="6" w:space="0" w:color="000000"/>
            </w:tcBorders>
            <w:shd w:fill="EEEEEE" w:val="clear"/>
            <w:tcMar>
              <w:bottom w:w="28" w:type="dxa"/>
            </w:tcMar>
            <w:vAlign w:val="center"/>
          </w:tcPr>
          <w:p>
            <w:pPr>
              <w:pStyle w:val="TableContents"/>
              <w:bidi w:val="0"/>
              <w:spacing w:before="0" w:after="283"/>
              <w:jc w:val="right"/>
              <w:rPr/>
            </w:pPr>
            <w:r>
              <w:rPr/>
              <w:t>2,844</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703" w:type="dxa"/>
            <w:tcBorders>
              <w:bottom w:val="double" w:sz="6" w:space="0" w:color="000000"/>
            </w:tcBorders>
            <w:shd w:fill="EEEEEE" w:val="clear"/>
            <w:tcMar>
              <w:bottom w:w="28" w:type="dxa"/>
            </w:tcMar>
            <w:vAlign w:val="center"/>
          </w:tcPr>
          <w:p>
            <w:pPr>
              <w:pStyle w:val="TableContents"/>
              <w:bidi w:val="0"/>
              <w:spacing w:before="0" w:after="283"/>
              <w:jc w:val="right"/>
              <w:rPr/>
            </w:pPr>
            <w:r>
              <w:rPr/>
              <w:t>2,731</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9" w:name="xdx_8A2_z8bMdAbTeVYh"/>
      <w:bookmarkEnd w:id="33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supplemental cash flow information related to leases:</w:t>
      </w:r>
    </w:p>
    <w:p>
      <w:pPr>
        <w:pStyle w:val="Normal"/>
        <w:bidi w:val="0"/>
        <w:spacing w:before="0" w:after="0"/>
        <w:ind w:left="0" w:right="0" w:hanging="0"/>
        <w:jc w:val="left"/>
        <w:rPr>
          <w:sz w:val="4"/>
          <w:szCs w:val="4"/>
        </w:rPr>
      </w:pPr>
      <w:r>
        <w:rPr>
          <w:sz w:val="4"/>
          <w:szCs w:val="4"/>
        </w:rPr>
      </w:r>
      <w:bookmarkStart w:id="340" w:name="xdx_891_eus-gaap--ScheduleOfCashFlowSupp"/>
      <w:bookmarkStart w:id="341" w:name="xdx_891_eus-gaap--ScheduleOfCashFlowSupp"/>
      <w:bookmarkEnd w:id="341"/>
    </w:p>
    <w:tbl>
      <w:tblPr>
        <w:tblW w:w="10205" w:type="dxa"/>
        <w:jc w:val="left"/>
        <w:tblInd w:w="0" w:type="dxa"/>
        <w:tblLayout w:type="fixed"/>
        <w:tblCellMar>
          <w:top w:w="0" w:type="dxa"/>
          <w:left w:w="0" w:type="dxa"/>
          <w:bottom w:w="0" w:type="dxa"/>
          <w:right w:w="0" w:type="dxa"/>
        </w:tblCellMar>
      </w:tblPr>
      <w:tblGrid>
        <w:gridCol w:w="6044"/>
        <w:gridCol w:w="60"/>
        <w:gridCol w:w="190"/>
        <w:gridCol w:w="764"/>
        <w:gridCol w:w="81"/>
        <w:gridCol w:w="81"/>
        <w:gridCol w:w="190"/>
        <w:gridCol w:w="764"/>
        <w:gridCol w:w="60"/>
        <w:gridCol w:w="60"/>
        <w:gridCol w:w="168"/>
        <w:gridCol w:w="675"/>
        <w:gridCol w:w="72"/>
        <w:gridCol w:w="72"/>
        <w:gridCol w:w="168"/>
        <w:gridCol w:w="675"/>
        <w:gridCol w:w="81"/>
      </w:tblGrid>
      <w:tr>
        <w:trPr/>
        <w:tc>
          <w:tcPr>
            <w:tcW w:w="6044" w:type="dxa"/>
            <w:tcBorders/>
            <w:vAlign w:val="center"/>
          </w:tcPr>
          <w:p>
            <w:pPr>
              <w:pStyle w:val="TableContents"/>
              <w:bidi w:val="0"/>
              <w:spacing w:before="0" w:after="283"/>
              <w:jc w:val="left"/>
              <w:rPr/>
            </w:pPr>
            <w:bookmarkStart w:id="342" w:name="xdx_8B8_zWpeaefTJqVd"/>
            <w:bookmarkEnd w:id="342"/>
            <w:r>
              <w:rPr/>
              <w:t>Schedule of supplemental cash flow information related to leases</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bookmarkStart w:id="343" w:name="xdx_49A_20260401__20260630_zxPONXDAE5X7"/>
            <w:bookmarkEnd w:id="343"/>
          </w:p>
        </w:tc>
        <w:tc>
          <w:tcPr>
            <w:tcW w:w="764"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bookmarkStart w:id="344" w:name="xdx_490_20250401__20250630_zK47hGSDW4Fc"/>
            <w:bookmarkEnd w:id="344"/>
          </w:p>
        </w:tc>
        <w:tc>
          <w:tcPr>
            <w:tcW w:w="7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bookmarkStart w:id="345" w:name="xdx_493_20260101__20260630_zUNittBQFv5c"/>
            <w:bookmarkEnd w:id="345"/>
          </w:p>
        </w:tc>
        <w:tc>
          <w:tcPr>
            <w:tcW w:w="675"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bookmarkStart w:id="346" w:name="xdx_49A_20250101__20250630_zZf2uHfTPge9"/>
            <w:bookmarkEnd w:id="346"/>
          </w:p>
        </w:tc>
        <w:tc>
          <w:tcPr>
            <w:tcW w:w="675"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6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0"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vAlign w:val="center"/>
          </w:tcPr>
          <w:p>
            <w:pPr>
              <w:pStyle w:val="TableContents"/>
              <w:bidi w:val="0"/>
              <w:spacing w:before="0" w:after="283"/>
              <w:jc w:val="center"/>
              <w:rPr>
                <w:b/>
              </w:rPr>
            </w:pPr>
            <w:r>
              <w:rPr>
                <w:b/>
              </w:rPr>
              <w:t>Six Months Ended</w:t>
            </w:r>
          </w:p>
        </w:tc>
        <w:tc>
          <w:tcPr>
            <w:tcW w:w="81" w:type="dxa"/>
            <w:tcBorders/>
            <w:vAlign w:val="center"/>
          </w:tcPr>
          <w:p>
            <w:pPr>
              <w:pStyle w:val="TableContents"/>
              <w:bidi w:val="0"/>
              <w:spacing w:before="0" w:after="283"/>
              <w:jc w:val="left"/>
              <w:rPr/>
            </w:pPr>
            <w:r>
              <w:rPr/>
              <w:t> </w:t>
            </w:r>
          </w:p>
        </w:tc>
      </w:tr>
      <w:tr>
        <w:trPr/>
        <w:tc>
          <w:tcPr>
            <w:tcW w:w="6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81" w:type="dxa"/>
            <w:tcBorders/>
            <w:vAlign w:val="center"/>
          </w:tcPr>
          <w:p>
            <w:pPr>
              <w:pStyle w:val="TableContents"/>
              <w:bidi w:val="0"/>
              <w:spacing w:before="0" w:after="283"/>
              <w:jc w:val="left"/>
              <w:rPr/>
            </w:pPr>
            <w:r>
              <w:rPr/>
              <w:t> </w:t>
            </w:r>
          </w:p>
        </w:tc>
      </w:tr>
      <w:tr>
        <w:trPr/>
        <w:tc>
          <w:tcPr>
            <w:tcW w:w="6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ind w:left="0" w:right="0" w:hanging="200"/>
              <w:jc w:val="left"/>
              <w:rPr/>
            </w:pPr>
            <w:r>
              <w:rPr/>
              <w:t> </w:t>
            </w:r>
            <w:bookmarkStart w:id="347" w:name="xdx_40D_ecustom--CashPaidForAmountsInclu"/>
            <w:bookmarkEnd w:id="347"/>
          </w:p>
        </w:tc>
      </w:tr>
      <w:tr>
        <w:trPr/>
        <w:tc>
          <w:tcPr>
            <w:tcW w:w="6044" w:type="dxa"/>
            <w:tcBorders/>
            <w:vAlign w:val="center"/>
          </w:tcPr>
          <w:p>
            <w:pPr>
              <w:pStyle w:val="TableContents"/>
              <w:bidi w:val="0"/>
              <w:spacing w:before="0" w:after="283"/>
              <w:jc w:val="left"/>
              <w:rPr>
                <w:b/>
              </w:rPr>
            </w:pPr>
            <w:r>
              <w:rPr>
                <w:b/>
              </w:rPr>
              <w:t>Cash paid for amounts included in the measurement of lease liabilities:</w:t>
            </w:r>
          </w:p>
        </w:tc>
        <w:tc>
          <w:tcPr>
            <w:tcW w:w="60" w:type="dxa"/>
            <w:tcBorders/>
            <w:vAlign w:val="center"/>
          </w:tcPr>
          <w:p>
            <w:pPr>
              <w:pStyle w:val="TableContents"/>
              <w:bidi w:val="0"/>
              <w:spacing w:before="0" w:after="283"/>
              <w:jc w:val="left"/>
              <w:rPr/>
            </w:pPr>
            <w:r>
              <w:rPr/>
              <w:t> </w:t>
            </w:r>
          </w:p>
        </w:tc>
        <w:tc>
          <w:tcPr>
            <w:tcW w:w="2070"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vAlign w:val="center"/>
          </w:tcPr>
          <w:p>
            <w:pPr>
              <w:pStyle w:val="TableContents"/>
              <w:bidi w:val="0"/>
              <w:spacing w:before="0" w:after="283"/>
              <w:jc w:val="center"/>
              <w:rPr>
                <w:b/>
              </w:rPr>
            </w:pPr>
            <w:r>
              <w:rPr>
                <w:b/>
              </w:rPr>
              <w:t>(In thousands)</w:t>
            </w:r>
          </w:p>
        </w:tc>
        <w:tc>
          <w:tcPr>
            <w:tcW w:w="81" w:type="dxa"/>
            <w:tcBorders/>
            <w:vAlign w:val="center"/>
          </w:tcPr>
          <w:p>
            <w:pPr>
              <w:pStyle w:val="TableContents"/>
              <w:bidi w:val="0"/>
              <w:spacing w:before="0" w:after="283"/>
              <w:jc w:val="left"/>
              <w:rPr/>
            </w:pPr>
            <w:r>
              <w:rPr/>
              <w:t> </w:t>
            </w:r>
            <w:bookmarkStart w:id="348" w:name="xdx_40B_eus-gaap--OperatingLeasePayments"/>
            <w:bookmarkEnd w:id="348"/>
          </w:p>
        </w:tc>
      </w:tr>
      <w:tr>
        <w:trPr/>
        <w:tc>
          <w:tcPr>
            <w:tcW w:w="6044" w:type="dxa"/>
            <w:tcBorders/>
            <w:shd w:fill="EEEEEE" w:val="clear"/>
            <w:vAlign w:val="center"/>
          </w:tcPr>
          <w:p>
            <w:pPr>
              <w:pStyle w:val="TableContents"/>
              <w:bidi w:val="0"/>
              <w:spacing w:before="0" w:after="283"/>
              <w:jc w:val="left"/>
              <w:rPr/>
            </w:pPr>
            <w:r>
              <w:rPr/>
              <w:t>Operating cash flows from operating leases</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w:t>
            </w:r>
          </w:p>
        </w:tc>
        <w:tc>
          <w:tcPr>
            <w:tcW w:w="764" w:type="dxa"/>
            <w:tcBorders/>
            <w:shd w:fill="EEEEEE" w:val="clear"/>
            <w:vAlign w:val="center"/>
          </w:tcPr>
          <w:p>
            <w:pPr>
              <w:pStyle w:val="TableContents"/>
              <w:bidi w:val="0"/>
              <w:spacing w:before="0" w:after="283"/>
              <w:jc w:val="right"/>
              <w:rPr/>
            </w:pPr>
            <w:r>
              <w:rPr/>
              <w:t>1,317</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w:t>
            </w:r>
          </w:p>
        </w:tc>
        <w:tc>
          <w:tcPr>
            <w:tcW w:w="764" w:type="dxa"/>
            <w:tcBorders/>
            <w:shd w:fill="EEEEEE" w:val="clear"/>
            <w:vAlign w:val="center"/>
          </w:tcPr>
          <w:p>
            <w:pPr>
              <w:pStyle w:val="TableContents"/>
              <w:bidi w:val="0"/>
              <w:spacing w:before="0" w:after="283"/>
              <w:jc w:val="right"/>
              <w:rPr/>
            </w:pPr>
            <w:r>
              <w:rPr/>
              <w:t>1,310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8" w:type="dxa"/>
            <w:tcBorders/>
            <w:shd w:fill="EEEEEE" w:val="clear"/>
            <w:vAlign w:val="center"/>
          </w:tcPr>
          <w:p>
            <w:pPr>
              <w:pStyle w:val="TableContents"/>
              <w:bidi w:val="0"/>
              <w:spacing w:before="0" w:after="283"/>
              <w:jc w:val="left"/>
              <w:rPr/>
            </w:pPr>
            <w:r>
              <w:rPr/>
              <w:t>$</w:t>
            </w:r>
          </w:p>
        </w:tc>
        <w:tc>
          <w:tcPr>
            <w:tcW w:w="675" w:type="dxa"/>
            <w:tcBorders/>
            <w:shd w:fill="EEEEEE" w:val="clear"/>
            <w:vAlign w:val="center"/>
          </w:tcPr>
          <w:p>
            <w:pPr>
              <w:pStyle w:val="TableContents"/>
              <w:bidi w:val="0"/>
              <w:spacing w:before="0" w:after="283"/>
              <w:jc w:val="right"/>
              <w:rPr/>
            </w:pPr>
            <w:r>
              <w:rPr/>
              <w:t>2,637</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8" w:type="dxa"/>
            <w:tcBorders/>
            <w:shd w:fill="EEEEEE" w:val="clear"/>
            <w:vAlign w:val="center"/>
          </w:tcPr>
          <w:p>
            <w:pPr>
              <w:pStyle w:val="TableContents"/>
              <w:bidi w:val="0"/>
              <w:spacing w:before="0" w:after="283"/>
              <w:jc w:val="left"/>
              <w:rPr/>
            </w:pPr>
            <w:r>
              <w:rPr/>
              <w:t>$</w:t>
            </w:r>
          </w:p>
        </w:tc>
        <w:tc>
          <w:tcPr>
            <w:tcW w:w="675" w:type="dxa"/>
            <w:tcBorders/>
            <w:shd w:fill="EEEEEE" w:val="clear"/>
            <w:vAlign w:val="center"/>
          </w:tcPr>
          <w:p>
            <w:pPr>
              <w:pStyle w:val="TableContents"/>
              <w:bidi w:val="0"/>
              <w:spacing w:before="0" w:after="283"/>
              <w:jc w:val="right"/>
              <w:rPr/>
            </w:pPr>
            <w:r>
              <w:rPr/>
              <w:t>2,621</w:t>
            </w:r>
          </w:p>
        </w:tc>
        <w:tc>
          <w:tcPr>
            <w:tcW w:w="81" w:type="dxa"/>
            <w:tcBorders/>
            <w:shd w:fill="EEEEEE" w:val="clear"/>
            <w:vAlign w:val="center"/>
          </w:tcPr>
          <w:p>
            <w:pPr>
              <w:pStyle w:val="TableContents"/>
              <w:bidi w:val="0"/>
              <w:spacing w:before="0" w:after="283"/>
              <w:jc w:val="left"/>
              <w:rPr/>
            </w:pPr>
            <w:r>
              <w:rPr/>
              <w:t> </w:t>
            </w:r>
            <w:bookmarkStart w:id="349" w:name="xdx_40A_eus-gaap--FinanceLeasePrincipalP"/>
            <w:bookmarkEnd w:id="349"/>
          </w:p>
        </w:tc>
      </w:tr>
      <w:tr>
        <w:trPr/>
        <w:tc>
          <w:tcPr>
            <w:tcW w:w="6044" w:type="dxa"/>
            <w:tcBorders/>
            <w:shd w:fill="FFFFFF" w:val="clear"/>
            <w:vAlign w:val="center"/>
          </w:tcPr>
          <w:p>
            <w:pPr>
              <w:pStyle w:val="TableContents"/>
              <w:bidi w:val="0"/>
              <w:spacing w:before="0" w:after="283"/>
              <w:jc w:val="left"/>
              <w:rPr/>
            </w:pPr>
            <w:r>
              <w:rPr/>
              <w:t>Operating cash flows from finance leases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89</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177</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94</w:t>
            </w:r>
          </w:p>
        </w:tc>
        <w:tc>
          <w:tcPr>
            <w:tcW w:w="81" w:type="dxa"/>
            <w:tcBorders/>
            <w:shd w:fill="FFFFFF" w:val="clear"/>
            <w:vAlign w:val="center"/>
          </w:tcPr>
          <w:p>
            <w:pPr>
              <w:pStyle w:val="TableContents"/>
              <w:bidi w:val="0"/>
              <w:spacing w:before="0" w:after="283"/>
              <w:jc w:val="left"/>
              <w:rPr/>
            </w:pPr>
            <w:r>
              <w:rPr/>
              <w:t> </w:t>
            </w:r>
            <w:bookmarkStart w:id="350" w:name="xdx_40E_ecustom--FinancingCashFlowsFromF"/>
            <w:bookmarkEnd w:id="350"/>
          </w:p>
        </w:tc>
      </w:tr>
      <w:tr>
        <w:trPr/>
        <w:tc>
          <w:tcPr>
            <w:tcW w:w="6044" w:type="dxa"/>
            <w:tcBorders/>
            <w:shd w:fill="EEEEEE" w:val="clear"/>
            <w:vAlign w:val="center"/>
          </w:tcPr>
          <w:p>
            <w:pPr>
              <w:pStyle w:val="TableContents"/>
              <w:bidi w:val="0"/>
              <w:spacing w:before="0" w:after="283"/>
              <w:jc w:val="left"/>
              <w:rPr/>
            </w:pPr>
            <w:r>
              <w:rPr/>
              <w:t>Financing cash flows from finance leases</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764" w:type="dxa"/>
            <w:tcBorders/>
            <w:shd w:fill="EEEEEE" w:val="clear"/>
            <w:vAlign w:val="center"/>
          </w:tcPr>
          <w:p>
            <w:pPr>
              <w:pStyle w:val="TableContents"/>
              <w:bidi w:val="0"/>
              <w:spacing w:before="0" w:after="283"/>
              <w:jc w:val="right"/>
              <w:rPr/>
            </w:pPr>
            <w:r>
              <w:rPr/>
              <w:t>14</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764" w:type="dxa"/>
            <w:tcBorders/>
            <w:shd w:fill="EEEEEE" w:val="clear"/>
            <w:vAlign w:val="center"/>
          </w:tcPr>
          <w:p>
            <w:pPr>
              <w:pStyle w:val="TableContents"/>
              <w:bidi w:val="0"/>
              <w:spacing w:before="0" w:after="283"/>
              <w:jc w:val="right"/>
              <w:rPr/>
            </w:pPr>
            <w:r>
              <w:rPr/>
              <w:t>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8" w:type="dxa"/>
            <w:tcBorders/>
            <w:shd w:fill="EEEEEE" w:val="clear"/>
            <w:vAlign w:val="center"/>
          </w:tcPr>
          <w:p>
            <w:pPr>
              <w:pStyle w:val="TableContents"/>
              <w:bidi w:val="0"/>
              <w:spacing w:before="0" w:after="283"/>
              <w:jc w:val="left"/>
              <w:rPr/>
            </w:pPr>
            <w:r>
              <w:rPr/>
              <w:t> </w:t>
            </w:r>
          </w:p>
        </w:tc>
        <w:tc>
          <w:tcPr>
            <w:tcW w:w="675" w:type="dxa"/>
            <w:tcBorders/>
            <w:shd w:fill="EEEEEE" w:val="clear"/>
            <w:vAlign w:val="center"/>
          </w:tcPr>
          <w:p>
            <w:pPr>
              <w:pStyle w:val="TableContents"/>
              <w:bidi w:val="0"/>
              <w:spacing w:before="0" w:after="283"/>
              <w:jc w:val="right"/>
              <w:rPr/>
            </w:pPr>
            <w:r>
              <w:rPr/>
              <w:t>30</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68" w:type="dxa"/>
            <w:tcBorders/>
            <w:shd w:fill="EEEEEE" w:val="clear"/>
            <w:vAlign w:val="center"/>
          </w:tcPr>
          <w:p>
            <w:pPr>
              <w:pStyle w:val="TableContents"/>
              <w:bidi w:val="0"/>
              <w:spacing w:before="0" w:after="283"/>
              <w:jc w:val="left"/>
              <w:rPr/>
            </w:pPr>
            <w:r>
              <w:rPr/>
              <w:t> </w:t>
            </w:r>
          </w:p>
        </w:tc>
        <w:tc>
          <w:tcPr>
            <w:tcW w:w="675" w:type="dxa"/>
            <w:tcBorders/>
            <w:shd w:fill="EEEEEE" w:val="clear"/>
            <w:vAlign w:val="center"/>
          </w:tcPr>
          <w:p>
            <w:pPr>
              <w:pStyle w:val="TableContents"/>
              <w:bidi w:val="0"/>
              <w:spacing w:before="0" w:after="283"/>
              <w:jc w:val="right"/>
              <w:rPr/>
            </w:pPr>
            <w:r>
              <w:rPr/>
              <w:t>15</w:t>
            </w:r>
          </w:p>
        </w:tc>
        <w:tc>
          <w:tcPr>
            <w:tcW w:w="81"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51" w:name="xdx_8AA_za2ID4Rl31se"/>
      <w:bookmarkEnd w:id="35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2" w:name="xdx_86A_z0HExodlBybb"/>
      <w:bookmarkStart w:id="353" w:name="xdx_84D_eus-gaap--ShareBasedCompensation"/>
      <w:bookmarkEnd w:id="352"/>
      <w:bookmarkEnd w:id="353"/>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compensation costs in the financial statements for all share-based payments based on the grant date fair value estimated in accordance with the provisions of ASC 718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we recorded stock-based compensation costs in the amount of $</w:t>
      </w:r>
      <w:bookmarkStart w:id="354" w:name="xdx_90B_eus-gaap--ShareBasedCompensation"/>
      <w:bookmarkEnd w:id="354"/>
      <w:r>
        <w:rPr>
          <w:rFonts w:ascii="Times New Roman;Times;Serif" w:hAnsi="Times New Roman;Times;Serif"/>
          <w:b w:val="false"/>
          <w:i w:val="false"/>
          <w:caps w:val="false"/>
          <w:smallCaps w:val="false"/>
          <w:sz w:val="20"/>
        </w:rPr>
        <w:t>578,000 and $</w:t>
      </w:r>
      <w:bookmarkStart w:id="355" w:name="xdx_908_eus-gaap--ShareBasedCompensation"/>
      <w:bookmarkEnd w:id="355"/>
      <w:r>
        <w:rPr>
          <w:rFonts w:ascii="Times New Roman;Times;Serif" w:hAnsi="Times New Roman;Times;Serif"/>
          <w:b w:val="false"/>
          <w:i w:val="false"/>
          <w:caps w:val="false"/>
          <w:smallCaps w:val="false"/>
          <w:sz w:val="20"/>
        </w:rPr>
        <w:t>1.1 million respectively. As of June 30, 2026, unrecognized stock-based compensation costs to be recognized over future periods equaled $</w:t>
      </w:r>
      <w:bookmarkStart w:id="356" w:name="xdx_905_eus-gaap--EmployeeServiceShareBa"/>
      <w:bookmarkEnd w:id="356"/>
      <w:r>
        <w:rPr>
          <w:rFonts w:ascii="Times New Roman;Times;Serif" w:hAnsi="Times New Roman;Times;Serif"/>
          <w:b w:val="false"/>
          <w:i w:val="false"/>
          <w:caps w:val="false"/>
          <w:smallCaps w:val="false"/>
          <w:sz w:val="20"/>
        </w:rPr>
        <w:t xml:space="preserve">4.2 million. This amount will be recognized as expense over a weighted-average period of </w:t>
      </w:r>
      <w:bookmarkStart w:id="357" w:name="xdx_901_eus-gaap--EmployeeServiceShareBa"/>
      <w:bookmarkEnd w:id="357"/>
      <w:r>
        <w:rPr>
          <w:rFonts w:ascii="Times New Roman;Times;Serif" w:hAnsi="Times New Roman;Times;Serif"/>
          <w:b w:val="false"/>
          <w:i w:val="false"/>
          <w:caps w:val="false"/>
          <w:smallCaps w:val="false"/>
          <w:sz w:val="20"/>
        </w:rPr>
        <w:t>3.19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58" w:name="xdx_233_z0vgGWYspiE"/>
      <w:bookmarkEnd w:id="358"/>
      <w:r>
        <w:rPr>
          <w:caps w:val="false"/>
          <w:smallCaps w:val="false"/>
        </w:rPr>
        <w:t> </w:t>
      </w:r>
    </w:p>
    <w:p>
      <w:pPr>
        <w:pStyle w:val="TextBody"/>
        <w:bidi w:val="0"/>
        <w:spacing w:before="0" w:after="0"/>
        <w:ind w:left="0" w:right="0" w:hanging="0"/>
        <w:jc w:val="both"/>
        <w:rPr>
          <w:caps w:val="false"/>
          <w:smallCaps w:val="false"/>
        </w:rPr>
      </w:pPr>
      <w:bookmarkStart w:id="359" w:name="xdx_23B_zQ4okC0RR19g"/>
      <w:bookmarkEnd w:id="35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60" w:name="xdx_238_zklKHqN2EUNl"/>
      <w:bookmarkEnd w:id="36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stock option activity for the six months ended June 30, 2026:</w:t>
      </w:r>
    </w:p>
    <w:p>
      <w:pPr>
        <w:pStyle w:val="Normal"/>
        <w:bidi w:val="0"/>
        <w:spacing w:before="0" w:after="0"/>
        <w:ind w:left="0" w:right="0" w:hanging="0"/>
        <w:jc w:val="left"/>
        <w:rPr>
          <w:sz w:val="4"/>
          <w:szCs w:val="4"/>
        </w:rPr>
      </w:pPr>
      <w:r>
        <w:rPr>
          <w:sz w:val="4"/>
          <w:szCs w:val="4"/>
        </w:rPr>
      </w:r>
      <w:bookmarkStart w:id="361" w:name="xdx_896_eus-gaap--ScheduleOfShareBasedCo"/>
      <w:bookmarkStart w:id="362" w:name="xdx_896_eus-gaap--ScheduleOfShareBasedCo"/>
      <w:bookmarkEnd w:id="362"/>
    </w:p>
    <w:tbl>
      <w:tblPr>
        <w:tblW w:w="9578" w:type="dxa"/>
        <w:jc w:val="left"/>
        <w:tblInd w:w="0" w:type="dxa"/>
        <w:tblLayout w:type="fixed"/>
        <w:tblCellMar>
          <w:top w:w="0" w:type="dxa"/>
          <w:left w:w="0" w:type="dxa"/>
          <w:bottom w:w="0" w:type="dxa"/>
          <w:right w:w="0" w:type="dxa"/>
        </w:tblCellMar>
      </w:tblPr>
      <w:tblGrid>
        <w:gridCol w:w="4430"/>
        <w:gridCol w:w="60"/>
        <w:gridCol w:w="139"/>
        <w:gridCol w:w="1320"/>
        <w:gridCol w:w="95"/>
        <w:gridCol w:w="60"/>
        <w:gridCol w:w="352"/>
        <w:gridCol w:w="1107"/>
        <w:gridCol w:w="60"/>
        <w:gridCol w:w="60"/>
        <w:gridCol w:w="1895"/>
      </w:tblGrid>
      <w:tr>
        <w:trPr/>
        <w:tc>
          <w:tcPr>
            <w:tcW w:w="4430" w:type="dxa"/>
            <w:tcBorders/>
            <w:vAlign w:val="center"/>
          </w:tcPr>
          <w:p>
            <w:pPr>
              <w:pStyle w:val="TableContents"/>
              <w:bidi w:val="0"/>
              <w:spacing w:before="0" w:after="283"/>
              <w:jc w:val="left"/>
              <w:rPr/>
            </w:pPr>
            <w:bookmarkStart w:id="363" w:name="xdx_8B7_zJnVWI703Oi6"/>
            <w:bookmarkEnd w:id="363"/>
            <w:r>
              <w:rPr/>
              <w:t>Schedule of stock option activity</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b/>
              </w:rPr>
            </w:pPr>
            <w:r>
              <w:rPr>
                <w:b/>
              </w:rPr>
              <w:t>Weighted</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b/>
              </w:rPr>
            </w:pPr>
            <w:r>
              <w:rPr>
                <w:b/>
              </w:rPr>
              <w:t>Average</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b/>
              </w:rPr>
            </w:pPr>
            <w:r>
              <w:rPr>
                <w:b/>
              </w:rPr>
              <w:t>Remaining</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center"/>
              <w:rPr>
                <w:b/>
              </w:rPr>
            </w:pPr>
            <w:r>
              <w:rPr>
                <w:b/>
              </w:rPr>
              <w:t>Contractual Term</w:t>
            </w:r>
          </w:p>
        </w:tc>
      </w:tr>
      <w:tr>
        <w:trPr/>
        <w:tc>
          <w:tcPr>
            <w:tcW w:w="4430" w:type="dxa"/>
            <w:tcBorders/>
            <w:shd w:fill="EEEEEE" w:val="clear"/>
            <w:vAlign w:val="center"/>
          </w:tcPr>
          <w:p>
            <w:pPr>
              <w:pStyle w:val="TableContents"/>
              <w:bidi w:val="0"/>
              <w:spacing w:before="0" w:after="283"/>
              <w:jc w:val="left"/>
              <w:rPr/>
            </w:pPr>
            <w:r>
              <w:rPr/>
              <w:t>Options outstanding at the beginning of period</w:t>
            </w:r>
          </w:p>
        </w:tc>
        <w:tc>
          <w:tcPr>
            <w:tcW w:w="60" w:type="dxa"/>
            <w:tcBorders/>
            <w:shd w:fill="EEEEEE" w:val="clear"/>
            <w:vAlign w:val="center"/>
          </w:tcPr>
          <w:p>
            <w:pPr>
              <w:pStyle w:val="TableContents"/>
              <w:bidi w:val="0"/>
              <w:spacing w:before="0" w:after="283"/>
              <w:jc w:val="left"/>
              <w:rPr/>
            </w:pPr>
            <w:r>
              <w:rPr/>
              <w:t> </w:t>
            </w:r>
          </w:p>
        </w:tc>
        <w:tc>
          <w:tcPr>
            <w:tcW w:w="139" w:type="dxa"/>
            <w:tcBorders/>
            <w:shd w:fill="EEEEEE" w:val="clear"/>
            <w:vAlign w:val="center"/>
          </w:tcPr>
          <w:p>
            <w:pPr>
              <w:pStyle w:val="TableContents"/>
              <w:bidi w:val="0"/>
              <w:spacing w:before="0" w:after="283"/>
              <w:jc w:val="left"/>
              <w:rPr/>
            </w:pPr>
            <w:r>
              <w:rPr/>
              <w:t> </w:t>
            </w:r>
            <w:bookmarkStart w:id="364" w:name="xdx_982_eus-gaap--ShareBasedCompensation"/>
            <w:bookmarkEnd w:id="364"/>
          </w:p>
        </w:tc>
        <w:tc>
          <w:tcPr>
            <w:tcW w:w="1320" w:type="dxa"/>
            <w:tcBorders/>
            <w:shd w:fill="EEEEEE" w:val="clear"/>
            <w:vAlign w:val="center"/>
          </w:tcPr>
          <w:p>
            <w:pPr>
              <w:pStyle w:val="TableContents"/>
              <w:bidi w:val="0"/>
              <w:spacing w:before="0" w:after="283"/>
              <w:jc w:val="right"/>
              <w:rPr/>
            </w:pPr>
            <w:r>
              <w:rPr/>
              <w:t>6,123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52" w:type="dxa"/>
            <w:tcBorders/>
            <w:shd w:fill="EEEEEE" w:val="clear"/>
            <w:vAlign w:val="center"/>
          </w:tcPr>
          <w:p>
            <w:pPr>
              <w:pStyle w:val="TableContents"/>
              <w:bidi w:val="0"/>
              <w:spacing w:before="0" w:after="283"/>
              <w:jc w:val="left"/>
              <w:rPr/>
            </w:pPr>
            <w:r>
              <w:rPr/>
              <w:t>$</w:t>
            </w:r>
            <w:bookmarkStart w:id="365" w:name="xdx_989_eus-gaap--ShareBasedCompensation"/>
            <w:bookmarkEnd w:id="365"/>
          </w:p>
        </w:tc>
        <w:tc>
          <w:tcPr>
            <w:tcW w:w="1107" w:type="dxa"/>
            <w:tcBorders/>
            <w:shd w:fill="EEEEEE" w:val="clear"/>
            <w:vAlign w:val="center"/>
          </w:tcPr>
          <w:p>
            <w:pPr>
              <w:pStyle w:val="TableContents"/>
              <w:bidi w:val="0"/>
              <w:spacing w:before="0" w:after="283"/>
              <w:jc w:val="right"/>
              <w:rPr/>
            </w:pPr>
            <w:r>
              <w:rPr/>
              <w:t>6.41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95" w:type="dxa"/>
            <w:tcBorders/>
            <w:shd w:fill="EEEEEE" w:val="clear"/>
            <w:vAlign w:val="center"/>
          </w:tcPr>
          <w:p>
            <w:pPr>
              <w:pStyle w:val="TableContents"/>
              <w:bidi w:val="0"/>
              <w:spacing w:before="0" w:after="283"/>
              <w:jc w:val="center"/>
              <w:rPr/>
            </w:pPr>
            <w:r>
              <w:rPr/>
              <w:t>N/A</w:t>
            </w:r>
          </w:p>
        </w:tc>
      </w:tr>
      <w:tr>
        <w:trPr/>
        <w:tc>
          <w:tcPr>
            <w:tcW w:w="443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bookmarkStart w:id="366" w:name="xdx_985_eus-gaap--ShareBasedCompensation"/>
            <w:bookmarkEnd w:id="366"/>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bookmarkStart w:id="367" w:name="xdx_981_eus-gaap--ShareBasedCompensation"/>
            <w:bookmarkEnd w:id="367"/>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center"/>
              <w:rPr/>
            </w:pPr>
            <w:r>
              <w:rPr/>
              <w:t>N/A</w:t>
            </w:r>
          </w:p>
        </w:tc>
      </w:tr>
      <w:tr>
        <w:trPr/>
        <w:tc>
          <w:tcPr>
            <w:tcW w:w="4430" w:type="dxa"/>
            <w:tcBorders/>
            <w:shd w:fill="EEEEEE" w:val="clear"/>
            <w:vAlign w:val="center"/>
          </w:tcPr>
          <w:p>
            <w:pPr>
              <w:pStyle w:val="TableContents"/>
              <w:bidi w:val="0"/>
              <w:spacing w:before="0" w:after="283"/>
              <w:jc w:val="left"/>
              <w:rPr/>
            </w:pPr>
            <w:r>
              <w:rPr/>
              <w:t>Exercised</w:t>
            </w:r>
          </w:p>
        </w:tc>
        <w:tc>
          <w:tcPr>
            <w:tcW w:w="60" w:type="dxa"/>
            <w:tcBorders/>
            <w:shd w:fill="EEEEEE" w:val="clear"/>
            <w:vAlign w:val="center"/>
          </w:tcPr>
          <w:p>
            <w:pPr>
              <w:pStyle w:val="TableContents"/>
              <w:bidi w:val="0"/>
              <w:spacing w:before="0" w:after="283"/>
              <w:jc w:val="left"/>
              <w:rPr/>
            </w:pPr>
            <w:r>
              <w:rPr/>
              <w:t> </w:t>
            </w:r>
          </w:p>
        </w:tc>
        <w:tc>
          <w:tcPr>
            <w:tcW w:w="139" w:type="dxa"/>
            <w:tcBorders/>
            <w:shd w:fill="EEEEEE" w:val="clear"/>
            <w:vAlign w:val="center"/>
          </w:tcPr>
          <w:p>
            <w:pPr>
              <w:pStyle w:val="TableContents"/>
              <w:bidi w:val="0"/>
              <w:spacing w:before="0" w:after="283"/>
              <w:jc w:val="left"/>
              <w:rPr/>
            </w:pPr>
            <w:r>
              <w:rPr/>
              <w:t> </w:t>
            </w:r>
            <w:bookmarkStart w:id="368" w:name="xdx_98A_eus-gaap--StockIssuedDuringPerio"/>
            <w:bookmarkEnd w:id="368"/>
          </w:p>
        </w:tc>
        <w:tc>
          <w:tcPr>
            <w:tcW w:w="1320" w:type="dxa"/>
            <w:tcBorders/>
            <w:shd w:fill="EEEEEE" w:val="clear"/>
            <w:vAlign w:val="center"/>
          </w:tcPr>
          <w:p>
            <w:pPr>
              <w:pStyle w:val="TableContents"/>
              <w:bidi w:val="0"/>
              <w:spacing w:before="0" w:after="283"/>
              <w:jc w:val="right"/>
              <w:rPr/>
            </w:pPr>
            <w:r>
              <w:rPr/>
              <w:t>(157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352" w:type="dxa"/>
            <w:tcBorders/>
            <w:shd w:fill="EEEEEE" w:val="clear"/>
            <w:vAlign w:val="center"/>
          </w:tcPr>
          <w:p>
            <w:pPr>
              <w:pStyle w:val="TableContents"/>
              <w:bidi w:val="0"/>
              <w:spacing w:before="0" w:after="283"/>
              <w:jc w:val="left"/>
              <w:rPr/>
            </w:pPr>
            <w:r>
              <w:rPr/>
              <w:t> </w:t>
            </w:r>
            <w:bookmarkStart w:id="369" w:name="xdx_98F_eus-gaap--ShareBasedCompensation"/>
            <w:bookmarkEnd w:id="369"/>
          </w:p>
        </w:tc>
        <w:tc>
          <w:tcPr>
            <w:tcW w:w="1107" w:type="dxa"/>
            <w:tcBorders/>
            <w:shd w:fill="EEEEEE" w:val="clear"/>
            <w:vAlign w:val="center"/>
          </w:tcPr>
          <w:p>
            <w:pPr>
              <w:pStyle w:val="TableContents"/>
              <w:bidi w:val="0"/>
              <w:spacing w:before="0" w:after="283"/>
              <w:jc w:val="right"/>
              <w:rPr/>
            </w:pPr>
            <w:r>
              <w:rPr/>
              <w:t>3.46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95" w:type="dxa"/>
            <w:tcBorders/>
            <w:shd w:fill="EEEEEE" w:val="clear"/>
            <w:vAlign w:val="center"/>
          </w:tcPr>
          <w:p>
            <w:pPr>
              <w:pStyle w:val="TableContents"/>
              <w:bidi w:val="0"/>
              <w:spacing w:before="0" w:after="283"/>
              <w:jc w:val="center"/>
              <w:rPr/>
            </w:pPr>
            <w:r>
              <w:rPr/>
              <w:t>N/A</w:t>
            </w:r>
          </w:p>
        </w:tc>
      </w:tr>
      <w:tr>
        <w:trPr/>
        <w:tc>
          <w:tcPr>
            <w:tcW w:w="443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70" w:name="xdx_98C_eus-gaap--ShareBasedCompensation"/>
            <w:bookmarkEnd w:id="370"/>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bookmarkStart w:id="371" w:name="xdx_985_eus-gaap--ShareBasedCompensation"/>
            <w:bookmarkEnd w:id="371"/>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center"/>
              <w:rPr/>
            </w:pPr>
            <w:r>
              <w:rPr/>
              <w:t>N/A</w:t>
            </w:r>
          </w:p>
        </w:tc>
      </w:tr>
      <w:tr>
        <w:trPr/>
        <w:tc>
          <w:tcPr>
            <w:tcW w:w="4430" w:type="dxa"/>
            <w:tcBorders/>
            <w:shd w:fill="EEEEEE" w:val="clear"/>
            <w:vAlign w:val="center"/>
          </w:tcPr>
          <w:p>
            <w:pPr>
              <w:pStyle w:val="TableContents"/>
              <w:bidi w:val="0"/>
              <w:spacing w:before="0" w:after="283"/>
              <w:jc w:val="left"/>
              <w:rPr/>
            </w:pPr>
            <w:r>
              <w:rPr/>
              <w:t>Options outstanding at the end of period</w:t>
            </w:r>
          </w:p>
        </w:tc>
        <w:tc>
          <w:tcPr>
            <w:tcW w:w="60" w:type="dxa"/>
            <w:tcBorders/>
            <w:shd w:fill="EEEEEE" w:val="clear"/>
            <w:vAlign w:val="center"/>
          </w:tcPr>
          <w:p>
            <w:pPr>
              <w:pStyle w:val="TableContents"/>
              <w:bidi w:val="0"/>
              <w:spacing w:before="0" w:after="283"/>
              <w:jc w:val="left"/>
              <w:rPr/>
            </w:pPr>
            <w:r>
              <w:rPr/>
              <w:t> </w:t>
            </w:r>
          </w:p>
        </w:tc>
        <w:tc>
          <w:tcPr>
            <w:tcW w:w="139"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372" w:name="xdx_981_eus-gaap--ShareBasedCompensation"/>
            <w:bookmarkEnd w:id="372"/>
          </w:p>
        </w:tc>
        <w:tc>
          <w:tcPr>
            <w:tcW w:w="1320" w:type="dxa"/>
            <w:tcBorders>
              <w:bottom w:val="double" w:sz="6" w:space="0" w:color="000000"/>
            </w:tcBorders>
            <w:shd w:fill="EEEEEE" w:val="clear"/>
            <w:tcMar>
              <w:bottom w:w="28" w:type="dxa"/>
            </w:tcMar>
            <w:vAlign w:val="center"/>
          </w:tcPr>
          <w:p>
            <w:pPr>
              <w:pStyle w:val="TableContents"/>
              <w:bidi w:val="0"/>
              <w:spacing w:before="0" w:after="283"/>
              <w:jc w:val="right"/>
              <w:rPr/>
            </w:pPr>
            <w:r>
              <w:rPr/>
              <w:t>5,966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52"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73" w:name="xdx_98F_eus-gaap--ShareBasedCompensation"/>
            <w:bookmarkEnd w:id="373"/>
          </w:p>
        </w:tc>
        <w:tc>
          <w:tcPr>
            <w:tcW w:w="1107" w:type="dxa"/>
            <w:tcBorders>
              <w:bottom w:val="double" w:sz="6" w:space="0" w:color="000000"/>
            </w:tcBorders>
            <w:shd w:fill="EEEEEE" w:val="clear"/>
            <w:tcMar>
              <w:bottom w:w="28" w:type="dxa"/>
            </w:tcMar>
            <w:vAlign w:val="center"/>
          </w:tcPr>
          <w:p>
            <w:pPr>
              <w:pStyle w:val="TableContents"/>
              <w:bidi w:val="0"/>
              <w:spacing w:before="0" w:after="283"/>
              <w:jc w:val="right"/>
              <w:rPr/>
            </w:pPr>
            <w:r>
              <w:rPr/>
              <w:t>6.48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95" w:type="dxa"/>
            <w:tcBorders>
              <w:bottom w:val="double" w:sz="6" w:space="0" w:color="000000"/>
            </w:tcBorders>
            <w:shd w:fill="EEEEEE" w:val="clear"/>
            <w:tcMar>
              <w:bottom w:w="28" w:type="dxa"/>
            </w:tcMar>
            <w:vAlign w:val="center"/>
          </w:tcPr>
          <w:p>
            <w:pPr>
              <w:pStyle w:val="TableContents"/>
              <w:bidi w:val="0"/>
              <w:spacing w:before="0" w:after="283"/>
              <w:jc w:val="center"/>
              <w:rPr/>
            </w:pPr>
            <w:bookmarkStart w:id="374" w:name="xdx_90A_eus-gaap--SharebasedCompensation"/>
            <w:bookmarkEnd w:id="374"/>
            <w:r>
              <w:rPr/>
              <w:t>2.78 years</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left"/>
              <w:rPr/>
            </w:pPr>
            <w:r>
              <w:rPr/>
              <w:t> </w:t>
            </w:r>
          </w:p>
        </w:tc>
      </w:tr>
      <w:tr>
        <w:trPr/>
        <w:tc>
          <w:tcPr>
            <w:tcW w:w="4430" w:type="dxa"/>
            <w:tcBorders/>
            <w:shd w:fill="EEEEEE" w:val="clear"/>
            <w:vAlign w:val="center"/>
          </w:tcPr>
          <w:p>
            <w:pPr>
              <w:pStyle w:val="TableContents"/>
              <w:bidi w:val="0"/>
              <w:spacing w:before="0" w:after="283"/>
              <w:jc w:val="left"/>
              <w:rPr/>
            </w:pPr>
            <w:r>
              <w:rPr/>
              <w:t>Options exercisable at the end of period</w:t>
            </w:r>
          </w:p>
        </w:tc>
        <w:tc>
          <w:tcPr>
            <w:tcW w:w="60" w:type="dxa"/>
            <w:tcBorders/>
            <w:shd w:fill="EEEEEE" w:val="clear"/>
            <w:vAlign w:val="center"/>
          </w:tcPr>
          <w:p>
            <w:pPr>
              <w:pStyle w:val="TableContents"/>
              <w:bidi w:val="0"/>
              <w:spacing w:before="0" w:after="283"/>
              <w:jc w:val="left"/>
              <w:rPr/>
            </w:pPr>
            <w:r>
              <w:rPr/>
              <w:t> </w:t>
            </w:r>
          </w:p>
        </w:tc>
        <w:tc>
          <w:tcPr>
            <w:tcW w:w="139"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375" w:name="xdx_983_eus-gaap--ShareBasedCompensation"/>
            <w:bookmarkEnd w:id="375"/>
          </w:p>
        </w:tc>
        <w:tc>
          <w:tcPr>
            <w:tcW w:w="1320" w:type="dxa"/>
            <w:tcBorders>
              <w:bottom w:val="double" w:sz="6" w:space="0" w:color="000000"/>
            </w:tcBorders>
            <w:shd w:fill="EEEEEE" w:val="clear"/>
            <w:tcMar>
              <w:bottom w:w="28" w:type="dxa"/>
            </w:tcMar>
            <w:vAlign w:val="center"/>
          </w:tcPr>
          <w:p>
            <w:pPr>
              <w:pStyle w:val="TableContents"/>
              <w:bidi w:val="0"/>
              <w:spacing w:before="0" w:after="283"/>
              <w:jc w:val="right"/>
              <w:rPr/>
            </w:pPr>
            <w:r>
              <w:rPr/>
              <w:t>4,536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52"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76" w:name="xdx_989_eus-gaap--ShareBasedCompensation"/>
            <w:bookmarkEnd w:id="376"/>
          </w:p>
        </w:tc>
        <w:tc>
          <w:tcPr>
            <w:tcW w:w="1107" w:type="dxa"/>
            <w:tcBorders>
              <w:bottom w:val="double" w:sz="6" w:space="0" w:color="000000"/>
            </w:tcBorders>
            <w:shd w:fill="EEEEEE" w:val="clear"/>
            <w:tcMar>
              <w:bottom w:w="28" w:type="dxa"/>
            </w:tcMar>
            <w:vAlign w:val="center"/>
          </w:tcPr>
          <w:p>
            <w:pPr>
              <w:pStyle w:val="TableContents"/>
              <w:bidi w:val="0"/>
              <w:spacing w:before="0" w:after="283"/>
              <w:jc w:val="right"/>
              <w:rPr/>
            </w:pPr>
            <w:r>
              <w:rPr/>
              <w:t>5.95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95" w:type="dxa"/>
            <w:tcBorders>
              <w:bottom w:val="double" w:sz="6" w:space="0" w:color="000000"/>
            </w:tcBorders>
            <w:shd w:fill="EEEEEE" w:val="clear"/>
            <w:tcMar>
              <w:bottom w:w="28" w:type="dxa"/>
            </w:tcMar>
            <w:vAlign w:val="center"/>
          </w:tcPr>
          <w:p>
            <w:pPr>
              <w:pStyle w:val="TableContents"/>
              <w:bidi w:val="0"/>
              <w:spacing w:before="0" w:after="283"/>
              <w:jc w:val="center"/>
              <w:rPr/>
            </w:pPr>
            <w:bookmarkStart w:id="377" w:name="xdx_900_eus-gaap--SharebasedCompensation"/>
            <w:bookmarkEnd w:id="377"/>
            <w:r>
              <w:rPr/>
              <w:t>1.71 years</w:t>
            </w:r>
          </w:p>
        </w:tc>
      </w:tr>
    </w:tbl>
    <w:p>
      <w:pPr>
        <w:pStyle w:val="TextBody"/>
        <w:bidi w:val="0"/>
        <w:spacing w:before="0" w:after="0"/>
        <w:ind w:left="0" w:right="0" w:hanging="0"/>
        <w:jc w:val="left"/>
        <w:rPr>
          <w:caps w:val="false"/>
          <w:smallCaps w:val="false"/>
        </w:rPr>
      </w:pPr>
      <w:bookmarkStart w:id="378" w:name="xdx_8A5_z0DqYLWUSY1f"/>
      <w:bookmarkEnd w:id="37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price distribution of stock options outstanding and exercisable as of June 30, 2026 and December 31, 2025:</w:t>
      </w:r>
    </w:p>
    <w:p>
      <w:pPr>
        <w:pStyle w:val="Normal"/>
        <w:bidi w:val="0"/>
        <w:spacing w:before="0" w:after="0"/>
        <w:ind w:left="0" w:right="0" w:hanging="0"/>
        <w:jc w:val="left"/>
        <w:rPr>
          <w:sz w:val="4"/>
          <w:szCs w:val="4"/>
        </w:rPr>
      </w:pPr>
      <w:r>
        <w:rPr>
          <w:sz w:val="4"/>
          <w:szCs w:val="4"/>
        </w:rPr>
      </w:r>
      <w:bookmarkStart w:id="379" w:name="xdx_895_eus-gaap--ShareBasedCompensation"/>
      <w:bookmarkStart w:id="380" w:name="xdx_895_eus-gaap--ShareBasedCompensation"/>
      <w:bookmarkEnd w:id="380"/>
    </w:p>
    <w:tbl>
      <w:tblPr>
        <w:tblW w:w="10205" w:type="dxa"/>
        <w:jc w:val="left"/>
        <w:tblInd w:w="0" w:type="dxa"/>
        <w:tblLayout w:type="fixed"/>
        <w:tblCellMar>
          <w:top w:w="0" w:type="dxa"/>
          <w:left w:w="0" w:type="dxa"/>
          <w:bottom w:w="0" w:type="dxa"/>
          <w:right w:w="0" w:type="dxa"/>
        </w:tblCellMar>
      </w:tblPr>
      <w:tblGrid>
        <w:gridCol w:w="4664"/>
        <w:gridCol w:w="60"/>
        <w:gridCol w:w="123"/>
        <w:gridCol w:w="1157"/>
        <w:gridCol w:w="86"/>
        <w:gridCol w:w="86"/>
        <w:gridCol w:w="115"/>
        <w:gridCol w:w="1075"/>
        <w:gridCol w:w="60"/>
        <w:gridCol w:w="60"/>
        <w:gridCol w:w="123"/>
        <w:gridCol w:w="1157"/>
        <w:gridCol w:w="86"/>
        <w:gridCol w:w="86"/>
        <w:gridCol w:w="115"/>
        <w:gridCol w:w="1075"/>
        <w:gridCol w:w="77"/>
      </w:tblGrid>
      <w:tr>
        <w:trPr/>
        <w:tc>
          <w:tcPr>
            <w:tcW w:w="4664" w:type="dxa"/>
            <w:tcBorders/>
            <w:shd w:fill="FFFFFF" w:val="clear"/>
            <w:vAlign w:val="center"/>
          </w:tcPr>
          <w:p>
            <w:pPr>
              <w:pStyle w:val="TableContents"/>
              <w:bidi w:val="0"/>
              <w:spacing w:before="0" w:after="283"/>
              <w:jc w:val="left"/>
              <w:rPr/>
            </w:pPr>
            <w:bookmarkStart w:id="381" w:name="xdx_8B3_zz4rT5H0qKV4"/>
            <w:bookmarkEnd w:id="381"/>
            <w:r>
              <w:rPr/>
              <w:t>Schedule of price distribution of stock options outstanding and exercisable</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6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vAlign w:val="center"/>
          </w:tcPr>
          <w:p>
            <w:pPr>
              <w:pStyle w:val="TableContents"/>
              <w:bidi w:val="0"/>
              <w:spacing w:before="0" w:after="283"/>
              <w:jc w:val="center"/>
              <w:rPr>
                <w:b/>
              </w:rPr>
            </w:pPr>
            <w:r>
              <w:rPr>
                <w:b/>
              </w:rPr>
              <w:t>Number of shares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vAlign w:val="center"/>
          </w:tcPr>
          <w:p>
            <w:pPr>
              <w:pStyle w:val="TableContents"/>
              <w:bidi w:val="0"/>
              <w:spacing w:before="0" w:after="283"/>
              <w:jc w:val="center"/>
              <w:rPr>
                <w:b/>
              </w:rPr>
            </w:pPr>
            <w:r>
              <w:rPr>
                <w:b/>
              </w:rPr>
              <w:t>Number of shares as of</w:t>
            </w:r>
          </w:p>
        </w:tc>
        <w:tc>
          <w:tcPr>
            <w:tcW w:w="77" w:type="dxa"/>
            <w:tcBorders/>
            <w:vAlign w:val="center"/>
          </w:tcPr>
          <w:p>
            <w:pPr>
              <w:pStyle w:val="TableContents"/>
              <w:bidi w:val="0"/>
              <w:spacing w:before="0" w:after="283"/>
              <w:jc w:val="left"/>
              <w:rPr/>
            </w:pPr>
            <w:r>
              <w:rPr/>
              <w:t> </w:t>
            </w:r>
          </w:p>
        </w:tc>
      </w:tr>
      <w:tr>
        <w:trPr/>
        <w:tc>
          <w:tcPr>
            <w:tcW w:w="46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7" w:type="dxa"/>
            <w:tcBorders/>
            <w:vAlign w:val="center"/>
          </w:tcPr>
          <w:p>
            <w:pPr>
              <w:pStyle w:val="TableContents"/>
              <w:bidi w:val="0"/>
              <w:spacing w:before="0" w:after="283"/>
              <w:jc w:val="left"/>
              <w:rPr/>
            </w:pPr>
            <w:r>
              <w:rPr/>
              <w:t> </w:t>
            </w:r>
          </w:p>
        </w:tc>
      </w:tr>
      <w:tr>
        <w:trPr/>
        <w:tc>
          <w:tcPr>
            <w:tcW w:w="46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Exercisable</w:t>
            </w:r>
          </w:p>
        </w:tc>
        <w:tc>
          <w:tcPr>
            <w:tcW w:w="77" w:type="dxa"/>
            <w:tcBorders/>
            <w:vAlign w:val="center"/>
          </w:tcPr>
          <w:p>
            <w:pPr>
              <w:pStyle w:val="TableContents"/>
              <w:bidi w:val="0"/>
              <w:spacing w:before="0" w:after="283"/>
              <w:jc w:val="left"/>
              <w:rPr/>
            </w:pPr>
            <w:r>
              <w:rPr/>
              <w:t> </w:t>
            </w:r>
          </w:p>
        </w:tc>
      </w:tr>
      <w:tr>
        <w:trPr/>
        <w:tc>
          <w:tcPr>
            <w:tcW w:w="4664" w:type="dxa"/>
            <w:tcBorders/>
            <w:vAlign w:val="center"/>
          </w:tcPr>
          <w:p>
            <w:pPr>
              <w:pStyle w:val="TableContents"/>
              <w:bidi w:val="0"/>
              <w:spacing w:before="0" w:after="283"/>
              <w:jc w:val="left"/>
              <w:rPr>
                <w:b/>
              </w:rPr>
            </w:pPr>
            <w:r>
              <w:rPr>
                <w:b/>
              </w:rPr>
              <w:t>Range of exercise prices:</w:t>
            </w:r>
          </w:p>
        </w:tc>
        <w:tc>
          <w:tcPr>
            <w:tcW w:w="60" w:type="dxa"/>
            <w:tcBorders/>
            <w:vAlign w:val="center"/>
          </w:tcPr>
          <w:p>
            <w:pPr>
              <w:pStyle w:val="TableContents"/>
              <w:bidi w:val="0"/>
              <w:spacing w:before="0" w:after="283"/>
              <w:jc w:val="left"/>
              <w:rPr/>
            </w:pPr>
            <w:r>
              <w:rPr/>
              <w:t> </w:t>
            </w:r>
          </w:p>
        </w:tc>
        <w:tc>
          <w:tcPr>
            <w:tcW w:w="2642"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vAlign w:val="center"/>
          </w:tcPr>
          <w:p>
            <w:pPr>
              <w:pStyle w:val="TableContents"/>
              <w:bidi w:val="0"/>
              <w:spacing w:before="0" w:after="283"/>
              <w:jc w:val="center"/>
              <w:rPr>
                <w:b/>
              </w:rPr>
            </w:pPr>
            <w:r>
              <w:rPr>
                <w:b/>
              </w:rPr>
              <w:t>(In thousands)</w:t>
            </w:r>
          </w:p>
        </w:tc>
        <w:tc>
          <w:tcPr>
            <w:tcW w:w="77" w:type="dxa"/>
            <w:tcBorders/>
            <w:vAlign w:val="center"/>
          </w:tcPr>
          <w:p>
            <w:pPr>
              <w:pStyle w:val="TableContents"/>
              <w:bidi w:val="0"/>
              <w:spacing w:before="0" w:after="283"/>
              <w:jc w:val="left"/>
              <w:rPr/>
            </w:pPr>
            <w:r>
              <w:rPr/>
              <w:t> </w:t>
            </w:r>
          </w:p>
        </w:tc>
      </w:tr>
      <w:tr>
        <w:trPr/>
        <w:tc>
          <w:tcPr>
            <w:tcW w:w="4664" w:type="dxa"/>
            <w:tcBorders/>
            <w:shd w:fill="EEEEEE" w:val="clear"/>
            <w:vAlign w:val="center"/>
          </w:tcPr>
          <w:p>
            <w:pPr>
              <w:pStyle w:val="TableContents"/>
              <w:bidi w:val="0"/>
              <w:spacing w:before="0" w:after="283"/>
              <w:jc w:val="left"/>
              <w:rPr/>
            </w:pPr>
            <w:r>
              <w:rPr/>
              <w:t>$2.00 - $2.99</w:t>
            </w:r>
          </w:p>
        </w:tc>
        <w:tc>
          <w:tcPr>
            <w:tcW w:w="60"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bookmarkStart w:id="382" w:name="xdx_98E_eus-gaap--ShareBasedCompensation"/>
            <w:bookmarkEnd w:id="382"/>
          </w:p>
        </w:tc>
        <w:tc>
          <w:tcPr>
            <w:tcW w:w="1157" w:type="dxa"/>
            <w:tcBorders/>
            <w:shd w:fill="EEEEEE" w:val="clear"/>
            <w:vAlign w:val="center"/>
          </w:tcPr>
          <w:p>
            <w:pPr>
              <w:pStyle w:val="TableContents"/>
              <w:bidi w:val="0"/>
              <w:spacing w:before="0" w:after="283"/>
              <w:jc w:val="right"/>
              <w:rPr/>
            </w:pPr>
            <w:r>
              <w:rPr/>
              <w:t>1,068</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bookmarkStart w:id="383" w:name="xdx_98A_eus-gaap--ShareBasedCompensation"/>
            <w:bookmarkEnd w:id="383"/>
          </w:p>
        </w:tc>
        <w:tc>
          <w:tcPr>
            <w:tcW w:w="1075" w:type="dxa"/>
            <w:tcBorders/>
            <w:shd w:fill="EEEEEE" w:val="clear"/>
            <w:vAlign w:val="center"/>
          </w:tcPr>
          <w:p>
            <w:pPr>
              <w:pStyle w:val="TableContents"/>
              <w:bidi w:val="0"/>
              <w:spacing w:before="0" w:after="283"/>
              <w:jc w:val="right"/>
              <w:rPr/>
            </w:pPr>
            <w:r>
              <w:rPr/>
              <w:t>1,068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bookmarkStart w:id="384" w:name="xdx_98A_eus-gaap--ShareBasedCompensation"/>
            <w:bookmarkEnd w:id="384"/>
          </w:p>
        </w:tc>
        <w:tc>
          <w:tcPr>
            <w:tcW w:w="1157" w:type="dxa"/>
            <w:tcBorders/>
            <w:shd w:fill="EEEEEE" w:val="clear"/>
            <w:vAlign w:val="center"/>
          </w:tcPr>
          <w:p>
            <w:pPr>
              <w:pStyle w:val="TableContents"/>
              <w:bidi w:val="0"/>
              <w:spacing w:before="0" w:after="283"/>
              <w:jc w:val="right"/>
              <w:rPr/>
            </w:pPr>
            <w:r>
              <w:rPr/>
              <w:t>1,098</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bookmarkStart w:id="385" w:name="xdx_98A_eus-gaap--ShareBasedCompensation"/>
            <w:bookmarkEnd w:id="385"/>
          </w:p>
        </w:tc>
        <w:tc>
          <w:tcPr>
            <w:tcW w:w="1075" w:type="dxa"/>
            <w:tcBorders/>
            <w:shd w:fill="EEEEEE" w:val="clear"/>
            <w:vAlign w:val="center"/>
          </w:tcPr>
          <w:p>
            <w:pPr>
              <w:pStyle w:val="TableContents"/>
              <w:bidi w:val="0"/>
              <w:spacing w:before="0" w:after="283"/>
              <w:jc w:val="right"/>
              <w:rPr/>
            </w:pPr>
            <w:r>
              <w:rPr/>
              <w:t>1,098</w:t>
            </w:r>
          </w:p>
        </w:tc>
        <w:tc>
          <w:tcPr>
            <w:tcW w:w="77" w:type="dxa"/>
            <w:tcBorders/>
            <w:shd w:fill="EEEEEE" w:val="clear"/>
            <w:vAlign w:val="center"/>
          </w:tcPr>
          <w:p>
            <w:pPr>
              <w:pStyle w:val="TableContents"/>
              <w:bidi w:val="0"/>
              <w:spacing w:before="0" w:after="283"/>
              <w:jc w:val="left"/>
              <w:rPr/>
            </w:pPr>
            <w:r>
              <w:rPr/>
              <w:t> </w:t>
            </w:r>
          </w:p>
        </w:tc>
      </w:tr>
      <w:tr>
        <w:trPr/>
        <w:tc>
          <w:tcPr>
            <w:tcW w:w="4664" w:type="dxa"/>
            <w:tcBorders/>
            <w:shd w:fill="FFFFFF" w:val="clear"/>
            <w:vAlign w:val="center"/>
          </w:tcPr>
          <w:p>
            <w:pPr>
              <w:pStyle w:val="TableContents"/>
              <w:bidi w:val="0"/>
              <w:spacing w:before="0" w:after="283"/>
              <w:jc w:val="left"/>
              <w:rPr/>
            </w:pPr>
            <w:r>
              <w:rPr/>
              <w:t>$3.00 - $3.99</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386" w:name="xdx_98E_eus-gaap--ShareBasedCompensation"/>
            <w:bookmarkEnd w:id="386"/>
          </w:p>
        </w:tc>
        <w:tc>
          <w:tcPr>
            <w:tcW w:w="1157" w:type="dxa"/>
            <w:tcBorders/>
            <w:shd w:fill="FFFFFF" w:val="clear"/>
            <w:vAlign w:val="center"/>
          </w:tcPr>
          <w:p>
            <w:pPr>
              <w:pStyle w:val="TableContents"/>
              <w:bidi w:val="0"/>
              <w:spacing w:before="0" w:after="283"/>
              <w:jc w:val="right"/>
              <w:rPr/>
            </w:pPr>
            <w:r>
              <w:rPr/>
              <w:t>785</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387" w:name="xdx_983_eus-gaap--ShareBasedCompensation"/>
            <w:bookmarkEnd w:id="387"/>
          </w:p>
        </w:tc>
        <w:tc>
          <w:tcPr>
            <w:tcW w:w="1075" w:type="dxa"/>
            <w:tcBorders/>
            <w:shd w:fill="FFFFFF" w:val="clear"/>
            <w:vAlign w:val="center"/>
          </w:tcPr>
          <w:p>
            <w:pPr>
              <w:pStyle w:val="TableContents"/>
              <w:bidi w:val="0"/>
              <w:spacing w:before="0" w:after="283"/>
              <w:jc w:val="right"/>
              <w:rPr/>
            </w:pPr>
            <w:r>
              <w:rPr/>
              <w:t>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388" w:name="xdx_982_eus-gaap--ShareBasedCompensation"/>
            <w:bookmarkEnd w:id="388"/>
          </w:p>
        </w:tc>
        <w:tc>
          <w:tcPr>
            <w:tcW w:w="1157" w:type="dxa"/>
            <w:tcBorders/>
            <w:shd w:fill="FFFFFF" w:val="clear"/>
            <w:vAlign w:val="center"/>
          </w:tcPr>
          <w:p>
            <w:pPr>
              <w:pStyle w:val="TableContents"/>
              <w:bidi w:val="0"/>
              <w:spacing w:before="0" w:after="283"/>
              <w:jc w:val="right"/>
              <w:rPr/>
            </w:pPr>
            <w:r>
              <w:rPr/>
              <w:t>897</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389" w:name="xdx_98A_eus-gaap--ShareBasedCompensation"/>
            <w:bookmarkEnd w:id="389"/>
          </w:p>
        </w:tc>
        <w:tc>
          <w:tcPr>
            <w:tcW w:w="1075" w:type="dxa"/>
            <w:tcBorders/>
            <w:shd w:fill="FFFFFF" w:val="clear"/>
            <w:vAlign w:val="center"/>
          </w:tcPr>
          <w:p>
            <w:pPr>
              <w:pStyle w:val="TableContents"/>
              <w:bidi w:val="0"/>
              <w:spacing w:before="0" w:after="283"/>
              <w:jc w:val="right"/>
              <w:rPr/>
            </w:pPr>
            <w:r>
              <w:rPr/>
              <w:t>897</w:t>
            </w:r>
          </w:p>
        </w:tc>
        <w:tc>
          <w:tcPr>
            <w:tcW w:w="77" w:type="dxa"/>
            <w:tcBorders/>
            <w:shd w:fill="FFFFFF" w:val="clear"/>
            <w:vAlign w:val="center"/>
          </w:tcPr>
          <w:p>
            <w:pPr>
              <w:pStyle w:val="TableContents"/>
              <w:bidi w:val="0"/>
              <w:spacing w:before="0" w:after="283"/>
              <w:jc w:val="left"/>
              <w:rPr/>
            </w:pPr>
            <w:r>
              <w:rPr/>
              <w:t> </w:t>
            </w:r>
          </w:p>
        </w:tc>
      </w:tr>
      <w:tr>
        <w:trPr/>
        <w:tc>
          <w:tcPr>
            <w:tcW w:w="4664" w:type="dxa"/>
            <w:tcBorders/>
            <w:shd w:fill="EEEEEE" w:val="clear"/>
            <w:vAlign w:val="center"/>
          </w:tcPr>
          <w:p>
            <w:pPr>
              <w:pStyle w:val="TableContents"/>
              <w:bidi w:val="0"/>
              <w:spacing w:before="0" w:after="283"/>
              <w:jc w:val="left"/>
              <w:rPr/>
            </w:pPr>
            <w:r>
              <w:rPr/>
              <w:t>$4.00 - $4.99</w:t>
            </w:r>
          </w:p>
        </w:tc>
        <w:tc>
          <w:tcPr>
            <w:tcW w:w="60"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bookmarkStart w:id="390" w:name="xdx_98F_eus-gaap--ShareBasedCompensation"/>
            <w:bookmarkEnd w:id="390"/>
          </w:p>
        </w:tc>
        <w:tc>
          <w:tcPr>
            <w:tcW w:w="1157" w:type="dxa"/>
            <w:tcBorders/>
            <w:shd w:fill="EEEEEE" w:val="clear"/>
            <w:vAlign w:val="center"/>
          </w:tcPr>
          <w:p>
            <w:pPr>
              <w:pStyle w:val="TableContents"/>
              <w:bidi w:val="0"/>
              <w:spacing w:before="0" w:after="283"/>
              <w:jc w:val="right"/>
              <w:rPr/>
            </w:pPr>
            <w:r>
              <w:rPr/>
              <w:t>1,130</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bookmarkStart w:id="391" w:name="xdx_989_eus-gaap--ShareBasedCompensation"/>
            <w:bookmarkEnd w:id="391"/>
          </w:p>
        </w:tc>
        <w:tc>
          <w:tcPr>
            <w:tcW w:w="1075" w:type="dxa"/>
            <w:tcBorders/>
            <w:shd w:fill="EEEEEE" w:val="clear"/>
            <w:vAlign w:val="center"/>
          </w:tcPr>
          <w:p>
            <w:pPr>
              <w:pStyle w:val="TableContents"/>
              <w:bidi w:val="0"/>
              <w:spacing w:before="0" w:after="283"/>
              <w:jc w:val="right"/>
              <w:rPr/>
            </w:pPr>
            <w:r>
              <w:rPr/>
              <w:t>1,130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bookmarkStart w:id="392" w:name="xdx_989_eus-gaap--ShareBasedCompensation"/>
            <w:bookmarkEnd w:id="392"/>
          </w:p>
        </w:tc>
        <w:tc>
          <w:tcPr>
            <w:tcW w:w="1157" w:type="dxa"/>
            <w:tcBorders/>
            <w:shd w:fill="EEEEEE" w:val="clear"/>
            <w:vAlign w:val="center"/>
          </w:tcPr>
          <w:p>
            <w:pPr>
              <w:pStyle w:val="TableContents"/>
              <w:bidi w:val="0"/>
              <w:spacing w:before="0" w:after="283"/>
              <w:jc w:val="right"/>
              <w:rPr/>
            </w:pPr>
            <w:r>
              <w:rPr/>
              <w:t>1,145</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bookmarkStart w:id="393" w:name="xdx_986_eus-gaap--ShareBasedCompensation"/>
            <w:bookmarkEnd w:id="393"/>
          </w:p>
        </w:tc>
        <w:tc>
          <w:tcPr>
            <w:tcW w:w="1075" w:type="dxa"/>
            <w:tcBorders/>
            <w:shd w:fill="EEEEEE" w:val="clear"/>
            <w:vAlign w:val="center"/>
          </w:tcPr>
          <w:p>
            <w:pPr>
              <w:pStyle w:val="TableContents"/>
              <w:bidi w:val="0"/>
              <w:spacing w:before="0" w:after="283"/>
              <w:jc w:val="right"/>
              <w:rPr/>
            </w:pPr>
            <w:r>
              <w:rPr/>
              <w:t>1,145</w:t>
            </w:r>
          </w:p>
        </w:tc>
        <w:tc>
          <w:tcPr>
            <w:tcW w:w="77" w:type="dxa"/>
            <w:tcBorders/>
            <w:shd w:fill="EEEEEE" w:val="clear"/>
            <w:vAlign w:val="center"/>
          </w:tcPr>
          <w:p>
            <w:pPr>
              <w:pStyle w:val="TableContents"/>
              <w:bidi w:val="0"/>
              <w:spacing w:before="0" w:after="283"/>
              <w:jc w:val="left"/>
              <w:rPr/>
            </w:pPr>
            <w:r>
              <w:rPr/>
              <w:t> </w:t>
            </w:r>
          </w:p>
        </w:tc>
      </w:tr>
      <w:tr>
        <w:trPr/>
        <w:tc>
          <w:tcPr>
            <w:tcW w:w="4664" w:type="dxa"/>
            <w:tcBorders/>
            <w:shd w:fill="FFFFFF" w:val="clear"/>
            <w:vAlign w:val="center"/>
          </w:tcPr>
          <w:p>
            <w:pPr>
              <w:pStyle w:val="TableContents"/>
              <w:bidi w:val="0"/>
              <w:spacing w:before="0" w:after="283"/>
              <w:jc w:val="left"/>
              <w:rPr/>
            </w:pPr>
            <w:r>
              <w:rPr/>
              <w:t>$8.00 - $8.99</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394" w:name="xdx_982_eus-gaap--ShareBasedCompensation"/>
            <w:bookmarkEnd w:id="394"/>
          </w:p>
        </w:tc>
        <w:tc>
          <w:tcPr>
            <w:tcW w:w="1157" w:type="dxa"/>
            <w:tcBorders/>
            <w:shd w:fill="FFFFFF" w:val="clear"/>
            <w:vAlign w:val="center"/>
          </w:tcPr>
          <w:p>
            <w:pPr>
              <w:pStyle w:val="TableContents"/>
              <w:bidi w:val="0"/>
              <w:spacing w:before="0" w:after="283"/>
              <w:jc w:val="right"/>
              <w:rPr/>
            </w:pPr>
            <w:r>
              <w:rPr/>
              <w:t>1,430</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395" w:name="xdx_988_eus-gaap--ShareBasedCompensation"/>
            <w:bookmarkEnd w:id="395"/>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396" w:name="xdx_988_eus-gaap--ShareBasedCompensation"/>
            <w:bookmarkEnd w:id="396"/>
          </w:p>
        </w:tc>
        <w:tc>
          <w:tcPr>
            <w:tcW w:w="1157" w:type="dxa"/>
            <w:tcBorders/>
            <w:shd w:fill="FFFFFF" w:val="clear"/>
            <w:vAlign w:val="center"/>
          </w:tcPr>
          <w:p>
            <w:pPr>
              <w:pStyle w:val="TableContents"/>
              <w:bidi w:val="0"/>
              <w:spacing w:before="0" w:after="283"/>
              <w:jc w:val="right"/>
              <w:rPr/>
            </w:pPr>
            <w:r>
              <w:rPr/>
              <w:t>1,430</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397" w:name="xdx_989_eus-gaap--ShareBasedCompensation"/>
            <w:bookmarkEnd w:id="397"/>
          </w:p>
        </w:tc>
        <w:tc>
          <w:tcPr>
            <w:tcW w:w="1075"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664" w:type="dxa"/>
            <w:tcBorders/>
            <w:shd w:fill="EEEEEE" w:val="clear"/>
            <w:vAlign w:val="center"/>
          </w:tcPr>
          <w:p>
            <w:pPr>
              <w:pStyle w:val="TableContents"/>
              <w:bidi w:val="0"/>
              <w:spacing w:before="0" w:after="283"/>
              <w:jc w:val="left"/>
              <w:rPr/>
            </w:pPr>
            <w:r>
              <w:rPr/>
              <w:t>$10.00 - $10.99</w:t>
            </w:r>
          </w:p>
        </w:tc>
        <w:tc>
          <w:tcPr>
            <w:tcW w:w="60" w:type="dxa"/>
            <w:tcBorders/>
            <w:shd w:fill="EEEEEE" w:val="clear"/>
            <w:vAlign w:val="center"/>
          </w:tcPr>
          <w:p>
            <w:pPr>
              <w:pStyle w:val="TableContents"/>
              <w:bidi w:val="0"/>
              <w:spacing w:before="0" w:after="283"/>
              <w:jc w:val="left"/>
              <w:rPr/>
            </w:pPr>
            <w:r>
              <w:rPr/>
              <w:t> </w:t>
            </w:r>
          </w:p>
        </w:tc>
        <w:tc>
          <w:tcPr>
            <w:tcW w:w="12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398" w:name="xdx_985_eus-gaap--ShareBasedCompensation"/>
            <w:bookmarkEnd w:id="398"/>
          </w:p>
        </w:tc>
        <w:tc>
          <w:tcPr>
            <w:tcW w:w="1157" w:type="dxa"/>
            <w:tcBorders>
              <w:bottom w:val="single" w:sz="8" w:space="0" w:color="000000"/>
            </w:tcBorders>
            <w:shd w:fill="EEEEEE" w:val="clear"/>
            <w:tcMar>
              <w:bottom w:w="28" w:type="dxa"/>
            </w:tcMar>
            <w:vAlign w:val="center"/>
          </w:tcPr>
          <w:p>
            <w:pPr>
              <w:pStyle w:val="TableContents"/>
              <w:bidi w:val="0"/>
              <w:spacing w:before="0" w:after="283"/>
              <w:jc w:val="right"/>
              <w:rPr/>
            </w:pPr>
            <w:r>
              <w:rPr/>
              <w:t>1,553</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1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399" w:name="xdx_982_eus-gaap--ShareBasedCompensation"/>
            <w:bookmarkEnd w:id="399"/>
          </w:p>
        </w:tc>
        <w:tc>
          <w:tcPr>
            <w:tcW w:w="1075" w:type="dxa"/>
            <w:tcBorders>
              <w:bottom w:val="single" w:sz="8" w:space="0" w:color="000000"/>
            </w:tcBorders>
            <w:shd w:fill="EEEEEE" w:val="clear"/>
            <w:tcMar>
              <w:bottom w:w="28" w:type="dxa"/>
            </w:tcMar>
            <w:vAlign w:val="center"/>
          </w:tcPr>
          <w:p>
            <w:pPr>
              <w:pStyle w:val="TableContents"/>
              <w:bidi w:val="0"/>
              <w:spacing w:before="0" w:after="283"/>
              <w:jc w:val="right"/>
              <w:rPr/>
            </w:pPr>
            <w:r>
              <w:rPr/>
              <w:t>1,553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00" w:name="xdx_988_eus-gaap--ShareBasedCompensation"/>
            <w:bookmarkEnd w:id="400"/>
          </w:p>
        </w:tc>
        <w:tc>
          <w:tcPr>
            <w:tcW w:w="1157" w:type="dxa"/>
            <w:tcBorders>
              <w:bottom w:val="single" w:sz="8" w:space="0" w:color="000000"/>
            </w:tcBorders>
            <w:shd w:fill="EEEEEE" w:val="clear"/>
            <w:tcMar>
              <w:bottom w:w="28" w:type="dxa"/>
            </w:tcMar>
            <w:vAlign w:val="center"/>
          </w:tcPr>
          <w:p>
            <w:pPr>
              <w:pStyle w:val="TableContents"/>
              <w:bidi w:val="0"/>
              <w:spacing w:before="0" w:after="283"/>
              <w:jc w:val="right"/>
              <w:rPr/>
            </w:pPr>
            <w:r>
              <w:rPr/>
              <w:t>1,553</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1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01" w:name="xdx_98B_eus-gaap--ShareBasedCompensation"/>
            <w:bookmarkEnd w:id="401"/>
          </w:p>
        </w:tc>
        <w:tc>
          <w:tcPr>
            <w:tcW w:w="1075" w:type="dxa"/>
            <w:tcBorders>
              <w:bottom w:val="single" w:sz="8" w:space="0" w:color="000000"/>
            </w:tcBorders>
            <w:shd w:fill="EEEEEE" w:val="clear"/>
            <w:tcMar>
              <w:bottom w:w="28" w:type="dxa"/>
            </w:tcMar>
            <w:vAlign w:val="center"/>
          </w:tcPr>
          <w:p>
            <w:pPr>
              <w:pStyle w:val="TableContents"/>
              <w:bidi w:val="0"/>
              <w:spacing w:before="0" w:after="283"/>
              <w:jc w:val="right"/>
              <w:rPr/>
            </w:pPr>
            <w:r>
              <w:rPr/>
              <w:t>1,253</w:t>
            </w:r>
          </w:p>
        </w:tc>
        <w:tc>
          <w:tcPr>
            <w:tcW w:w="77" w:type="dxa"/>
            <w:tcBorders/>
            <w:shd w:fill="EEEEEE" w:val="clear"/>
            <w:vAlign w:val="center"/>
          </w:tcPr>
          <w:p>
            <w:pPr>
              <w:pStyle w:val="TableContents"/>
              <w:bidi w:val="0"/>
              <w:spacing w:before="0" w:after="283"/>
              <w:jc w:val="left"/>
              <w:rPr/>
            </w:pPr>
            <w:r>
              <w:rPr/>
              <w:t> </w:t>
            </w:r>
          </w:p>
        </w:tc>
      </w:tr>
      <w:tr>
        <w:trPr/>
        <w:tc>
          <w:tcPr>
            <w:tcW w:w="4664" w:type="dxa"/>
            <w:tcBorders/>
            <w:shd w:fill="FFFFFF" w:val="clear"/>
            <w:vAlign w:val="center"/>
          </w:tcPr>
          <w:p>
            <w:pPr>
              <w:pStyle w:val="TableContents"/>
              <w:bidi w:val="0"/>
              <w:spacing w:before="0" w:after="283"/>
              <w:jc w:val="left"/>
              <w:rPr/>
            </w:pPr>
            <w:r>
              <w:rPr/>
              <w:t>Total shares</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02" w:name="xdx_989_eus-gaap--ShareBasedCompensation"/>
            <w:bookmarkEnd w:id="402"/>
          </w:p>
        </w:tc>
        <w:tc>
          <w:tcPr>
            <w:tcW w:w="1157" w:type="dxa"/>
            <w:tcBorders>
              <w:bottom w:val="double" w:sz="6" w:space="0" w:color="000000"/>
            </w:tcBorders>
            <w:shd w:fill="FFFFFF" w:val="clear"/>
            <w:tcMar>
              <w:bottom w:w="28" w:type="dxa"/>
            </w:tcMar>
            <w:vAlign w:val="center"/>
          </w:tcPr>
          <w:p>
            <w:pPr>
              <w:pStyle w:val="TableContents"/>
              <w:bidi w:val="0"/>
              <w:spacing w:before="0" w:after="283"/>
              <w:jc w:val="right"/>
              <w:rPr/>
            </w:pPr>
            <w:r>
              <w:rPr/>
              <w:t>5,966</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03" w:name="xdx_98F_eus-gaap--ShareBasedCompensation"/>
            <w:bookmarkEnd w:id="403"/>
          </w:p>
        </w:tc>
        <w:tc>
          <w:tcPr>
            <w:tcW w:w="1075" w:type="dxa"/>
            <w:tcBorders>
              <w:bottom w:val="double" w:sz="6" w:space="0" w:color="000000"/>
            </w:tcBorders>
            <w:shd w:fill="FFFFFF" w:val="clear"/>
            <w:tcMar>
              <w:bottom w:w="28" w:type="dxa"/>
            </w:tcMar>
            <w:vAlign w:val="center"/>
          </w:tcPr>
          <w:p>
            <w:pPr>
              <w:pStyle w:val="TableContents"/>
              <w:bidi w:val="0"/>
              <w:spacing w:before="0" w:after="283"/>
              <w:jc w:val="right"/>
              <w:rPr/>
            </w:pPr>
            <w:r>
              <w:rPr/>
              <w:t>4,536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04" w:name="xdx_98E_eus-gaap--ShareBasedCompensation"/>
            <w:bookmarkEnd w:id="404"/>
          </w:p>
        </w:tc>
        <w:tc>
          <w:tcPr>
            <w:tcW w:w="1157" w:type="dxa"/>
            <w:tcBorders>
              <w:bottom w:val="double" w:sz="6" w:space="0" w:color="000000"/>
            </w:tcBorders>
            <w:shd w:fill="FFFFFF" w:val="clear"/>
            <w:tcMar>
              <w:bottom w:w="28" w:type="dxa"/>
            </w:tcMar>
            <w:vAlign w:val="center"/>
          </w:tcPr>
          <w:p>
            <w:pPr>
              <w:pStyle w:val="TableContents"/>
              <w:bidi w:val="0"/>
              <w:spacing w:before="0" w:after="283"/>
              <w:jc w:val="right"/>
              <w:rPr/>
            </w:pPr>
            <w:r>
              <w:rPr/>
              <w:t>6,123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05" w:name="xdx_984_eus-gaap--ShareBasedCompensation"/>
            <w:bookmarkEnd w:id="405"/>
          </w:p>
        </w:tc>
        <w:tc>
          <w:tcPr>
            <w:tcW w:w="1075" w:type="dxa"/>
            <w:tcBorders>
              <w:bottom w:val="double" w:sz="6" w:space="0" w:color="000000"/>
            </w:tcBorders>
            <w:shd w:fill="FFFFFF" w:val="clear"/>
            <w:tcMar>
              <w:bottom w:w="28" w:type="dxa"/>
            </w:tcMar>
            <w:vAlign w:val="center"/>
          </w:tcPr>
          <w:p>
            <w:pPr>
              <w:pStyle w:val="TableContents"/>
              <w:bidi w:val="0"/>
              <w:spacing w:before="0" w:after="283"/>
              <w:jc w:val="right"/>
              <w:rPr/>
            </w:pPr>
            <w:r>
              <w:rPr/>
              <w:t>4,393</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406" w:name="xdx_8A3_z4DrLYUV0dx1"/>
      <w:bookmarkEnd w:id="406"/>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 aggregate intrinsic value of options outstanding and exercisable was $</w:t>
      </w:r>
      <w:bookmarkStart w:id="407" w:name="xdx_909_eus-gaap--ShareBasedCompensation"/>
      <w:bookmarkEnd w:id="407"/>
      <w:r>
        <w:rPr>
          <w:rFonts w:ascii="Times New Roman;Times;Serif" w:hAnsi="Times New Roman;Times;Serif"/>
          <w:b w:val="false"/>
          <w:i w:val="false"/>
          <w:caps w:val="false"/>
          <w:smallCaps w:val="false"/>
          <w:sz w:val="20"/>
        </w:rPr>
        <w:t>19.6 million and $</w:t>
      </w:r>
      <w:bookmarkStart w:id="408" w:name="xdx_900_eus-gaap--SharebasedCompensation"/>
      <w:bookmarkEnd w:id="408"/>
      <w:r>
        <w:rPr>
          <w:rFonts w:ascii="Times New Roman;Times;Serif" w:hAnsi="Times New Roman;Times;Serif"/>
          <w:b w:val="false"/>
          <w:i w:val="false"/>
          <w:caps w:val="false"/>
          <w:smallCaps w:val="false"/>
          <w:sz w:val="20"/>
        </w:rPr>
        <w:t xml:space="preserve">17.6 million, respectively. There were </w:t>
      </w:r>
      <w:bookmarkStart w:id="409" w:name="xdx_905_eus-gaap--StockIssuedDuringPerio"/>
      <w:bookmarkEnd w:id="409"/>
      <w:r>
        <w:rPr>
          <w:rFonts w:ascii="Times New Roman;Times;Serif" w:hAnsi="Times New Roman;Times;Serif"/>
          <w:b w:val="false"/>
          <w:i w:val="false"/>
          <w:caps w:val="false"/>
          <w:smallCaps w:val="false"/>
          <w:sz w:val="20"/>
        </w:rPr>
        <w:t xml:space="preserve">157,000 options exercised for the six months ended June 30, 2026, compared to </w:t>
      </w:r>
      <w:bookmarkStart w:id="410" w:name="xdx_90E_eus-gaap--StockIssuedDuringPerio"/>
      <w:bookmarkEnd w:id="410"/>
      <w:r>
        <w:rPr>
          <w:rFonts w:ascii="Times New Roman;Times;Serif" w:hAnsi="Times New Roman;Times;Serif"/>
          <w:b w:val="false"/>
          <w:i w:val="false"/>
          <w:caps w:val="false"/>
          <w:smallCaps w:val="false"/>
          <w:sz w:val="20"/>
        </w:rPr>
        <w:t>1.3 million for the comparable period in 2025. The total intrinsic value of options exercised was $</w:t>
      </w:r>
      <w:bookmarkStart w:id="411" w:name="xdx_905_eus-gaap--ShareBasedCompensation"/>
      <w:bookmarkEnd w:id="411"/>
      <w:r>
        <w:rPr>
          <w:rFonts w:ascii="Times New Roman;Times;Serif" w:hAnsi="Times New Roman;Times;Serif"/>
          <w:b w:val="false"/>
          <w:i w:val="false"/>
          <w:caps w:val="false"/>
          <w:smallCaps w:val="false"/>
          <w:sz w:val="20"/>
        </w:rPr>
        <w:t>880,000 and $</w:t>
      </w:r>
      <w:bookmarkStart w:id="412" w:name="xdx_908_eus-gaap--ShareBasedCompensation"/>
      <w:bookmarkEnd w:id="412"/>
      <w:r>
        <w:rPr>
          <w:rFonts w:ascii="Times New Roman;Times;Serif" w:hAnsi="Times New Roman;Times;Serif"/>
          <w:b w:val="false"/>
          <w:i w:val="false"/>
          <w:caps w:val="false"/>
          <w:smallCaps w:val="false"/>
          <w:sz w:val="20"/>
        </w:rPr>
        <w:t xml:space="preserve">8.2 million for the six-month periods ended June 30, 2026 and 2025. There were </w:t>
      </w:r>
      <w:bookmarkStart w:id="413" w:name="xdx_907_eus-gaap--ShareBasedCompensation"/>
      <w:bookmarkEnd w:id="413"/>
      <w:r>
        <w:rPr>
          <w:rFonts w:ascii="Times New Roman;Times;Serif" w:hAnsi="Times New Roman;Times;Serif"/>
          <w:b w:val="false"/>
          <w:i w:val="false"/>
          <w:caps w:val="false"/>
          <w:smallCaps w:val="false"/>
          <w:sz w:val="20"/>
        </w:rPr>
        <w:t>4,606,000 shares available for future stock option grants under existing plans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14" w:name="xdx_23E_z1OPOnpHCVIa"/>
      <w:bookmarkEnd w:id="414"/>
      <w:r>
        <w:rPr>
          <w:caps w:val="false"/>
          <w:smallCaps w:val="false"/>
        </w:rPr>
        <w:t> </w:t>
      </w:r>
    </w:p>
    <w:p>
      <w:pPr>
        <w:pStyle w:val="TextBody"/>
        <w:bidi w:val="0"/>
        <w:spacing w:before="0" w:after="0"/>
        <w:ind w:left="0" w:right="0" w:hanging="0"/>
        <w:jc w:val="both"/>
        <w:rPr>
          <w:caps w:val="false"/>
          <w:smallCaps w:val="false"/>
        </w:rPr>
      </w:pPr>
      <w:bookmarkStart w:id="415" w:name="xdx_234_zFU9bk3PfFId"/>
      <w:bookmarkEnd w:id="41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16" w:name="xdx_237_zbr7TeiQDdHg"/>
      <w:bookmarkEnd w:id="41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7" w:name="xdx_862_zQWEgkGN8vI8"/>
      <w:bookmarkStart w:id="418" w:name="xdx_84A_eus-gaap--StockholdersEquityPoli"/>
      <w:bookmarkEnd w:id="417"/>
      <w:bookmarkEnd w:id="418"/>
      <w:r>
        <w:rPr>
          <w:rFonts w:ascii="Times New Roman;Times;Serif" w:hAnsi="Times New Roman;Times;Serif"/>
          <w:b/>
          <w:i w:val="false"/>
          <w:caps w:val="false"/>
          <w:smallCaps w:val="false"/>
          <w:sz w:val="20"/>
        </w:rPr>
        <w:t>Purchases of Company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describes the purchase of our common stock for the six months ended June 30, 2026, and 2025:</w:t>
      </w:r>
    </w:p>
    <w:p>
      <w:pPr>
        <w:pStyle w:val="Normal"/>
        <w:bidi w:val="0"/>
        <w:spacing w:before="0" w:after="0"/>
        <w:ind w:left="0" w:right="0" w:hanging="0"/>
        <w:jc w:val="left"/>
        <w:rPr>
          <w:sz w:val="4"/>
          <w:szCs w:val="4"/>
        </w:rPr>
      </w:pPr>
      <w:r>
        <w:rPr>
          <w:sz w:val="4"/>
          <w:szCs w:val="4"/>
        </w:rPr>
      </w:r>
      <w:bookmarkStart w:id="419" w:name="xdx_89C_eus-gaap--ScheduleOfTreasuryStoc"/>
      <w:bookmarkStart w:id="420" w:name="xdx_89C_eus-gaap--ScheduleOfTreasuryStoc"/>
      <w:bookmarkEnd w:id="420"/>
    </w:p>
    <w:tbl>
      <w:tblPr>
        <w:tblW w:w="9293" w:type="dxa"/>
        <w:jc w:val="left"/>
        <w:tblInd w:w="0" w:type="dxa"/>
        <w:tblLayout w:type="fixed"/>
        <w:tblCellMar>
          <w:top w:w="0" w:type="dxa"/>
          <w:left w:w="0" w:type="dxa"/>
          <w:bottom w:w="0" w:type="dxa"/>
          <w:right w:w="0" w:type="dxa"/>
        </w:tblCellMar>
      </w:tblPr>
      <w:tblGrid>
        <w:gridCol w:w="4910"/>
        <w:gridCol w:w="60"/>
        <w:gridCol w:w="60"/>
        <w:gridCol w:w="800"/>
        <w:gridCol w:w="60"/>
        <w:gridCol w:w="60"/>
        <w:gridCol w:w="261"/>
        <w:gridCol w:w="823"/>
        <w:gridCol w:w="60"/>
        <w:gridCol w:w="60"/>
        <w:gridCol w:w="60"/>
        <w:gridCol w:w="800"/>
        <w:gridCol w:w="60"/>
        <w:gridCol w:w="60"/>
        <w:gridCol w:w="261"/>
        <w:gridCol w:w="823"/>
        <w:gridCol w:w="75"/>
      </w:tblGrid>
      <w:tr>
        <w:trPr/>
        <w:tc>
          <w:tcPr>
            <w:tcW w:w="4910" w:type="dxa"/>
            <w:tcBorders/>
            <w:vAlign w:val="center"/>
          </w:tcPr>
          <w:p>
            <w:pPr>
              <w:pStyle w:val="TableContents"/>
              <w:bidi w:val="0"/>
              <w:spacing w:before="0" w:after="283"/>
              <w:jc w:val="left"/>
              <w:rPr/>
            </w:pPr>
            <w:bookmarkStart w:id="421" w:name="xdx_8B0_zGw3g3nRN26c"/>
            <w:bookmarkEnd w:id="421"/>
            <w:r>
              <w:rPr/>
              <w:t>Schedule of purchase of our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8" w:type="dxa"/>
            <w:gridSpan w:val="14"/>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Avg.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Avg. Price</w:t>
            </w:r>
          </w:p>
        </w:tc>
        <w:tc>
          <w:tcPr>
            <w:tcW w:w="75" w:type="dxa"/>
            <w:tcBorders/>
            <w:vAlign w:val="center"/>
          </w:tcPr>
          <w:p>
            <w:pPr>
              <w:pStyle w:val="TableContents"/>
              <w:bidi w:val="0"/>
              <w:spacing w:before="0" w:after="283"/>
              <w:jc w:val="left"/>
              <w:rPr/>
            </w:pPr>
            <w:r>
              <w:rPr/>
              <w:t> </w:t>
            </w:r>
          </w:p>
        </w:tc>
      </w:tr>
      <w:tr>
        <w:trPr/>
        <w:tc>
          <w:tcPr>
            <w:tcW w:w="4910" w:type="dxa"/>
            <w:tcBorders/>
            <w:shd w:fill="EEEEEE" w:val="clear"/>
            <w:vAlign w:val="center"/>
          </w:tcPr>
          <w:p>
            <w:pPr>
              <w:pStyle w:val="TableContents"/>
              <w:bidi w:val="0"/>
              <w:spacing w:before="0" w:after="283"/>
              <w:jc w:val="left"/>
              <w:rPr/>
            </w:pPr>
            <w:r>
              <w:rPr/>
              <w:t>Open market purchases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422" w:name="xdx_987_eus-gaap--StockRepurchasedDuring"/>
            <w:bookmarkEnd w:id="422"/>
          </w:p>
        </w:tc>
        <w:tc>
          <w:tcPr>
            <w:tcW w:w="800" w:type="dxa"/>
            <w:tcBorders/>
            <w:shd w:fill="EEEEEE" w:val="clear"/>
            <w:vAlign w:val="center"/>
          </w:tcPr>
          <w:p>
            <w:pPr>
              <w:pStyle w:val="TableContents"/>
              <w:bidi w:val="0"/>
              <w:spacing w:before="0" w:after="283"/>
              <w:jc w:val="right"/>
              <w:rPr/>
            </w:pPr>
            <w:r>
              <w:rPr/>
              <w:t>22,736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61" w:type="dxa"/>
            <w:tcBorders/>
            <w:shd w:fill="EEEEEE" w:val="clear"/>
            <w:vAlign w:val="center"/>
          </w:tcPr>
          <w:p>
            <w:pPr>
              <w:pStyle w:val="TableContents"/>
              <w:bidi w:val="0"/>
              <w:spacing w:before="0" w:after="283"/>
              <w:jc w:val="left"/>
              <w:rPr/>
            </w:pPr>
            <w:r>
              <w:rPr/>
              <w:t>$</w:t>
            </w:r>
            <w:bookmarkStart w:id="423" w:name="xdx_98B_eus-gaap--TreasuryStockAcquiredA"/>
            <w:bookmarkEnd w:id="423"/>
          </w:p>
        </w:tc>
        <w:tc>
          <w:tcPr>
            <w:tcW w:w="823" w:type="dxa"/>
            <w:tcBorders/>
            <w:shd w:fill="EEEEEE" w:val="clear"/>
            <w:vAlign w:val="center"/>
          </w:tcPr>
          <w:p>
            <w:pPr>
              <w:pStyle w:val="TableContents"/>
              <w:bidi w:val="0"/>
              <w:spacing w:before="0" w:after="283"/>
              <w:jc w:val="right"/>
              <w:rPr/>
            </w:pPr>
            <w:r>
              <w:rPr/>
              <w:t>9.79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424" w:name="xdx_981_eus-gaap--StockRepurchasedDuring"/>
            <w:bookmarkEnd w:id="424"/>
          </w:p>
        </w:tc>
        <w:tc>
          <w:tcPr>
            <w:tcW w:w="800" w:type="dxa"/>
            <w:tcBorders/>
            <w:shd w:fill="EEEEEE" w:val="clear"/>
            <w:vAlign w:val="center"/>
          </w:tcPr>
          <w:p>
            <w:pPr>
              <w:pStyle w:val="TableContents"/>
              <w:bidi w:val="0"/>
              <w:spacing w:before="0" w:after="283"/>
              <w:jc w:val="right"/>
              <w:rPr/>
            </w:pPr>
            <w:r>
              <w:rPr/>
              <w:t>76,880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61" w:type="dxa"/>
            <w:tcBorders/>
            <w:shd w:fill="EEEEEE" w:val="clear"/>
            <w:vAlign w:val="center"/>
          </w:tcPr>
          <w:p>
            <w:pPr>
              <w:pStyle w:val="TableContents"/>
              <w:bidi w:val="0"/>
              <w:spacing w:before="0" w:after="283"/>
              <w:jc w:val="left"/>
              <w:rPr/>
            </w:pPr>
            <w:r>
              <w:rPr/>
              <w:t>$</w:t>
            </w:r>
            <w:bookmarkStart w:id="425" w:name="xdx_980_eus-gaap--TreasuryStockAcquiredA"/>
            <w:bookmarkEnd w:id="425"/>
          </w:p>
        </w:tc>
        <w:tc>
          <w:tcPr>
            <w:tcW w:w="823" w:type="dxa"/>
            <w:tcBorders/>
            <w:shd w:fill="EEEEEE" w:val="clear"/>
            <w:vAlign w:val="center"/>
          </w:tcPr>
          <w:p>
            <w:pPr>
              <w:pStyle w:val="TableContents"/>
              <w:bidi w:val="0"/>
              <w:spacing w:before="0" w:after="283"/>
              <w:jc w:val="right"/>
              <w:rPr/>
            </w:pPr>
            <w:r>
              <w:rPr/>
              <w:t>9.72</w:t>
            </w:r>
          </w:p>
        </w:tc>
        <w:tc>
          <w:tcPr>
            <w:tcW w:w="75" w:type="dxa"/>
            <w:tcBorders/>
            <w:shd w:fill="EEEEEE"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Shares redeemed upon net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6" w:name="xdx_983_eus-gaap--StockRepurchasedDuring"/>
            <w:bookmarkEnd w:id="426"/>
          </w:p>
        </w:tc>
        <w:tc>
          <w:tcPr>
            <w:tcW w:w="800" w:type="dxa"/>
            <w:tcBorders/>
            <w:shd w:fill="FFFFFF" w:val="clear"/>
            <w:vAlign w:val="center"/>
          </w:tcPr>
          <w:p>
            <w:pPr>
              <w:pStyle w:val="TableContents"/>
              <w:bidi w:val="0"/>
              <w:spacing w:before="0" w:after="283"/>
              <w:jc w:val="right"/>
              <w:rPr/>
            </w:pPr>
            <w:r>
              <w:rPr/>
              <w:t>257,756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w:t>
            </w:r>
            <w:bookmarkStart w:id="427" w:name="xdx_986_eus-gaap--TreasuryStockAcquiredA"/>
            <w:bookmarkEnd w:id="427"/>
          </w:p>
        </w:tc>
        <w:tc>
          <w:tcPr>
            <w:tcW w:w="823" w:type="dxa"/>
            <w:tcBorders/>
            <w:shd w:fill="FFFFFF" w:val="clear"/>
            <w:vAlign w:val="center"/>
          </w:tcPr>
          <w:p>
            <w:pPr>
              <w:pStyle w:val="TableContents"/>
              <w:bidi w:val="0"/>
              <w:spacing w:before="0" w:after="283"/>
              <w:jc w:val="right"/>
              <w:rPr/>
            </w:pPr>
            <w:r>
              <w:rPr/>
              <w:t>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8" w:name="xdx_989_eus-gaap--StockRepurchasedDuring"/>
            <w:bookmarkEnd w:id="428"/>
          </w:p>
        </w:tc>
        <w:tc>
          <w:tcPr>
            <w:tcW w:w="800" w:type="dxa"/>
            <w:tcBorders/>
            <w:shd w:fill="FFFFFF" w:val="clear"/>
            <w:vAlign w:val="center"/>
          </w:tcPr>
          <w:p>
            <w:pPr>
              <w:pStyle w:val="TableContents"/>
              <w:bidi w:val="0"/>
              <w:spacing w:before="0" w:after="283"/>
              <w:jc w:val="right"/>
              <w:rPr/>
            </w:pPr>
            <w:r>
              <w:rPr/>
              <w:t>449,772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w:t>
            </w:r>
            <w:bookmarkStart w:id="429" w:name="xdx_983_eus-gaap--TreasuryStockAcquiredA"/>
            <w:bookmarkEnd w:id="429"/>
          </w:p>
        </w:tc>
        <w:tc>
          <w:tcPr>
            <w:tcW w:w="823" w:type="dxa"/>
            <w:tcBorders/>
            <w:shd w:fill="FFFFFF" w:val="clear"/>
            <w:vAlign w:val="center"/>
          </w:tcPr>
          <w:p>
            <w:pPr>
              <w:pStyle w:val="TableContents"/>
              <w:bidi w:val="0"/>
              <w:spacing w:before="0" w:after="283"/>
              <w:jc w:val="right"/>
              <w:rPr/>
            </w:pPr>
            <w:r>
              <w:rPr/>
              <w:t>9.76</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EEEEEE" w:val="clear"/>
            <w:vAlign w:val="center"/>
          </w:tcPr>
          <w:p>
            <w:pPr>
              <w:pStyle w:val="TableContents"/>
              <w:bidi w:val="0"/>
              <w:spacing w:before="0" w:after="283"/>
              <w:jc w:val="left"/>
              <w:rPr/>
            </w:pPr>
            <w:r>
              <w:rPr/>
              <w:t>Other</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30" w:name="xdx_98D_eus-gaap--StockRepurchasedDuring"/>
            <w:bookmarkEnd w:id="430"/>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120,000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61"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431" w:name="xdx_986_eus-gaap--TreasuryStockAcquiredA"/>
            <w:bookmarkEnd w:id="431"/>
          </w:p>
        </w:tc>
        <w:tc>
          <w:tcPr>
            <w:tcW w:w="823" w:type="dxa"/>
            <w:tcBorders>
              <w:bottom w:val="single" w:sz="8" w:space="0" w:color="000000"/>
            </w:tcBorders>
            <w:shd w:fill="EEEEEE" w:val="clear"/>
            <w:tcMar>
              <w:bottom w:w="28" w:type="dxa"/>
            </w:tcMar>
            <w:vAlign w:val="center"/>
          </w:tcPr>
          <w:p>
            <w:pPr>
              <w:pStyle w:val="TableContents"/>
              <w:bidi w:val="0"/>
              <w:spacing w:before="0" w:after="283"/>
              <w:jc w:val="right"/>
              <w:rPr/>
            </w:pPr>
            <w:r>
              <w:rPr/>
              <w:t>9.51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32" w:name="xdx_985_eus-gaap--StockRepurchasedDuring"/>
            <w:bookmarkEnd w:id="432"/>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61"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433" w:name="xdx_981_eus-gaap--TreasuryStockAcquiredA"/>
            <w:bookmarkEnd w:id="433"/>
          </w:p>
        </w:tc>
        <w:tc>
          <w:tcPr>
            <w:tcW w:w="823"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Total stock purchases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34" w:name="xdx_98B_eus-gaap--StockRepurchasedDuring"/>
            <w:bookmarkEnd w:id="434"/>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400,492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5" w:name="xdx_983_eus-gaap--TreasuryStockAcquiredA"/>
            <w:bookmarkEnd w:id="435"/>
          </w:p>
        </w:tc>
        <w:tc>
          <w:tcPr>
            <w:tcW w:w="823" w:type="dxa"/>
            <w:tcBorders>
              <w:bottom w:val="double" w:sz="6" w:space="0" w:color="000000"/>
            </w:tcBorders>
            <w:shd w:fill="FFFFFF" w:val="clear"/>
            <w:tcMar>
              <w:bottom w:w="28" w:type="dxa"/>
            </w:tcMar>
            <w:vAlign w:val="center"/>
          </w:tcPr>
          <w:p>
            <w:pPr>
              <w:pStyle w:val="TableContents"/>
              <w:bidi w:val="0"/>
              <w:spacing w:before="0" w:after="283"/>
              <w:jc w:val="right"/>
              <w:rPr/>
            </w:pPr>
            <w:r>
              <w:rPr/>
              <w:t>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36" w:name="xdx_98C_eus-gaap--StockRepurchasedDuring"/>
            <w:bookmarkEnd w:id="436"/>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526,652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7" w:name="xdx_98C_eus-gaap--TreasuryStockAcquiredA"/>
            <w:bookmarkEnd w:id="437"/>
          </w:p>
        </w:tc>
        <w:tc>
          <w:tcPr>
            <w:tcW w:w="823" w:type="dxa"/>
            <w:tcBorders>
              <w:bottom w:val="double" w:sz="6" w:space="0" w:color="000000"/>
            </w:tcBorders>
            <w:shd w:fill="FFFFFF" w:val="clear"/>
            <w:tcMar>
              <w:bottom w:w="28" w:type="dxa"/>
            </w:tcMar>
            <w:vAlign w:val="center"/>
          </w:tcPr>
          <w:p>
            <w:pPr>
              <w:pStyle w:val="TableContents"/>
              <w:bidi w:val="0"/>
              <w:spacing w:before="0" w:after="283"/>
              <w:jc w:val="right"/>
              <w:rPr/>
            </w:pPr>
            <w:r>
              <w:rPr/>
              <w:t>9.76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438" w:name="xdx_8A3_zCCQ8nJ0TDGe"/>
      <w:bookmarkEnd w:id="438"/>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9" w:name="xdx_867_zW9nm0uivsJd"/>
      <w:bookmarkStart w:id="440" w:name="xdx_84E_eus-gaap--PriorPeriodReclassific"/>
      <w:bookmarkEnd w:id="439"/>
      <w:bookmarkEnd w:id="440"/>
      <w:r>
        <w:rPr>
          <w:rFonts w:ascii="Times New Roman;Times;Serif" w:hAnsi="Times New Roman;Times;Serif"/>
          <w:b/>
          <w:i w:val="false"/>
          <w:caps w:val="false"/>
          <w:smallCaps w:val="false"/>
          <w:sz w:val="20"/>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items in the prior year financial statements were reclassified to conform to the current presentation. Reclassifications had no effect on net income or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1" w:name="xdx_86E_zPgLwhNLF5Ug"/>
      <w:bookmarkStart w:id="442" w:name="xdx_84F_ecustom--FinancialCovenantsPolic"/>
      <w:bookmarkEnd w:id="441"/>
      <w:bookmarkEnd w:id="442"/>
      <w:r>
        <w:rPr>
          <w:rFonts w:ascii="Times New Roman;Times;Serif" w:hAnsi="Times New Roman;Times;Serif"/>
          <w:b/>
          <w:i w:val="false"/>
          <w:caps w:val="false"/>
          <w:smallCaps w:val="false"/>
          <w:sz w:val="20"/>
        </w:rPr>
        <w:t xml:space="preserve">Financial Covenants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2026,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3" w:name="xdx_864_zM6hllcAXL5i"/>
      <w:bookmarkStart w:id="444" w:name="xdx_84A_eus-gaap--CommitmentsAndContinge"/>
      <w:bookmarkEnd w:id="443"/>
      <w:bookmarkEnd w:id="444"/>
      <w:r>
        <w:rPr>
          <w:rFonts w:ascii="Times New Roman;Times;Serif" w:hAnsi="Times New Roman;Times;Serif"/>
          <w:b/>
          <w:i w:val="false"/>
          <w:caps w:val="false"/>
          <w:smallCaps w:val="false"/>
          <w:sz w:val="20"/>
        </w:rPr>
        <w:t>Provision for Contingent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 This is described further in footnote 8.</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5" w:name="xdx_863_z87Z03Cd3O2d"/>
      <w:bookmarkStart w:id="446" w:name="xdx_84A_eus-gaap--NewAccountingPronounce"/>
      <w:bookmarkEnd w:id="445"/>
      <w:bookmarkEnd w:id="446"/>
      <w:r>
        <w:rPr>
          <w:rFonts w:ascii="Times New Roman;Times;Serif" w:hAnsi="Times New Roman;Times;Serif"/>
          <w:b/>
          <w:i w:val="false"/>
          <w:caps w:val="false"/>
          <w:smallCaps w:val="false"/>
          <w:sz w:val="20"/>
        </w:rPr>
        <w:t xml:space="preserve">Recent Accounting Pronouncements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any accounting pronouncements issued, but not yet effective, are applicable or would have a material impact on our consolidated financial statements or disclosures, if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47" w:name="xdx_230_zjwUFJqdPpwl"/>
      <w:bookmarkEnd w:id="447"/>
      <w:r>
        <w:rPr>
          <w:caps w:val="false"/>
          <w:smallCaps w:val="false"/>
        </w:rPr>
        <w:t> </w:t>
      </w:r>
    </w:p>
    <w:p>
      <w:pPr>
        <w:pStyle w:val="TextBody"/>
        <w:bidi w:val="0"/>
        <w:spacing w:before="0" w:after="0"/>
        <w:ind w:left="0" w:right="0" w:hanging="0"/>
        <w:jc w:val="both"/>
        <w:rPr>
          <w:caps w:val="false"/>
          <w:smallCaps w:val="false"/>
        </w:rPr>
      </w:pPr>
      <w:bookmarkStart w:id="448" w:name="xdx_23A_zCBzcgUPA5g9"/>
      <w:bookmarkEnd w:id="44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49" w:name="xdx_233_zihQy6i2ealf"/>
      <w:bookmarkEnd w:id="44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0" w:name="xdx_802_ecustom--FinanceReceivableMeasur"/>
      <w:bookmarkEnd w:id="450"/>
      <w:r>
        <w:rPr>
          <w:rFonts w:ascii="Times New Roman;Times;Serif" w:hAnsi="Times New Roman;Times;Serif"/>
          <w:b/>
          <w:i w:val="false"/>
          <w:caps w:val="false"/>
          <w:smallCaps w:val="false"/>
          <w:sz w:val="20"/>
        </w:rPr>
        <w:t xml:space="preserve">(2) </w:t>
      </w:r>
      <w:bookmarkStart w:id="451" w:name="xdx_824_z3TywOP7karf"/>
      <w:bookmarkEnd w:id="451"/>
      <w:r>
        <w:rPr>
          <w:rFonts w:ascii="Times New Roman;Times;Serif" w:hAnsi="Times New Roman;Times;Serif"/>
          <w:b/>
          <w:i/>
          <w:caps w:val="false"/>
          <w:smallCaps w:val="false"/>
          <w:sz w:val="20"/>
        </w:rPr>
        <w:t xml:space="preserve">Finance receivables measured at fair value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portfolio of finance receivables consists of small-balance homogeneous contracts comprising a single segment. Our contract purchase guidelines are designed to produce a homogenous portfolio. For key terms such as interest rate, length of contract, monthly payment and amount financed, there is relatively little variation from the average for the portfolio.</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use the fair value method to value our portfolio of finance receivables acquired. The accounting treatment follows the fair value hierarchy outlined in ASC 820, "Fair Value Measurements", and the inputs and assumptions are level 3. This is described further in footnote 9.</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effect on our fair value measurement.</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2026, the Company evaluated the appropriate fair value and future earnings rate of existing receivables compared to recently acquired receivables and did not record a mark up or down to the portfolio.</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a reconciliation of the finance receivables measured at fair value on a recurring basis using significant unobservable inputs:</w:t>
      </w:r>
    </w:p>
    <w:p>
      <w:pPr>
        <w:pStyle w:val="Normal"/>
        <w:bidi w:val="0"/>
        <w:spacing w:before="0" w:after="0"/>
        <w:ind w:left="0" w:right="0" w:firstLine="144"/>
        <w:jc w:val="left"/>
        <w:rPr>
          <w:sz w:val="4"/>
          <w:szCs w:val="4"/>
        </w:rPr>
      </w:pPr>
      <w:r>
        <w:rPr>
          <w:sz w:val="4"/>
          <w:szCs w:val="4"/>
        </w:rPr>
      </w:r>
      <w:bookmarkStart w:id="452" w:name="xdx_890_eus-gaap--FairValueAssetsMeasure"/>
      <w:bookmarkStart w:id="453" w:name="xdx_890_eus-gaap--FairValueAssetsMeasure"/>
      <w:bookmarkEnd w:id="453"/>
    </w:p>
    <w:tbl>
      <w:tblPr>
        <w:tblW w:w="10205" w:type="dxa"/>
        <w:jc w:val="left"/>
        <w:tblInd w:w="0" w:type="dxa"/>
        <w:tblLayout w:type="fixed"/>
        <w:tblCellMar>
          <w:top w:w="0" w:type="dxa"/>
          <w:left w:w="0" w:type="dxa"/>
          <w:bottom w:w="0" w:type="dxa"/>
          <w:right w:w="0" w:type="dxa"/>
        </w:tblCellMar>
      </w:tblPr>
      <w:tblGrid>
        <w:gridCol w:w="5090"/>
        <w:gridCol w:w="60"/>
        <w:gridCol w:w="140"/>
        <w:gridCol w:w="980"/>
        <w:gridCol w:w="95"/>
        <w:gridCol w:w="60"/>
        <w:gridCol w:w="140"/>
        <w:gridCol w:w="980"/>
        <w:gridCol w:w="95"/>
        <w:gridCol w:w="60"/>
        <w:gridCol w:w="140"/>
        <w:gridCol w:w="980"/>
        <w:gridCol w:w="95"/>
        <w:gridCol w:w="60"/>
        <w:gridCol w:w="140"/>
        <w:gridCol w:w="980"/>
        <w:gridCol w:w="110"/>
      </w:tblGrid>
      <w:tr>
        <w:trPr/>
        <w:tc>
          <w:tcPr>
            <w:tcW w:w="5090" w:type="dxa"/>
            <w:tcBorders/>
            <w:shd w:fill="FFFFFF" w:val="clear"/>
            <w:vAlign w:val="center"/>
          </w:tcPr>
          <w:p>
            <w:pPr>
              <w:pStyle w:val="TableContents"/>
              <w:bidi w:val="0"/>
              <w:spacing w:before="0" w:after="283"/>
              <w:jc w:val="left"/>
              <w:rPr/>
            </w:pPr>
            <w:bookmarkStart w:id="454" w:name="xdx_8BF_zwLJFCXwKoUe"/>
            <w:bookmarkEnd w:id="454"/>
            <w:r>
              <w:rPr/>
              <w:t>Schedule of reconciliation of the finance receivables measured at fair value on a recurring basis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5090" w:type="dxa"/>
            <w:tcBorders/>
            <w:shd w:fill="EEEEEE" w:val="clear"/>
            <w:vAlign w:val="center"/>
          </w:tcPr>
          <w:p>
            <w:pPr>
              <w:pStyle w:val="TableContents"/>
              <w:bidi w:val="0"/>
              <w:spacing w:before="0" w:after="283"/>
              <w:jc w:val="left"/>
              <w:rPr/>
            </w:pPr>
            <w:r>
              <w:rPr/>
              <w:t>Balance at beginning of period</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455" w:name="xdx_984_eus-gaap--ReceivablesFairValueDi"/>
            <w:bookmarkEnd w:id="455"/>
          </w:p>
        </w:tc>
        <w:tc>
          <w:tcPr>
            <w:tcW w:w="980" w:type="dxa"/>
            <w:tcBorders/>
            <w:shd w:fill="EEEEEE" w:val="clear"/>
            <w:vAlign w:val="center"/>
          </w:tcPr>
          <w:p>
            <w:pPr>
              <w:pStyle w:val="TableContents"/>
              <w:bidi w:val="0"/>
              <w:spacing w:before="0" w:after="283"/>
              <w:jc w:val="right"/>
              <w:rPr/>
            </w:pPr>
            <w:r>
              <w:rPr/>
              <w:t>3,835,789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456" w:name="xdx_98D_eus-gaap--ReceivablesFairValueDi"/>
            <w:bookmarkEnd w:id="456"/>
          </w:p>
        </w:tc>
        <w:tc>
          <w:tcPr>
            <w:tcW w:w="980" w:type="dxa"/>
            <w:tcBorders/>
            <w:shd w:fill="EEEEEE" w:val="clear"/>
            <w:vAlign w:val="center"/>
          </w:tcPr>
          <w:p>
            <w:pPr>
              <w:pStyle w:val="TableContents"/>
              <w:bidi w:val="0"/>
              <w:spacing w:before="0" w:after="283"/>
              <w:jc w:val="right"/>
              <w:rPr/>
            </w:pPr>
            <w:r>
              <w:rPr/>
              <w:t>3,449,106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457" w:name="xdx_984_eus-gaap--ReceivablesFairValueDi"/>
            <w:bookmarkEnd w:id="457"/>
          </w:p>
        </w:tc>
        <w:tc>
          <w:tcPr>
            <w:tcW w:w="980" w:type="dxa"/>
            <w:tcBorders/>
            <w:shd w:fill="EEEEEE" w:val="clear"/>
            <w:vAlign w:val="center"/>
          </w:tcPr>
          <w:p>
            <w:pPr>
              <w:pStyle w:val="TableContents"/>
              <w:bidi w:val="0"/>
              <w:spacing w:before="0" w:after="283"/>
              <w:jc w:val="right"/>
              <w:rPr/>
            </w:pPr>
            <w:r>
              <w:rPr/>
              <w:t>3,655,855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458" w:name="xdx_98C_eus-gaap--ReceivablesFairValueDi"/>
            <w:bookmarkEnd w:id="458"/>
          </w:p>
        </w:tc>
        <w:tc>
          <w:tcPr>
            <w:tcW w:w="980" w:type="dxa"/>
            <w:tcBorders/>
            <w:shd w:fill="EEEEEE" w:val="clear"/>
            <w:vAlign w:val="center"/>
          </w:tcPr>
          <w:p>
            <w:pPr>
              <w:pStyle w:val="TableContents"/>
              <w:bidi w:val="0"/>
              <w:spacing w:before="0" w:after="283"/>
              <w:jc w:val="right"/>
              <w:rPr/>
            </w:pPr>
            <w:r>
              <w:rPr/>
              <w:t>3,313,767</w:t>
            </w:r>
          </w:p>
        </w:tc>
        <w:tc>
          <w:tcPr>
            <w:tcW w:w="110" w:type="dxa"/>
            <w:tcBorders/>
            <w:shd w:fill="EEEEEE"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Finance receivables at fair value acquired during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9" w:name="xdx_985_eus-gaap--PaymentsToAcquireFinan"/>
            <w:bookmarkEnd w:id="459"/>
          </w:p>
        </w:tc>
        <w:tc>
          <w:tcPr>
            <w:tcW w:w="980" w:type="dxa"/>
            <w:tcBorders/>
            <w:shd w:fill="FFFFFF" w:val="clear"/>
            <w:vAlign w:val="center"/>
          </w:tcPr>
          <w:p>
            <w:pPr>
              <w:pStyle w:val="TableContents"/>
              <w:bidi w:val="0"/>
              <w:spacing w:before="0" w:after="283"/>
              <w:jc w:val="right"/>
              <w:rPr/>
            </w:pPr>
            <w:r>
              <w:rPr/>
              <w:t>741,736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0" w:name="xdx_98C_eus-gaap--PaymentsToAcquireFinan"/>
            <w:bookmarkEnd w:id="460"/>
          </w:p>
        </w:tc>
        <w:tc>
          <w:tcPr>
            <w:tcW w:w="980" w:type="dxa"/>
            <w:tcBorders/>
            <w:shd w:fill="FFFFFF" w:val="clear"/>
            <w:vAlign w:val="center"/>
          </w:tcPr>
          <w:p>
            <w:pPr>
              <w:pStyle w:val="TableContents"/>
              <w:bidi w:val="0"/>
              <w:spacing w:before="0" w:after="283"/>
              <w:jc w:val="right"/>
              <w:rPr/>
            </w:pPr>
            <w:r>
              <w:rPr/>
              <w:t>433,277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1" w:name="xdx_98E_eus-gaap--PaymentsToAcquireFinan"/>
            <w:bookmarkEnd w:id="461"/>
          </w:p>
        </w:tc>
        <w:tc>
          <w:tcPr>
            <w:tcW w:w="980" w:type="dxa"/>
            <w:tcBorders/>
            <w:shd w:fill="FFFFFF" w:val="clear"/>
            <w:vAlign w:val="center"/>
          </w:tcPr>
          <w:p>
            <w:pPr>
              <w:pStyle w:val="TableContents"/>
              <w:bidi w:val="0"/>
              <w:spacing w:before="0" w:after="283"/>
              <w:jc w:val="right"/>
              <w:rPr/>
            </w:pPr>
            <w:r>
              <w:rPr/>
              <w:t>1,266,636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2" w:name="xdx_981_eus-gaap--PaymentsToAcquireFinan"/>
            <w:bookmarkEnd w:id="462"/>
          </w:p>
        </w:tc>
        <w:tc>
          <w:tcPr>
            <w:tcW w:w="980" w:type="dxa"/>
            <w:tcBorders/>
            <w:shd w:fill="FFFFFF" w:val="clear"/>
            <w:vAlign w:val="center"/>
          </w:tcPr>
          <w:p>
            <w:pPr>
              <w:pStyle w:val="TableContents"/>
              <w:bidi w:val="0"/>
              <w:spacing w:before="0" w:after="283"/>
              <w:jc w:val="right"/>
              <w:rPr/>
            </w:pPr>
            <w:r>
              <w:rPr/>
              <w:t>882,879</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EEEEEE" w:val="clear"/>
            <w:vAlign w:val="center"/>
          </w:tcPr>
          <w:p>
            <w:pPr>
              <w:pStyle w:val="TableContents"/>
              <w:bidi w:val="0"/>
              <w:spacing w:before="0" w:after="283"/>
              <w:jc w:val="left"/>
              <w:rPr/>
            </w:pPr>
            <w:r>
              <w:rPr/>
              <w:t>Payments received on finance receivables at fair value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63" w:name="xdx_980_ecustom--PaymentsOnFinanceReceiv"/>
            <w:bookmarkEnd w:id="463"/>
          </w:p>
        </w:tc>
        <w:tc>
          <w:tcPr>
            <w:tcW w:w="980" w:type="dxa"/>
            <w:tcBorders/>
            <w:shd w:fill="EEEEEE" w:val="clear"/>
            <w:vAlign w:val="center"/>
          </w:tcPr>
          <w:p>
            <w:pPr>
              <w:pStyle w:val="TableContents"/>
              <w:bidi w:val="0"/>
              <w:spacing w:before="0" w:after="283"/>
              <w:jc w:val="right"/>
              <w:rPr/>
            </w:pPr>
            <w:r>
              <w:rPr/>
              <w:t>(295,620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64" w:name="xdx_986_ecustom--PaymentsOnFinanceReceiv"/>
            <w:bookmarkEnd w:id="464"/>
          </w:p>
        </w:tc>
        <w:tc>
          <w:tcPr>
            <w:tcW w:w="980" w:type="dxa"/>
            <w:tcBorders/>
            <w:shd w:fill="EEEEEE" w:val="clear"/>
            <w:vAlign w:val="center"/>
          </w:tcPr>
          <w:p>
            <w:pPr>
              <w:pStyle w:val="TableContents"/>
              <w:bidi w:val="0"/>
              <w:spacing w:before="0" w:after="283"/>
              <w:jc w:val="right"/>
              <w:rPr/>
            </w:pPr>
            <w:r>
              <w:rPr/>
              <w:t>(264,713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65" w:name="xdx_982_ecustom--PaymentsOnFinanceReceiv"/>
            <w:bookmarkEnd w:id="465"/>
          </w:p>
        </w:tc>
        <w:tc>
          <w:tcPr>
            <w:tcW w:w="980" w:type="dxa"/>
            <w:tcBorders/>
            <w:shd w:fill="EEEEEE" w:val="clear"/>
            <w:vAlign w:val="center"/>
          </w:tcPr>
          <w:p>
            <w:pPr>
              <w:pStyle w:val="TableContents"/>
              <w:bidi w:val="0"/>
              <w:spacing w:before="0" w:after="283"/>
              <w:jc w:val="right"/>
              <w:rPr/>
            </w:pPr>
            <w:r>
              <w:rPr/>
              <w:t>(570,639</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66" w:name="xdx_986_ecustom--PaymentsOnFinanceReceiv"/>
            <w:bookmarkEnd w:id="466"/>
          </w:p>
        </w:tc>
        <w:tc>
          <w:tcPr>
            <w:tcW w:w="980" w:type="dxa"/>
            <w:tcBorders/>
            <w:shd w:fill="EEEEEE" w:val="clear"/>
            <w:vAlign w:val="center"/>
          </w:tcPr>
          <w:p>
            <w:pPr>
              <w:pStyle w:val="TableContents"/>
              <w:bidi w:val="0"/>
              <w:spacing w:before="0" w:after="283"/>
              <w:jc w:val="right"/>
              <w:rPr/>
            </w:pPr>
            <w:r>
              <w:rPr/>
              <w:t>(517,569</w:t>
            </w:r>
          </w:p>
        </w:tc>
        <w:tc>
          <w:tcPr>
            <w:tcW w:w="110" w:type="dxa"/>
            <w:tcBorders/>
            <w:shd w:fill="EEEEEE"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pPr>
            <w:r>
              <w:rPr/>
              <w:t>Net interest income accretion on fair value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7" w:name="xdx_985_ecustom--NetInterestIncomeAccret"/>
            <w:bookmarkEnd w:id="467"/>
          </w:p>
        </w:tc>
        <w:tc>
          <w:tcPr>
            <w:tcW w:w="980" w:type="dxa"/>
            <w:tcBorders/>
            <w:shd w:fill="FFFFFF" w:val="clear"/>
            <w:vAlign w:val="center"/>
          </w:tcPr>
          <w:p>
            <w:pPr>
              <w:pStyle w:val="TableContents"/>
              <w:bidi w:val="0"/>
              <w:spacing w:before="0" w:after="283"/>
              <w:jc w:val="right"/>
              <w:rPr/>
            </w:pPr>
            <w:r>
              <w:rPr/>
              <w:t>(69,738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8" w:name="xdx_98F_ecustom--NetInterestIncomeAccret"/>
            <w:bookmarkEnd w:id="468"/>
          </w:p>
        </w:tc>
        <w:tc>
          <w:tcPr>
            <w:tcW w:w="980" w:type="dxa"/>
            <w:tcBorders/>
            <w:shd w:fill="FFFFFF" w:val="clear"/>
            <w:vAlign w:val="center"/>
          </w:tcPr>
          <w:p>
            <w:pPr>
              <w:pStyle w:val="TableContents"/>
              <w:bidi w:val="0"/>
              <w:spacing w:before="0" w:after="283"/>
              <w:jc w:val="right"/>
              <w:rPr/>
            </w:pPr>
            <w:r>
              <w:rPr/>
              <w:t>(61,641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9" w:name="xdx_98B_ecustom--NetInterestIncomeAccret"/>
            <w:bookmarkEnd w:id="469"/>
          </w:p>
        </w:tc>
        <w:tc>
          <w:tcPr>
            <w:tcW w:w="980" w:type="dxa"/>
            <w:tcBorders/>
            <w:shd w:fill="FFFFFF" w:val="clear"/>
            <w:vAlign w:val="center"/>
          </w:tcPr>
          <w:p>
            <w:pPr>
              <w:pStyle w:val="TableContents"/>
              <w:bidi w:val="0"/>
              <w:spacing w:before="0" w:after="283"/>
              <w:jc w:val="right"/>
              <w:rPr/>
            </w:pPr>
            <w:r>
              <w:rPr/>
              <w:t>(139,685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0" w:name="xdx_988_ecustom--NetInterestIncomeAccret"/>
            <w:bookmarkEnd w:id="470"/>
          </w:p>
        </w:tc>
        <w:tc>
          <w:tcPr>
            <w:tcW w:w="980" w:type="dxa"/>
            <w:tcBorders/>
            <w:shd w:fill="FFFFFF" w:val="clear"/>
            <w:vAlign w:val="center"/>
          </w:tcPr>
          <w:p>
            <w:pPr>
              <w:pStyle w:val="TableContents"/>
              <w:bidi w:val="0"/>
              <w:spacing w:before="0" w:after="283"/>
              <w:jc w:val="right"/>
              <w:rPr/>
            </w:pPr>
            <w:r>
              <w:rPr/>
              <w:t>(126,548</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EEEEEE" w:val="clear"/>
            <w:vAlign w:val="center"/>
          </w:tcPr>
          <w:p>
            <w:pPr>
              <w:pStyle w:val="TableContents"/>
              <w:bidi w:val="0"/>
              <w:spacing w:before="0" w:after="283"/>
              <w:jc w:val="left"/>
              <w:rPr/>
            </w:pPr>
            <w:r>
              <w:rPr/>
              <w:t>Mark to fair value</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71" w:name="xdx_986_ecustom--MarkToFairValue_pn3n3_d"/>
            <w:bookmarkEnd w:id="471"/>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72" w:name="xdx_98F_ecustom--MarkToFairValue_pn3n3_c"/>
            <w:bookmarkEnd w:id="472"/>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3,000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73" w:name="xdx_984_ecustom--MarkToFairValue_pn3n3_d"/>
            <w:bookmarkEnd w:id="473"/>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74" w:name="xdx_989_ecustom--MarkToFairValue_pn3n3_c"/>
            <w:bookmarkEnd w:id="474"/>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6,500</w:t>
            </w:r>
          </w:p>
        </w:tc>
        <w:tc>
          <w:tcPr>
            <w:tcW w:w="110" w:type="dxa"/>
            <w:tcBorders/>
            <w:shd w:fill="EEEEEE"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Balance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5" w:name="xdx_980_eus-gaap--ReceivablesFairValueDi"/>
            <w:bookmarkEnd w:id="47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4,212,167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6" w:name="xdx_987_eus-gaap--ReceivablesFairValueDi"/>
            <w:bookmarkEnd w:id="476"/>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3,559,029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7" w:name="xdx_98A_eus-gaap--ReceivablesFairValueDi"/>
            <w:bookmarkEnd w:id="477"/>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4,212,167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8" w:name="xdx_986_eus-gaap--ReceivablesFairValueDi"/>
            <w:bookmarkEnd w:id="47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3,559,029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79" w:name="xdx_8A0_zKlEH8oxlsT9"/>
      <w:bookmarkEnd w:id="479"/>
      <w:r>
        <w:rPr>
          <w:caps w:val="false"/>
          <w:smallCaps w:val="false"/>
        </w:rPr>
        <w:t> </w:t>
      </w:r>
    </w:p>
    <w:p>
      <w:pPr>
        <w:pStyle w:val="TextBody"/>
        <w:bidi w:val="0"/>
        <w:spacing w:before="0" w:after="0"/>
        <w:ind w:left="0" w:right="0" w:hanging="0"/>
        <w:jc w:val="left"/>
        <w:rPr>
          <w:caps w:val="false"/>
          <w:smallCaps w:val="false"/>
        </w:rPr>
      </w:pPr>
      <w:bookmarkStart w:id="480" w:name="xdx_239_zWd0ade4ONtc"/>
      <w:bookmarkEnd w:id="480"/>
      <w:r>
        <w:rPr>
          <w:caps w:val="false"/>
          <w:smallCaps w:val="false"/>
        </w:rPr>
        <w:t> </w:t>
      </w:r>
    </w:p>
    <w:p>
      <w:pPr>
        <w:pStyle w:val="TextBody"/>
        <w:bidi w:val="0"/>
        <w:spacing w:before="0" w:after="0"/>
        <w:ind w:left="0" w:right="0" w:hanging="0"/>
        <w:jc w:val="left"/>
        <w:rPr>
          <w:caps w:val="false"/>
          <w:smallCaps w:val="false"/>
        </w:rPr>
      </w:pPr>
      <w:bookmarkStart w:id="481" w:name="xdx_231_zXD5DlNwGWo6"/>
      <w:bookmarkEnd w:id="48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482" w:name="xdx_235_zmghseizPYjf"/>
      <w:bookmarkEnd w:id="48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compares the fair values of these finance receivables to their contractual balances for the periods shown:</w:t>
      </w:r>
    </w:p>
    <w:p>
      <w:pPr>
        <w:pStyle w:val="Normal"/>
        <w:bidi w:val="0"/>
        <w:spacing w:before="0" w:after="0"/>
        <w:ind w:left="0" w:right="0" w:firstLine="144"/>
        <w:jc w:val="left"/>
        <w:rPr>
          <w:sz w:val="4"/>
          <w:szCs w:val="4"/>
        </w:rPr>
      </w:pPr>
      <w:r>
        <w:rPr>
          <w:sz w:val="4"/>
          <w:szCs w:val="4"/>
        </w:rPr>
      </w:r>
      <w:bookmarkStart w:id="483" w:name="xdx_899_ecustom--ScheduleOfFinanceReceiv"/>
      <w:bookmarkStart w:id="484" w:name="xdx_899_ecustom--ScheduleOfFinanceReceiv"/>
      <w:bookmarkEnd w:id="484"/>
    </w:p>
    <w:tbl>
      <w:tblPr>
        <w:tblW w:w="10205" w:type="dxa"/>
        <w:jc w:val="left"/>
        <w:tblInd w:w="0" w:type="dxa"/>
        <w:tblLayout w:type="fixed"/>
        <w:tblCellMar>
          <w:top w:w="0" w:type="dxa"/>
          <w:left w:w="0" w:type="dxa"/>
          <w:bottom w:w="0" w:type="dxa"/>
          <w:right w:w="0" w:type="dxa"/>
        </w:tblCellMar>
      </w:tblPr>
      <w:tblGrid>
        <w:gridCol w:w="4970"/>
        <w:gridCol w:w="60"/>
        <w:gridCol w:w="156"/>
        <w:gridCol w:w="1094"/>
        <w:gridCol w:w="60"/>
        <w:gridCol w:w="60"/>
        <w:gridCol w:w="140"/>
        <w:gridCol w:w="980"/>
        <w:gridCol w:w="60"/>
        <w:gridCol w:w="60"/>
        <w:gridCol w:w="156"/>
        <w:gridCol w:w="1094"/>
        <w:gridCol w:w="60"/>
        <w:gridCol w:w="60"/>
        <w:gridCol w:w="140"/>
        <w:gridCol w:w="980"/>
        <w:gridCol w:w="75"/>
      </w:tblGrid>
      <w:tr>
        <w:trPr/>
        <w:tc>
          <w:tcPr>
            <w:tcW w:w="4970" w:type="dxa"/>
            <w:tcBorders/>
            <w:vAlign w:val="center"/>
          </w:tcPr>
          <w:p>
            <w:pPr>
              <w:pStyle w:val="TableContents"/>
              <w:bidi w:val="0"/>
              <w:spacing w:before="0" w:after="283"/>
              <w:jc w:val="left"/>
              <w:rPr/>
            </w:pPr>
            <w:bookmarkStart w:id="485" w:name="xdx_8B7_zMYYGJZoEql4"/>
            <w:bookmarkEnd w:id="485"/>
            <w:r>
              <w:rPr/>
              <w:t>Schedule of finance receivables to their contractual balances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Fair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Fair</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0"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4970" w:type="dxa"/>
            <w:tcBorders/>
            <w:shd w:fill="EEEEEE" w:val="clear"/>
            <w:vAlign w:val="center"/>
          </w:tcPr>
          <w:p>
            <w:pPr>
              <w:pStyle w:val="TableContents"/>
              <w:bidi w:val="0"/>
              <w:spacing w:before="0" w:after="283"/>
              <w:jc w:val="left"/>
              <w:rPr/>
            </w:pPr>
            <w:r>
              <w:rPr/>
              <w:t>Finance receivables measured at fair value</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w:t>
            </w:r>
            <w:bookmarkStart w:id="486" w:name="xdx_985_ecustom--FinanceReceivablesContr"/>
            <w:bookmarkEnd w:id="486"/>
          </w:p>
        </w:tc>
        <w:tc>
          <w:tcPr>
            <w:tcW w:w="1094" w:type="dxa"/>
            <w:tcBorders/>
            <w:shd w:fill="EEEEEE" w:val="clear"/>
            <w:vAlign w:val="center"/>
          </w:tcPr>
          <w:p>
            <w:pPr>
              <w:pStyle w:val="TableContents"/>
              <w:bidi w:val="0"/>
              <w:spacing w:before="0" w:after="283"/>
              <w:jc w:val="right"/>
              <w:rPr/>
            </w:pPr>
            <w:r>
              <w:rPr/>
              <w:t>4,306,511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487" w:name="xdx_986_eus-gaap--ReceivablesFairValueDi"/>
            <w:bookmarkEnd w:id="487"/>
          </w:p>
        </w:tc>
        <w:tc>
          <w:tcPr>
            <w:tcW w:w="980" w:type="dxa"/>
            <w:tcBorders/>
            <w:shd w:fill="EEEEEE" w:val="clear"/>
            <w:vAlign w:val="center"/>
          </w:tcPr>
          <w:p>
            <w:pPr>
              <w:pStyle w:val="TableContents"/>
              <w:bidi w:val="0"/>
              <w:spacing w:before="0" w:after="283"/>
              <w:jc w:val="right"/>
              <w:rPr/>
            </w:pPr>
            <w:r>
              <w:rPr/>
              <w:t>4,212,167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w:t>
            </w:r>
            <w:bookmarkStart w:id="488" w:name="xdx_981_ecustom--FinanceReceivablesContr"/>
            <w:bookmarkEnd w:id="488"/>
          </w:p>
        </w:tc>
        <w:tc>
          <w:tcPr>
            <w:tcW w:w="1094" w:type="dxa"/>
            <w:tcBorders/>
            <w:shd w:fill="EEEEEE" w:val="clear"/>
            <w:vAlign w:val="center"/>
          </w:tcPr>
          <w:p>
            <w:pPr>
              <w:pStyle w:val="TableContents"/>
              <w:bidi w:val="0"/>
              <w:spacing w:before="0" w:after="283"/>
              <w:jc w:val="right"/>
              <w:rPr/>
            </w:pPr>
            <w:r>
              <w:rPr/>
              <w:t>3,778,127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489" w:name="xdx_980_eus-gaap--ReceivablesFairValueDi"/>
            <w:bookmarkEnd w:id="489"/>
          </w:p>
        </w:tc>
        <w:tc>
          <w:tcPr>
            <w:tcW w:w="980" w:type="dxa"/>
            <w:tcBorders/>
            <w:shd w:fill="EEEEEE" w:val="clear"/>
            <w:vAlign w:val="center"/>
          </w:tcPr>
          <w:p>
            <w:pPr>
              <w:pStyle w:val="TableContents"/>
              <w:bidi w:val="0"/>
              <w:spacing w:before="0" w:after="283"/>
              <w:jc w:val="right"/>
              <w:rPr/>
            </w:pPr>
            <w:r>
              <w:rPr/>
              <w:t>3,655,855</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90" w:name="xdx_8A0_zc4D3k3OMeUc"/>
      <w:bookmarkEnd w:id="49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qualitative information about our level 3 fair value measurements:</w:t>
      </w:r>
    </w:p>
    <w:p>
      <w:pPr>
        <w:pStyle w:val="Normal"/>
        <w:bidi w:val="0"/>
        <w:spacing w:before="0" w:after="0"/>
        <w:ind w:left="0" w:right="0" w:firstLine="144"/>
        <w:jc w:val="left"/>
        <w:rPr>
          <w:sz w:val="4"/>
          <w:szCs w:val="4"/>
        </w:rPr>
      </w:pPr>
      <w:r>
        <w:rPr>
          <w:sz w:val="4"/>
          <w:szCs w:val="4"/>
        </w:rPr>
      </w:r>
      <w:bookmarkStart w:id="491" w:name="xdx_89A_eus-gaap--ScheduleOfEffectOfSign"/>
      <w:bookmarkStart w:id="492" w:name="xdx_89A_eus-gaap--ScheduleOfEffectOfSign"/>
      <w:bookmarkEnd w:id="492"/>
    </w:p>
    <w:tbl>
      <w:tblPr>
        <w:tblW w:w="10205" w:type="dxa"/>
        <w:jc w:val="left"/>
        <w:tblInd w:w="0" w:type="dxa"/>
        <w:tblLayout w:type="fixed"/>
        <w:tblCellMar>
          <w:top w:w="0" w:type="dxa"/>
          <w:left w:w="0" w:type="dxa"/>
          <w:bottom w:w="0" w:type="dxa"/>
          <w:right w:w="0" w:type="dxa"/>
        </w:tblCellMar>
      </w:tblPr>
      <w:tblGrid>
        <w:gridCol w:w="3118"/>
        <w:gridCol w:w="60"/>
        <w:gridCol w:w="140"/>
        <w:gridCol w:w="980"/>
        <w:gridCol w:w="60"/>
        <w:gridCol w:w="60"/>
        <w:gridCol w:w="162"/>
        <w:gridCol w:w="1139"/>
        <w:gridCol w:w="60"/>
        <w:gridCol w:w="60"/>
        <w:gridCol w:w="1829"/>
        <w:gridCol w:w="60"/>
        <w:gridCol w:w="76"/>
        <w:gridCol w:w="891"/>
        <w:gridCol w:w="76"/>
        <w:gridCol w:w="76"/>
        <w:gridCol w:w="97"/>
        <w:gridCol w:w="1180"/>
        <w:gridCol w:w="81"/>
      </w:tblGrid>
      <w:tr>
        <w:trPr/>
        <w:tc>
          <w:tcPr>
            <w:tcW w:w="3118" w:type="dxa"/>
            <w:tcBorders/>
            <w:shd w:fill="FFFFFF" w:val="clear"/>
            <w:vAlign w:val="center"/>
          </w:tcPr>
          <w:p>
            <w:pPr>
              <w:pStyle w:val="TableContents"/>
              <w:bidi w:val="0"/>
              <w:spacing w:before="0" w:after="283"/>
              <w:jc w:val="left"/>
              <w:rPr/>
            </w:pPr>
            <w:bookmarkStart w:id="493" w:name="xdx_8BD_zhU03sCZqJ2i"/>
            <w:bookmarkEnd w:id="493"/>
            <w:r>
              <w:rPr/>
              <w:t>Schedule of level 3 fair value measurements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3118" w:type="dxa"/>
            <w:tcBorders>
              <w:bottom w:val="single" w:sz="8" w:space="0" w:color="000000"/>
            </w:tcBorders>
            <w:tcMar>
              <w:bottom w:w="28" w:type="dxa"/>
            </w:tcMar>
            <w:vAlign w:val="center"/>
          </w:tcPr>
          <w:p>
            <w:pPr>
              <w:pStyle w:val="TableContents"/>
              <w:bidi w:val="0"/>
              <w:spacing w:before="0" w:after="283"/>
              <w:jc w:val="left"/>
              <w:rPr>
                <w:b/>
              </w:rPr>
            </w:pPr>
            <w:r>
              <w:rPr>
                <w:b/>
              </w:rPr>
              <w:t>Financial Instrument</w:t>
            </w:r>
          </w:p>
        </w:tc>
        <w:tc>
          <w:tcPr>
            <w:tcW w:w="60" w:type="dxa"/>
            <w:tcBorders/>
            <w:vAlign w:val="center"/>
          </w:tcPr>
          <w:p>
            <w:pPr>
              <w:pStyle w:val="TableContents"/>
              <w:bidi w:val="0"/>
              <w:spacing w:before="0" w:after="283"/>
              <w:jc w:val="left"/>
              <w:rPr/>
            </w:pPr>
            <w:r>
              <w:rPr/>
              <w:t> </w:t>
            </w:r>
          </w:p>
        </w:tc>
        <w:tc>
          <w:tcPr>
            <w:tcW w:w="25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Fair Values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Weight Avg. Inputs as of</w:t>
            </w:r>
          </w:p>
        </w:tc>
        <w:tc>
          <w:tcPr>
            <w:tcW w:w="81" w:type="dxa"/>
            <w:tcBorders/>
            <w:vAlign w:val="center"/>
          </w:tcPr>
          <w:p>
            <w:pPr>
              <w:pStyle w:val="TableContents"/>
              <w:bidi w:val="0"/>
              <w:spacing w:before="0" w:after="283"/>
              <w:jc w:val="left"/>
              <w:rPr/>
            </w:pPr>
            <w:r>
              <w:rPr/>
              <w:t> </w:t>
            </w:r>
          </w:p>
        </w:tc>
      </w:tr>
      <w:tr>
        <w:trPr/>
        <w:tc>
          <w:tcPr>
            <w:tcW w:w="3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1"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center"/>
              <w:rPr>
                <w:b/>
              </w:rPr>
            </w:pPr>
            <w:r>
              <w:rPr>
                <w:b/>
              </w:rPr>
              <w:t>June 30,</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bidi w:val="0"/>
              <w:spacing w:before="0" w:after="283"/>
              <w:jc w:val="center"/>
              <w:rPr>
                <w:b/>
              </w:rPr>
            </w:pPr>
            <w:r>
              <w:rPr>
                <w:b/>
              </w:rPr>
              <w:t>December 31,</w:t>
            </w:r>
          </w:p>
        </w:tc>
        <w:tc>
          <w:tcPr>
            <w:tcW w:w="81" w:type="dxa"/>
            <w:tcBorders/>
            <w:vAlign w:val="center"/>
          </w:tcPr>
          <w:p>
            <w:pPr>
              <w:pStyle w:val="TableContents"/>
              <w:bidi w:val="0"/>
              <w:spacing w:before="0" w:after="283"/>
              <w:jc w:val="left"/>
              <w:rPr/>
            </w:pPr>
            <w:r>
              <w:rPr/>
              <w:t> </w:t>
            </w:r>
          </w:p>
        </w:tc>
      </w:tr>
      <w:tr>
        <w:trPr/>
        <w:tc>
          <w:tcPr>
            <w:tcW w:w="3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9" w:type="dxa"/>
            <w:tcBorders>
              <w:bottom w:val="single" w:sz="8" w:space="0" w:color="000000"/>
            </w:tcBorders>
            <w:tcMar>
              <w:bottom w:w="28" w:type="dxa"/>
            </w:tcMar>
            <w:vAlign w:val="center"/>
          </w:tcPr>
          <w:p>
            <w:pPr>
              <w:pStyle w:val="TableContents"/>
              <w:bidi w:val="0"/>
              <w:spacing w:before="0" w:after="283"/>
              <w:jc w:val="center"/>
              <w:rPr>
                <w:b/>
              </w:rPr>
            </w:pPr>
            <w:r>
              <w:rPr>
                <w:b/>
              </w:rPr>
              <w:t>Unobservable</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r>
      <w:tr>
        <w:trPr/>
        <w:tc>
          <w:tcPr>
            <w:tcW w:w="3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1"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311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3118" w:type="dxa"/>
            <w:tcBorders/>
            <w:shd w:fill="EEEEEE" w:val="clear"/>
            <w:vAlign w:val="center"/>
          </w:tcPr>
          <w:p>
            <w:pPr>
              <w:pStyle w:val="TableContents"/>
              <w:bidi w:val="0"/>
              <w:spacing w:before="0" w:after="283"/>
              <w:jc w:val="left"/>
              <w:rPr/>
            </w:pPr>
            <w:r>
              <w:rPr/>
              <w:t>Finance receivables measured at fair value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494" w:name="xdx_987_eus-gaap--ReceivablesFairValueDi"/>
            <w:bookmarkEnd w:id="494"/>
          </w:p>
        </w:tc>
        <w:tc>
          <w:tcPr>
            <w:tcW w:w="980" w:type="dxa"/>
            <w:tcBorders/>
            <w:shd w:fill="EEEEEE" w:val="clear"/>
            <w:vAlign w:val="center"/>
          </w:tcPr>
          <w:p>
            <w:pPr>
              <w:pStyle w:val="TableContents"/>
              <w:bidi w:val="0"/>
              <w:spacing w:before="0" w:after="283"/>
              <w:jc w:val="right"/>
              <w:rPr/>
            </w:pPr>
            <w:r>
              <w:rPr/>
              <w:t>4,212,167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w:t>
            </w:r>
            <w:bookmarkStart w:id="495" w:name="xdx_98E_eus-gaap--ReceivablesFairValueDi"/>
            <w:bookmarkEnd w:id="495"/>
          </w:p>
        </w:tc>
        <w:tc>
          <w:tcPr>
            <w:tcW w:w="1139" w:type="dxa"/>
            <w:tcBorders/>
            <w:shd w:fill="EEEEEE" w:val="clear"/>
            <w:vAlign w:val="center"/>
          </w:tcPr>
          <w:p>
            <w:pPr>
              <w:pStyle w:val="TableContents"/>
              <w:bidi w:val="0"/>
              <w:spacing w:before="0" w:after="283"/>
              <w:jc w:val="right"/>
              <w:rPr/>
            </w:pPr>
            <w:r>
              <w:rPr/>
              <w:t>3,655,855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29" w:type="dxa"/>
            <w:tcBorders/>
            <w:shd w:fill="EEEEEE" w:val="clear"/>
            <w:vAlign w:val="center"/>
          </w:tcPr>
          <w:p>
            <w:pPr>
              <w:pStyle w:val="TableContents"/>
              <w:bidi w:val="0"/>
              <w:spacing w:before="0" w:after="283"/>
              <w:jc w:val="center"/>
              <w:rPr/>
            </w:pPr>
            <w:r>
              <w:rPr/>
              <w:t>Discount rate</w:t>
            </w:r>
          </w:p>
        </w:tc>
        <w:tc>
          <w:tcPr>
            <w:tcW w:w="60"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891" w:type="dxa"/>
            <w:tcBorders/>
            <w:shd w:fill="EEEEEE" w:val="clear"/>
            <w:vAlign w:val="center"/>
          </w:tcPr>
          <w:p>
            <w:pPr>
              <w:pStyle w:val="TableContents"/>
              <w:bidi w:val="0"/>
              <w:spacing w:before="0" w:after="283"/>
              <w:jc w:val="right"/>
              <w:rPr/>
            </w:pPr>
            <w:bookmarkStart w:id="496" w:name="xdx_902_ecustom--DiscountRateOnFinanceRe"/>
            <w:bookmarkEnd w:id="496"/>
            <w:r>
              <w:rPr/>
              <w:t>11.02%</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97" w:type="dxa"/>
            <w:tcBorders/>
            <w:shd w:fill="EEEEEE" w:val="clear"/>
            <w:vAlign w:val="center"/>
          </w:tcPr>
          <w:p>
            <w:pPr>
              <w:pStyle w:val="TableContents"/>
              <w:bidi w:val="0"/>
              <w:spacing w:before="0" w:after="283"/>
              <w:jc w:val="left"/>
              <w:rPr/>
            </w:pPr>
            <w:r>
              <w:rPr/>
              <w:t> </w:t>
            </w:r>
          </w:p>
        </w:tc>
        <w:tc>
          <w:tcPr>
            <w:tcW w:w="1180" w:type="dxa"/>
            <w:tcBorders/>
            <w:shd w:fill="EEEEEE" w:val="clear"/>
            <w:vAlign w:val="center"/>
          </w:tcPr>
          <w:p>
            <w:pPr>
              <w:pStyle w:val="TableContents"/>
              <w:bidi w:val="0"/>
              <w:spacing w:before="0" w:after="283"/>
              <w:jc w:val="right"/>
              <w:rPr/>
            </w:pPr>
            <w:bookmarkStart w:id="497" w:name="xdx_908_ecustom--DiscountRateOnFinanceRe"/>
            <w:bookmarkEnd w:id="497"/>
            <w:r>
              <w:rPr/>
              <w:t>11.07%</w:t>
            </w:r>
          </w:p>
        </w:tc>
        <w:tc>
          <w:tcPr>
            <w:tcW w:w="81" w:type="dxa"/>
            <w:tcBorders/>
            <w:shd w:fill="EEEEEE" w:val="clear"/>
            <w:vAlign w:val="center"/>
          </w:tcPr>
          <w:p>
            <w:pPr>
              <w:pStyle w:val="TableContents"/>
              <w:bidi w:val="0"/>
              <w:spacing w:before="0" w:after="283"/>
              <w:jc w:val="left"/>
              <w:rPr/>
            </w:pPr>
            <w:r>
              <w:rPr/>
              <w:t> </w:t>
            </w:r>
          </w:p>
        </w:tc>
      </w:tr>
      <w:tr>
        <w:trPr/>
        <w:tc>
          <w:tcPr>
            <w:tcW w:w="31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9" w:type="dxa"/>
            <w:tcBorders/>
            <w:shd w:fill="FFFFFF" w:val="clear"/>
            <w:vAlign w:val="center"/>
          </w:tcPr>
          <w:p>
            <w:pPr>
              <w:pStyle w:val="TableContents"/>
              <w:bidi w:val="0"/>
              <w:spacing w:before="0" w:after="283"/>
              <w:jc w:val="center"/>
              <w:rPr/>
            </w:pPr>
            <w:r>
              <w:rPr/>
              <w:t>Cumulative net losses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bookmarkStart w:id="498" w:name="xdx_909_ecustom--CumulativeNetLossesOnFi"/>
            <w:bookmarkEnd w:id="498"/>
            <w:r>
              <w:rPr/>
              <w:t>16.35%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bookmarkStart w:id="499" w:name="xdx_90B_ecustom--CumulativeNetLossesOnFi"/>
            <w:bookmarkEnd w:id="499"/>
            <w:r>
              <w:rPr/>
              <w:t>16.02%</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44"/>
        <w:jc w:val="both"/>
        <w:rPr>
          <w:caps w:val="false"/>
          <w:smallCaps w:val="false"/>
        </w:rPr>
      </w:pPr>
      <w:bookmarkStart w:id="500" w:name="xdx_8AC_zRzCeVKp8Cf1"/>
      <w:bookmarkEnd w:id="50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delinquency on a contractual basis. The following table summarizes the delinquency status of these finance receivables measured at fair value as of June 30, 2026, and December 31, 2025:</w:t>
      </w:r>
    </w:p>
    <w:p>
      <w:pPr>
        <w:pStyle w:val="Normal"/>
        <w:bidi w:val="0"/>
        <w:spacing w:before="0" w:after="0"/>
        <w:ind w:left="0" w:right="0" w:firstLine="144"/>
        <w:jc w:val="left"/>
        <w:rPr>
          <w:sz w:val="4"/>
          <w:szCs w:val="4"/>
        </w:rPr>
      </w:pPr>
      <w:r>
        <w:rPr>
          <w:sz w:val="4"/>
          <w:szCs w:val="4"/>
        </w:rPr>
      </w:r>
      <w:bookmarkStart w:id="501" w:name="xdx_89F_ecustom--ScheduleOfDelinquencySt"/>
      <w:bookmarkStart w:id="502" w:name="xdx_89F_ecustom--ScheduleOfDelinquencySt"/>
      <w:bookmarkEnd w:id="502"/>
    </w:p>
    <w:tbl>
      <w:tblPr>
        <w:tblW w:w="9994" w:type="dxa"/>
        <w:jc w:val="left"/>
        <w:tblInd w:w="0" w:type="dxa"/>
        <w:tblLayout w:type="fixed"/>
        <w:tblCellMar>
          <w:top w:w="0" w:type="dxa"/>
          <w:left w:w="0" w:type="dxa"/>
          <w:bottom w:w="0" w:type="dxa"/>
          <w:right w:w="0" w:type="dxa"/>
        </w:tblCellMar>
      </w:tblPr>
      <w:tblGrid>
        <w:gridCol w:w="7205"/>
        <w:gridCol w:w="60"/>
        <w:gridCol w:w="140"/>
        <w:gridCol w:w="980"/>
        <w:gridCol w:w="60"/>
        <w:gridCol w:w="60"/>
        <w:gridCol w:w="176"/>
        <w:gridCol w:w="1238"/>
        <w:gridCol w:w="75"/>
      </w:tblGrid>
      <w:tr>
        <w:trPr/>
        <w:tc>
          <w:tcPr>
            <w:tcW w:w="7205" w:type="dxa"/>
            <w:tcBorders/>
            <w:vAlign w:val="center"/>
          </w:tcPr>
          <w:p>
            <w:pPr>
              <w:pStyle w:val="TableContents"/>
              <w:bidi w:val="0"/>
              <w:spacing w:before="0" w:after="283"/>
              <w:jc w:val="left"/>
              <w:rPr/>
            </w:pPr>
            <w:bookmarkStart w:id="503" w:name="xdx_8BF_zWguSPWdthY6"/>
            <w:bookmarkEnd w:id="503"/>
            <w:r>
              <w:rPr/>
              <w:t>Schedule of delinquency status of finance receivables measured at fair value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4"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7205" w:type="dxa"/>
            <w:tcBorders/>
            <w:shd w:fill="EEEEEE" w:val="clear"/>
            <w:vAlign w:val="center"/>
          </w:tcPr>
          <w:p>
            <w:pPr>
              <w:pStyle w:val="TableContents"/>
              <w:bidi w:val="0"/>
              <w:spacing w:before="0" w:after="283"/>
              <w:jc w:val="left"/>
              <w:rPr/>
            </w:pPr>
            <w:r>
              <w:rPr/>
              <w:t>Delinquency Status</w:t>
            </w:r>
          </w:p>
        </w:tc>
        <w:tc>
          <w:tcPr>
            <w:tcW w:w="60" w:type="dxa"/>
            <w:tcBorders/>
            <w:shd w:fill="EEEEEE" w:val="clear"/>
            <w:vAlign w:val="center"/>
          </w:tcPr>
          <w:p>
            <w:pPr>
              <w:pStyle w:val="TableContents"/>
              <w:bidi w:val="0"/>
              <w:spacing w:before="0" w:after="283"/>
              <w:jc w:val="left"/>
              <w:rPr/>
            </w:pPr>
            <w:r>
              <w:rPr/>
              <w:t> </w:t>
            </w:r>
          </w:p>
        </w:tc>
        <w:tc>
          <w:tcPr>
            <w:tcW w:w="2654" w:type="dxa"/>
            <w:gridSpan w:val="6"/>
            <w:tcBorders/>
            <w:shd w:fill="EEEEEE" w:val="clear"/>
            <w:vAlign w:val="center"/>
          </w:tcPr>
          <w:p>
            <w:pPr>
              <w:pStyle w:val="TableContents"/>
              <w:bidi w:val="0"/>
              <w:spacing w:before="0" w:after="283"/>
              <w:jc w:val="center"/>
              <w:rPr/>
            </w:pPr>
            <w:r>
              <w:rPr/>
              <w:t> </w:t>
            </w:r>
          </w:p>
        </w:tc>
        <w:tc>
          <w:tcPr>
            <w:tcW w:w="75" w:type="dxa"/>
            <w:tcBorders/>
            <w:shd w:fill="EEEEEE"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left"/>
              <w:rPr/>
            </w:pPr>
            <w:r>
              <w:rPr/>
              <w:t xml:space="preserve">Current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04" w:name="xdx_980_eus-gaap--FinancialInstrumentsOw"/>
            <w:bookmarkEnd w:id="504"/>
          </w:p>
        </w:tc>
        <w:tc>
          <w:tcPr>
            <w:tcW w:w="980" w:type="dxa"/>
            <w:tcBorders/>
            <w:shd w:fill="FFFFFF" w:val="clear"/>
            <w:vAlign w:val="center"/>
          </w:tcPr>
          <w:p>
            <w:pPr>
              <w:pStyle w:val="TableContents"/>
              <w:bidi w:val="0"/>
              <w:spacing w:before="0" w:after="283"/>
              <w:jc w:val="right"/>
              <w:rPr/>
            </w:pPr>
            <w:r>
              <w:rPr/>
              <w:t>3,782,693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bookmarkStart w:id="505" w:name="xdx_987_eus-gaap--FinancialInstrumentsOw"/>
            <w:bookmarkEnd w:id="505"/>
          </w:p>
        </w:tc>
        <w:tc>
          <w:tcPr>
            <w:tcW w:w="1238" w:type="dxa"/>
            <w:tcBorders/>
            <w:shd w:fill="FFFFFF" w:val="clear"/>
            <w:vAlign w:val="center"/>
          </w:tcPr>
          <w:p>
            <w:pPr>
              <w:pStyle w:val="TableContents"/>
              <w:bidi w:val="0"/>
              <w:spacing w:before="0" w:after="283"/>
              <w:jc w:val="right"/>
              <w:rPr/>
            </w:pPr>
            <w:r>
              <w:rPr/>
              <w:t>3,220,198</w:t>
            </w:r>
          </w:p>
        </w:tc>
        <w:tc>
          <w:tcPr>
            <w:tcW w:w="75" w:type="dxa"/>
            <w:tcBorders/>
            <w:shd w:fill="FFFFFF" w:val="clear"/>
            <w:vAlign w:val="center"/>
          </w:tcPr>
          <w:p>
            <w:pPr>
              <w:pStyle w:val="TableContents"/>
              <w:bidi w:val="0"/>
              <w:spacing w:before="0" w:after="283"/>
              <w:jc w:val="left"/>
              <w:rPr/>
            </w:pPr>
            <w:r>
              <w:rPr/>
              <w:t> </w:t>
            </w:r>
          </w:p>
        </w:tc>
      </w:tr>
      <w:tr>
        <w:trPr/>
        <w:tc>
          <w:tcPr>
            <w:tcW w:w="7205" w:type="dxa"/>
            <w:tcBorders/>
            <w:shd w:fill="EEEEEE" w:val="clear"/>
            <w:vAlign w:val="center"/>
          </w:tcPr>
          <w:p>
            <w:pPr>
              <w:pStyle w:val="TableContents"/>
              <w:bidi w:val="0"/>
              <w:spacing w:before="0" w:after="283"/>
              <w:jc w:val="left"/>
              <w:rPr/>
            </w:pPr>
            <w:r>
              <w:rPr/>
              <w:t>31 - 60 days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06" w:name="xdx_985_eus-gaap--FinancialInstrumentsOw"/>
            <w:bookmarkEnd w:id="506"/>
          </w:p>
        </w:tc>
        <w:tc>
          <w:tcPr>
            <w:tcW w:w="980" w:type="dxa"/>
            <w:tcBorders/>
            <w:shd w:fill="EEEEEE" w:val="clear"/>
            <w:vAlign w:val="center"/>
          </w:tcPr>
          <w:p>
            <w:pPr>
              <w:pStyle w:val="TableContents"/>
              <w:bidi w:val="0"/>
              <w:spacing w:before="0" w:after="283"/>
              <w:jc w:val="right"/>
              <w:rPr/>
            </w:pPr>
            <w:r>
              <w:rPr/>
              <w:t>274,270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507" w:name="xdx_984_eus-gaap--FinancialInstrumentsOw"/>
            <w:bookmarkEnd w:id="507"/>
          </w:p>
        </w:tc>
        <w:tc>
          <w:tcPr>
            <w:tcW w:w="1238" w:type="dxa"/>
            <w:tcBorders/>
            <w:shd w:fill="EEEEEE" w:val="clear"/>
            <w:vAlign w:val="center"/>
          </w:tcPr>
          <w:p>
            <w:pPr>
              <w:pStyle w:val="TableContents"/>
              <w:bidi w:val="0"/>
              <w:spacing w:before="0" w:after="283"/>
              <w:jc w:val="right"/>
              <w:rPr/>
            </w:pPr>
            <w:r>
              <w:rPr/>
              <w:t>272,421</w:t>
            </w:r>
          </w:p>
        </w:tc>
        <w:tc>
          <w:tcPr>
            <w:tcW w:w="75" w:type="dxa"/>
            <w:tcBorders/>
            <w:shd w:fill="EEEEEE"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left"/>
              <w:rPr/>
            </w:pPr>
            <w:r>
              <w:rPr/>
              <w:t>61 - 90 days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08" w:name="xdx_989_eus-gaap--FinancialInstrumentsOw"/>
            <w:bookmarkEnd w:id="508"/>
          </w:p>
        </w:tc>
        <w:tc>
          <w:tcPr>
            <w:tcW w:w="980" w:type="dxa"/>
            <w:tcBorders/>
            <w:shd w:fill="FFFFFF" w:val="clear"/>
            <w:vAlign w:val="center"/>
          </w:tcPr>
          <w:p>
            <w:pPr>
              <w:pStyle w:val="TableContents"/>
              <w:bidi w:val="0"/>
              <w:spacing w:before="0" w:after="283"/>
              <w:jc w:val="right"/>
              <w:rPr/>
            </w:pPr>
            <w:r>
              <w:rPr/>
              <w:t>109,305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509" w:name="xdx_981_eus-gaap--FinancialInstrumentsOw"/>
            <w:bookmarkEnd w:id="509"/>
          </w:p>
        </w:tc>
        <w:tc>
          <w:tcPr>
            <w:tcW w:w="1238" w:type="dxa"/>
            <w:tcBorders/>
            <w:shd w:fill="FFFFFF" w:val="clear"/>
            <w:vAlign w:val="center"/>
          </w:tcPr>
          <w:p>
            <w:pPr>
              <w:pStyle w:val="TableContents"/>
              <w:bidi w:val="0"/>
              <w:spacing w:before="0" w:after="283"/>
              <w:jc w:val="right"/>
              <w:rPr/>
            </w:pPr>
            <w:r>
              <w:rPr/>
              <w:t>118,201</w:t>
            </w:r>
          </w:p>
        </w:tc>
        <w:tc>
          <w:tcPr>
            <w:tcW w:w="75" w:type="dxa"/>
            <w:tcBorders/>
            <w:shd w:fill="FFFFFF" w:val="clear"/>
            <w:vAlign w:val="center"/>
          </w:tcPr>
          <w:p>
            <w:pPr>
              <w:pStyle w:val="TableContents"/>
              <w:bidi w:val="0"/>
              <w:spacing w:before="0" w:after="283"/>
              <w:jc w:val="left"/>
              <w:rPr/>
            </w:pPr>
            <w:r>
              <w:rPr/>
              <w:t> </w:t>
            </w:r>
          </w:p>
        </w:tc>
      </w:tr>
      <w:tr>
        <w:trPr/>
        <w:tc>
          <w:tcPr>
            <w:tcW w:w="7205" w:type="dxa"/>
            <w:tcBorders/>
            <w:shd w:fill="EEEEEE" w:val="clear"/>
            <w:vAlign w:val="center"/>
          </w:tcPr>
          <w:p>
            <w:pPr>
              <w:pStyle w:val="TableContents"/>
              <w:bidi w:val="0"/>
              <w:spacing w:before="0" w:after="283"/>
              <w:jc w:val="left"/>
              <w:rPr/>
            </w:pPr>
            <w:r>
              <w:rPr/>
              <w:t>91 + days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10" w:name="xdx_98F_eus-gaap--FinancialInstrumentsOw"/>
            <w:bookmarkEnd w:id="510"/>
          </w:p>
        </w:tc>
        <w:tc>
          <w:tcPr>
            <w:tcW w:w="980" w:type="dxa"/>
            <w:tcBorders/>
            <w:shd w:fill="EEEEEE" w:val="clear"/>
            <w:vAlign w:val="center"/>
          </w:tcPr>
          <w:p>
            <w:pPr>
              <w:pStyle w:val="TableContents"/>
              <w:bidi w:val="0"/>
              <w:spacing w:before="0" w:after="283"/>
              <w:jc w:val="right"/>
              <w:rPr/>
            </w:pPr>
            <w:r>
              <w:rPr/>
              <w:t>45,933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511" w:name="xdx_987_eus-gaap--FinancialInstrumentsOw"/>
            <w:bookmarkEnd w:id="511"/>
          </w:p>
        </w:tc>
        <w:tc>
          <w:tcPr>
            <w:tcW w:w="1238" w:type="dxa"/>
            <w:tcBorders/>
            <w:shd w:fill="EEEEEE" w:val="clear"/>
            <w:vAlign w:val="center"/>
          </w:tcPr>
          <w:p>
            <w:pPr>
              <w:pStyle w:val="TableContents"/>
              <w:bidi w:val="0"/>
              <w:spacing w:before="0" w:after="283"/>
              <w:jc w:val="right"/>
              <w:rPr/>
            </w:pPr>
            <w:r>
              <w:rPr/>
              <w:t>56,203</w:t>
            </w:r>
          </w:p>
        </w:tc>
        <w:tc>
          <w:tcPr>
            <w:tcW w:w="75" w:type="dxa"/>
            <w:tcBorders/>
            <w:shd w:fill="EEEEEE"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left"/>
              <w:rPr/>
            </w:pPr>
            <w:r>
              <w:rPr/>
              <w:t>Repo</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2" w:name="xdx_98F_eus-gaap--FinancialInstrumentsOw"/>
            <w:bookmarkEnd w:id="51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94,310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3" w:name="xdx_981_eus-gaap--FinancialInstrumentsOw"/>
            <w:bookmarkEnd w:id="513"/>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111,104</w:t>
            </w:r>
          </w:p>
        </w:tc>
        <w:tc>
          <w:tcPr>
            <w:tcW w:w="75" w:type="dxa"/>
            <w:tcBorders/>
            <w:shd w:fill="FFFFFF" w:val="clear"/>
            <w:vAlign w:val="center"/>
          </w:tcPr>
          <w:p>
            <w:pPr>
              <w:pStyle w:val="TableContents"/>
              <w:bidi w:val="0"/>
              <w:spacing w:before="0" w:after="283"/>
              <w:jc w:val="left"/>
              <w:rPr/>
            </w:pPr>
            <w:r>
              <w:rPr/>
              <w:t> </w:t>
            </w:r>
          </w:p>
        </w:tc>
      </w:tr>
      <w:tr>
        <w:trPr/>
        <w:tc>
          <w:tcPr>
            <w:tcW w:w="720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14" w:name="xdx_989_eus-gaap--FinancialInstrumentsOw"/>
            <w:bookmarkEnd w:id="514"/>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4,306,511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15" w:name="xdx_98B_eus-gaap--FinancialInstrumentsOw"/>
            <w:bookmarkEnd w:id="515"/>
          </w:p>
        </w:tc>
        <w:tc>
          <w:tcPr>
            <w:tcW w:w="1238" w:type="dxa"/>
            <w:tcBorders>
              <w:bottom w:val="double" w:sz="6" w:space="0" w:color="000000"/>
            </w:tcBorders>
            <w:shd w:fill="EEEEEE" w:val="clear"/>
            <w:tcMar>
              <w:bottom w:w="28" w:type="dxa"/>
            </w:tcMar>
            <w:vAlign w:val="center"/>
          </w:tcPr>
          <w:p>
            <w:pPr>
              <w:pStyle w:val="TableContents"/>
              <w:bidi w:val="0"/>
              <w:spacing w:before="0" w:after="283"/>
              <w:jc w:val="right"/>
              <w:rPr/>
            </w:pPr>
            <w:r>
              <w:rPr/>
              <w:t>3,778,127</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6" w:name="xdx_8A3_zNmzbZUtRp8"/>
      <w:bookmarkEnd w:id="516"/>
      <w:r>
        <w:rPr>
          <w:caps w:val="false"/>
          <w:smallCaps w:val="false"/>
        </w:rPr>
        <w:t> </w:t>
      </w:r>
    </w:p>
    <w:p>
      <w:pPr>
        <w:pStyle w:val="TextBody"/>
        <w:bidi w:val="0"/>
        <w:spacing w:before="0" w:after="0"/>
        <w:ind w:left="0" w:right="0" w:hanging="0"/>
        <w:jc w:val="left"/>
        <w:rPr>
          <w:caps w:val="false"/>
          <w:smallCaps w:val="false"/>
        </w:rPr>
      </w:pPr>
      <w:bookmarkStart w:id="517" w:name="xdx_230_zR9dRod9nbW3"/>
      <w:bookmarkEnd w:id="517"/>
      <w:r>
        <w:rPr>
          <w:caps w:val="false"/>
          <w:smallCaps w:val="false"/>
        </w:rPr>
        <w:t> </w:t>
      </w:r>
    </w:p>
    <w:p>
      <w:pPr>
        <w:pStyle w:val="TextBody"/>
        <w:bidi w:val="0"/>
        <w:spacing w:before="0" w:after="0"/>
        <w:ind w:left="0" w:right="0" w:hanging="0"/>
        <w:jc w:val="left"/>
        <w:rPr>
          <w:caps w:val="false"/>
          <w:smallCaps w:val="false"/>
        </w:rPr>
      </w:pPr>
      <w:bookmarkStart w:id="518" w:name="xdx_232_zAKHcKT3jcUk"/>
      <w:bookmarkEnd w:id="51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519" w:name="xdx_23C_zpzJ1juN9zce"/>
      <w:bookmarkEnd w:id="51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0" w:name="xdx_803_ecustom--SecuritizationTrustDebt"/>
      <w:bookmarkEnd w:id="520"/>
      <w:r>
        <w:rPr>
          <w:rFonts w:ascii="Times New Roman;Times;Serif" w:hAnsi="Times New Roman;Times;Serif"/>
          <w:b/>
          <w:i w:val="false"/>
          <w:caps w:val="false"/>
          <w:smallCaps w:val="false"/>
          <w:sz w:val="20"/>
        </w:rPr>
        <w:t xml:space="preserve">(3) </w:t>
      </w:r>
      <w:bookmarkStart w:id="521" w:name="xdx_82D_zjzc0gcOdXj5"/>
      <w:bookmarkEnd w:id="521"/>
      <w:r>
        <w:rPr>
          <w:rFonts w:ascii="Times New Roman;Times;Serif" w:hAnsi="Times New Roman;Times;Serif"/>
          <w:b/>
          <w:i/>
          <w:caps w:val="false"/>
          <w:smallCaps w:val="false"/>
          <w:sz w:val="20"/>
        </w:rPr>
        <w:t xml:space="preserve">Securitization Trust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pStyle w:val="Normal"/>
        <w:bidi w:val="0"/>
        <w:spacing w:before="0" w:after="0"/>
        <w:ind w:left="0" w:right="0" w:firstLine="180"/>
        <w:jc w:val="left"/>
        <w:rPr>
          <w:sz w:val="4"/>
          <w:szCs w:val="4"/>
        </w:rPr>
      </w:pPr>
      <w:r>
        <w:rPr>
          <w:sz w:val="4"/>
          <w:szCs w:val="4"/>
        </w:rPr>
      </w:r>
      <w:bookmarkStart w:id="522" w:name="xdx_896_eus-gaap--ScheduleOfDebtInstrume"/>
      <w:bookmarkStart w:id="523" w:name="xdx_896_eus-gaap--ScheduleOfDebtInstrume"/>
      <w:bookmarkEnd w:id="523"/>
    </w:p>
    <w:tbl>
      <w:tblPr>
        <w:tblW w:w="10205" w:type="dxa"/>
        <w:jc w:val="left"/>
        <w:tblInd w:w="0" w:type="dxa"/>
        <w:tblLayout w:type="fixed"/>
        <w:tblCellMar>
          <w:top w:w="0" w:type="dxa"/>
          <w:left w:w="0" w:type="dxa"/>
          <w:bottom w:w="0" w:type="dxa"/>
          <w:right w:w="0" w:type="dxa"/>
        </w:tblCellMar>
      </w:tblPr>
      <w:tblGrid>
        <w:gridCol w:w="1893"/>
        <w:gridCol w:w="60"/>
        <w:gridCol w:w="60"/>
        <w:gridCol w:w="1181"/>
        <w:gridCol w:w="60"/>
        <w:gridCol w:w="60"/>
        <w:gridCol w:w="150"/>
        <w:gridCol w:w="1055"/>
        <w:gridCol w:w="60"/>
        <w:gridCol w:w="60"/>
        <w:gridCol w:w="140"/>
        <w:gridCol w:w="980"/>
        <w:gridCol w:w="60"/>
        <w:gridCol w:w="60"/>
        <w:gridCol w:w="160"/>
        <w:gridCol w:w="1120"/>
        <w:gridCol w:w="60"/>
        <w:gridCol w:w="60"/>
        <w:gridCol w:w="164"/>
        <w:gridCol w:w="1154"/>
        <w:gridCol w:w="60"/>
        <w:gridCol w:w="60"/>
        <w:gridCol w:w="135"/>
        <w:gridCol w:w="1275"/>
        <w:gridCol w:w="78"/>
      </w:tblGrid>
      <w:tr>
        <w:trPr/>
        <w:tc>
          <w:tcPr>
            <w:tcW w:w="1893" w:type="dxa"/>
            <w:tcBorders/>
            <w:shd w:fill="FFFFFF" w:val="clear"/>
            <w:vAlign w:val="center"/>
          </w:tcPr>
          <w:p>
            <w:pPr>
              <w:pStyle w:val="TableContents"/>
              <w:bidi w:val="0"/>
              <w:spacing w:before="0" w:after="283"/>
              <w:jc w:val="left"/>
              <w:rPr/>
            </w:pPr>
            <w:bookmarkStart w:id="524" w:name="xdx_8BB_zFAgP4Ta5zW2"/>
            <w:bookmarkEnd w:id="524"/>
            <w:r>
              <w:rPr/>
              <w:t>Schedule of securitization trust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vAlign w:val="center"/>
          </w:tcPr>
          <w:p>
            <w:pPr>
              <w:pStyle w:val="TableContents"/>
              <w:bidi w:val="0"/>
              <w:spacing w:before="0" w:after="283"/>
              <w:jc w:val="center"/>
              <w:rPr>
                <w:b/>
              </w:rPr>
            </w:pPr>
            <w:r>
              <w:rPr>
                <w:b/>
              </w:rPr>
              <w:t>Weighted</w:t>
            </w:r>
          </w:p>
        </w:tc>
        <w:tc>
          <w:tcPr>
            <w:tcW w:w="78" w:type="dxa"/>
            <w:tcBorders/>
            <w:vAlign w:val="center"/>
          </w:tcPr>
          <w:p>
            <w:pPr>
              <w:pStyle w:val="TableContents"/>
              <w:bidi w:val="0"/>
              <w:spacing w:before="0" w:after="283"/>
              <w:jc w:val="left"/>
              <w:rPr/>
            </w:pPr>
            <w:r>
              <w:rPr/>
              <w:t> </w:t>
            </w:r>
          </w:p>
        </w:tc>
      </w:tr>
      <w:tr>
        <w:trPr/>
        <w:tc>
          <w:tcPr>
            <w:tcW w:w="1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vAlign w:val="center"/>
          </w:tcPr>
          <w:p>
            <w:pPr>
              <w:pStyle w:val="TableContents"/>
              <w:bidi w:val="0"/>
              <w:spacing w:before="0" w:after="283"/>
              <w:jc w:val="center"/>
              <w:rPr>
                <w:b/>
              </w:rPr>
            </w:pPr>
            <w:r>
              <w:rPr>
                <w:b/>
              </w:rPr>
              <w:t>Average</w:t>
            </w:r>
          </w:p>
        </w:tc>
        <w:tc>
          <w:tcPr>
            <w:tcW w:w="78" w:type="dxa"/>
            <w:tcBorders/>
            <w:vAlign w:val="center"/>
          </w:tcPr>
          <w:p>
            <w:pPr>
              <w:pStyle w:val="TableContents"/>
              <w:bidi w:val="0"/>
              <w:spacing w:before="0" w:after="283"/>
              <w:jc w:val="left"/>
              <w:rPr/>
            </w:pPr>
            <w:r>
              <w:rPr/>
              <w:t> </w:t>
            </w:r>
          </w:p>
        </w:tc>
      </w:tr>
      <w:tr>
        <w:trPr/>
        <w:tc>
          <w:tcPr>
            <w:tcW w:w="1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1" w:type="dxa"/>
            <w:gridSpan w:val="2"/>
            <w:tcBorders/>
            <w:vAlign w:val="center"/>
          </w:tcPr>
          <w:p>
            <w:pPr>
              <w:pStyle w:val="TableContents"/>
              <w:bidi w:val="0"/>
              <w:spacing w:before="0" w:after="283"/>
              <w:jc w:val="center"/>
              <w:rPr>
                <w:b/>
              </w:rPr>
            </w:pPr>
            <w:r>
              <w:rPr>
                <w:b/>
              </w:rPr>
              <w:t>Final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Receivables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vAlign w:val="center"/>
          </w:tcPr>
          <w:p>
            <w:pPr>
              <w:pStyle w:val="TableContents"/>
              <w:bidi w:val="0"/>
              <w:spacing w:before="0" w:after="283"/>
              <w:jc w:val="center"/>
              <w:rPr>
                <w:b/>
              </w:rPr>
            </w:pPr>
            <w:r>
              <w:rPr>
                <w:b/>
              </w:rPr>
              <w:t>Contractual Debt</w:t>
            </w:r>
          </w:p>
        </w:tc>
        <w:tc>
          <w:tcPr>
            <w:tcW w:w="78" w:type="dxa"/>
            <w:tcBorders/>
            <w:vAlign w:val="center"/>
          </w:tcPr>
          <w:p>
            <w:pPr>
              <w:pStyle w:val="TableContents"/>
              <w:bidi w:val="0"/>
              <w:spacing w:before="0" w:after="283"/>
              <w:jc w:val="left"/>
              <w:rPr/>
            </w:pPr>
            <w:r>
              <w:rPr/>
              <w:t> </w:t>
            </w:r>
          </w:p>
        </w:tc>
      </w:tr>
      <w:tr>
        <w:trPr/>
        <w:tc>
          <w:tcPr>
            <w:tcW w:w="1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1" w:type="dxa"/>
            <w:gridSpan w:val="2"/>
            <w:tcBorders/>
            <w:vAlign w:val="center"/>
          </w:tcPr>
          <w:p>
            <w:pPr>
              <w:pStyle w:val="TableContents"/>
              <w:bidi w:val="0"/>
              <w:spacing w:before="0" w:after="283"/>
              <w:jc w:val="center"/>
              <w:rPr>
                <w:b/>
              </w:rPr>
            </w:pPr>
            <w:r>
              <w:rPr>
                <w:b/>
              </w:rPr>
              <w:t>Scheduled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Pledged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Principal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vAlign w:val="center"/>
          </w:tcPr>
          <w:p>
            <w:pPr>
              <w:pStyle w:val="TableContents"/>
              <w:bidi w:val="0"/>
              <w:spacing w:before="0" w:after="283"/>
              <w:jc w:val="center"/>
              <w:rPr>
                <w:b/>
              </w:rPr>
            </w:pPr>
            <w:r>
              <w:rPr>
                <w:b/>
              </w:rPr>
              <w:t>Principal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vAlign w:val="center"/>
          </w:tcPr>
          <w:p>
            <w:pPr>
              <w:pStyle w:val="TableContents"/>
              <w:bidi w:val="0"/>
              <w:spacing w:before="0" w:after="283"/>
              <w:jc w:val="center"/>
              <w:rPr>
                <w:b/>
              </w:rPr>
            </w:pPr>
            <w:r>
              <w:rPr>
                <w:b/>
              </w:rPr>
              <w:t>Interest Rate at</w:t>
            </w:r>
          </w:p>
        </w:tc>
        <w:tc>
          <w:tcPr>
            <w:tcW w:w="78" w:type="dxa"/>
            <w:tcBorders/>
            <w:vAlign w:val="center"/>
          </w:tcPr>
          <w:p>
            <w:pPr>
              <w:pStyle w:val="TableContents"/>
              <w:bidi w:val="0"/>
              <w:spacing w:before="0" w:after="283"/>
              <w:jc w:val="left"/>
              <w:rPr/>
            </w:pPr>
            <w:r>
              <w:rPr/>
              <w:t> </w:t>
            </w:r>
          </w:p>
        </w:tc>
      </w:tr>
      <w:tr>
        <w:trPr/>
        <w:tc>
          <w:tcPr>
            <w:tcW w:w="1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1" w:type="dxa"/>
            <w:gridSpan w:val="2"/>
            <w:tcBorders/>
            <w:vAlign w:val="center"/>
          </w:tcPr>
          <w:p>
            <w:pPr>
              <w:pStyle w:val="TableContents"/>
              <w:bidi w:val="0"/>
              <w:spacing w:before="0" w:after="283"/>
              <w:jc w:val="center"/>
              <w:rPr>
                <w:b/>
              </w:rPr>
            </w:pPr>
            <w:r>
              <w:rPr>
                <w:b/>
              </w:rPr>
              <w:t>Payment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Initial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vAlign w:val="center"/>
          </w:tcPr>
          <w:p>
            <w:pPr>
              <w:pStyle w:val="TableContents"/>
              <w:bidi w:val="0"/>
              <w:spacing w:before="0" w:after="283"/>
              <w:jc w:val="center"/>
              <w:rPr>
                <w:b/>
              </w:rPr>
            </w:pPr>
            <w:r>
              <w:rPr>
                <w:b/>
              </w:rPr>
              <w:t>June 30,</w:t>
            </w:r>
          </w:p>
        </w:tc>
        <w:tc>
          <w:tcPr>
            <w:tcW w:w="78" w:type="dxa"/>
            <w:tcBorders/>
            <w:vAlign w:val="center"/>
          </w:tcPr>
          <w:p>
            <w:pPr>
              <w:pStyle w:val="TableContents"/>
              <w:bidi w:val="0"/>
              <w:spacing w:before="0" w:after="283"/>
              <w:jc w:val="left"/>
              <w:rPr/>
            </w:pPr>
            <w:r>
              <w:rPr/>
              <w:t> </w:t>
            </w:r>
          </w:p>
        </w:tc>
      </w:tr>
      <w:tr>
        <w:trPr/>
        <w:tc>
          <w:tcPr>
            <w:tcW w:w="1893" w:type="dxa"/>
            <w:tcBorders>
              <w:bottom w:val="single" w:sz="8" w:space="0" w:color="000000"/>
            </w:tcBorders>
            <w:tcMar>
              <w:bottom w:w="28" w:type="dxa"/>
            </w:tcMar>
            <w:vAlign w:val="center"/>
          </w:tcPr>
          <w:p>
            <w:pPr>
              <w:pStyle w:val="TableContents"/>
              <w:bidi w:val="0"/>
              <w:spacing w:before="0" w:after="283"/>
              <w:jc w:val="center"/>
              <w:rPr>
                <w:b/>
              </w:rPr>
            </w:pPr>
            <w:r>
              <w:rPr>
                <w:b/>
              </w:rPr>
              <w:t>Series</w:t>
            </w:r>
          </w:p>
        </w:tc>
        <w:tc>
          <w:tcPr>
            <w:tcW w:w="60"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Date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8" w:type="dxa"/>
            <w:tcBorders/>
            <w:vAlign w:val="center"/>
          </w:tcPr>
          <w:p>
            <w:pPr>
              <w:pStyle w:val="TableContents"/>
              <w:bidi w:val="0"/>
              <w:spacing w:before="0" w:after="283"/>
              <w:jc w:val="left"/>
              <w:rPr/>
            </w:pPr>
            <w:r>
              <w:rPr/>
              <w:t> </w:t>
            </w:r>
          </w:p>
        </w:tc>
      </w:tr>
      <w:tr>
        <w:trPr/>
        <w:tc>
          <w:tcPr>
            <w:tcW w:w="1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4" w:type="dxa"/>
            <w:gridSpan w:val="18"/>
            <w:tcBorders/>
            <w:vAlign w:val="center"/>
          </w:tcPr>
          <w:p>
            <w:pPr>
              <w:pStyle w:val="TableContents"/>
              <w:bidi w:val="0"/>
              <w:spacing w:before="0" w:after="283"/>
              <w:jc w:val="center"/>
              <w:rPr>
                <w:b/>
              </w:rPr>
            </w:pPr>
            <w:r>
              <w:rPr>
                <w:b/>
              </w:rPr>
              <w:t>(Dollars 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1893" w:type="dxa"/>
            <w:tcBorders/>
            <w:shd w:fill="EEEEEE" w:val="clear"/>
            <w:vAlign w:val="center"/>
          </w:tcPr>
          <w:p>
            <w:pPr>
              <w:pStyle w:val="TableContents"/>
              <w:bidi w:val="0"/>
              <w:spacing w:before="0" w:after="283"/>
              <w:jc w:val="left"/>
              <w:rPr/>
            </w:pPr>
            <w:r>
              <w:rPr/>
              <w:t>CPS 2021-B</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1" w:type="dxa"/>
            <w:tcBorders/>
            <w:shd w:fill="EEEEEE" w:val="clear"/>
            <w:vAlign w:val="center"/>
          </w:tcPr>
          <w:p>
            <w:pPr>
              <w:pStyle w:val="TableContents"/>
              <w:bidi w:val="0"/>
              <w:spacing w:before="0" w:after="283"/>
              <w:jc w:val="right"/>
              <w:rPr/>
            </w:pPr>
            <w:bookmarkStart w:id="525" w:name="xdx_900_ecustom--FinalScheduledPaymentDa"/>
            <w:bookmarkEnd w:id="525"/>
            <w:r>
              <w:rPr/>
              <w:t>June 2028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w:t>
            </w:r>
            <w:bookmarkStart w:id="526" w:name="xdx_987_ecustom--ReceivablesPledged_iI_p"/>
            <w:bookmarkEnd w:id="526"/>
          </w:p>
        </w:tc>
        <w:tc>
          <w:tcPr>
            <w:tcW w:w="1055"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527" w:name="xdx_98D_ecustom--SecuritizationTrustDebt"/>
            <w:bookmarkEnd w:id="527"/>
          </w:p>
        </w:tc>
        <w:tc>
          <w:tcPr>
            <w:tcW w:w="980" w:type="dxa"/>
            <w:tcBorders/>
            <w:shd w:fill="EEEEEE" w:val="clear"/>
            <w:vAlign w:val="center"/>
          </w:tcPr>
          <w:p>
            <w:pPr>
              <w:pStyle w:val="TableContents"/>
              <w:bidi w:val="0"/>
              <w:spacing w:before="0" w:after="283"/>
              <w:jc w:val="right"/>
              <w:rPr/>
            </w:pPr>
            <w:r>
              <w:rPr/>
              <w:t>240,000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w:t>
            </w:r>
            <w:bookmarkStart w:id="528" w:name="xdx_983_eus-gaap--PrincipalAmountOutstan"/>
            <w:bookmarkEnd w:id="528"/>
          </w:p>
        </w:tc>
        <w:tc>
          <w:tcPr>
            <w:tcW w:w="112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w:t>
            </w:r>
            <w:bookmarkStart w:id="529" w:name="xdx_980_eus-gaap--PrincipalAmountOutstan"/>
            <w:bookmarkEnd w:id="529"/>
          </w:p>
        </w:tc>
        <w:tc>
          <w:tcPr>
            <w:tcW w:w="1154" w:type="dxa"/>
            <w:tcBorders/>
            <w:shd w:fill="EEEEEE" w:val="clear"/>
            <w:vAlign w:val="center"/>
          </w:tcPr>
          <w:p>
            <w:pPr>
              <w:pStyle w:val="TableContents"/>
              <w:bidi w:val="0"/>
              <w:spacing w:before="0" w:after="283"/>
              <w:jc w:val="right"/>
              <w:rPr/>
            </w:pPr>
            <w:r>
              <w:rPr/>
              <w:t>15,832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5" w:type="dxa"/>
            <w:tcBorders/>
            <w:shd w:fill="EEEEEE" w:val="clear"/>
            <w:vAlign w:val="center"/>
          </w:tcPr>
          <w:p>
            <w:pPr>
              <w:pStyle w:val="TableContents"/>
              <w:bidi w:val="0"/>
              <w:spacing w:before="0" w:after="283"/>
              <w:jc w:val="left"/>
              <w:rPr/>
            </w:pPr>
            <w:r>
              <w:rPr/>
              <w:t> </w:t>
            </w:r>
          </w:p>
        </w:tc>
        <w:tc>
          <w:tcPr>
            <w:tcW w:w="1275" w:type="dxa"/>
            <w:tcBorders/>
            <w:shd w:fill="EEEEEE" w:val="clear"/>
            <w:vAlign w:val="center"/>
          </w:tcPr>
          <w:p>
            <w:pPr>
              <w:pStyle w:val="TableContents"/>
              <w:bidi w:val="0"/>
              <w:spacing w:before="0" w:after="283"/>
              <w:jc w:val="right"/>
              <w:rPr/>
            </w:pPr>
            <w:bookmarkStart w:id="530" w:name="xdx_907_eus-gaap--DebtWeightedAverageInt"/>
            <w:bookmarkEnd w:id="530"/>
            <w:r>
              <w:rPr/>
              <w:t>–</w:t>
            </w:r>
          </w:p>
        </w:tc>
        <w:tc>
          <w:tcPr>
            <w:tcW w:w="78" w:type="dxa"/>
            <w:tcBorders/>
            <w:shd w:fill="EEEEEE"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pPr>
            <w:r>
              <w:rPr/>
              <w:t>CPS 2021-C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bookmarkStart w:id="531" w:name="xdx_90F_ecustom--FinalScheduledPaymentDa"/>
            <w:bookmarkEnd w:id="531"/>
            <w:r>
              <w:rPr/>
              <w:t>September 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532" w:name="xdx_98D_ecustom--ReceivablesPledged_iI_p"/>
            <w:bookmarkEnd w:id="532"/>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33" w:name="xdx_989_ecustom--SecuritizationTrustDebt"/>
            <w:bookmarkEnd w:id="533"/>
          </w:p>
        </w:tc>
        <w:tc>
          <w:tcPr>
            <w:tcW w:w="980" w:type="dxa"/>
            <w:tcBorders/>
            <w:shd w:fill="FFFFFF" w:val="clear"/>
            <w:vAlign w:val="center"/>
          </w:tcPr>
          <w:p>
            <w:pPr>
              <w:pStyle w:val="TableContents"/>
              <w:bidi w:val="0"/>
              <w:spacing w:before="0" w:after="283"/>
              <w:jc w:val="right"/>
              <w:rPr/>
            </w:pPr>
            <w:r>
              <w:rPr/>
              <w:t>291,000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34" w:name="xdx_989_eus-gaap--PrincipalAmountOutstan"/>
            <w:bookmarkEnd w:id="534"/>
          </w:p>
        </w:tc>
        <w:tc>
          <w:tcPr>
            <w:tcW w:w="11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535" w:name="xdx_988_eus-gaap--PrincipalAmountOutstan"/>
            <w:bookmarkEnd w:id="535"/>
          </w:p>
        </w:tc>
        <w:tc>
          <w:tcPr>
            <w:tcW w:w="1154" w:type="dxa"/>
            <w:tcBorders/>
            <w:shd w:fill="FFFFFF" w:val="clear"/>
            <w:vAlign w:val="center"/>
          </w:tcPr>
          <w:p>
            <w:pPr>
              <w:pStyle w:val="TableContents"/>
              <w:bidi w:val="0"/>
              <w:spacing w:before="0" w:after="283"/>
              <w:jc w:val="right"/>
              <w:rPr/>
            </w:pPr>
            <w:r>
              <w:rPr/>
              <w:t>25,889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bookmarkStart w:id="536" w:name="xdx_907_eus-gaap--DebtWeightedAverageInt"/>
            <w:bookmarkEnd w:id="536"/>
            <w:r>
              <w:rPr/>
              <w:t>–</w:t>
            </w:r>
          </w:p>
        </w:tc>
        <w:tc>
          <w:tcPr>
            <w:tcW w:w="78" w:type="dxa"/>
            <w:tcBorders/>
            <w:shd w:fill="FFFFFF" w:val="clear"/>
            <w:vAlign w:val="center"/>
          </w:tcPr>
          <w:p>
            <w:pPr>
              <w:pStyle w:val="TableContents"/>
              <w:bidi w:val="0"/>
              <w:spacing w:before="0" w:after="283"/>
              <w:jc w:val="left"/>
              <w:rPr/>
            </w:pPr>
            <w:r>
              <w:rPr/>
              <w:t> </w:t>
            </w:r>
          </w:p>
        </w:tc>
      </w:tr>
      <w:tr>
        <w:trPr/>
        <w:tc>
          <w:tcPr>
            <w:tcW w:w="1893" w:type="dxa"/>
            <w:tcBorders/>
            <w:shd w:fill="EEEEEE" w:val="clear"/>
            <w:vAlign w:val="center"/>
          </w:tcPr>
          <w:p>
            <w:pPr>
              <w:pStyle w:val="TableContents"/>
              <w:bidi w:val="0"/>
              <w:spacing w:before="0" w:after="283"/>
              <w:jc w:val="left"/>
              <w:rPr/>
            </w:pPr>
            <w:r>
              <w:rPr/>
              <w:t>CPS 2021-D</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1" w:type="dxa"/>
            <w:tcBorders/>
            <w:shd w:fill="EEEEEE" w:val="clear"/>
            <w:vAlign w:val="center"/>
          </w:tcPr>
          <w:p>
            <w:pPr>
              <w:pStyle w:val="TableContents"/>
              <w:bidi w:val="0"/>
              <w:spacing w:before="0" w:after="283"/>
              <w:jc w:val="right"/>
              <w:rPr/>
            </w:pPr>
            <w:bookmarkStart w:id="537" w:name="xdx_909_ecustom--FinalScheduledPaymentDa"/>
            <w:bookmarkEnd w:id="537"/>
            <w:r>
              <w:rPr/>
              <w:t>December 2028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bookmarkStart w:id="538" w:name="xdx_981_ecustom--ReceivablesPledged_iI_p"/>
            <w:bookmarkEnd w:id="538"/>
          </w:p>
        </w:tc>
        <w:tc>
          <w:tcPr>
            <w:tcW w:w="1055" w:type="dxa"/>
            <w:tcBorders/>
            <w:shd w:fill="EEEEEE" w:val="clear"/>
            <w:vAlign w:val="center"/>
          </w:tcPr>
          <w:p>
            <w:pPr>
              <w:pStyle w:val="TableContents"/>
              <w:bidi w:val="0"/>
              <w:spacing w:before="0" w:after="283"/>
              <w:jc w:val="right"/>
              <w:rPr/>
            </w:pPr>
            <w:r>
              <w:rPr/>
              <w:t>31,252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39" w:name="xdx_986_ecustom--SecuritizationTrustDebt"/>
            <w:bookmarkEnd w:id="539"/>
          </w:p>
        </w:tc>
        <w:tc>
          <w:tcPr>
            <w:tcW w:w="980" w:type="dxa"/>
            <w:tcBorders/>
            <w:shd w:fill="EEEEEE" w:val="clear"/>
            <w:vAlign w:val="center"/>
          </w:tcPr>
          <w:p>
            <w:pPr>
              <w:pStyle w:val="TableContents"/>
              <w:bidi w:val="0"/>
              <w:spacing w:before="0" w:after="283"/>
              <w:jc w:val="right"/>
              <w:rPr/>
            </w:pPr>
            <w:r>
              <w:rPr/>
              <w:t>349,202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bookmarkStart w:id="540" w:name="xdx_98E_eus-gaap--PrincipalAmountOutstan"/>
            <w:bookmarkEnd w:id="540"/>
          </w:p>
        </w:tc>
        <w:tc>
          <w:tcPr>
            <w:tcW w:w="1120" w:type="dxa"/>
            <w:tcBorders/>
            <w:shd w:fill="EEEEEE" w:val="clear"/>
            <w:vAlign w:val="center"/>
          </w:tcPr>
          <w:p>
            <w:pPr>
              <w:pStyle w:val="TableContents"/>
              <w:bidi w:val="0"/>
              <w:spacing w:before="0" w:after="283"/>
              <w:jc w:val="right"/>
              <w:rPr/>
            </w:pPr>
            <w:r>
              <w:rPr/>
              <w:t>24,854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bookmarkStart w:id="541" w:name="xdx_981_eus-gaap--PrincipalAmountOutstan"/>
            <w:bookmarkEnd w:id="541"/>
          </w:p>
        </w:tc>
        <w:tc>
          <w:tcPr>
            <w:tcW w:w="1154" w:type="dxa"/>
            <w:tcBorders/>
            <w:shd w:fill="EEEEEE" w:val="clear"/>
            <w:vAlign w:val="center"/>
          </w:tcPr>
          <w:p>
            <w:pPr>
              <w:pStyle w:val="TableContents"/>
              <w:bidi w:val="0"/>
              <w:spacing w:before="0" w:after="283"/>
              <w:jc w:val="right"/>
              <w:rPr/>
            </w:pPr>
            <w:r>
              <w:rPr/>
              <w:t>39,625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5" w:type="dxa"/>
            <w:tcBorders/>
            <w:shd w:fill="EEEEEE" w:val="clear"/>
            <w:vAlign w:val="center"/>
          </w:tcPr>
          <w:p>
            <w:pPr>
              <w:pStyle w:val="TableContents"/>
              <w:bidi w:val="0"/>
              <w:spacing w:before="0" w:after="283"/>
              <w:jc w:val="left"/>
              <w:rPr/>
            </w:pPr>
            <w:r>
              <w:rPr/>
              <w:t> </w:t>
            </w:r>
          </w:p>
        </w:tc>
        <w:tc>
          <w:tcPr>
            <w:tcW w:w="1275" w:type="dxa"/>
            <w:tcBorders/>
            <w:shd w:fill="EEEEEE" w:val="clear"/>
            <w:vAlign w:val="center"/>
          </w:tcPr>
          <w:p>
            <w:pPr>
              <w:pStyle w:val="TableContents"/>
              <w:bidi w:val="0"/>
              <w:spacing w:before="0" w:after="283"/>
              <w:jc w:val="right"/>
              <w:rPr/>
            </w:pPr>
            <w:bookmarkStart w:id="542" w:name="xdx_907_eus-gaap--DebtWeightedAverageInt"/>
            <w:bookmarkEnd w:id="542"/>
            <w:r>
              <w:rPr/>
              <w:t>4.06%</w:t>
            </w:r>
          </w:p>
        </w:tc>
        <w:tc>
          <w:tcPr>
            <w:tcW w:w="78" w:type="dxa"/>
            <w:tcBorders/>
            <w:shd w:fill="EEEEEE"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pPr>
            <w:r>
              <w:rPr/>
              <w:t>CPS 2022-A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bookmarkStart w:id="543" w:name="xdx_90E_ecustom--FinalScheduledPaymentDa"/>
            <w:bookmarkEnd w:id="543"/>
            <w:r>
              <w:rPr/>
              <w:t>April 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544" w:name="xdx_98C_ecustom--ReceivablesPledged_iI_p"/>
            <w:bookmarkEnd w:id="544"/>
          </w:p>
        </w:tc>
        <w:tc>
          <w:tcPr>
            <w:tcW w:w="1055" w:type="dxa"/>
            <w:tcBorders/>
            <w:shd w:fill="FFFFFF" w:val="clear"/>
            <w:vAlign w:val="center"/>
          </w:tcPr>
          <w:p>
            <w:pPr>
              <w:pStyle w:val="TableContents"/>
              <w:bidi w:val="0"/>
              <w:spacing w:before="0" w:after="283"/>
              <w:jc w:val="right"/>
              <w:rPr/>
            </w:pPr>
            <w:r>
              <w:rPr/>
              <w:t>36,974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45" w:name="xdx_984_ecustom--SecuritizationTrustDebt"/>
            <w:bookmarkEnd w:id="545"/>
          </w:p>
        </w:tc>
        <w:tc>
          <w:tcPr>
            <w:tcW w:w="980" w:type="dxa"/>
            <w:tcBorders/>
            <w:shd w:fill="FFFFFF" w:val="clear"/>
            <w:vAlign w:val="center"/>
          </w:tcPr>
          <w:p>
            <w:pPr>
              <w:pStyle w:val="TableContents"/>
              <w:bidi w:val="0"/>
              <w:spacing w:before="0" w:after="283"/>
              <w:jc w:val="right"/>
              <w:rPr/>
            </w:pPr>
            <w:r>
              <w:rPr/>
              <w:t>316,800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46" w:name="xdx_988_eus-gaap--PrincipalAmountOutstan"/>
            <w:bookmarkEnd w:id="546"/>
          </w:p>
        </w:tc>
        <w:tc>
          <w:tcPr>
            <w:tcW w:w="1120" w:type="dxa"/>
            <w:tcBorders/>
            <w:shd w:fill="FFFFFF" w:val="clear"/>
            <w:vAlign w:val="center"/>
          </w:tcPr>
          <w:p>
            <w:pPr>
              <w:pStyle w:val="TableContents"/>
              <w:bidi w:val="0"/>
              <w:spacing w:before="0" w:after="283"/>
              <w:jc w:val="right"/>
              <w:rPr/>
            </w:pPr>
            <w:r>
              <w:rPr/>
              <w:t>29,191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547" w:name="xdx_984_eus-gaap--PrincipalAmountOutstan"/>
            <w:bookmarkEnd w:id="547"/>
          </w:p>
        </w:tc>
        <w:tc>
          <w:tcPr>
            <w:tcW w:w="1154" w:type="dxa"/>
            <w:tcBorders/>
            <w:shd w:fill="FFFFFF" w:val="clear"/>
            <w:vAlign w:val="center"/>
          </w:tcPr>
          <w:p>
            <w:pPr>
              <w:pStyle w:val="TableContents"/>
              <w:bidi w:val="0"/>
              <w:spacing w:before="0" w:after="283"/>
              <w:jc w:val="right"/>
              <w:rPr/>
            </w:pPr>
            <w:r>
              <w:rPr/>
              <w:t>42,241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bookmarkStart w:id="548" w:name="xdx_90A_eus-gaap--DebtWeightedAverageInt"/>
            <w:bookmarkEnd w:id="548"/>
            <w:r>
              <w:rPr/>
              <w:t>4.68%</w:t>
            </w:r>
          </w:p>
        </w:tc>
        <w:tc>
          <w:tcPr>
            <w:tcW w:w="78" w:type="dxa"/>
            <w:tcBorders/>
            <w:shd w:fill="FFFFFF" w:val="clear"/>
            <w:vAlign w:val="center"/>
          </w:tcPr>
          <w:p>
            <w:pPr>
              <w:pStyle w:val="TableContents"/>
              <w:bidi w:val="0"/>
              <w:spacing w:before="0" w:after="283"/>
              <w:jc w:val="left"/>
              <w:rPr/>
            </w:pPr>
            <w:r>
              <w:rPr/>
              <w:t> </w:t>
            </w:r>
          </w:p>
        </w:tc>
      </w:tr>
      <w:tr>
        <w:trPr/>
        <w:tc>
          <w:tcPr>
            <w:tcW w:w="1893" w:type="dxa"/>
            <w:tcBorders/>
            <w:shd w:fill="EEEEEE" w:val="clear"/>
            <w:vAlign w:val="center"/>
          </w:tcPr>
          <w:p>
            <w:pPr>
              <w:pStyle w:val="TableContents"/>
              <w:bidi w:val="0"/>
              <w:spacing w:before="0" w:after="283"/>
              <w:jc w:val="left"/>
              <w:rPr/>
            </w:pPr>
            <w:r>
              <w:rPr/>
              <w:t>CPS 2022-B</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1" w:type="dxa"/>
            <w:tcBorders/>
            <w:shd w:fill="EEEEEE" w:val="clear"/>
            <w:vAlign w:val="center"/>
          </w:tcPr>
          <w:p>
            <w:pPr>
              <w:pStyle w:val="TableContents"/>
              <w:bidi w:val="0"/>
              <w:spacing w:before="0" w:after="283"/>
              <w:jc w:val="right"/>
              <w:rPr/>
            </w:pPr>
            <w:bookmarkStart w:id="549" w:name="xdx_90D_ecustom--FinalScheduledPaymentDa"/>
            <w:bookmarkEnd w:id="549"/>
            <w:r>
              <w:rPr/>
              <w:t>October 2029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bookmarkStart w:id="550" w:name="xdx_988_ecustom--ReceivablesPledged_iI_p"/>
            <w:bookmarkEnd w:id="550"/>
          </w:p>
        </w:tc>
        <w:tc>
          <w:tcPr>
            <w:tcW w:w="1055" w:type="dxa"/>
            <w:tcBorders/>
            <w:shd w:fill="EEEEEE" w:val="clear"/>
            <w:vAlign w:val="center"/>
          </w:tcPr>
          <w:p>
            <w:pPr>
              <w:pStyle w:val="TableContents"/>
              <w:bidi w:val="0"/>
              <w:spacing w:before="0" w:after="283"/>
              <w:jc w:val="right"/>
              <w:rPr/>
            </w:pPr>
            <w:r>
              <w:rPr/>
              <w:t>61,206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51" w:name="xdx_980_ecustom--SecuritizationTrustDebt"/>
            <w:bookmarkEnd w:id="551"/>
          </w:p>
        </w:tc>
        <w:tc>
          <w:tcPr>
            <w:tcW w:w="980" w:type="dxa"/>
            <w:tcBorders/>
            <w:shd w:fill="EEEEEE" w:val="clear"/>
            <w:vAlign w:val="center"/>
          </w:tcPr>
          <w:p>
            <w:pPr>
              <w:pStyle w:val="TableContents"/>
              <w:bidi w:val="0"/>
              <w:spacing w:before="0" w:after="283"/>
              <w:jc w:val="right"/>
              <w:rPr/>
            </w:pPr>
            <w:r>
              <w:rPr/>
              <w:t>395,600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bookmarkStart w:id="552" w:name="xdx_98D_eus-gaap--PrincipalAmountOutstan"/>
            <w:bookmarkEnd w:id="552"/>
          </w:p>
        </w:tc>
        <w:tc>
          <w:tcPr>
            <w:tcW w:w="1120" w:type="dxa"/>
            <w:tcBorders/>
            <w:shd w:fill="EEEEEE" w:val="clear"/>
            <w:vAlign w:val="center"/>
          </w:tcPr>
          <w:p>
            <w:pPr>
              <w:pStyle w:val="TableContents"/>
              <w:bidi w:val="0"/>
              <w:spacing w:before="0" w:after="283"/>
              <w:jc w:val="right"/>
              <w:rPr/>
            </w:pPr>
            <w:r>
              <w:rPr/>
              <w:t>49,481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bookmarkStart w:id="553" w:name="xdx_988_eus-gaap--PrincipalAmountOutstan"/>
            <w:bookmarkEnd w:id="553"/>
          </w:p>
        </w:tc>
        <w:tc>
          <w:tcPr>
            <w:tcW w:w="1154" w:type="dxa"/>
            <w:tcBorders/>
            <w:shd w:fill="EEEEEE" w:val="clear"/>
            <w:vAlign w:val="center"/>
          </w:tcPr>
          <w:p>
            <w:pPr>
              <w:pStyle w:val="TableContents"/>
              <w:bidi w:val="0"/>
              <w:spacing w:before="0" w:after="283"/>
              <w:jc w:val="right"/>
              <w:rPr/>
            </w:pPr>
            <w:r>
              <w:rPr/>
              <w:t>72,820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5" w:type="dxa"/>
            <w:tcBorders/>
            <w:shd w:fill="EEEEEE" w:val="clear"/>
            <w:vAlign w:val="center"/>
          </w:tcPr>
          <w:p>
            <w:pPr>
              <w:pStyle w:val="TableContents"/>
              <w:bidi w:val="0"/>
              <w:spacing w:before="0" w:after="283"/>
              <w:jc w:val="left"/>
              <w:rPr/>
            </w:pPr>
            <w:r>
              <w:rPr/>
              <w:t> </w:t>
            </w:r>
          </w:p>
        </w:tc>
        <w:tc>
          <w:tcPr>
            <w:tcW w:w="1275" w:type="dxa"/>
            <w:tcBorders/>
            <w:shd w:fill="EEEEEE" w:val="clear"/>
            <w:vAlign w:val="center"/>
          </w:tcPr>
          <w:p>
            <w:pPr>
              <w:pStyle w:val="TableContents"/>
              <w:bidi w:val="0"/>
              <w:spacing w:before="0" w:after="283"/>
              <w:jc w:val="right"/>
              <w:rPr/>
            </w:pPr>
            <w:bookmarkStart w:id="554" w:name="xdx_905_eus-gaap--DebtWeightedAverageInt"/>
            <w:bookmarkEnd w:id="554"/>
            <w:r>
              <w:rPr/>
              <w:t>7.14%</w:t>
            </w:r>
          </w:p>
        </w:tc>
        <w:tc>
          <w:tcPr>
            <w:tcW w:w="78" w:type="dxa"/>
            <w:tcBorders/>
            <w:shd w:fill="EEEEEE"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pPr>
            <w:r>
              <w:rPr/>
              <w:t>CPS 2022-C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bookmarkStart w:id="555" w:name="xdx_908_ecustom--FinalScheduledPaymentDa"/>
            <w:bookmarkEnd w:id="555"/>
            <w:r>
              <w:rPr/>
              <w:t>April 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556" w:name="xdx_98B_ecustom--ReceivablesPledged_iI_p"/>
            <w:bookmarkEnd w:id="556"/>
          </w:p>
        </w:tc>
        <w:tc>
          <w:tcPr>
            <w:tcW w:w="1055" w:type="dxa"/>
            <w:tcBorders/>
            <w:shd w:fill="FFFFFF" w:val="clear"/>
            <w:vAlign w:val="center"/>
          </w:tcPr>
          <w:p>
            <w:pPr>
              <w:pStyle w:val="TableContents"/>
              <w:bidi w:val="0"/>
              <w:spacing w:before="0" w:after="283"/>
              <w:jc w:val="right"/>
              <w:rPr/>
            </w:pPr>
            <w:r>
              <w:rPr/>
              <w:t>76,658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7" w:name="xdx_98A_ecustom--SecuritizationTrustDebt"/>
            <w:bookmarkEnd w:id="557"/>
          </w:p>
        </w:tc>
        <w:tc>
          <w:tcPr>
            <w:tcW w:w="980" w:type="dxa"/>
            <w:tcBorders/>
            <w:shd w:fill="FFFFFF" w:val="clear"/>
            <w:vAlign w:val="center"/>
          </w:tcPr>
          <w:p>
            <w:pPr>
              <w:pStyle w:val="TableContents"/>
              <w:bidi w:val="0"/>
              <w:spacing w:before="0" w:after="283"/>
              <w:jc w:val="right"/>
              <w:rPr/>
            </w:pPr>
            <w:r>
              <w:rPr/>
              <w:t>391,600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58" w:name="xdx_989_eus-gaap--PrincipalAmountOutstan"/>
            <w:bookmarkEnd w:id="558"/>
          </w:p>
        </w:tc>
        <w:tc>
          <w:tcPr>
            <w:tcW w:w="1120" w:type="dxa"/>
            <w:tcBorders/>
            <w:shd w:fill="FFFFFF" w:val="clear"/>
            <w:vAlign w:val="center"/>
          </w:tcPr>
          <w:p>
            <w:pPr>
              <w:pStyle w:val="TableContents"/>
              <w:bidi w:val="0"/>
              <w:spacing w:before="0" w:after="283"/>
              <w:jc w:val="right"/>
              <w:rPr/>
            </w:pPr>
            <w:r>
              <w:rPr/>
              <w:t>55,732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559" w:name="xdx_987_eus-gaap--PrincipalAmountOutstan"/>
            <w:bookmarkEnd w:id="559"/>
          </w:p>
        </w:tc>
        <w:tc>
          <w:tcPr>
            <w:tcW w:w="1154" w:type="dxa"/>
            <w:tcBorders/>
            <w:shd w:fill="FFFFFF" w:val="clear"/>
            <w:vAlign w:val="center"/>
          </w:tcPr>
          <w:p>
            <w:pPr>
              <w:pStyle w:val="TableContents"/>
              <w:bidi w:val="0"/>
              <w:spacing w:before="0" w:after="283"/>
              <w:jc w:val="right"/>
              <w:rPr/>
            </w:pPr>
            <w:r>
              <w:rPr/>
              <w:t>77,073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bookmarkStart w:id="560" w:name="xdx_90B_eus-gaap--DebtWeightedAverageInt"/>
            <w:bookmarkEnd w:id="560"/>
            <w:r>
              <w:rPr/>
              <w:t>8.09%</w:t>
            </w:r>
          </w:p>
        </w:tc>
        <w:tc>
          <w:tcPr>
            <w:tcW w:w="78" w:type="dxa"/>
            <w:tcBorders/>
            <w:shd w:fill="FFFFFF" w:val="clear"/>
            <w:vAlign w:val="center"/>
          </w:tcPr>
          <w:p>
            <w:pPr>
              <w:pStyle w:val="TableContents"/>
              <w:bidi w:val="0"/>
              <w:spacing w:before="0" w:after="283"/>
              <w:jc w:val="left"/>
              <w:rPr/>
            </w:pPr>
            <w:r>
              <w:rPr/>
              <w:t> </w:t>
            </w:r>
          </w:p>
        </w:tc>
      </w:tr>
      <w:tr>
        <w:trPr/>
        <w:tc>
          <w:tcPr>
            <w:tcW w:w="1893" w:type="dxa"/>
            <w:tcBorders/>
            <w:shd w:fill="EEEEEE" w:val="clear"/>
            <w:vAlign w:val="center"/>
          </w:tcPr>
          <w:p>
            <w:pPr>
              <w:pStyle w:val="TableContents"/>
              <w:bidi w:val="0"/>
              <w:spacing w:before="0" w:after="283"/>
              <w:jc w:val="left"/>
              <w:rPr/>
            </w:pPr>
            <w:r>
              <w:rPr/>
              <w:t>CPS 2022-D</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1" w:type="dxa"/>
            <w:tcBorders/>
            <w:shd w:fill="EEEEEE" w:val="clear"/>
            <w:vAlign w:val="center"/>
          </w:tcPr>
          <w:p>
            <w:pPr>
              <w:pStyle w:val="TableContents"/>
              <w:bidi w:val="0"/>
              <w:spacing w:before="0" w:after="283"/>
              <w:jc w:val="right"/>
              <w:rPr/>
            </w:pPr>
            <w:bookmarkStart w:id="561" w:name="xdx_90B_ecustom--FinalScheduledPaymentDa"/>
            <w:bookmarkEnd w:id="561"/>
            <w:r>
              <w:rPr/>
              <w:t>June 2030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bookmarkStart w:id="562" w:name="xdx_986_ecustom--ReceivablesPledged_iI_p"/>
            <w:bookmarkEnd w:id="562"/>
          </w:p>
        </w:tc>
        <w:tc>
          <w:tcPr>
            <w:tcW w:w="1055" w:type="dxa"/>
            <w:tcBorders/>
            <w:shd w:fill="EEEEEE" w:val="clear"/>
            <w:vAlign w:val="center"/>
          </w:tcPr>
          <w:p>
            <w:pPr>
              <w:pStyle w:val="TableContents"/>
              <w:bidi w:val="0"/>
              <w:spacing w:before="0" w:after="283"/>
              <w:jc w:val="right"/>
              <w:rPr/>
            </w:pPr>
            <w:r>
              <w:rPr/>
              <w:t>76,291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63" w:name="xdx_98F_ecustom--SecuritizationTrustDebt"/>
            <w:bookmarkEnd w:id="563"/>
          </w:p>
        </w:tc>
        <w:tc>
          <w:tcPr>
            <w:tcW w:w="980" w:type="dxa"/>
            <w:tcBorders/>
            <w:shd w:fill="EEEEEE" w:val="clear"/>
            <w:vAlign w:val="center"/>
          </w:tcPr>
          <w:p>
            <w:pPr>
              <w:pStyle w:val="TableContents"/>
              <w:bidi w:val="0"/>
              <w:spacing w:before="0" w:after="283"/>
              <w:jc w:val="right"/>
              <w:rPr/>
            </w:pPr>
            <w:r>
              <w:rPr/>
              <w:t>307,018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bookmarkStart w:id="564" w:name="xdx_989_eus-gaap--PrincipalAmountOutstan"/>
            <w:bookmarkEnd w:id="564"/>
          </w:p>
        </w:tc>
        <w:tc>
          <w:tcPr>
            <w:tcW w:w="1120" w:type="dxa"/>
            <w:tcBorders/>
            <w:shd w:fill="EEEEEE" w:val="clear"/>
            <w:vAlign w:val="center"/>
          </w:tcPr>
          <w:p>
            <w:pPr>
              <w:pStyle w:val="TableContents"/>
              <w:bidi w:val="0"/>
              <w:spacing w:before="0" w:after="283"/>
              <w:jc w:val="right"/>
              <w:rPr/>
            </w:pPr>
            <w:r>
              <w:rPr/>
              <w:t>68,362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bookmarkStart w:id="565" w:name="xdx_987_eus-gaap--PrincipalAmountOutstan"/>
            <w:bookmarkEnd w:id="565"/>
          </w:p>
        </w:tc>
        <w:tc>
          <w:tcPr>
            <w:tcW w:w="1154" w:type="dxa"/>
            <w:tcBorders/>
            <w:shd w:fill="EEEEEE" w:val="clear"/>
            <w:vAlign w:val="center"/>
          </w:tcPr>
          <w:p>
            <w:pPr>
              <w:pStyle w:val="TableContents"/>
              <w:bidi w:val="0"/>
              <w:spacing w:before="0" w:after="283"/>
              <w:jc w:val="right"/>
              <w:rPr/>
            </w:pPr>
            <w:r>
              <w:rPr/>
              <w:t>86,973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5" w:type="dxa"/>
            <w:tcBorders/>
            <w:shd w:fill="EEEEEE" w:val="clear"/>
            <w:vAlign w:val="center"/>
          </w:tcPr>
          <w:p>
            <w:pPr>
              <w:pStyle w:val="TableContents"/>
              <w:bidi w:val="0"/>
              <w:spacing w:before="0" w:after="283"/>
              <w:jc w:val="left"/>
              <w:rPr/>
            </w:pPr>
            <w:r>
              <w:rPr/>
              <w:t> </w:t>
            </w:r>
          </w:p>
        </w:tc>
        <w:tc>
          <w:tcPr>
            <w:tcW w:w="1275" w:type="dxa"/>
            <w:tcBorders/>
            <w:shd w:fill="EEEEEE" w:val="clear"/>
            <w:vAlign w:val="center"/>
          </w:tcPr>
          <w:p>
            <w:pPr>
              <w:pStyle w:val="TableContents"/>
              <w:bidi w:val="0"/>
              <w:spacing w:before="0" w:after="283"/>
              <w:jc w:val="right"/>
              <w:rPr/>
            </w:pPr>
            <w:bookmarkStart w:id="566" w:name="xdx_90B_eus-gaap--DebtWeightedAverageInt"/>
            <w:bookmarkEnd w:id="566"/>
            <w:r>
              <w:rPr/>
              <w:t>10.37%</w:t>
            </w:r>
          </w:p>
        </w:tc>
        <w:tc>
          <w:tcPr>
            <w:tcW w:w="78" w:type="dxa"/>
            <w:tcBorders/>
            <w:shd w:fill="EEEEEE"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pPr>
            <w:r>
              <w:rPr/>
              <w:t>CPS 2023-A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bookmarkStart w:id="567" w:name="xdx_90E_ecustom--FinalScheduledPaymentDa"/>
            <w:bookmarkEnd w:id="567"/>
            <w:r>
              <w:rPr/>
              <w:t>August 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568" w:name="xdx_98A_ecustom--ReceivablesPledged_iI_p"/>
            <w:bookmarkEnd w:id="568"/>
          </w:p>
        </w:tc>
        <w:tc>
          <w:tcPr>
            <w:tcW w:w="1055" w:type="dxa"/>
            <w:tcBorders/>
            <w:shd w:fill="FFFFFF" w:val="clear"/>
            <w:vAlign w:val="center"/>
          </w:tcPr>
          <w:p>
            <w:pPr>
              <w:pStyle w:val="TableContents"/>
              <w:bidi w:val="0"/>
              <w:spacing w:before="0" w:after="283"/>
              <w:jc w:val="right"/>
              <w:rPr/>
            </w:pPr>
            <w:r>
              <w:rPr/>
              <w:t>98,638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69" w:name="xdx_985_ecustom--SecuritizationTrustDebt"/>
            <w:bookmarkEnd w:id="569"/>
          </w:p>
        </w:tc>
        <w:tc>
          <w:tcPr>
            <w:tcW w:w="980" w:type="dxa"/>
            <w:tcBorders/>
            <w:shd w:fill="FFFFFF" w:val="clear"/>
            <w:vAlign w:val="center"/>
          </w:tcPr>
          <w:p>
            <w:pPr>
              <w:pStyle w:val="TableContents"/>
              <w:bidi w:val="0"/>
              <w:spacing w:before="0" w:after="283"/>
              <w:jc w:val="right"/>
              <w:rPr/>
            </w:pPr>
            <w:r>
              <w:rPr/>
              <w:t>324,768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70" w:name="xdx_98C_eus-gaap--PrincipalAmountOutstan"/>
            <w:bookmarkEnd w:id="570"/>
          </w:p>
        </w:tc>
        <w:tc>
          <w:tcPr>
            <w:tcW w:w="1120" w:type="dxa"/>
            <w:tcBorders/>
            <w:shd w:fill="FFFFFF" w:val="clear"/>
            <w:vAlign w:val="center"/>
          </w:tcPr>
          <w:p>
            <w:pPr>
              <w:pStyle w:val="TableContents"/>
              <w:bidi w:val="0"/>
              <w:spacing w:before="0" w:after="283"/>
              <w:jc w:val="right"/>
              <w:rPr/>
            </w:pPr>
            <w:r>
              <w:rPr/>
              <w:t>63,481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571" w:name="xdx_98D_eus-gaap--PrincipalAmountOutstan"/>
            <w:bookmarkEnd w:id="571"/>
          </w:p>
        </w:tc>
        <w:tc>
          <w:tcPr>
            <w:tcW w:w="1154" w:type="dxa"/>
            <w:tcBorders/>
            <w:shd w:fill="FFFFFF" w:val="clear"/>
            <w:vAlign w:val="center"/>
          </w:tcPr>
          <w:p>
            <w:pPr>
              <w:pStyle w:val="TableContents"/>
              <w:bidi w:val="0"/>
              <w:spacing w:before="0" w:after="283"/>
              <w:jc w:val="right"/>
              <w:rPr/>
            </w:pPr>
            <w:r>
              <w:rPr/>
              <w:t>83,896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bookmarkStart w:id="572" w:name="xdx_90D_eus-gaap--DebtWeightedAverageInt"/>
            <w:bookmarkEnd w:id="572"/>
            <w:r>
              <w:rPr/>
              <w:t>8.36%</w:t>
            </w:r>
          </w:p>
        </w:tc>
        <w:tc>
          <w:tcPr>
            <w:tcW w:w="78" w:type="dxa"/>
            <w:tcBorders/>
            <w:shd w:fill="FFFFFF" w:val="clear"/>
            <w:vAlign w:val="center"/>
          </w:tcPr>
          <w:p>
            <w:pPr>
              <w:pStyle w:val="TableContents"/>
              <w:bidi w:val="0"/>
              <w:spacing w:before="0" w:after="283"/>
              <w:jc w:val="left"/>
              <w:rPr/>
            </w:pPr>
            <w:r>
              <w:rPr/>
              <w:t> </w:t>
            </w:r>
          </w:p>
        </w:tc>
      </w:tr>
      <w:tr>
        <w:trPr/>
        <w:tc>
          <w:tcPr>
            <w:tcW w:w="1893" w:type="dxa"/>
            <w:tcBorders/>
            <w:shd w:fill="EEEEEE" w:val="clear"/>
            <w:vAlign w:val="center"/>
          </w:tcPr>
          <w:p>
            <w:pPr>
              <w:pStyle w:val="TableContents"/>
              <w:bidi w:val="0"/>
              <w:spacing w:before="0" w:after="283"/>
              <w:jc w:val="left"/>
              <w:rPr/>
            </w:pPr>
            <w:r>
              <w:rPr/>
              <w:t>CPS 2023-B</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1" w:type="dxa"/>
            <w:tcBorders/>
            <w:shd w:fill="EEEEEE" w:val="clear"/>
            <w:vAlign w:val="center"/>
          </w:tcPr>
          <w:p>
            <w:pPr>
              <w:pStyle w:val="TableContents"/>
              <w:bidi w:val="0"/>
              <w:spacing w:before="0" w:after="283"/>
              <w:jc w:val="right"/>
              <w:rPr/>
            </w:pPr>
            <w:bookmarkStart w:id="573" w:name="xdx_90E_ecustom--FinalScheduledPaymentDa"/>
            <w:bookmarkEnd w:id="573"/>
            <w:r>
              <w:rPr/>
              <w:t>November 2030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bookmarkStart w:id="574" w:name="xdx_986_ecustom--ReceivablesPledged_iI_p"/>
            <w:bookmarkEnd w:id="574"/>
          </w:p>
        </w:tc>
        <w:tc>
          <w:tcPr>
            <w:tcW w:w="1055" w:type="dxa"/>
            <w:tcBorders/>
            <w:shd w:fill="EEEEEE" w:val="clear"/>
            <w:vAlign w:val="center"/>
          </w:tcPr>
          <w:p>
            <w:pPr>
              <w:pStyle w:val="TableContents"/>
              <w:bidi w:val="0"/>
              <w:spacing w:before="0" w:after="283"/>
              <w:jc w:val="right"/>
              <w:rPr/>
            </w:pPr>
            <w:r>
              <w:rPr/>
              <w:t>110,730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75" w:name="xdx_98C_ecustom--SecuritizationTrustDebt"/>
            <w:bookmarkEnd w:id="575"/>
          </w:p>
        </w:tc>
        <w:tc>
          <w:tcPr>
            <w:tcW w:w="980" w:type="dxa"/>
            <w:tcBorders/>
            <w:shd w:fill="EEEEEE" w:val="clear"/>
            <w:vAlign w:val="center"/>
          </w:tcPr>
          <w:p>
            <w:pPr>
              <w:pStyle w:val="TableContents"/>
              <w:bidi w:val="0"/>
              <w:spacing w:before="0" w:after="283"/>
              <w:jc w:val="right"/>
              <w:rPr/>
            </w:pPr>
            <w:r>
              <w:rPr/>
              <w:t>332,885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bookmarkStart w:id="576" w:name="xdx_98B_eus-gaap--PrincipalAmountOutstan"/>
            <w:bookmarkEnd w:id="576"/>
          </w:p>
        </w:tc>
        <w:tc>
          <w:tcPr>
            <w:tcW w:w="1120" w:type="dxa"/>
            <w:tcBorders/>
            <w:shd w:fill="EEEEEE" w:val="clear"/>
            <w:vAlign w:val="center"/>
          </w:tcPr>
          <w:p>
            <w:pPr>
              <w:pStyle w:val="TableContents"/>
              <w:bidi w:val="0"/>
              <w:spacing w:before="0" w:after="283"/>
              <w:jc w:val="right"/>
              <w:rPr/>
            </w:pPr>
            <w:r>
              <w:rPr/>
              <w:t>86,062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bookmarkStart w:id="577" w:name="xdx_980_eus-gaap--PrincipalAmountOutstan"/>
            <w:bookmarkEnd w:id="577"/>
          </w:p>
        </w:tc>
        <w:tc>
          <w:tcPr>
            <w:tcW w:w="1154" w:type="dxa"/>
            <w:tcBorders/>
            <w:shd w:fill="EEEEEE" w:val="clear"/>
            <w:vAlign w:val="center"/>
          </w:tcPr>
          <w:p>
            <w:pPr>
              <w:pStyle w:val="TableContents"/>
              <w:bidi w:val="0"/>
              <w:spacing w:before="0" w:after="283"/>
              <w:jc w:val="right"/>
              <w:rPr/>
            </w:pPr>
            <w:r>
              <w:rPr/>
              <w:t>107,035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5" w:type="dxa"/>
            <w:tcBorders/>
            <w:shd w:fill="EEEEEE" w:val="clear"/>
            <w:vAlign w:val="center"/>
          </w:tcPr>
          <w:p>
            <w:pPr>
              <w:pStyle w:val="TableContents"/>
              <w:bidi w:val="0"/>
              <w:spacing w:before="0" w:after="283"/>
              <w:jc w:val="left"/>
              <w:rPr/>
            </w:pPr>
            <w:r>
              <w:rPr/>
              <w:t> </w:t>
            </w:r>
          </w:p>
        </w:tc>
        <w:tc>
          <w:tcPr>
            <w:tcW w:w="1275" w:type="dxa"/>
            <w:tcBorders/>
            <w:shd w:fill="EEEEEE" w:val="clear"/>
            <w:vAlign w:val="center"/>
          </w:tcPr>
          <w:p>
            <w:pPr>
              <w:pStyle w:val="TableContents"/>
              <w:bidi w:val="0"/>
              <w:spacing w:before="0" w:after="283"/>
              <w:jc w:val="right"/>
              <w:rPr/>
            </w:pPr>
            <w:bookmarkStart w:id="578" w:name="xdx_909_eus-gaap--DebtWeightedAverageInt"/>
            <w:bookmarkEnd w:id="578"/>
            <w:r>
              <w:rPr/>
              <w:t>8.14%</w:t>
            </w:r>
          </w:p>
        </w:tc>
        <w:tc>
          <w:tcPr>
            <w:tcW w:w="78" w:type="dxa"/>
            <w:tcBorders/>
            <w:shd w:fill="EEEEEE"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pPr>
            <w:r>
              <w:rPr/>
              <w:t>CPS 2023-C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bookmarkStart w:id="579" w:name="xdx_905_ecustom--FinalScheduledPaymentDa"/>
            <w:bookmarkEnd w:id="579"/>
            <w:r>
              <w:rPr/>
              <w:t>February 2031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580" w:name="xdx_987_ecustom--ReceivablesPledged_iI_p"/>
            <w:bookmarkEnd w:id="580"/>
          </w:p>
        </w:tc>
        <w:tc>
          <w:tcPr>
            <w:tcW w:w="1055" w:type="dxa"/>
            <w:tcBorders/>
            <w:shd w:fill="FFFFFF" w:val="clear"/>
            <w:vAlign w:val="center"/>
          </w:tcPr>
          <w:p>
            <w:pPr>
              <w:pStyle w:val="TableContents"/>
              <w:bidi w:val="0"/>
              <w:spacing w:before="0" w:after="283"/>
              <w:jc w:val="right"/>
              <w:rPr/>
            </w:pPr>
            <w:r>
              <w:rPr/>
              <w:t>108,156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81" w:name="xdx_98B_ecustom--SecuritizationTrustDebt"/>
            <w:bookmarkEnd w:id="581"/>
          </w:p>
        </w:tc>
        <w:tc>
          <w:tcPr>
            <w:tcW w:w="980" w:type="dxa"/>
            <w:tcBorders/>
            <w:shd w:fill="FFFFFF" w:val="clear"/>
            <w:vAlign w:val="center"/>
          </w:tcPr>
          <w:p>
            <w:pPr>
              <w:pStyle w:val="TableContents"/>
              <w:bidi w:val="0"/>
              <w:spacing w:before="0" w:after="283"/>
              <w:jc w:val="right"/>
              <w:rPr/>
            </w:pPr>
            <w:r>
              <w:rPr/>
              <w:t>291,732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82" w:name="xdx_986_eus-gaap--PrincipalAmountOutstan"/>
            <w:bookmarkEnd w:id="582"/>
          </w:p>
        </w:tc>
        <w:tc>
          <w:tcPr>
            <w:tcW w:w="1120" w:type="dxa"/>
            <w:tcBorders/>
            <w:shd w:fill="FFFFFF" w:val="clear"/>
            <w:vAlign w:val="center"/>
          </w:tcPr>
          <w:p>
            <w:pPr>
              <w:pStyle w:val="TableContents"/>
              <w:bidi w:val="0"/>
              <w:spacing w:before="0" w:after="283"/>
              <w:jc w:val="right"/>
              <w:rPr/>
            </w:pPr>
            <w:r>
              <w:rPr/>
              <w:t>88,104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583" w:name="xdx_98B_eus-gaap--PrincipalAmountOutstan"/>
            <w:bookmarkEnd w:id="583"/>
          </w:p>
        </w:tc>
        <w:tc>
          <w:tcPr>
            <w:tcW w:w="1154" w:type="dxa"/>
            <w:tcBorders/>
            <w:shd w:fill="FFFFFF" w:val="clear"/>
            <w:vAlign w:val="center"/>
          </w:tcPr>
          <w:p>
            <w:pPr>
              <w:pStyle w:val="TableContents"/>
              <w:bidi w:val="0"/>
              <w:spacing w:before="0" w:after="283"/>
              <w:jc w:val="right"/>
              <w:rPr/>
            </w:pPr>
            <w:r>
              <w:rPr/>
              <w:t>110,281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bookmarkStart w:id="584" w:name="xdx_901_eus-gaap--DebtWeightedAverageInt"/>
            <w:bookmarkEnd w:id="584"/>
            <w:r>
              <w:rPr/>
              <w:t>7.67%</w:t>
            </w:r>
          </w:p>
        </w:tc>
        <w:tc>
          <w:tcPr>
            <w:tcW w:w="78" w:type="dxa"/>
            <w:tcBorders/>
            <w:shd w:fill="FFFFFF" w:val="clear"/>
            <w:vAlign w:val="center"/>
          </w:tcPr>
          <w:p>
            <w:pPr>
              <w:pStyle w:val="TableContents"/>
              <w:bidi w:val="0"/>
              <w:spacing w:before="0" w:after="283"/>
              <w:jc w:val="left"/>
              <w:rPr/>
            </w:pPr>
            <w:r>
              <w:rPr/>
              <w:t> </w:t>
            </w:r>
          </w:p>
        </w:tc>
      </w:tr>
      <w:tr>
        <w:trPr/>
        <w:tc>
          <w:tcPr>
            <w:tcW w:w="1893" w:type="dxa"/>
            <w:tcBorders/>
            <w:shd w:fill="EEEEEE" w:val="clear"/>
            <w:vAlign w:val="center"/>
          </w:tcPr>
          <w:p>
            <w:pPr>
              <w:pStyle w:val="TableContents"/>
              <w:bidi w:val="0"/>
              <w:spacing w:before="0" w:after="283"/>
              <w:jc w:val="left"/>
              <w:rPr/>
            </w:pPr>
            <w:r>
              <w:rPr/>
              <w:t>CPS 2023-D</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1" w:type="dxa"/>
            <w:tcBorders/>
            <w:shd w:fill="EEEEEE" w:val="clear"/>
            <w:vAlign w:val="center"/>
          </w:tcPr>
          <w:p>
            <w:pPr>
              <w:pStyle w:val="TableContents"/>
              <w:bidi w:val="0"/>
              <w:spacing w:before="0" w:after="283"/>
              <w:jc w:val="right"/>
              <w:rPr/>
            </w:pPr>
            <w:bookmarkStart w:id="585" w:name="xdx_907_ecustom--FinalScheduledPaymentDa"/>
            <w:bookmarkEnd w:id="585"/>
            <w:r>
              <w:rPr/>
              <w:t>May 2031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bookmarkStart w:id="586" w:name="xdx_988_ecustom--ReceivablesPledged_iI_p"/>
            <w:bookmarkEnd w:id="586"/>
          </w:p>
        </w:tc>
        <w:tc>
          <w:tcPr>
            <w:tcW w:w="1055" w:type="dxa"/>
            <w:tcBorders/>
            <w:shd w:fill="EEEEEE" w:val="clear"/>
            <w:vAlign w:val="center"/>
          </w:tcPr>
          <w:p>
            <w:pPr>
              <w:pStyle w:val="TableContents"/>
              <w:bidi w:val="0"/>
              <w:spacing w:before="0" w:after="283"/>
              <w:jc w:val="right"/>
              <w:rPr/>
            </w:pPr>
            <w:r>
              <w:rPr/>
              <w:t>113,912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87" w:name="xdx_982_ecustom--SecuritizationTrustDebt"/>
            <w:bookmarkEnd w:id="587"/>
          </w:p>
        </w:tc>
        <w:tc>
          <w:tcPr>
            <w:tcW w:w="980" w:type="dxa"/>
            <w:tcBorders/>
            <w:shd w:fill="EEEEEE" w:val="clear"/>
            <w:vAlign w:val="center"/>
          </w:tcPr>
          <w:p>
            <w:pPr>
              <w:pStyle w:val="TableContents"/>
              <w:bidi w:val="0"/>
              <w:spacing w:before="0" w:after="283"/>
              <w:jc w:val="right"/>
              <w:rPr/>
            </w:pPr>
            <w:r>
              <w:rPr/>
              <w:t>286,149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bookmarkStart w:id="588" w:name="xdx_98B_eus-gaap--PrincipalAmountOutstan"/>
            <w:bookmarkEnd w:id="588"/>
          </w:p>
        </w:tc>
        <w:tc>
          <w:tcPr>
            <w:tcW w:w="1120" w:type="dxa"/>
            <w:tcBorders/>
            <w:shd w:fill="EEEEEE" w:val="clear"/>
            <w:vAlign w:val="center"/>
          </w:tcPr>
          <w:p>
            <w:pPr>
              <w:pStyle w:val="TableContents"/>
              <w:bidi w:val="0"/>
              <w:spacing w:before="0" w:after="283"/>
              <w:jc w:val="right"/>
              <w:rPr/>
            </w:pPr>
            <w:r>
              <w:rPr/>
              <w:t>94,876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bookmarkStart w:id="589" w:name="xdx_98D_eus-gaap--PrincipalAmountOutstan"/>
            <w:bookmarkEnd w:id="589"/>
          </w:p>
        </w:tc>
        <w:tc>
          <w:tcPr>
            <w:tcW w:w="1154" w:type="dxa"/>
            <w:tcBorders/>
            <w:shd w:fill="EEEEEE" w:val="clear"/>
            <w:vAlign w:val="center"/>
          </w:tcPr>
          <w:p>
            <w:pPr>
              <w:pStyle w:val="TableContents"/>
              <w:bidi w:val="0"/>
              <w:spacing w:before="0" w:after="283"/>
              <w:jc w:val="right"/>
              <w:rPr/>
            </w:pPr>
            <w:r>
              <w:rPr/>
              <w:t>121,208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5" w:type="dxa"/>
            <w:tcBorders/>
            <w:shd w:fill="EEEEEE" w:val="clear"/>
            <w:vAlign w:val="center"/>
          </w:tcPr>
          <w:p>
            <w:pPr>
              <w:pStyle w:val="TableContents"/>
              <w:bidi w:val="0"/>
              <w:spacing w:before="0" w:after="283"/>
              <w:jc w:val="left"/>
              <w:rPr/>
            </w:pPr>
            <w:r>
              <w:rPr/>
              <w:t> </w:t>
            </w:r>
          </w:p>
        </w:tc>
        <w:tc>
          <w:tcPr>
            <w:tcW w:w="1275" w:type="dxa"/>
            <w:tcBorders/>
            <w:shd w:fill="EEEEEE" w:val="clear"/>
            <w:vAlign w:val="center"/>
          </w:tcPr>
          <w:p>
            <w:pPr>
              <w:pStyle w:val="TableContents"/>
              <w:bidi w:val="0"/>
              <w:spacing w:before="0" w:after="283"/>
              <w:jc w:val="right"/>
              <w:rPr/>
            </w:pPr>
            <w:bookmarkStart w:id="590" w:name="xdx_903_eus-gaap--DebtWeightedAverageInt"/>
            <w:bookmarkEnd w:id="590"/>
            <w:r>
              <w:rPr/>
              <w:t>8.43%</w:t>
            </w:r>
          </w:p>
        </w:tc>
        <w:tc>
          <w:tcPr>
            <w:tcW w:w="78" w:type="dxa"/>
            <w:tcBorders/>
            <w:shd w:fill="EEEEEE"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pPr>
            <w:r>
              <w:rPr/>
              <w:t>CPS 2024-A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bookmarkStart w:id="591" w:name="xdx_90C_ecustom--FinalScheduledPaymentDa"/>
            <w:bookmarkEnd w:id="591"/>
            <w:r>
              <w:rPr/>
              <w:t>August 2031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592" w:name="xdx_980_ecustom--ReceivablesPledged_iI_p"/>
            <w:bookmarkEnd w:id="592"/>
          </w:p>
        </w:tc>
        <w:tc>
          <w:tcPr>
            <w:tcW w:w="1055" w:type="dxa"/>
            <w:tcBorders/>
            <w:shd w:fill="FFFFFF" w:val="clear"/>
            <w:vAlign w:val="center"/>
          </w:tcPr>
          <w:p>
            <w:pPr>
              <w:pStyle w:val="TableContents"/>
              <w:bidi w:val="0"/>
              <w:spacing w:before="0" w:after="283"/>
              <w:jc w:val="right"/>
              <w:rPr/>
            </w:pPr>
            <w:r>
              <w:rPr/>
              <w:t>118,911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93" w:name="xdx_987_ecustom--SecuritizationTrustDebt"/>
            <w:bookmarkEnd w:id="593"/>
          </w:p>
        </w:tc>
        <w:tc>
          <w:tcPr>
            <w:tcW w:w="980" w:type="dxa"/>
            <w:tcBorders/>
            <w:shd w:fill="FFFFFF" w:val="clear"/>
            <w:vAlign w:val="center"/>
          </w:tcPr>
          <w:p>
            <w:pPr>
              <w:pStyle w:val="TableContents"/>
              <w:bidi w:val="0"/>
              <w:spacing w:before="0" w:after="283"/>
              <w:jc w:val="right"/>
              <w:rPr/>
            </w:pPr>
            <w:r>
              <w:rPr/>
              <w:t>280,924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94" w:name="xdx_989_eus-gaap--PrincipalAmountOutstan"/>
            <w:bookmarkEnd w:id="594"/>
          </w:p>
        </w:tc>
        <w:tc>
          <w:tcPr>
            <w:tcW w:w="1120" w:type="dxa"/>
            <w:tcBorders/>
            <w:shd w:fill="FFFFFF" w:val="clear"/>
            <w:vAlign w:val="center"/>
          </w:tcPr>
          <w:p>
            <w:pPr>
              <w:pStyle w:val="TableContents"/>
              <w:bidi w:val="0"/>
              <w:spacing w:before="0" w:after="283"/>
              <w:jc w:val="right"/>
              <w:rPr/>
            </w:pPr>
            <w:r>
              <w:rPr/>
              <w:t>98,610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595" w:name="xdx_989_eus-gaap--PrincipalAmountOutstan"/>
            <w:bookmarkEnd w:id="595"/>
          </w:p>
        </w:tc>
        <w:tc>
          <w:tcPr>
            <w:tcW w:w="1154" w:type="dxa"/>
            <w:tcBorders/>
            <w:shd w:fill="FFFFFF" w:val="clear"/>
            <w:vAlign w:val="center"/>
          </w:tcPr>
          <w:p>
            <w:pPr>
              <w:pStyle w:val="TableContents"/>
              <w:bidi w:val="0"/>
              <w:spacing w:before="0" w:after="283"/>
              <w:jc w:val="right"/>
              <w:rPr/>
            </w:pPr>
            <w:r>
              <w:rPr/>
              <w:t>128,466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bookmarkStart w:id="596" w:name="xdx_909_eus-gaap--DebtWeightedAverageInt"/>
            <w:bookmarkEnd w:id="596"/>
            <w:r>
              <w:rPr/>
              <w:t>6.76%</w:t>
            </w:r>
          </w:p>
        </w:tc>
        <w:tc>
          <w:tcPr>
            <w:tcW w:w="78" w:type="dxa"/>
            <w:tcBorders/>
            <w:shd w:fill="FFFFFF" w:val="clear"/>
            <w:vAlign w:val="center"/>
          </w:tcPr>
          <w:p>
            <w:pPr>
              <w:pStyle w:val="TableContents"/>
              <w:bidi w:val="0"/>
              <w:spacing w:before="0" w:after="283"/>
              <w:jc w:val="left"/>
              <w:rPr/>
            </w:pPr>
            <w:r>
              <w:rPr/>
              <w:t> </w:t>
            </w:r>
          </w:p>
        </w:tc>
      </w:tr>
      <w:tr>
        <w:trPr/>
        <w:tc>
          <w:tcPr>
            <w:tcW w:w="1893" w:type="dxa"/>
            <w:tcBorders/>
            <w:shd w:fill="EEEEEE" w:val="clear"/>
            <w:vAlign w:val="center"/>
          </w:tcPr>
          <w:p>
            <w:pPr>
              <w:pStyle w:val="TableContents"/>
              <w:bidi w:val="0"/>
              <w:spacing w:before="0" w:after="283"/>
              <w:jc w:val="left"/>
              <w:rPr/>
            </w:pPr>
            <w:r>
              <w:rPr/>
              <w:t>CPS 2024-B</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1" w:type="dxa"/>
            <w:tcBorders/>
            <w:shd w:fill="EEEEEE" w:val="clear"/>
            <w:vAlign w:val="center"/>
          </w:tcPr>
          <w:p>
            <w:pPr>
              <w:pStyle w:val="TableContents"/>
              <w:bidi w:val="0"/>
              <w:spacing w:before="0" w:after="283"/>
              <w:jc w:val="right"/>
              <w:rPr/>
            </w:pPr>
            <w:bookmarkStart w:id="597" w:name="xdx_90B_ecustom--FinalScheduledPaymentDa"/>
            <w:bookmarkEnd w:id="597"/>
            <w:r>
              <w:rPr/>
              <w:t>November 2031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bookmarkStart w:id="598" w:name="xdx_988_ecustom--ReceivablesPledged_iI_p"/>
            <w:bookmarkEnd w:id="598"/>
          </w:p>
        </w:tc>
        <w:tc>
          <w:tcPr>
            <w:tcW w:w="1055" w:type="dxa"/>
            <w:tcBorders/>
            <w:shd w:fill="EEEEEE" w:val="clear"/>
            <w:vAlign w:val="center"/>
          </w:tcPr>
          <w:p>
            <w:pPr>
              <w:pStyle w:val="TableContents"/>
              <w:bidi w:val="0"/>
              <w:spacing w:before="0" w:after="283"/>
              <w:jc w:val="right"/>
              <w:rPr/>
            </w:pPr>
            <w:r>
              <w:rPr/>
              <w:t>155,062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99" w:name="xdx_980_ecustom--SecuritizationTrustDebt"/>
            <w:bookmarkEnd w:id="599"/>
          </w:p>
        </w:tc>
        <w:tc>
          <w:tcPr>
            <w:tcW w:w="980" w:type="dxa"/>
            <w:tcBorders/>
            <w:shd w:fill="EEEEEE" w:val="clear"/>
            <w:vAlign w:val="center"/>
          </w:tcPr>
          <w:p>
            <w:pPr>
              <w:pStyle w:val="TableContents"/>
              <w:bidi w:val="0"/>
              <w:spacing w:before="0" w:after="283"/>
              <w:jc w:val="right"/>
              <w:rPr/>
            </w:pPr>
            <w:r>
              <w:rPr/>
              <w:t>319,871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bookmarkStart w:id="600" w:name="xdx_980_eus-gaap--PrincipalAmountOutstan"/>
            <w:bookmarkEnd w:id="600"/>
          </w:p>
        </w:tc>
        <w:tc>
          <w:tcPr>
            <w:tcW w:w="1120" w:type="dxa"/>
            <w:tcBorders/>
            <w:shd w:fill="EEEEEE" w:val="clear"/>
            <w:vAlign w:val="center"/>
          </w:tcPr>
          <w:p>
            <w:pPr>
              <w:pStyle w:val="TableContents"/>
              <w:bidi w:val="0"/>
              <w:spacing w:before="0" w:after="283"/>
              <w:jc w:val="right"/>
              <w:rPr/>
            </w:pPr>
            <w:r>
              <w:rPr/>
              <w:t>134,070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bookmarkStart w:id="601" w:name="xdx_98A_eus-gaap--PrincipalAmountOutstan"/>
            <w:bookmarkEnd w:id="601"/>
          </w:p>
        </w:tc>
        <w:tc>
          <w:tcPr>
            <w:tcW w:w="1154" w:type="dxa"/>
            <w:tcBorders/>
            <w:shd w:fill="EEEEEE" w:val="clear"/>
            <w:vAlign w:val="center"/>
          </w:tcPr>
          <w:p>
            <w:pPr>
              <w:pStyle w:val="TableContents"/>
              <w:bidi w:val="0"/>
              <w:spacing w:before="0" w:after="283"/>
              <w:jc w:val="right"/>
              <w:rPr/>
            </w:pPr>
            <w:r>
              <w:rPr/>
              <w:t>171,992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5" w:type="dxa"/>
            <w:tcBorders/>
            <w:shd w:fill="EEEEEE" w:val="clear"/>
            <w:vAlign w:val="center"/>
          </w:tcPr>
          <w:p>
            <w:pPr>
              <w:pStyle w:val="TableContents"/>
              <w:bidi w:val="0"/>
              <w:spacing w:before="0" w:after="283"/>
              <w:jc w:val="left"/>
              <w:rPr/>
            </w:pPr>
            <w:r>
              <w:rPr/>
              <w:t> </w:t>
            </w:r>
          </w:p>
        </w:tc>
        <w:tc>
          <w:tcPr>
            <w:tcW w:w="1275" w:type="dxa"/>
            <w:tcBorders/>
            <w:shd w:fill="EEEEEE" w:val="clear"/>
            <w:vAlign w:val="center"/>
          </w:tcPr>
          <w:p>
            <w:pPr>
              <w:pStyle w:val="TableContents"/>
              <w:bidi w:val="0"/>
              <w:spacing w:before="0" w:after="283"/>
              <w:jc w:val="right"/>
              <w:rPr/>
            </w:pPr>
            <w:bookmarkStart w:id="602" w:name="xdx_904_eus-gaap--DebtWeightedAverageInt"/>
            <w:bookmarkEnd w:id="602"/>
            <w:r>
              <w:rPr/>
              <w:t>6.84%</w:t>
            </w:r>
          </w:p>
        </w:tc>
        <w:tc>
          <w:tcPr>
            <w:tcW w:w="78" w:type="dxa"/>
            <w:tcBorders/>
            <w:shd w:fill="EEEEEE"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pPr>
            <w:r>
              <w:rPr/>
              <w:t>CPS 2024-C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bookmarkStart w:id="603" w:name="xdx_90E_ecustom--FinalScheduledPaymentDa"/>
            <w:bookmarkEnd w:id="603"/>
            <w:r>
              <w:rPr/>
              <w:t>March 2032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604" w:name="xdx_988_ecustom--ReceivablesPledged_iI_p"/>
            <w:bookmarkEnd w:id="604"/>
          </w:p>
        </w:tc>
        <w:tc>
          <w:tcPr>
            <w:tcW w:w="1055" w:type="dxa"/>
            <w:tcBorders/>
            <w:shd w:fill="FFFFFF" w:val="clear"/>
            <w:vAlign w:val="center"/>
          </w:tcPr>
          <w:p>
            <w:pPr>
              <w:pStyle w:val="TableContents"/>
              <w:bidi w:val="0"/>
              <w:spacing w:before="0" w:after="283"/>
              <w:jc w:val="right"/>
              <w:rPr/>
            </w:pPr>
            <w:r>
              <w:rPr/>
              <w:t>227,065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05" w:name="xdx_982_ecustom--SecuritizationTrustDebt"/>
            <w:bookmarkEnd w:id="605"/>
          </w:p>
        </w:tc>
        <w:tc>
          <w:tcPr>
            <w:tcW w:w="980" w:type="dxa"/>
            <w:tcBorders/>
            <w:shd w:fill="FFFFFF" w:val="clear"/>
            <w:vAlign w:val="center"/>
          </w:tcPr>
          <w:p>
            <w:pPr>
              <w:pStyle w:val="TableContents"/>
              <w:bidi w:val="0"/>
              <w:spacing w:before="0" w:after="283"/>
              <w:jc w:val="right"/>
              <w:rPr/>
            </w:pPr>
            <w:r>
              <w:rPr/>
              <w:t>436,310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606" w:name="xdx_984_eus-gaap--PrincipalAmountOutstan"/>
            <w:bookmarkEnd w:id="606"/>
          </w:p>
        </w:tc>
        <w:tc>
          <w:tcPr>
            <w:tcW w:w="1120" w:type="dxa"/>
            <w:tcBorders/>
            <w:shd w:fill="FFFFFF" w:val="clear"/>
            <w:vAlign w:val="center"/>
          </w:tcPr>
          <w:p>
            <w:pPr>
              <w:pStyle w:val="TableContents"/>
              <w:bidi w:val="0"/>
              <w:spacing w:before="0" w:after="283"/>
              <w:jc w:val="right"/>
              <w:rPr/>
            </w:pPr>
            <w:r>
              <w:rPr/>
              <w:t>198,057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607" w:name="xdx_98A_eus-gaap--PrincipalAmountOutstan"/>
            <w:bookmarkEnd w:id="607"/>
          </w:p>
        </w:tc>
        <w:tc>
          <w:tcPr>
            <w:tcW w:w="1154" w:type="dxa"/>
            <w:tcBorders/>
            <w:shd w:fill="FFFFFF" w:val="clear"/>
            <w:vAlign w:val="center"/>
          </w:tcPr>
          <w:p>
            <w:pPr>
              <w:pStyle w:val="TableContents"/>
              <w:bidi w:val="0"/>
              <w:spacing w:before="0" w:after="283"/>
              <w:jc w:val="right"/>
              <w:rPr/>
            </w:pPr>
            <w:r>
              <w:rPr/>
              <w:t>254,043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bookmarkStart w:id="608" w:name="xdx_901_eus-gaap--DebtWeightedAverageInt"/>
            <w:bookmarkEnd w:id="608"/>
            <w:r>
              <w:rPr/>
              <w:t>6.56%</w:t>
            </w:r>
          </w:p>
        </w:tc>
        <w:tc>
          <w:tcPr>
            <w:tcW w:w="78" w:type="dxa"/>
            <w:tcBorders/>
            <w:shd w:fill="FFFFFF" w:val="clear"/>
            <w:vAlign w:val="center"/>
          </w:tcPr>
          <w:p>
            <w:pPr>
              <w:pStyle w:val="TableContents"/>
              <w:bidi w:val="0"/>
              <w:spacing w:before="0" w:after="283"/>
              <w:jc w:val="left"/>
              <w:rPr/>
            </w:pPr>
            <w:r>
              <w:rPr/>
              <w:t> </w:t>
            </w:r>
          </w:p>
        </w:tc>
      </w:tr>
      <w:tr>
        <w:trPr/>
        <w:tc>
          <w:tcPr>
            <w:tcW w:w="1893" w:type="dxa"/>
            <w:tcBorders/>
            <w:shd w:fill="EEEEEE" w:val="clear"/>
            <w:vAlign w:val="center"/>
          </w:tcPr>
          <w:p>
            <w:pPr>
              <w:pStyle w:val="TableContents"/>
              <w:bidi w:val="0"/>
              <w:spacing w:before="0" w:after="283"/>
              <w:jc w:val="left"/>
              <w:rPr/>
            </w:pPr>
            <w:r>
              <w:rPr/>
              <w:t>CPS 2024-D</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1" w:type="dxa"/>
            <w:tcBorders/>
            <w:shd w:fill="EEEEEE" w:val="clear"/>
            <w:vAlign w:val="center"/>
          </w:tcPr>
          <w:p>
            <w:pPr>
              <w:pStyle w:val="TableContents"/>
              <w:bidi w:val="0"/>
              <w:spacing w:before="0" w:after="283"/>
              <w:jc w:val="right"/>
              <w:rPr/>
            </w:pPr>
            <w:bookmarkStart w:id="609" w:name="xdx_90C_ecustom--FinalScheduledPaymentDa"/>
            <w:bookmarkEnd w:id="609"/>
            <w:r>
              <w:rPr/>
              <w:t>June 2032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bookmarkStart w:id="610" w:name="xdx_98A_ecustom--ReceivablesPledged_iI_p"/>
            <w:bookmarkEnd w:id="610"/>
          </w:p>
        </w:tc>
        <w:tc>
          <w:tcPr>
            <w:tcW w:w="1055" w:type="dxa"/>
            <w:tcBorders/>
            <w:shd w:fill="EEEEEE" w:val="clear"/>
            <w:vAlign w:val="center"/>
          </w:tcPr>
          <w:p>
            <w:pPr>
              <w:pStyle w:val="TableContents"/>
              <w:bidi w:val="0"/>
              <w:spacing w:before="0" w:after="283"/>
              <w:jc w:val="right"/>
              <w:rPr/>
            </w:pPr>
            <w:r>
              <w:rPr/>
              <w:t>241,769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11" w:name="xdx_98D_ecustom--SecuritizationTrustDebt"/>
            <w:bookmarkEnd w:id="611"/>
          </w:p>
        </w:tc>
        <w:tc>
          <w:tcPr>
            <w:tcW w:w="980" w:type="dxa"/>
            <w:tcBorders/>
            <w:shd w:fill="EEEEEE" w:val="clear"/>
            <w:vAlign w:val="center"/>
          </w:tcPr>
          <w:p>
            <w:pPr>
              <w:pStyle w:val="TableContents"/>
              <w:bidi w:val="0"/>
              <w:spacing w:before="0" w:after="283"/>
              <w:jc w:val="right"/>
              <w:rPr/>
            </w:pPr>
            <w:r>
              <w:rPr/>
              <w:t>416,816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bookmarkStart w:id="612" w:name="xdx_986_eus-gaap--PrincipalAmountOutstan"/>
            <w:bookmarkEnd w:id="612"/>
          </w:p>
        </w:tc>
        <w:tc>
          <w:tcPr>
            <w:tcW w:w="1120" w:type="dxa"/>
            <w:tcBorders/>
            <w:shd w:fill="EEEEEE" w:val="clear"/>
            <w:vAlign w:val="center"/>
          </w:tcPr>
          <w:p>
            <w:pPr>
              <w:pStyle w:val="TableContents"/>
              <w:bidi w:val="0"/>
              <w:spacing w:before="0" w:after="283"/>
              <w:jc w:val="right"/>
              <w:rPr/>
            </w:pPr>
            <w:r>
              <w:rPr/>
              <w:t>210,733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bookmarkStart w:id="613" w:name="xdx_982_eus-gaap--PrincipalAmountOutstan"/>
            <w:bookmarkEnd w:id="613"/>
          </w:p>
        </w:tc>
        <w:tc>
          <w:tcPr>
            <w:tcW w:w="1154" w:type="dxa"/>
            <w:tcBorders/>
            <w:shd w:fill="EEEEEE" w:val="clear"/>
            <w:vAlign w:val="center"/>
          </w:tcPr>
          <w:p>
            <w:pPr>
              <w:pStyle w:val="TableContents"/>
              <w:bidi w:val="0"/>
              <w:spacing w:before="0" w:after="283"/>
              <w:jc w:val="right"/>
              <w:rPr/>
            </w:pPr>
            <w:r>
              <w:rPr/>
              <w:t>269,169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5" w:type="dxa"/>
            <w:tcBorders/>
            <w:shd w:fill="EEEEEE" w:val="clear"/>
            <w:vAlign w:val="center"/>
          </w:tcPr>
          <w:p>
            <w:pPr>
              <w:pStyle w:val="TableContents"/>
              <w:bidi w:val="0"/>
              <w:spacing w:before="0" w:after="283"/>
              <w:jc w:val="left"/>
              <w:rPr/>
            </w:pPr>
            <w:r>
              <w:rPr/>
              <w:t> </w:t>
            </w:r>
          </w:p>
        </w:tc>
        <w:tc>
          <w:tcPr>
            <w:tcW w:w="1275" w:type="dxa"/>
            <w:tcBorders/>
            <w:shd w:fill="EEEEEE" w:val="clear"/>
            <w:vAlign w:val="center"/>
          </w:tcPr>
          <w:p>
            <w:pPr>
              <w:pStyle w:val="TableContents"/>
              <w:bidi w:val="0"/>
              <w:spacing w:before="0" w:after="283"/>
              <w:jc w:val="right"/>
              <w:rPr/>
            </w:pPr>
            <w:bookmarkStart w:id="614" w:name="xdx_907_eus-gaap--DebtWeightedAverageInt"/>
            <w:bookmarkEnd w:id="614"/>
            <w:r>
              <w:rPr/>
              <w:t>5.43%</w:t>
            </w:r>
          </w:p>
        </w:tc>
        <w:tc>
          <w:tcPr>
            <w:tcW w:w="78" w:type="dxa"/>
            <w:tcBorders/>
            <w:shd w:fill="EEEEEE"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pPr>
            <w:r>
              <w:rPr/>
              <w:t>CPS 2025-A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bookmarkStart w:id="615" w:name="xdx_900_ecustom--FinalScheduledPaymentDa"/>
            <w:bookmarkEnd w:id="615"/>
            <w:r>
              <w:rPr/>
              <w:t>August 2032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616" w:name="xdx_98A_ecustom--ReceivablesPledged_iI_p"/>
            <w:bookmarkEnd w:id="616"/>
          </w:p>
        </w:tc>
        <w:tc>
          <w:tcPr>
            <w:tcW w:w="1055" w:type="dxa"/>
            <w:tcBorders/>
            <w:shd w:fill="FFFFFF" w:val="clear"/>
            <w:vAlign w:val="center"/>
          </w:tcPr>
          <w:p>
            <w:pPr>
              <w:pStyle w:val="TableContents"/>
              <w:bidi w:val="0"/>
              <w:spacing w:before="0" w:after="283"/>
              <w:jc w:val="right"/>
              <w:rPr/>
            </w:pPr>
            <w:r>
              <w:rPr/>
              <w:t>288,610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17" w:name="xdx_98E_ecustom--SecuritizationTrustDebt"/>
            <w:bookmarkEnd w:id="617"/>
          </w:p>
        </w:tc>
        <w:tc>
          <w:tcPr>
            <w:tcW w:w="980" w:type="dxa"/>
            <w:tcBorders/>
            <w:shd w:fill="FFFFFF" w:val="clear"/>
            <w:vAlign w:val="center"/>
          </w:tcPr>
          <w:p>
            <w:pPr>
              <w:pStyle w:val="TableContents"/>
              <w:bidi w:val="0"/>
              <w:spacing w:before="0" w:after="283"/>
              <w:jc w:val="right"/>
              <w:rPr/>
            </w:pPr>
            <w:r>
              <w:rPr/>
              <w:t>442,420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618" w:name="xdx_988_eus-gaap--PrincipalAmountOutstan"/>
            <w:bookmarkEnd w:id="618"/>
          </w:p>
        </w:tc>
        <w:tc>
          <w:tcPr>
            <w:tcW w:w="1120" w:type="dxa"/>
            <w:tcBorders/>
            <w:shd w:fill="FFFFFF" w:val="clear"/>
            <w:vAlign w:val="center"/>
          </w:tcPr>
          <w:p>
            <w:pPr>
              <w:pStyle w:val="TableContents"/>
              <w:bidi w:val="0"/>
              <w:spacing w:before="0" w:after="283"/>
              <w:jc w:val="right"/>
              <w:rPr/>
            </w:pPr>
            <w:r>
              <w:rPr/>
              <w:t>259,322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619" w:name="xdx_984_eus-gaap--PrincipalAmountOutstan"/>
            <w:bookmarkEnd w:id="619"/>
          </w:p>
        </w:tc>
        <w:tc>
          <w:tcPr>
            <w:tcW w:w="1154" w:type="dxa"/>
            <w:tcBorders/>
            <w:shd w:fill="FFFFFF" w:val="clear"/>
            <w:vAlign w:val="center"/>
          </w:tcPr>
          <w:p>
            <w:pPr>
              <w:pStyle w:val="TableContents"/>
              <w:bidi w:val="0"/>
              <w:spacing w:before="0" w:after="283"/>
              <w:jc w:val="right"/>
              <w:rPr/>
            </w:pPr>
            <w:r>
              <w:rPr/>
              <w:t>324,242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bookmarkStart w:id="620" w:name="xdx_903_eus-gaap--DebtWeightedAverageInt"/>
            <w:bookmarkEnd w:id="620"/>
            <w:r>
              <w:rPr/>
              <w:t>5.75%</w:t>
            </w:r>
          </w:p>
        </w:tc>
        <w:tc>
          <w:tcPr>
            <w:tcW w:w="78" w:type="dxa"/>
            <w:tcBorders/>
            <w:shd w:fill="FFFFFF" w:val="clear"/>
            <w:vAlign w:val="center"/>
          </w:tcPr>
          <w:p>
            <w:pPr>
              <w:pStyle w:val="TableContents"/>
              <w:bidi w:val="0"/>
              <w:spacing w:before="0" w:after="283"/>
              <w:jc w:val="left"/>
              <w:rPr/>
            </w:pPr>
            <w:r>
              <w:rPr/>
              <w:t> </w:t>
            </w:r>
          </w:p>
        </w:tc>
      </w:tr>
      <w:tr>
        <w:trPr/>
        <w:tc>
          <w:tcPr>
            <w:tcW w:w="1893" w:type="dxa"/>
            <w:tcBorders/>
            <w:shd w:fill="EEEEEE" w:val="clear"/>
            <w:vAlign w:val="center"/>
          </w:tcPr>
          <w:p>
            <w:pPr>
              <w:pStyle w:val="TableContents"/>
              <w:bidi w:val="0"/>
              <w:spacing w:before="0" w:after="283"/>
              <w:jc w:val="left"/>
              <w:rPr/>
            </w:pPr>
            <w:r>
              <w:rPr/>
              <w:t>CPS 2025-B</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1" w:type="dxa"/>
            <w:tcBorders/>
            <w:shd w:fill="EEEEEE" w:val="clear"/>
            <w:vAlign w:val="center"/>
          </w:tcPr>
          <w:p>
            <w:pPr>
              <w:pStyle w:val="TableContents"/>
              <w:bidi w:val="0"/>
              <w:spacing w:before="0" w:after="283"/>
              <w:jc w:val="right"/>
              <w:rPr/>
            </w:pPr>
            <w:bookmarkStart w:id="621" w:name="xdx_908_ecustom--FinalScheduledPaymentDa"/>
            <w:bookmarkEnd w:id="621"/>
            <w:r>
              <w:rPr/>
              <w:t>March 2033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bookmarkStart w:id="622" w:name="xdx_983_ecustom--ReceivablesPledged_iI_p"/>
            <w:bookmarkEnd w:id="622"/>
          </w:p>
        </w:tc>
        <w:tc>
          <w:tcPr>
            <w:tcW w:w="1055" w:type="dxa"/>
            <w:tcBorders/>
            <w:shd w:fill="EEEEEE" w:val="clear"/>
            <w:vAlign w:val="center"/>
          </w:tcPr>
          <w:p>
            <w:pPr>
              <w:pStyle w:val="TableContents"/>
              <w:bidi w:val="0"/>
              <w:spacing w:before="0" w:after="283"/>
              <w:jc w:val="right"/>
              <w:rPr/>
            </w:pPr>
            <w:r>
              <w:rPr/>
              <w:t>312,779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23" w:name="xdx_989_ecustom--SecuritizationTrustDebt"/>
            <w:bookmarkEnd w:id="623"/>
          </w:p>
        </w:tc>
        <w:tc>
          <w:tcPr>
            <w:tcW w:w="980" w:type="dxa"/>
            <w:tcBorders/>
            <w:shd w:fill="EEEEEE" w:val="clear"/>
            <w:vAlign w:val="center"/>
          </w:tcPr>
          <w:p>
            <w:pPr>
              <w:pStyle w:val="TableContents"/>
              <w:bidi w:val="0"/>
              <w:spacing w:before="0" w:after="283"/>
              <w:jc w:val="right"/>
              <w:rPr/>
            </w:pPr>
            <w:r>
              <w:rPr/>
              <w:t>419,950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bookmarkStart w:id="624" w:name="xdx_984_eus-gaap--PrincipalAmountOutstan"/>
            <w:bookmarkEnd w:id="624"/>
          </w:p>
        </w:tc>
        <w:tc>
          <w:tcPr>
            <w:tcW w:w="1120" w:type="dxa"/>
            <w:tcBorders/>
            <w:shd w:fill="EEEEEE" w:val="clear"/>
            <w:vAlign w:val="center"/>
          </w:tcPr>
          <w:p>
            <w:pPr>
              <w:pStyle w:val="TableContents"/>
              <w:bidi w:val="0"/>
              <w:spacing w:before="0" w:after="283"/>
              <w:jc w:val="right"/>
              <w:rPr/>
            </w:pPr>
            <w:r>
              <w:rPr/>
              <w:t>283,622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bookmarkStart w:id="625" w:name="xdx_987_eus-gaap--PrincipalAmountOutstan"/>
            <w:bookmarkEnd w:id="625"/>
          </w:p>
        </w:tc>
        <w:tc>
          <w:tcPr>
            <w:tcW w:w="1154" w:type="dxa"/>
            <w:tcBorders/>
            <w:shd w:fill="EEEEEE" w:val="clear"/>
            <w:vAlign w:val="center"/>
          </w:tcPr>
          <w:p>
            <w:pPr>
              <w:pStyle w:val="TableContents"/>
              <w:bidi w:val="0"/>
              <w:spacing w:before="0" w:after="283"/>
              <w:jc w:val="right"/>
              <w:rPr/>
            </w:pPr>
            <w:r>
              <w:rPr/>
              <w:t>341,383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5" w:type="dxa"/>
            <w:tcBorders/>
            <w:shd w:fill="EEEEEE" w:val="clear"/>
            <w:vAlign w:val="center"/>
          </w:tcPr>
          <w:p>
            <w:pPr>
              <w:pStyle w:val="TableContents"/>
              <w:bidi w:val="0"/>
              <w:spacing w:before="0" w:after="283"/>
              <w:jc w:val="left"/>
              <w:rPr/>
            </w:pPr>
            <w:r>
              <w:rPr/>
              <w:t> </w:t>
            </w:r>
          </w:p>
        </w:tc>
        <w:tc>
          <w:tcPr>
            <w:tcW w:w="1275" w:type="dxa"/>
            <w:tcBorders/>
            <w:shd w:fill="EEEEEE" w:val="clear"/>
            <w:vAlign w:val="center"/>
          </w:tcPr>
          <w:p>
            <w:pPr>
              <w:pStyle w:val="TableContents"/>
              <w:bidi w:val="0"/>
              <w:spacing w:before="0" w:after="283"/>
              <w:jc w:val="right"/>
              <w:rPr/>
            </w:pPr>
            <w:bookmarkStart w:id="626" w:name="xdx_901_eus-gaap--DebtWeightedAverageInt"/>
            <w:bookmarkEnd w:id="626"/>
            <w:r>
              <w:rPr/>
              <w:t>5.63%</w:t>
            </w:r>
          </w:p>
        </w:tc>
        <w:tc>
          <w:tcPr>
            <w:tcW w:w="78" w:type="dxa"/>
            <w:tcBorders/>
            <w:shd w:fill="EEEEEE"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pPr>
            <w:r>
              <w:rPr/>
              <w:t>CPS 2025-C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bookmarkStart w:id="627" w:name="xdx_903_ecustom--FinalScheduledPaymentDa"/>
            <w:bookmarkEnd w:id="627"/>
            <w:r>
              <w:rPr/>
              <w:t>May 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628" w:name="xdx_985_ecustom--ReceivablesPledged_iI_p"/>
            <w:bookmarkEnd w:id="628"/>
          </w:p>
        </w:tc>
        <w:tc>
          <w:tcPr>
            <w:tcW w:w="1055" w:type="dxa"/>
            <w:tcBorders/>
            <w:shd w:fill="FFFFFF" w:val="clear"/>
            <w:vAlign w:val="center"/>
          </w:tcPr>
          <w:p>
            <w:pPr>
              <w:pStyle w:val="TableContents"/>
              <w:bidi w:val="0"/>
              <w:spacing w:before="0" w:after="283"/>
              <w:jc w:val="right"/>
              <w:rPr/>
            </w:pPr>
            <w:r>
              <w:rPr/>
              <w:t>328,887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9" w:name="xdx_988_ecustom--SecuritizationTrustDebt"/>
            <w:bookmarkEnd w:id="629"/>
          </w:p>
        </w:tc>
        <w:tc>
          <w:tcPr>
            <w:tcW w:w="980" w:type="dxa"/>
            <w:tcBorders/>
            <w:shd w:fill="FFFFFF" w:val="clear"/>
            <w:vAlign w:val="center"/>
          </w:tcPr>
          <w:p>
            <w:pPr>
              <w:pStyle w:val="TableContents"/>
              <w:bidi w:val="0"/>
              <w:spacing w:before="0" w:after="283"/>
              <w:jc w:val="right"/>
              <w:rPr/>
            </w:pPr>
            <w:r>
              <w:rPr/>
              <w:t>418,330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630" w:name="xdx_985_eus-gaap--PrincipalAmountOutstan"/>
            <w:bookmarkEnd w:id="630"/>
          </w:p>
        </w:tc>
        <w:tc>
          <w:tcPr>
            <w:tcW w:w="1120" w:type="dxa"/>
            <w:tcBorders/>
            <w:shd w:fill="FFFFFF" w:val="clear"/>
            <w:vAlign w:val="center"/>
          </w:tcPr>
          <w:p>
            <w:pPr>
              <w:pStyle w:val="TableContents"/>
              <w:bidi w:val="0"/>
              <w:spacing w:before="0" w:after="283"/>
              <w:jc w:val="right"/>
              <w:rPr/>
            </w:pPr>
            <w:r>
              <w:rPr/>
              <w:t>304,091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631" w:name="xdx_981_eus-gaap--PrincipalAmountOutstan"/>
            <w:bookmarkEnd w:id="631"/>
          </w:p>
        </w:tc>
        <w:tc>
          <w:tcPr>
            <w:tcW w:w="1154" w:type="dxa"/>
            <w:tcBorders/>
            <w:shd w:fill="FFFFFF" w:val="clear"/>
            <w:vAlign w:val="center"/>
          </w:tcPr>
          <w:p>
            <w:pPr>
              <w:pStyle w:val="TableContents"/>
              <w:bidi w:val="0"/>
              <w:spacing w:before="0" w:after="283"/>
              <w:jc w:val="right"/>
              <w:rPr/>
            </w:pPr>
            <w:r>
              <w:rPr/>
              <w:t>364,711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bookmarkStart w:id="632" w:name="xdx_907_eus-gaap--DebtWeightedAverageInt"/>
            <w:bookmarkEnd w:id="632"/>
            <w:r>
              <w:rPr/>
              <w:t>5.20%</w:t>
            </w:r>
          </w:p>
        </w:tc>
        <w:tc>
          <w:tcPr>
            <w:tcW w:w="78" w:type="dxa"/>
            <w:tcBorders/>
            <w:shd w:fill="FFFFFF" w:val="clear"/>
            <w:vAlign w:val="center"/>
          </w:tcPr>
          <w:p>
            <w:pPr>
              <w:pStyle w:val="TableContents"/>
              <w:bidi w:val="0"/>
              <w:spacing w:before="0" w:after="283"/>
              <w:jc w:val="left"/>
              <w:rPr/>
            </w:pPr>
            <w:r>
              <w:rPr/>
              <w:t> </w:t>
            </w:r>
          </w:p>
        </w:tc>
      </w:tr>
      <w:tr>
        <w:trPr/>
        <w:tc>
          <w:tcPr>
            <w:tcW w:w="1893" w:type="dxa"/>
            <w:tcBorders/>
            <w:shd w:fill="EEEEEE" w:val="clear"/>
            <w:vAlign w:val="center"/>
          </w:tcPr>
          <w:p>
            <w:pPr>
              <w:pStyle w:val="TableContents"/>
              <w:bidi w:val="0"/>
              <w:spacing w:before="0" w:after="283"/>
              <w:jc w:val="left"/>
              <w:rPr/>
            </w:pPr>
            <w:r>
              <w:rPr/>
              <w:t>CPS 2025-D</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1" w:type="dxa"/>
            <w:tcBorders/>
            <w:shd w:fill="EEEEEE" w:val="clear"/>
            <w:vAlign w:val="center"/>
          </w:tcPr>
          <w:p>
            <w:pPr>
              <w:pStyle w:val="TableContents"/>
              <w:bidi w:val="0"/>
              <w:spacing w:before="0" w:after="283"/>
              <w:jc w:val="right"/>
              <w:rPr/>
            </w:pPr>
            <w:bookmarkStart w:id="633" w:name="xdx_909_ecustom--FinalScheduledPaymentDa"/>
            <w:bookmarkEnd w:id="633"/>
            <w:r>
              <w:rPr/>
              <w:t>May 2033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bookmarkStart w:id="634" w:name="xdx_987_ecustom--ReceivablesPledged_iI_p"/>
            <w:bookmarkEnd w:id="634"/>
          </w:p>
        </w:tc>
        <w:tc>
          <w:tcPr>
            <w:tcW w:w="1055" w:type="dxa"/>
            <w:tcBorders/>
            <w:shd w:fill="EEEEEE" w:val="clear"/>
            <w:vAlign w:val="center"/>
          </w:tcPr>
          <w:p>
            <w:pPr>
              <w:pStyle w:val="TableContents"/>
              <w:bidi w:val="0"/>
              <w:spacing w:before="0" w:after="283"/>
              <w:jc w:val="right"/>
              <w:rPr/>
            </w:pPr>
            <w:r>
              <w:rPr/>
              <w:t>325,000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35" w:name="xdx_98C_ecustom--SecuritizationTrustDebt"/>
            <w:bookmarkEnd w:id="635"/>
          </w:p>
        </w:tc>
        <w:tc>
          <w:tcPr>
            <w:tcW w:w="980" w:type="dxa"/>
            <w:tcBorders/>
            <w:shd w:fill="EEEEEE" w:val="clear"/>
            <w:vAlign w:val="center"/>
          </w:tcPr>
          <w:p>
            <w:pPr>
              <w:pStyle w:val="TableContents"/>
              <w:bidi w:val="0"/>
              <w:spacing w:before="0" w:after="283"/>
              <w:jc w:val="right"/>
              <w:rPr/>
            </w:pPr>
            <w:r>
              <w:rPr/>
              <w:t>384,600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shd w:fill="EEEEEE" w:val="clear"/>
            <w:vAlign w:val="center"/>
          </w:tcPr>
          <w:p>
            <w:pPr>
              <w:pStyle w:val="TableContents"/>
              <w:bidi w:val="0"/>
              <w:spacing w:before="0" w:after="283"/>
              <w:jc w:val="left"/>
              <w:rPr/>
            </w:pPr>
            <w:r>
              <w:rPr/>
              <w:t> </w:t>
            </w:r>
            <w:bookmarkStart w:id="636" w:name="xdx_987_eus-gaap--PrincipalAmountOutstan"/>
            <w:bookmarkEnd w:id="636"/>
          </w:p>
        </w:tc>
        <w:tc>
          <w:tcPr>
            <w:tcW w:w="1120" w:type="dxa"/>
            <w:tcBorders/>
            <w:shd w:fill="EEEEEE" w:val="clear"/>
            <w:vAlign w:val="center"/>
          </w:tcPr>
          <w:p>
            <w:pPr>
              <w:pStyle w:val="TableContents"/>
              <w:bidi w:val="0"/>
              <w:spacing w:before="0" w:after="283"/>
              <w:jc w:val="right"/>
              <w:rPr/>
            </w:pPr>
            <w:r>
              <w:rPr/>
              <w:t>306,131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bookmarkStart w:id="637" w:name="xdx_98A_eus-gaap--PrincipalAmountOutstan"/>
            <w:bookmarkEnd w:id="637"/>
          </w:p>
        </w:tc>
        <w:tc>
          <w:tcPr>
            <w:tcW w:w="1154" w:type="dxa"/>
            <w:tcBorders/>
            <w:shd w:fill="EEEEEE" w:val="clear"/>
            <w:vAlign w:val="center"/>
          </w:tcPr>
          <w:p>
            <w:pPr>
              <w:pStyle w:val="TableContents"/>
              <w:bidi w:val="0"/>
              <w:spacing w:before="0" w:after="283"/>
              <w:jc w:val="right"/>
              <w:rPr/>
            </w:pPr>
            <w:r>
              <w:rPr/>
              <w:t>366,313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5" w:type="dxa"/>
            <w:tcBorders/>
            <w:shd w:fill="EEEEEE" w:val="clear"/>
            <w:vAlign w:val="center"/>
          </w:tcPr>
          <w:p>
            <w:pPr>
              <w:pStyle w:val="TableContents"/>
              <w:bidi w:val="0"/>
              <w:spacing w:before="0" w:after="283"/>
              <w:jc w:val="left"/>
              <w:rPr/>
            </w:pPr>
            <w:r>
              <w:rPr/>
              <w:t> </w:t>
            </w:r>
          </w:p>
        </w:tc>
        <w:tc>
          <w:tcPr>
            <w:tcW w:w="1275" w:type="dxa"/>
            <w:tcBorders/>
            <w:shd w:fill="EEEEEE" w:val="clear"/>
            <w:vAlign w:val="center"/>
          </w:tcPr>
          <w:p>
            <w:pPr>
              <w:pStyle w:val="TableContents"/>
              <w:bidi w:val="0"/>
              <w:spacing w:before="0" w:after="283"/>
              <w:jc w:val="right"/>
              <w:rPr/>
            </w:pPr>
            <w:bookmarkStart w:id="638" w:name="xdx_909_eus-gaap--DebtWeightedAverageInt"/>
            <w:bookmarkEnd w:id="638"/>
            <w:r>
              <w:rPr/>
              <w:t>5.25%</w:t>
            </w:r>
          </w:p>
        </w:tc>
        <w:tc>
          <w:tcPr>
            <w:tcW w:w="78" w:type="dxa"/>
            <w:tcBorders/>
            <w:shd w:fill="EEEEEE"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pPr>
            <w:r>
              <w:rPr/>
              <w:t>CPS 2026-A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bookmarkStart w:id="639" w:name="xdx_90B_ecustom--FinalScheduledPaymentDa"/>
            <w:bookmarkEnd w:id="639"/>
            <w:r>
              <w:rPr/>
              <w:t>August 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640" w:name="xdx_987_ecustom--ReceivablesPledged_iI_p"/>
            <w:bookmarkEnd w:id="640"/>
          </w:p>
        </w:tc>
        <w:tc>
          <w:tcPr>
            <w:tcW w:w="1055" w:type="dxa"/>
            <w:tcBorders/>
            <w:shd w:fill="FFFFFF" w:val="clear"/>
            <w:vAlign w:val="center"/>
          </w:tcPr>
          <w:p>
            <w:pPr>
              <w:pStyle w:val="TableContents"/>
              <w:bidi w:val="0"/>
              <w:spacing w:before="0" w:after="283"/>
              <w:jc w:val="right"/>
              <w:rPr/>
            </w:pPr>
            <w:r>
              <w:rPr/>
              <w:t>319,334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1" w:name="xdx_983_ecustom--SecuritizationTrustDebt"/>
            <w:bookmarkEnd w:id="641"/>
          </w:p>
        </w:tc>
        <w:tc>
          <w:tcPr>
            <w:tcW w:w="980" w:type="dxa"/>
            <w:tcBorders/>
            <w:shd w:fill="FFFFFF" w:val="clear"/>
            <w:vAlign w:val="center"/>
          </w:tcPr>
          <w:p>
            <w:pPr>
              <w:pStyle w:val="TableContents"/>
              <w:bidi w:val="0"/>
              <w:spacing w:before="0" w:after="283"/>
              <w:jc w:val="right"/>
              <w:rPr/>
            </w:pPr>
            <w:r>
              <w:rPr/>
              <w:t>345,610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642" w:name="xdx_984_eus-gaap--PrincipalAmountOutstan"/>
            <w:bookmarkEnd w:id="642"/>
          </w:p>
        </w:tc>
        <w:tc>
          <w:tcPr>
            <w:tcW w:w="1120" w:type="dxa"/>
            <w:tcBorders/>
            <w:shd w:fill="FFFFFF" w:val="clear"/>
            <w:vAlign w:val="center"/>
          </w:tcPr>
          <w:p>
            <w:pPr>
              <w:pStyle w:val="TableContents"/>
              <w:bidi w:val="0"/>
              <w:spacing w:before="0" w:after="283"/>
              <w:jc w:val="right"/>
              <w:rPr/>
            </w:pPr>
            <w:r>
              <w:rPr/>
              <w:t>302,927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643" w:name="xdx_987_eus-gaap--PrincipalAmountOutstan"/>
            <w:bookmarkEnd w:id="643"/>
          </w:p>
        </w:tc>
        <w:tc>
          <w:tcPr>
            <w:tcW w:w="11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bookmarkStart w:id="644" w:name="xdx_907_eus-gaap--DebtWeightedAverageInt"/>
            <w:bookmarkEnd w:id="644"/>
            <w:r>
              <w:rPr/>
              <w:t>4.78%</w:t>
            </w:r>
          </w:p>
        </w:tc>
        <w:tc>
          <w:tcPr>
            <w:tcW w:w="78" w:type="dxa"/>
            <w:tcBorders/>
            <w:shd w:fill="FFFFFF" w:val="clear"/>
            <w:vAlign w:val="center"/>
          </w:tcPr>
          <w:p>
            <w:pPr>
              <w:pStyle w:val="TableContents"/>
              <w:bidi w:val="0"/>
              <w:spacing w:before="0" w:after="283"/>
              <w:jc w:val="left"/>
              <w:rPr/>
            </w:pPr>
            <w:r>
              <w:rPr/>
              <w:t> </w:t>
            </w:r>
          </w:p>
        </w:tc>
      </w:tr>
      <w:tr>
        <w:trPr/>
        <w:tc>
          <w:tcPr>
            <w:tcW w:w="1893" w:type="dxa"/>
            <w:tcBorders/>
            <w:shd w:fill="EEEEEE" w:val="clear"/>
            <w:vAlign w:val="center"/>
          </w:tcPr>
          <w:p>
            <w:pPr>
              <w:pStyle w:val="TableContents"/>
              <w:bidi w:val="0"/>
              <w:spacing w:before="0" w:after="283"/>
              <w:jc w:val="left"/>
              <w:rPr/>
            </w:pPr>
            <w:r>
              <w:rPr/>
              <w:t>CPS 2026-B</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1" w:type="dxa"/>
            <w:tcBorders/>
            <w:shd w:fill="EEEEEE" w:val="clear"/>
            <w:vAlign w:val="center"/>
          </w:tcPr>
          <w:p>
            <w:pPr>
              <w:pStyle w:val="TableContents"/>
              <w:bidi w:val="0"/>
              <w:spacing w:before="0" w:after="283"/>
              <w:jc w:val="right"/>
              <w:rPr/>
            </w:pPr>
            <w:bookmarkStart w:id="645" w:name="xdx_904_ecustom--FinalScheduledPaymentDa"/>
            <w:bookmarkEnd w:id="645"/>
            <w:r>
              <w:rPr/>
              <w:t>November 2033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46" w:name="xdx_982_ecustom--ReceivablesPledged_iI_p"/>
            <w:bookmarkEnd w:id="646"/>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505,650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47" w:name="xdx_980_ecustom--SecuritizationTrustDebt"/>
            <w:bookmarkEnd w:id="647"/>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514,070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48" w:name="xdx_981_eus-gaap--PrincipalAmountOutstan"/>
            <w:bookmarkEnd w:id="648"/>
          </w:p>
        </w:tc>
        <w:tc>
          <w:tcPr>
            <w:tcW w:w="1120" w:type="dxa"/>
            <w:tcBorders>
              <w:bottom w:val="single" w:sz="8" w:space="0" w:color="000000"/>
            </w:tcBorders>
            <w:shd w:fill="EEEEEE" w:val="clear"/>
            <w:tcMar>
              <w:bottom w:w="28" w:type="dxa"/>
            </w:tcMar>
            <w:vAlign w:val="center"/>
          </w:tcPr>
          <w:p>
            <w:pPr>
              <w:pStyle w:val="TableContents"/>
              <w:bidi w:val="0"/>
              <w:spacing w:before="0" w:after="283"/>
              <w:jc w:val="right"/>
              <w:rPr/>
            </w:pPr>
            <w:r>
              <w:rPr/>
              <w:t>490,116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49" w:name="xdx_986_eus-gaap--PrincipalAmountOutstan"/>
            <w:bookmarkEnd w:id="649"/>
          </w:p>
        </w:tc>
        <w:tc>
          <w:tcPr>
            <w:tcW w:w="1154"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5" w:type="dxa"/>
            <w:tcBorders/>
            <w:shd w:fill="EEEEEE" w:val="clear"/>
            <w:vAlign w:val="center"/>
          </w:tcPr>
          <w:p>
            <w:pPr>
              <w:pStyle w:val="TableContents"/>
              <w:bidi w:val="0"/>
              <w:spacing w:before="0" w:after="283"/>
              <w:jc w:val="left"/>
              <w:rPr/>
            </w:pPr>
            <w:r>
              <w:rPr/>
              <w:t> </w:t>
            </w:r>
          </w:p>
        </w:tc>
        <w:tc>
          <w:tcPr>
            <w:tcW w:w="1275" w:type="dxa"/>
            <w:tcBorders/>
            <w:shd w:fill="EEEEEE" w:val="clear"/>
            <w:vAlign w:val="center"/>
          </w:tcPr>
          <w:p>
            <w:pPr>
              <w:pStyle w:val="TableContents"/>
              <w:bidi w:val="0"/>
              <w:spacing w:before="0" w:after="283"/>
              <w:jc w:val="right"/>
              <w:rPr/>
            </w:pPr>
            <w:bookmarkStart w:id="650" w:name="xdx_903_eus-gaap--DebtWeightedAverageInt"/>
            <w:bookmarkEnd w:id="650"/>
            <w:r>
              <w:rPr/>
              <w:t>4.98%</w:t>
            </w:r>
          </w:p>
        </w:tc>
        <w:tc>
          <w:tcPr>
            <w:tcW w:w="78" w:type="dxa"/>
            <w:tcBorders/>
            <w:shd w:fill="EEEEEE" w:val="clear"/>
            <w:vAlign w:val="center"/>
          </w:tcPr>
          <w:p>
            <w:pPr>
              <w:pStyle w:val="TableContents"/>
              <w:bidi w:val="0"/>
              <w:spacing w:before="0" w:after="283"/>
              <w:jc w:val="left"/>
              <w:rPr/>
            </w:pPr>
            <w:r>
              <w:rPr/>
              <w:t> </w:t>
            </w:r>
          </w:p>
        </w:tc>
      </w:tr>
      <w:tr>
        <w:trPr/>
        <w:tc>
          <w:tcPr>
            <w:tcW w:w="18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51" w:name="xdx_98A_ecustom--ReceivablesPledged_iI_p"/>
            <w:bookmarkEnd w:id="65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3,536,882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52" w:name="xdx_982_ecustom--SecuritizationTrustDebt"/>
            <w:bookmarkEnd w:id="65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7,505,655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53" w:name="xdx_98B_eus-gaap--PrincipalAmountOutstan"/>
            <w:bookmarkEnd w:id="653"/>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3,147,822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54" w:name="xdx_98C_eus-gaap--PrincipalAmountOutstan"/>
            <w:bookmarkEnd w:id="654"/>
          </w:p>
        </w:tc>
        <w:tc>
          <w:tcPr>
            <w:tcW w:w="1154" w:type="dxa"/>
            <w:tcBorders>
              <w:bottom w:val="double" w:sz="6" w:space="0" w:color="000000"/>
            </w:tcBorders>
            <w:shd w:fill="FFFFFF" w:val="clear"/>
            <w:tcMar>
              <w:bottom w:w="28" w:type="dxa"/>
            </w:tcMar>
            <w:vAlign w:val="center"/>
          </w:tcPr>
          <w:p>
            <w:pPr>
              <w:pStyle w:val="TableContents"/>
              <w:bidi w:val="0"/>
              <w:spacing w:before="0" w:after="283"/>
              <w:jc w:val="right"/>
              <w:rPr/>
            </w:pPr>
            <w:r>
              <w:rPr/>
              <w:t>3,003,192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0"/>
        </w:rPr>
      </w:pPr>
      <w:r>
        <w:rPr>
          <w:sz w:val="20"/>
        </w:rPr>
        <w:t>_________________</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i/>
              </w:rPr>
            </w:pPr>
            <w:bookmarkStart w:id="655" w:name="xdx_F02_zCqEx4fSxHFl"/>
            <w:bookmarkEnd w:id="655"/>
            <w:r>
              <w:rPr>
                <w:i/>
              </w:rPr>
              <w:t>(1)</w:t>
            </w:r>
          </w:p>
        </w:tc>
        <w:tc>
          <w:tcPr>
            <w:tcW w:w="9940" w:type="dxa"/>
            <w:tcBorders/>
            <w:vAlign w:val="center"/>
          </w:tcPr>
          <w:p>
            <w:pPr>
              <w:pStyle w:val="TableContents"/>
              <w:bidi w:val="0"/>
              <w:spacing w:before="0" w:after="283"/>
              <w:jc w:val="both"/>
              <w:rPr>
                <w:i/>
              </w:rPr>
            </w:pPr>
            <w:bookmarkStart w:id="656" w:name="xdx_F1B_zA6Mz2Akg8D6"/>
            <w:bookmarkEnd w:id="656"/>
            <w:r>
              <w:rPr>
                <w:i/>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$661.6 million in 2026, $1,057.0 million in 2027, $664.5 million in 2028, $398.7 million in 2029, $222.0 million in 2030, $96.8 million in 2031, and $30.5 million in 2032.</w:t>
            </w:r>
          </w:p>
        </w:tc>
      </w:tr>
    </w:tbl>
    <w:p>
      <w:pPr>
        <w:pStyle w:val="TextBody"/>
        <w:bidi w:val="0"/>
        <w:spacing w:before="0" w:after="0"/>
        <w:jc w:val="left"/>
        <w:rPr>
          <w:caps w:val="false"/>
          <w:smallCaps w:val="false"/>
        </w:rPr>
      </w:pPr>
      <w:bookmarkStart w:id="657" w:name="xdx_8A9_zBIUnp3hh3H1"/>
      <w:bookmarkEnd w:id="657"/>
      <w:r>
        <w:rPr>
          <w:caps w:val="false"/>
          <w:smallCaps w:val="false"/>
        </w:rPr>
        <w:t> </w:t>
      </w:r>
    </w:p>
    <w:p>
      <w:pPr>
        <w:pStyle w:val="TextBody"/>
        <w:bidi w:val="0"/>
        <w:spacing w:before="0" w:after="0"/>
        <w:jc w:val="left"/>
        <w:rPr>
          <w:caps w:val="false"/>
          <w:smallCaps w:val="false"/>
        </w:rPr>
      </w:pPr>
      <w:bookmarkStart w:id="658" w:name="xdx_23D_zY0hRMAz6gGl"/>
      <w:bookmarkEnd w:id="658"/>
      <w:r>
        <w:rPr>
          <w:caps w:val="false"/>
          <w:smallCaps w:val="false"/>
        </w:rPr>
        <w:t> </w:t>
      </w:r>
    </w:p>
    <w:p>
      <w:pPr>
        <w:pStyle w:val="TextBody"/>
        <w:bidi w:val="0"/>
        <w:spacing w:before="0" w:after="0"/>
        <w:jc w:val="left"/>
        <w:rPr>
          <w:caps w:val="false"/>
          <w:smallCaps w:val="false"/>
        </w:rPr>
      </w:pPr>
      <w:bookmarkStart w:id="659" w:name="xdx_230_zqyuMyxf1hZf"/>
      <w:bookmarkEnd w:id="65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caps w:val="false"/>
          <w:smallCaps w:val="false"/>
        </w:rPr>
      </w:pPr>
      <w:bookmarkStart w:id="660" w:name="xdx_231_zGnDGT1cq042"/>
      <w:bookmarkEnd w:id="66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of $</w:t>
      </w:r>
      <w:bookmarkStart w:id="661" w:name="xdx_903_eus-gaap--DeferredFinanceCostsGr"/>
      <w:bookmarkEnd w:id="661"/>
      <w:r>
        <w:rPr>
          <w:rFonts w:ascii="Times New Roman;Times;Serif" w:hAnsi="Times New Roman;Times;Serif"/>
          <w:b w:val="false"/>
          <w:i w:val="false"/>
          <w:caps w:val="false"/>
          <w:smallCaps w:val="false"/>
          <w:sz w:val="20"/>
        </w:rPr>
        <w:t>16.7 million and $</w:t>
      </w:r>
      <w:bookmarkStart w:id="662" w:name="xdx_903_eus-gaap--DeferredFinanceCostsGr"/>
      <w:bookmarkEnd w:id="662"/>
      <w:r>
        <w:rPr>
          <w:rFonts w:ascii="Times New Roman;Times;Serif" w:hAnsi="Times New Roman;Times;Serif"/>
          <w:b w:val="false"/>
          <w:i w:val="false"/>
          <w:caps w:val="false"/>
          <w:smallCaps w:val="false"/>
          <w:sz w:val="20"/>
        </w:rPr>
        <w:t>16.6 million as of June 30, 2026, and December 31, 2025, respectively, have been excluded from the table above. These debt issuance costs are presented as a direct deduction to the carrying amount of the Securitization trust debt on our Consolidated Balance Sheets.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securitization trust debt was sold in private placement transactions to qualified institutional buyers. The debt was issued through our wholly owned bankruptcy remote subsidiaries and is secured by the assets of such subsidiaries, but not by our other assets.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are in compliance with all such covenants as of June 30, 2026.</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June 30, 2026, restricted cash under the various agreements totaled approximately $</w:t>
      </w:r>
      <w:bookmarkStart w:id="663" w:name="xdx_90A_eus-gaap--RestrictedCash_iI_pn5n"/>
      <w:bookmarkEnd w:id="663"/>
      <w:r>
        <w:rPr>
          <w:rFonts w:ascii="Times New Roman;Times;Serif" w:hAnsi="Times New Roman;Times;Serif"/>
          <w:b w:val="false"/>
          <w:i w:val="false"/>
          <w:caps w:val="false"/>
          <w:smallCaps w:val="false"/>
          <w:sz w:val="20"/>
        </w:rPr>
        <w:t>172.7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wholly 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 for accounting and tax purposes, are treated as sales for all other purposes, including legal and bankruptcy purposes. None of the assets of these subsidiaries are available to pay any of our other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64" w:name="xdx_238_zTUtizdgqGzf"/>
      <w:bookmarkEnd w:id="664"/>
      <w:r>
        <w:rPr>
          <w:caps w:val="false"/>
          <w:smallCaps w:val="false"/>
        </w:rPr>
        <w:t> </w:t>
      </w:r>
    </w:p>
    <w:p>
      <w:pPr>
        <w:pStyle w:val="TextBody"/>
        <w:bidi w:val="0"/>
        <w:spacing w:before="0" w:after="0"/>
        <w:ind w:left="0" w:right="0" w:hanging="0"/>
        <w:jc w:val="both"/>
        <w:rPr>
          <w:caps w:val="false"/>
          <w:smallCaps w:val="false"/>
        </w:rPr>
      </w:pPr>
      <w:bookmarkStart w:id="665" w:name="xdx_236_zJpoCeYUKMy"/>
      <w:bookmarkEnd w:id="66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666" w:name="xdx_235_zqbaE9Dgujyf"/>
      <w:bookmarkEnd w:id="66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7" w:name="xdx_80F_eus-gaap--DebtDisclosureTextBloc"/>
      <w:bookmarkEnd w:id="667"/>
      <w:r>
        <w:rPr>
          <w:rFonts w:ascii="Times New Roman;Times;Serif" w:hAnsi="Times New Roman;Times;Serif"/>
          <w:b/>
          <w:i w:val="false"/>
          <w:caps w:val="false"/>
          <w:smallCaps w:val="false"/>
          <w:sz w:val="20"/>
        </w:rPr>
        <w:t xml:space="preserve">(4) </w:t>
      </w:r>
      <w:bookmarkStart w:id="668" w:name="xdx_825_zFjgeGRREpn3"/>
      <w:bookmarkEnd w:id="668"/>
      <w:r>
        <w:rPr>
          <w:rFonts w:ascii="Times New Roman;Times;Serif" w:hAnsi="Times New Roman;Times;Serif"/>
          <w:b/>
          <w:i/>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amounts of our other debt outstanding on June 30, 2026, and December 31, 2025, are summarized below:</w:t>
      </w:r>
    </w:p>
    <w:p>
      <w:pPr>
        <w:pStyle w:val="Normal"/>
        <w:bidi w:val="0"/>
        <w:spacing w:before="0" w:after="0"/>
        <w:ind w:left="0" w:right="0" w:firstLine="180"/>
        <w:jc w:val="left"/>
        <w:rPr>
          <w:sz w:val="4"/>
          <w:szCs w:val="4"/>
        </w:rPr>
      </w:pPr>
      <w:r>
        <w:rPr>
          <w:sz w:val="4"/>
          <w:szCs w:val="4"/>
        </w:rPr>
      </w:r>
      <w:bookmarkStart w:id="669" w:name="xdx_891_eus-gaap--ScheduleOfDebtTableTex"/>
      <w:bookmarkStart w:id="670" w:name="xdx_891_eus-gaap--ScheduleOfDebtTableTex"/>
      <w:bookmarkEnd w:id="670"/>
    </w:p>
    <w:tbl>
      <w:tblPr>
        <w:tblW w:w="10205" w:type="dxa"/>
        <w:jc w:val="left"/>
        <w:tblInd w:w="0" w:type="dxa"/>
        <w:tblLayout w:type="fixed"/>
        <w:tblCellMar>
          <w:top w:w="0" w:type="dxa"/>
          <w:left w:w="0" w:type="dxa"/>
          <w:bottom w:w="0" w:type="dxa"/>
          <w:right w:w="0" w:type="dxa"/>
        </w:tblCellMar>
      </w:tblPr>
      <w:tblGrid>
        <w:gridCol w:w="1432"/>
        <w:gridCol w:w="60"/>
        <w:gridCol w:w="60"/>
        <w:gridCol w:w="2009"/>
        <w:gridCol w:w="60"/>
        <w:gridCol w:w="60"/>
        <w:gridCol w:w="60"/>
        <w:gridCol w:w="2016"/>
        <w:gridCol w:w="60"/>
        <w:gridCol w:w="60"/>
        <w:gridCol w:w="60"/>
        <w:gridCol w:w="1906"/>
        <w:gridCol w:w="60"/>
        <w:gridCol w:w="60"/>
        <w:gridCol w:w="142"/>
        <w:gridCol w:w="814"/>
        <w:gridCol w:w="61"/>
        <w:gridCol w:w="61"/>
        <w:gridCol w:w="173"/>
        <w:gridCol w:w="912"/>
        <w:gridCol w:w="79"/>
      </w:tblGrid>
      <w:tr>
        <w:trPr/>
        <w:tc>
          <w:tcPr>
            <w:tcW w:w="1432" w:type="dxa"/>
            <w:tcBorders/>
            <w:shd w:fill="FFFFFF" w:val="clear"/>
            <w:vAlign w:val="center"/>
          </w:tcPr>
          <w:p>
            <w:pPr>
              <w:pStyle w:val="TableContents"/>
              <w:bidi w:val="0"/>
              <w:spacing w:before="0" w:after="283"/>
              <w:jc w:val="center"/>
              <w:rPr/>
            </w:pPr>
            <w:bookmarkStart w:id="671" w:name="xdx_8BC_zNrfGrWWdR11"/>
            <w:bookmarkEnd w:id="671"/>
            <w:r>
              <w:rPr/>
              <w:t>Schedule of debt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0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9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14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6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3" w:type="dxa"/>
            <w:gridSpan w:val="6"/>
            <w:tcBorders/>
            <w:vAlign w:val="center"/>
          </w:tcPr>
          <w:p>
            <w:pPr>
              <w:pStyle w:val="TableContents"/>
              <w:bidi w:val="0"/>
              <w:spacing w:before="0" w:after="283"/>
              <w:jc w:val="center"/>
              <w:rPr>
                <w:b/>
              </w:rPr>
            </w:pPr>
            <w:r>
              <w:rPr>
                <w:b/>
              </w:rPr>
              <w:t>Amount Outstanding at</w:t>
            </w:r>
          </w:p>
        </w:tc>
        <w:tc>
          <w:tcPr>
            <w:tcW w:w="79" w:type="dxa"/>
            <w:tcBorders/>
            <w:vAlign w:val="center"/>
          </w:tcPr>
          <w:p>
            <w:pPr>
              <w:pStyle w:val="TableContents"/>
              <w:bidi w:val="0"/>
              <w:spacing w:before="0" w:after="283"/>
              <w:jc w:val="left"/>
              <w:rPr/>
            </w:pPr>
            <w:r>
              <w:rPr/>
              <w:t> </w:t>
            </w:r>
          </w:p>
        </w:tc>
      </w:tr>
      <w:tr>
        <w:trPr/>
        <w:tc>
          <w:tcPr>
            <w:tcW w:w="14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6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9" w:type="dxa"/>
            <w:tcBorders/>
            <w:vAlign w:val="center"/>
          </w:tcPr>
          <w:p>
            <w:pPr>
              <w:pStyle w:val="TableContents"/>
              <w:bidi w:val="0"/>
              <w:spacing w:before="0" w:after="283"/>
              <w:jc w:val="left"/>
              <w:rPr/>
            </w:pPr>
            <w:r>
              <w:rPr/>
              <w:t> </w:t>
            </w:r>
          </w:p>
        </w:tc>
      </w:tr>
      <w:tr>
        <w:trPr/>
        <w:tc>
          <w:tcPr>
            <w:tcW w:w="14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6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14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6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3" w:type="dxa"/>
            <w:gridSpan w:val="6"/>
            <w:tcBorders/>
            <w:vAlign w:val="center"/>
          </w:tcPr>
          <w:p>
            <w:pPr>
              <w:pStyle w:val="TableContents"/>
              <w:bidi w:val="0"/>
              <w:spacing w:before="0" w:after="283"/>
              <w:jc w:val="center"/>
              <w:rPr>
                <w:b/>
              </w:rPr>
            </w:pPr>
            <w:r>
              <w:rPr>
                <w:b/>
              </w:rPr>
              <w:t>(In thousands)</w:t>
            </w:r>
          </w:p>
        </w:tc>
        <w:tc>
          <w:tcPr>
            <w:tcW w:w="79" w:type="dxa"/>
            <w:tcBorders/>
            <w:vAlign w:val="center"/>
          </w:tcPr>
          <w:p>
            <w:pPr>
              <w:pStyle w:val="TableContents"/>
              <w:bidi w:val="0"/>
              <w:spacing w:before="0" w:after="283"/>
              <w:jc w:val="left"/>
              <w:rPr/>
            </w:pPr>
            <w:r>
              <w:rPr/>
              <w:t> </w:t>
            </w:r>
          </w:p>
        </w:tc>
      </w:tr>
      <w:tr>
        <w:trPr/>
        <w:tc>
          <w:tcPr>
            <w:tcW w:w="1432" w:type="dxa"/>
            <w:tcBorders>
              <w:bottom w:val="single" w:sz="8" w:space="0" w:color="000000"/>
            </w:tcBorders>
            <w:tcMar>
              <w:bottom w:w="28" w:type="dxa"/>
            </w:tcMar>
            <w:vAlign w:val="center"/>
          </w:tcPr>
          <w:p>
            <w:pPr>
              <w:pStyle w:val="TableContents"/>
              <w:bidi w:val="0"/>
              <w:spacing w:before="0" w:after="283"/>
              <w:jc w:val="center"/>
              <w:rPr/>
            </w:pPr>
            <w:r>
              <w:rPr/>
              <w:t>Description</w:t>
            </w:r>
          </w:p>
        </w:tc>
        <w:tc>
          <w:tcPr>
            <w:tcW w:w="60" w:type="dxa"/>
            <w:tcBorders/>
            <w:vAlign w:val="center"/>
          </w:tcPr>
          <w:p>
            <w:pPr>
              <w:pStyle w:val="TableContents"/>
              <w:bidi w:val="0"/>
              <w:spacing w:before="0" w:after="283"/>
              <w:jc w:val="left"/>
              <w:rPr/>
            </w:pPr>
            <w:r>
              <w:rPr/>
              <w:t> </w:t>
            </w:r>
          </w:p>
        </w:tc>
        <w:tc>
          <w:tcPr>
            <w:tcW w:w="2069" w:type="dxa"/>
            <w:gridSpan w:val="2"/>
            <w:tcBorders>
              <w:bottom w:val="single" w:sz="8" w:space="0" w:color="000000"/>
            </w:tcBorders>
            <w:tcMar>
              <w:bottom w:w="28" w:type="dxa"/>
            </w:tcMar>
            <w:vAlign w:val="center"/>
          </w:tcPr>
          <w:p>
            <w:pPr>
              <w:pStyle w:val="TableContents"/>
              <w:bidi w:val="0"/>
              <w:spacing w:before="0" w:after="283"/>
              <w:jc w:val="center"/>
              <w:rPr/>
            </w:pPr>
            <w:r>
              <w:rPr/>
              <w:t>Interest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6" w:type="dxa"/>
            <w:gridSpan w:val="2"/>
            <w:tcBorders>
              <w:bottom w:val="single" w:sz="8" w:space="0" w:color="000000"/>
            </w:tcBorders>
            <w:tcMar>
              <w:bottom w:w="28" w:type="dxa"/>
            </w:tcMar>
            <w:vAlign w:val="center"/>
          </w:tcPr>
          <w:p>
            <w:pPr>
              <w:pStyle w:val="TableContents"/>
              <w:bidi w:val="0"/>
              <w:spacing w:before="0" w:after="283"/>
              <w:jc w:val="center"/>
              <w:rPr/>
            </w:pPr>
            <w:r>
              <w:rPr/>
              <w:t>Subordinate Lender Interest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2"/>
            <w:tcBorders>
              <w:bottom w:val="single" w:sz="8" w:space="0" w:color="000000"/>
            </w:tcBorders>
            <w:tcMar>
              <w:bottom w:w="28" w:type="dxa"/>
            </w:tcMar>
            <w:vAlign w:val="center"/>
          </w:tcPr>
          <w:p>
            <w:pPr>
              <w:pStyle w:val="TableContents"/>
              <w:bidi w:val="0"/>
              <w:spacing w:before="0" w:after="283"/>
              <w:jc w:val="center"/>
              <w:rPr/>
            </w:pPr>
            <w:r>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1432" w:type="dxa"/>
            <w:tcBorders/>
            <w:shd w:fill="EEEEEE" w:val="clear"/>
            <w:vAlign w:val="center"/>
          </w:tcPr>
          <w:p>
            <w:pPr>
              <w:pStyle w:val="TableContents"/>
              <w:bidi w:val="0"/>
              <w:spacing w:before="0" w:after="283"/>
              <w:jc w:val="center"/>
              <w:rPr/>
            </w:pPr>
            <w:r>
              <w:rPr/>
              <w:t>Warehouse line of credit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2009" w:type="dxa"/>
            <w:tcBorders/>
            <w:shd w:fill="EEEEEE" w:val="clear"/>
            <w:vAlign w:val="center"/>
          </w:tcPr>
          <w:p>
            <w:pPr>
              <w:pStyle w:val="TableContents"/>
              <w:bidi w:val="0"/>
              <w:spacing w:before="0" w:after="283"/>
              <w:jc w:val="center"/>
              <w:rPr/>
            </w:pPr>
            <w:bookmarkStart w:id="672" w:name="xdx_903_eus-gaap--DebtInstrumentDescript"/>
            <w:bookmarkStart w:id="673" w:name="xdx_90E_eus-gaap--DebtInstrumentDescript"/>
            <w:bookmarkEnd w:id="672"/>
            <w:bookmarkEnd w:id="673"/>
            <w:r>
              <w:rPr/>
              <w:t>2.85% over CP yield rate (Minimum 3.60%) 6.74% and 6.80% at June 30, 2026 and December 31 2025, respectively</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2016" w:type="dxa"/>
            <w:tcBorders/>
            <w:shd w:fill="EEEEEE" w:val="clear"/>
            <w:vAlign w:val="center"/>
          </w:tcPr>
          <w:p>
            <w:pPr>
              <w:pStyle w:val="TableContents"/>
              <w:bidi w:val="0"/>
              <w:spacing w:before="0" w:after="283"/>
              <w:jc w:val="center"/>
              <w:rPr/>
            </w:pPr>
            <w:bookmarkStart w:id="674" w:name="xdx_90B_ecustom--DebtInstrumentInterestR"/>
            <w:bookmarkStart w:id="675" w:name="xdx_907_ecustom--DebtInstrumentInterestR"/>
            <w:bookmarkEnd w:id="674"/>
            <w:bookmarkEnd w:id="675"/>
            <w:r>
              <w:rPr/>
              <w:t>6.40% over SOFR yield rate (Minimum 7.15%) 10.31% and 10.40% at June 30, 2026 and December 31, 2025, respectively</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1906" w:type="dxa"/>
            <w:tcBorders/>
            <w:shd w:fill="EEEEEE" w:val="clear"/>
            <w:vAlign w:val="center"/>
          </w:tcPr>
          <w:p>
            <w:pPr>
              <w:pStyle w:val="TableContents"/>
              <w:bidi w:val="0"/>
              <w:spacing w:before="0" w:after="283"/>
              <w:jc w:val="center"/>
              <w:rPr/>
            </w:pPr>
            <w:bookmarkStart w:id="676" w:name="xdx_909_eus-gaap--DebtInstrumentMaturity"/>
            <w:bookmarkEnd w:id="676"/>
            <w:r>
              <w:rPr/>
              <w:t>July 2028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w:t>
            </w:r>
            <w:bookmarkStart w:id="677" w:name="xdx_98C_eus-gaap--WarehouseAgreementBorr"/>
            <w:bookmarkEnd w:id="677"/>
          </w:p>
        </w:tc>
        <w:tc>
          <w:tcPr>
            <w:tcW w:w="814" w:type="dxa"/>
            <w:tcBorders/>
            <w:shd w:fill="EEEEEE" w:val="clear"/>
            <w:vAlign w:val="center"/>
          </w:tcPr>
          <w:p>
            <w:pPr>
              <w:pStyle w:val="TableContents"/>
              <w:bidi w:val="0"/>
              <w:spacing w:before="0" w:after="283"/>
              <w:jc w:val="right"/>
              <w:rPr/>
            </w:pPr>
            <w:r>
              <w:rPr/>
              <w:t>327,942</w:t>
            </w:r>
          </w:p>
        </w:tc>
        <w:tc>
          <w:tcPr>
            <w:tcW w:w="61"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bookmarkStart w:id="678" w:name="xdx_983_eus-gaap--WarehouseAgreementBorr"/>
            <w:bookmarkEnd w:id="678"/>
          </w:p>
        </w:tc>
        <w:tc>
          <w:tcPr>
            <w:tcW w:w="912" w:type="dxa"/>
            <w:tcBorders/>
            <w:shd w:fill="EEEEEE" w:val="clear"/>
            <w:vAlign w:val="center"/>
          </w:tcPr>
          <w:p>
            <w:pPr>
              <w:pStyle w:val="TableContents"/>
              <w:bidi w:val="0"/>
              <w:spacing w:before="0" w:after="283"/>
              <w:jc w:val="right"/>
              <w:rPr/>
            </w:pPr>
            <w:r>
              <w:rPr/>
              <w:t>197,107</w:t>
            </w:r>
          </w:p>
        </w:tc>
        <w:tc>
          <w:tcPr>
            <w:tcW w:w="79" w:type="dxa"/>
            <w:tcBorders/>
            <w:shd w:fill="EEEEEE" w:val="clear"/>
            <w:vAlign w:val="center"/>
          </w:tcPr>
          <w:p>
            <w:pPr>
              <w:pStyle w:val="TableContents"/>
              <w:bidi w:val="0"/>
              <w:spacing w:before="0" w:after="283"/>
              <w:jc w:val="left"/>
              <w:rPr/>
            </w:pPr>
            <w:r>
              <w:rPr/>
              <w:t> </w:t>
            </w:r>
          </w:p>
        </w:tc>
      </w:tr>
      <w:tr>
        <w:trPr/>
        <w:tc>
          <w:tcPr>
            <w:tcW w:w="1432" w:type="dxa"/>
            <w:tcBorders/>
            <w:shd w:fill="FFFFFF" w:val="clear"/>
            <w:vAlign w:val="center"/>
          </w:tcPr>
          <w:p>
            <w:pPr>
              <w:pStyle w:val="TableContents"/>
              <w:bidi w:val="0"/>
              <w:spacing w:before="0" w:after="283"/>
              <w:jc w:val="center"/>
              <w:rPr/>
            </w:pPr>
            <w:r>
              <w:rPr/>
              <w:t>Warehouse line of credit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09" w:type="dxa"/>
            <w:tcBorders/>
            <w:shd w:fill="FFFFFF" w:val="clear"/>
            <w:vAlign w:val="center"/>
          </w:tcPr>
          <w:p>
            <w:pPr>
              <w:pStyle w:val="TableContents"/>
              <w:bidi w:val="0"/>
              <w:spacing w:before="0" w:after="283"/>
              <w:jc w:val="center"/>
              <w:rPr/>
            </w:pPr>
            <w:bookmarkStart w:id="679" w:name="xdx_90D_eus-gaap--DebtInstrumentDescript"/>
            <w:bookmarkEnd w:id="679"/>
            <w:r>
              <w:rPr/>
              <w:t>4.50% over a commercial paper rate (Minimum 7.50%) 8.25%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906" w:type="dxa"/>
            <w:tcBorders/>
            <w:shd w:fill="FFFFFF" w:val="clear"/>
            <w:vAlign w:val="center"/>
          </w:tcPr>
          <w:p>
            <w:pPr>
              <w:pStyle w:val="TableContents"/>
              <w:bidi w:val="0"/>
              <w:spacing w:before="0" w:after="283"/>
              <w:jc w:val="center"/>
              <w:rPr/>
            </w:pPr>
            <w:bookmarkStart w:id="680" w:name="xdx_906_eus-gaap--DebtInstrumentMaturity"/>
            <w:bookmarkEnd w:id="680"/>
            <w:r>
              <w:rPr/>
              <w:t>April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681" w:name="xdx_985_eus-gaap--WarehouseAgreementBorr"/>
            <w:bookmarkEnd w:id="681"/>
          </w:p>
        </w:tc>
        <w:tc>
          <w:tcPr>
            <w:tcW w:w="814"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682" w:name="xdx_98F_eus-gaap--WarehouseAgreementBorr"/>
            <w:bookmarkEnd w:id="682"/>
          </w:p>
        </w:tc>
        <w:tc>
          <w:tcPr>
            <w:tcW w:w="912" w:type="dxa"/>
            <w:tcBorders/>
            <w:shd w:fill="FFFFFF" w:val="clear"/>
            <w:vAlign w:val="center"/>
          </w:tcPr>
          <w:p>
            <w:pPr>
              <w:pStyle w:val="TableContents"/>
              <w:bidi w:val="0"/>
              <w:spacing w:before="0" w:after="283"/>
              <w:jc w:val="right"/>
              <w:rPr/>
            </w:pPr>
            <w:r>
              <w:rPr/>
              <w:t>11,778</w:t>
            </w:r>
          </w:p>
        </w:tc>
        <w:tc>
          <w:tcPr>
            <w:tcW w:w="79" w:type="dxa"/>
            <w:tcBorders/>
            <w:shd w:fill="FFFFFF" w:val="clear"/>
            <w:vAlign w:val="center"/>
          </w:tcPr>
          <w:p>
            <w:pPr>
              <w:pStyle w:val="TableContents"/>
              <w:bidi w:val="0"/>
              <w:spacing w:before="0" w:after="283"/>
              <w:jc w:val="left"/>
              <w:rPr/>
            </w:pPr>
            <w:r>
              <w:rPr/>
              <w:t> </w:t>
            </w:r>
          </w:p>
        </w:tc>
      </w:tr>
      <w:tr>
        <w:trPr/>
        <w:tc>
          <w:tcPr>
            <w:tcW w:w="1432" w:type="dxa"/>
            <w:tcBorders/>
            <w:shd w:fill="EEEEEE" w:val="clear"/>
            <w:vAlign w:val="center"/>
          </w:tcPr>
          <w:p>
            <w:pPr>
              <w:pStyle w:val="TableContents"/>
              <w:bidi w:val="0"/>
              <w:spacing w:before="0" w:after="283"/>
              <w:jc w:val="center"/>
              <w:rPr/>
            </w:pPr>
            <w:r>
              <w:rPr/>
              <w:t>Warehouse line of credit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2009" w:type="dxa"/>
            <w:tcBorders/>
            <w:shd w:fill="EEEEEE" w:val="clear"/>
            <w:vAlign w:val="center"/>
          </w:tcPr>
          <w:p>
            <w:pPr>
              <w:pStyle w:val="TableContents"/>
              <w:bidi w:val="0"/>
              <w:spacing w:before="0" w:after="283"/>
              <w:jc w:val="center"/>
              <w:rPr/>
            </w:pPr>
            <w:bookmarkStart w:id="683" w:name="xdx_90E_eus-gaap--DebtInstrumentDescript"/>
            <w:bookmarkStart w:id="684" w:name="xdx_900_eus-gaap--DebtInstrumentDescript"/>
            <w:bookmarkEnd w:id="683"/>
            <w:bookmarkEnd w:id="684"/>
            <w:r>
              <w:rPr/>
              <w:t>2.60% over SOFR yield rate (Minimum 2.85%) 6.23% and 6.50% at June 30, 2026 and December 31, 2025, respectively</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2016" w:type="dxa"/>
            <w:tcBorders/>
            <w:shd w:fill="EEEEEE" w:val="clear"/>
            <w:vAlign w:val="center"/>
          </w:tcPr>
          <w:p>
            <w:pPr>
              <w:pStyle w:val="TableContents"/>
              <w:bidi w:val="0"/>
              <w:spacing w:before="0" w:after="283"/>
              <w:jc w:val="center"/>
              <w:rPr/>
            </w:pPr>
            <w:bookmarkStart w:id="685" w:name="xdx_906_ecustom--DebtInstrumentInterestR"/>
            <w:bookmarkStart w:id="686" w:name="xdx_909_ecustom--DebtInstrumentInterestR"/>
            <w:bookmarkEnd w:id="685"/>
            <w:bookmarkEnd w:id="686"/>
            <w:r>
              <w:rPr/>
              <w:t>6.40% over SOFR yield rate (Minimum 6.65%) 10.02% and 10.27% at June 30, 2026 and December 31, 2025, respectively</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1906" w:type="dxa"/>
            <w:tcBorders/>
            <w:shd w:fill="EEEEEE" w:val="clear"/>
            <w:vAlign w:val="center"/>
          </w:tcPr>
          <w:p>
            <w:pPr>
              <w:pStyle w:val="TableContents"/>
              <w:bidi w:val="0"/>
              <w:spacing w:before="0" w:after="283"/>
              <w:jc w:val="center"/>
              <w:rPr/>
            </w:pPr>
            <w:bookmarkStart w:id="687" w:name="xdx_90A_eus-gaap--DebtInstrumentMaturity"/>
            <w:bookmarkEnd w:id="687"/>
            <w:r>
              <w:rPr/>
              <w:t>October 2027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bookmarkStart w:id="688" w:name="xdx_98F_eus-gaap--WarehouseAgreementBorr"/>
            <w:bookmarkEnd w:id="688"/>
          </w:p>
        </w:tc>
        <w:tc>
          <w:tcPr>
            <w:tcW w:w="814" w:type="dxa"/>
            <w:tcBorders/>
            <w:shd w:fill="EEEEEE" w:val="clear"/>
            <w:vAlign w:val="center"/>
          </w:tcPr>
          <w:p>
            <w:pPr>
              <w:pStyle w:val="TableContents"/>
              <w:bidi w:val="0"/>
              <w:spacing w:before="0" w:after="283"/>
              <w:jc w:val="right"/>
              <w:rPr/>
            </w:pPr>
            <w:r>
              <w:rPr/>
              <w:t>353,683</w:t>
            </w:r>
          </w:p>
        </w:tc>
        <w:tc>
          <w:tcPr>
            <w:tcW w:w="61"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bookmarkStart w:id="689" w:name="xdx_989_eus-gaap--WarehouseAgreementBorr"/>
            <w:bookmarkEnd w:id="689"/>
          </w:p>
        </w:tc>
        <w:tc>
          <w:tcPr>
            <w:tcW w:w="912" w:type="dxa"/>
            <w:tcBorders/>
            <w:shd w:fill="EEEEEE" w:val="clear"/>
            <w:vAlign w:val="center"/>
          </w:tcPr>
          <w:p>
            <w:pPr>
              <w:pStyle w:val="TableContents"/>
              <w:bidi w:val="0"/>
              <w:spacing w:before="0" w:after="283"/>
              <w:jc w:val="right"/>
              <w:rPr/>
            </w:pPr>
            <w:r>
              <w:rPr/>
              <w:t>118,323</w:t>
            </w:r>
          </w:p>
        </w:tc>
        <w:tc>
          <w:tcPr>
            <w:tcW w:w="79" w:type="dxa"/>
            <w:tcBorders/>
            <w:shd w:fill="EEEEEE" w:val="clear"/>
            <w:vAlign w:val="center"/>
          </w:tcPr>
          <w:p>
            <w:pPr>
              <w:pStyle w:val="TableContents"/>
              <w:bidi w:val="0"/>
              <w:spacing w:before="0" w:after="283"/>
              <w:jc w:val="left"/>
              <w:rPr/>
            </w:pPr>
            <w:r>
              <w:rPr/>
              <w:t> </w:t>
            </w:r>
          </w:p>
        </w:tc>
      </w:tr>
      <w:tr>
        <w:trPr/>
        <w:tc>
          <w:tcPr>
            <w:tcW w:w="1432" w:type="dxa"/>
            <w:tcBorders/>
            <w:shd w:fill="FFFFFF" w:val="clear"/>
            <w:vAlign w:val="center"/>
          </w:tcPr>
          <w:p>
            <w:pPr>
              <w:pStyle w:val="TableContents"/>
              <w:bidi w:val="0"/>
              <w:spacing w:before="0" w:after="283"/>
              <w:jc w:val="center"/>
              <w:rPr/>
            </w:pPr>
            <w:r>
              <w:rPr/>
              <w:t>Residual interest financing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09" w:type="dxa"/>
            <w:tcBorders/>
            <w:shd w:fill="FFFFFF" w:val="clear"/>
            <w:vAlign w:val="center"/>
          </w:tcPr>
          <w:p>
            <w:pPr>
              <w:pStyle w:val="TableContents"/>
              <w:bidi w:val="0"/>
              <w:spacing w:before="0" w:after="283"/>
              <w:jc w:val="center"/>
              <w:rPr/>
            </w:pPr>
            <w:bookmarkStart w:id="690" w:name="xdx_90F_eus-gaap--DebtInstrumentInterest"/>
            <w:bookmarkEnd w:id="690"/>
            <w:r>
              <w:rPr/>
              <w:t>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906" w:type="dxa"/>
            <w:tcBorders/>
            <w:shd w:fill="FFFFFF" w:val="clear"/>
            <w:vAlign w:val="center"/>
          </w:tcPr>
          <w:p>
            <w:pPr>
              <w:pStyle w:val="TableContents"/>
              <w:bidi w:val="0"/>
              <w:spacing w:before="0" w:after="283"/>
              <w:jc w:val="center"/>
              <w:rPr/>
            </w:pPr>
            <w:bookmarkStart w:id="691" w:name="xdx_904_eus-gaap--DebtInstrumentMaturity"/>
            <w:bookmarkEnd w:id="691"/>
            <w:r>
              <w:rPr/>
              <w:t>December 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692" w:name="xdx_980_ecustom--ResidualInterestFinanci"/>
            <w:bookmarkEnd w:id="692"/>
          </w:p>
        </w:tc>
        <w:tc>
          <w:tcPr>
            <w:tcW w:w="814" w:type="dxa"/>
            <w:tcBorders/>
            <w:shd w:fill="FFFFFF" w:val="clear"/>
            <w:vAlign w:val="center"/>
          </w:tcPr>
          <w:p>
            <w:pPr>
              <w:pStyle w:val="TableContents"/>
              <w:bidi w:val="0"/>
              <w:spacing w:before="0" w:after="283"/>
              <w:jc w:val="right"/>
              <w:rPr/>
            </w:pPr>
            <w:r>
              <w:rPr/>
              <w:t>11,078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693" w:name="xdx_981_ecustom--ResidualInterestFinanci"/>
            <w:bookmarkEnd w:id="693"/>
          </w:p>
        </w:tc>
        <w:tc>
          <w:tcPr>
            <w:tcW w:w="912" w:type="dxa"/>
            <w:tcBorders/>
            <w:shd w:fill="FFFFFF" w:val="clear"/>
            <w:vAlign w:val="center"/>
          </w:tcPr>
          <w:p>
            <w:pPr>
              <w:pStyle w:val="TableContents"/>
              <w:bidi w:val="0"/>
              <w:spacing w:before="0" w:after="283"/>
              <w:jc w:val="right"/>
              <w:rPr/>
            </w:pPr>
            <w:r>
              <w:rPr/>
              <w:t>31,163</w:t>
            </w:r>
          </w:p>
        </w:tc>
        <w:tc>
          <w:tcPr>
            <w:tcW w:w="79" w:type="dxa"/>
            <w:tcBorders/>
            <w:shd w:fill="FFFFFF" w:val="clear"/>
            <w:vAlign w:val="center"/>
          </w:tcPr>
          <w:p>
            <w:pPr>
              <w:pStyle w:val="TableContents"/>
              <w:bidi w:val="0"/>
              <w:spacing w:before="0" w:after="283"/>
              <w:jc w:val="left"/>
              <w:rPr/>
            </w:pPr>
            <w:r>
              <w:rPr/>
              <w:t> </w:t>
            </w:r>
          </w:p>
        </w:tc>
      </w:tr>
      <w:tr>
        <w:trPr/>
        <w:tc>
          <w:tcPr>
            <w:tcW w:w="1432" w:type="dxa"/>
            <w:tcBorders/>
            <w:shd w:fill="EEEEEE" w:val="clear"/>
            <w:vAlign w:val="center"/>
          </w:tcPr>
          <w:p>
            <w:pPr>
              <w:pStyle w:val="TableContents"/>
              <w:bidi w:val="0"/>
              <w:spacing w:before="0" w:after="283"/>
              <w:jc w:val="center"/>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2009" w:type="dxa"/>
            <w:tcBorders/>
            <w:shd w:fill="EEEEEE" w:val="clear"/>
            <w:vAlign w:val="center"/>
          </w:tcPr>
          <w:p>
            <w:pPr>
              <w:pStyle w:val="TableContents"/>
              <w:bidi w:val="0"/>
              <w:spacing w:before="0" w:after="283"/>
              <w:jc w:val="center"/>
              <w:rPr/>
            </w:pPr>
            <w:bookmarkStart w:id="694" w:name="xdx_901_eus-gaap--DebtInstrumentInterest"/>
            <w:bookmarkEnd w:id="694"/>
            <w:r>
              <w:rPr/>
              <w:t>11.50%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2016" w:type="dxa"/>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1906" w:type="dxa"/>
            <w:tcBorders/>
            <w:shd w:fill="EEEEEE" w:val="clear"/>
            <w:vAlign w:val="center"/>
          </w:tcPr>
          <w:p>
            <w:pPr>
              <w:pStyle w:val="TableContents"/>
              <w:bidi w:val="0"/>
              <w:spacing w:before="0" w:after="283"/>
              <w:jc w:val="center"/>
              <w:rPr/>
            </w:pPr>
            <w:bookmarkStart w:id="695" w:name="xdx_908_eus-gaap--DebtInstrumentMaturity"/>
            <w:bookmarkEnd w:id="695"/>
            <w:r>
              <w:rPr/>
              <w:t>March 2029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bookmarkStart w:id="696" w:name="xdx_985_ecustom--ResidualInterestFinanci"/>
            <w:bookmarkEnd w:id="696"/>
          </w:p>
        </w:tc>
        <w:tc>
          <w:tcPr>
            <w:tcW w:w="814" w:type="dxa"/>
            <w:tcBorders/>
            <w:shd w:fill="EEEEEE" w:val="clear"/>
            <w:vAlign w:val="center"/>
          </w:tcPr>
          <w:p>
            <w:pPr>
              <w:pStyle w:val="TableContents"/>
              <w:bidi w:val="0"/>
              <w:spacing w:before="0" w:after="283"/>
              <w:jc w:val="right"/>
              <w:rPr/>
            </w:pPr>
            <w:r>
              <w:rPr/>
              <w:t>46,881</w:t>
            </w:r>
          </w:p>
        </w:tc>
        <w:tc>
          <w:tcPr>
            <w:tcW w:w="61"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bookmarkStart w:id="697" w:name="xdx_986_ecustom--ResidualInterestFinanci"/>
            <w:bookmarkEnd w:id="697"/>
          </w:p>
        </w:tc>
        <w:tc>
          <w:tcPr>
            <w:tcW w:w="912" w:type="dxa"/>
            <w:tcBorders/>
            <w:shd w:fill="EEEEEE" w:val="clear"/>
            <w:vAlign w:val="center"/>
          </w:tcPr>
          <w:p>
            <w:pPr>
              <w:pStyle w:val="TableContents"/>
              <w:bidi w:val="0"/>
              <w:spacing w:before="0" w:after="283"/>
              <w:jc w:val="right"/>
              <w:rPr/>
            </w:pPr>
            <w:r>
              <w:rPr/>
              <w:t>49,820</w:t>
            </w:r>
          </w:p>
        </w:tc>
        <w:tc>
          <w:tcPr>
            <w:tcW w:w="79" w:type="dxa"/>
            <w:tcBorders/>
            <w:shd w:fill="EEEEEE" w:val="clear"/>
            <w:vAlign w:val="center"/>
          </w:tcPr>
          <w:p>
            <w:pPr>
              <w:pStyle w:val="TableContents"/>
              <w:bidi w:val="0"/>
              <w:spacing w:before="0" w:after="283"/>
              <w:jc w:val="left"/>
              <w:rPr/>
            </w:pPr>
            <w:r>
              <w:rPr/>
              <w:t> </w:t>
            </w:r>
          </w:p>
        </w:tc>
      </w:tr>
      <w:tr>
        <w:trPr/>
        <w:tc>
          <w:tcPr>
            <w:tcW w:w="1432" w:type="dxa"/>
            <w:tcBorders/>
            <w:shd w:fill="FFFFFF" w:val="clear"/>
            <w:vAlign w:val="center"/>
          </w:tcPr>
          <w:p>
            <w:pPr>
              <w:pStyle w:val="TableContents"/>
              <w:bidi w:val="0"/>
              <w:spacing w:before="0" w:after="283"/>
              <w:jc w:val="center"/>
              <w:rPr/>
            </w:pPr>
            <w:r>
              <w:rPr/>
              <w:t>Residual interest financing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09" w:type="dxa"/>
            <w:tcBorders/>
            <w:shd w:fill="FFFFFF" w:val="clear"/>
            <w:vAlign w:val="center"/>
          </w:tcPr>
          <w:p>
            <w:pPr>
              <w:pStyle w:val="TableContents"/>
              <w:bidi w:val="0"/>
              <w:spacing w:before="0" w:after="283"/>
              <w:jc w:val="center"/>
              <w:rPr/>
            </w:pPr>
            <w:bookmarkStart w:id="698" w:name="xdx_90A_eus-gaap--DebtInstrumentInterest"/>
            <w:bookmarkEnd w:id="698"/>
            <w:r>
              <w:rPr/>
              <w:t>11.00%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906" w:type="dxa"/>
            <w:tcBorders/>
            <w:shd w:fill="FFFFFF" w:val="clear"/>
            <w:vAlign w:val="center"/>
          </w:tcPr>
          <w:p>
            <w:pPr>
              <w:pStyle w:val="TableContents"/>
              <w:bidi w:val="0"/>
              <w:spacing w:before="0" w:after="283"/>
              <w:jc w:val="center"/>
              <w:rPr/>
            </w:pPr>
            <w:bookmarkStart w:id="699" w:name="xdx_90D_eus-gaap--DebtInstrumentMaturity"/>
            <w:bookmarkEnd w:id="699"/>
            <w:r>
              <w:rPr/>
              <w:t>June 2032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700" w:name="xdx_988_ecustom--ResidualInterestFinanci"/>
            <w:bookmarkEnd w:id="700"/>
          </w:p>
        </w:tc>
        <w:tc>
          <w:tcPr>
            <w:tcW w:w="814" w:type="dxa"/>
            <w:tcBorders/>
            <w:shd w:fill="FFFFFF" w:val="clear"/>
            <w:vAlign w:val="center"/>
          </w:tcPr>
          <w:p>
            <w:pPr>
              <w:pStyle w:val="TableContents"/>
              <w:bidi w:val="0"/>
              <w:spacing w:before="0" w:after="283"/>
              <w:jc w:val="right"/>
              <w:rPr/>
            </w:pPr>
            <w:r>
              <w:rPr/>
              <w:t>62,810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701" w:name="xdx_988_ecustom--ResidualInterestFinanci"/>
            <w:bookmarkEnd w:id="701"/>
          </w:p>
        </w:tc>
        <w:tc>
          <w:tcPr>
            <w:tcW w:w="912" w:type="dxa"/>
            <w:tcBorders/>
            <w:shd w:fill="FFFFFF" w:val="clear"/>
            <w:vAlign w:val="center"/>
          </w:tcPr>
          <w:p>
            <w:pPr>
              <w:pStyle w:val="TableContents"/>
              <w:bidi w:val="0"/>
              <w:spacing w:before="0" w:after="283"/>
              <w:jc w:val="right"/>
              <w:rPr/>
            </w:pPr>
            <w:r>
              <w:rPr/>
              <w:t>63,524</w:t>
            </w:r>
          </w:p>
        </w:tc>
        <w:tc>
          <w:tcPr>
            <w:tcW w:w="79" w:type="dxa"/>
            <w:tcBorders/>
            <w:shd w:fill="FFFFFF" w:val="clear"/>
            <w:vAlign w:val="center"/>
          </w:tcPr>
          <w:p>
            <w:pPr>
              <w:pStyle w:val="TableContents"/>
              <w:bidi w:val="0"/>
              <w:spacing w:before="0" w:after="283"/>
              <w:jc w:val="left"/>
              <w:rPr/>
            </w:pPr>
            <w:r>
              <w:rPr/>
              <w:t> </w:t>
            </w:r>
          </w:p>
        </w:tc>
      </w:tr>
      <w:tr>
        <w:trPr/>
        <w:tc>
          <w:tcPr>
            <w:tcW w:w="1432" w:type="dxa"/>
            <w:tcBorders/>
            <w:shd w:fill="EEEEEE" w:val="clear"/>
            <w:vAlign w:val="center"/>
          </w:tcPr>
          <w:p>
            <w:pPr>
              <w:pStyle w:val="TableContents"/>
              <w:bidi w:val="0"/>
              <w:spacing w:before="0" w:after="283"/>
              <w:jc w:val="center"/>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2009" w:type="dxa"/>
            <w:tcBorders/>
            <w:shd w:fill="EEEEEE" w:val="clear"/>
            <w:vAlign w:val="center"/>
          </w:tcPr>
          <w:p>
            <w:pPr>
              <w:pStyle w:val="TableContents"/>
              <w:bidi w:val="0"/>
              <w:spacing w:before="0" w:after="283"/>
              <w:jc w:val="center"/>
              <w:rPr/>
            </w:pPr>
            <w:bookmarkStart w:id="702" w:name="xdx_90C_eus-gaap--DebtInstrumentInterest"/>
            <w:bookmarkEnd w:id="702"/>
            <w:r>
              <w:rPr/>
              <w:t>8.75%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2016" w:type="dxa"/>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1906" w:type="dxa"/>
            <w:tcBorders/>
            <w:shd w:fill="EEEEEE" w:val="clear"/>
            <w:vAlign w:val="center"/>
          </w:tcPr>
          <w:p>
            <w:pPr>
              <w:pStyle w:val="TableContents"/>
              <w:bidi w:val="0"/>
              <w:spacing w:before="0" w:after="283"/>
              <w:jc w:val="center"/>
              <w:rPr/>
            </w:pPr>
            <w:bookmarkStart w:id="703" w:name="xdx_904_eus-gaap--DebtInstrumentMaturity"/>
            <w:bookmarkEnd w:id="703"/>
            <w:r>
              <w:rPr/>
              <w:t>May 2033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bookmarkStart w:id="704" w:name="xdx_984_ecustom--ResidualInterestFinanci"/>
            <w:bookmarkEnd w:id="704"/>
          </w:p>
        </w:tc>
        <w:tc>
          <w:tcPr>
            <w:tcW w:w="814" w:type="dxa"/>
            <w:tcBorders/>
            <w:shd w:fill="EEEEEE" w:val="clear"/>
            <w:vAlign w:val="center"/>
          </w:tcPr>
          <w:p>
            <w:pPr>
              <w:pStyle w:val="TableContents"/>
              <w:bidi w:val="0"/>
              <w:spacing w:before="0" w:after="283"/>
              <w:jc w:val="right"/>
              <w:rPr/>
            </w:pPr>
            <w:r>
              <w:rPr/>
              <w:t>50,000</w:t>
            </w:r>
          </w:p>
        </w:tc>
        <w:tc>
          <w:tcPr>
            <w:tcW w:w="61"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bookmarkStart w:id="705" w:name="xdx_982_ecustom--ResidualInterestFinanci"/>
            <w:bookmarkEnd w:id="705"/>
          </w:p>
        </w:tc>
        <w:tc>
          <w:tcPr>
            <w:tcW w:w="912" w:type="dxa"/>
            <w:tcBorders/>
            <w:shd w:fill="EEEEEE" w:val="clear"/>
            <w:vAlign w:val="center"/>
          </w:tcPr>
          <w:p>
            <w:pPr>
              <w:pStyle w:val="TableContents"/>
              <w:bidi w:val="0"/>
              <w:spacing w:before="0" w:after="283"/>
              <w:jc w:val="right"/>
              <w:rPr/>
            </w:pPr>
            <w:r>
              <w:rPr/>
              <w:t>–</w:t>
            </w:r>
          </w:p>
        </w:tc>
        <w:tc>
          <w:tcPr>
            <w:tcW w:w="79" w:type="dxa"/>
            <w:tcBorders/>
            <w:shd w:fill="EEEEEE" w:val="clear"/>
            <w:vAlign w:val="center"/>
          </w:tcPr>
          <w:p>
            <w:pPr>
              <w:pStyle w:val="TableContents"/>
              <w:bidi w:val="0"/>
              <w:spacing w:before="0" w:after="283"/>
              <w:jc w:val="left"/>
              <w:rPr/>
            </w:pPr>
            <w:r>
              <w:rPr/>
              <w:t> </w:t>
            </w:r>
          </w:p>
        </w:tc>
      </w:tr>
      <w:tr>
        <w:trPr/>
        <w:tc>
          <w:tcPr>
            <w:tcW w:w="1432" w:type="dxa"/>
            <w:tcBorders/>
            <w:shd w:fill="FFFFFF" w:val="clear"/>
            <w:vAlign w:val="center"/>
          </w:tcPr>
          <w:p>
            <w:pPr>
              <w:pStyle w:val="TableContents"/>
              <w:bidi w:val="0"/>
              <w:spacing w:before="0" w:after="283"/>
              <w:jc w:val="center"/>
              <w:rPr/>
            </w:pPr>
            <w:r>
              <w:rPr/>
              <w:t>Subordinated renewable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09" w:type="dxa"/>
            <w:tcBorders/>
            <w:shd w:fill="FFFFFF" w:val="clear"/>
            <w:vAlign w:val="center"/>
          </w:tcPr>
          <w:p>
            <w:pPr>
              <w:pStyle w:val="TableContents"/>
              <w:bidi w:val="0"/>
              <w:spacing w:before="0" w:after="283"/>
              <w:jc w:val="center"/>
              <w:rPr/>
            </w:pPr>
            <w:r>
              <w:rPr/>
              <w:t xml:space="preserve">Weighted average rate of </w:t>
            </w:r>
            <w:bookmarkStart w:id="706" w:name="xdx_908_eus-gaap--DebtWeightedAverageInt"/>
            <w:bookmarkEnd w:id="706"/>
            <w:r>
              <w:rPr/>
              <w:t xml:space="preserve">8.78% and </w:t>
            </w:r>
            <w:bookmarkStart w:id="707" w:name="xdx_90B_eus-gaap--DebtWeightedAverageInt"/>
            <w:bookmarkEnd w:id="707"/>
            <w:r>
              <w:rPr/>
              <w:t>8.98%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906" w:type="dxa"/>
            <w:tcBorders/>
            <w:shd w:fill="FFFFFF" w:val="clear"/>
            <w:vAlign w:val="center"/>
          </w:tcPr>
          <w:p>
            <w:pPr>
              <w:pStyle w:val="TableContents"/>
              <w:bidi w:val="0"/>
              <w:spacing w:before="0" w:after="283"/>
              <w:jc w:val="center"/>
              <w:rPr/>
            </w:pPr>
            <w:r>
              <w:rPr/>
              <w:t xml:space="preserve">Weighted average maturity of </w:t>
            </w:r>
            <w:bookmarkStart w:id="708" w:name="xdx_909_eus-gaap--DebtInstrumentMaturity"/>
            <w:bookmarkEnd w:id="708"/>
            <w:r>
              <w:rPr/>
              <w:t xml:space="preserve">March 2028 and </w:t>
            </w:r>
            <w:bookmarkStart w:id="709" w:name="xdx_90F_eus-gaap--DebtInstrumentMaturity"/>
            <w:bookmarkEnd w:id="709"/>
            <w:r>
              <w:rPr/>
              <w:t>November 2027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10" w:name="xdx_981_eus-gaap--SubordinatedDebt_iI_pn"/>
            <w:bookmarkEnd w:id="710"/>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28,461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11" w:name="xdx_98A_eus-gaap--SubordinatedDebt_pn3n3"/>
            <w:bookmarkEnd w:id="711"/>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pPr>
            <w:r>
              <w:rPr/>
              <w:t>28,986</w:t>
            </w:r>
          </w:p>
        </w:tc>
        <w:tc>
          <w:tcPr>
            <w:tcW w:w="79" w:type="dxa"/>
            <w:tcBorders/>
            <w:shd w:fill="FFFFFF" w:val="clear"/>
            <w:vAlign w:val="center"/>
          </w:tcPr>
          <w:p>
            <w:pPr>
              <w:pStyle w:val="TableContents"/>
              <w:bidi w:val="0"/>
              <w:spacing w:before="0" w:after="283"/>
              <w:jc w:val="left"/>
              <w:rPr/>
            </w:pPr>
            <w:r>
              <w:rPr/>
              <w:t> </w:t>
            </w:r>
          </w:p>
        </w:tc>
      </w:tr>
      <w:tr>
        <w:trPr/>
        <w:tc>
          <w:tcPr>
            <w:tcW w:w="1432" w:type="dxa"/>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2009" w:type="dxa"/>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2016" w:type="dxa"/>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center"/>
              <w:rPr/>
            </w:pPr>
            <w:r>
              <w:rPr/>
              <w:t> </w:t>
            </w:r>
          </w:p>
        </w:tc>
        <w:tc>
          <w:tcPr>
            <w:tcW w:w="1906" w:type="dxa"/>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4" w:type="dxa"/>
            <w:tcBorders/>
            <w:shd w:fill="EEEEEE" w:val="clear"/>
            <w:vAlign w:val="center"/>
          </w:tcPr>
          <w:p>
            <w:pPr>
              <w:pStyle w:val="TableContents"/>
              <w:bidi w:val="0"/>
              <w:spacing w:before="0" w:after="283"/>
              <w:jc w:val="right"/>
              <w:rPr/>
            </w:pPr>
            <w:r>
              <w:rPr/>
              <w:t> </w:t>
            </w:r>
          </w:p>
        </w:tc>
        <w:tc>
          <w:tcPr>
            <w:tcW w:w="61"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p>
        </w:tc>
        <w:tc>
          <w:tcPr>
            <w:tcW w:w="912" w:type="dxa"/>
            <w:tcBorders/>
            <w:shd w:fill="EEEEEE" w:val="clear"/>
            <w:vAlign w:val="center"/>
          </w:tcPr>
          <w:p>
            <w:pPr>
              <w:pStyle w:val="TableContents"/>
              <w:bidi w:val="0"/>
              <w:spacing w:before="0" w:after="283"/>
              <w:jc w:val="right"/>
              <w:rPr/>
            </w:pPr>
            <w:r>
              <w:rPr/>
              <w:t> </w:t>
            </w:r>
          </w:p>
        </w:tc>
        <w:tc>
          <w:tcPr>
            <w:tcW w:w="79" w:type="dxa"/>
            <w:tcBorders/>
            <w:shd w:fill="EEEEEE" w:val="clear"/>
            <w:vAlign w:val="center"/>
          </w:tcPr>
          <w:p>
            <w:pPr>
              <w:pStyle w:val="TableContents"/>
              <w:bidi w:val="0"/>
              <w:spacing w:before="0" w:after="283"/>
              <w:jc w:val="left"/>
              <w:rPr/>
            </w:pPr>
            <w:r>
              <w:rPr/>
              <w:t> </w:t>
            </w:r>
          </w:p>
        </w:tc>
      </w:tr>
      <w:tr>
        <w:trPr/>
        <w:tc>
          <w:tcPr>
            <w:tcW w:w="14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0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0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9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12" w:name="xdx_98C_eus-gaap--DebtLongtermAndShortte"/>
            <w:bookmarkEnd w:id="712"/>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pPr>
            <w:r>
              <w:rPr/>
              <w:t>880,855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13" w:name="xdx_98D_eus-gaap--DebtLongtermAndShortte"/>
            <w:bookmarkEnd w:id="713"/>
          </w:p>
        </w:tc>
        <w:tc>
          <w:tcPr>
            <w:tcW w:w="912" w:type="dxa"/>
            <w:tcBorders>
              <w:bottom w:val="double" w:sz="6" w:space="0" w:color="000000"/>
            </w:tcBorders>
            <w:shd w:fill="FFFFFF" w:val="clear"/>
            <w:tcMar>
              <w:bottom w:w="28" w:type="dxa"/>
            </w:tcMar>
            <w:vAlign w:val="center"/>
          </w:tcPr>
          <w:p>
            <w:pPr>
              <w:pStyle w:val="TableContents"/>
              <w:bidi w:val="0"/>
              <w:spacing w:before="0" w:after="283"/>
              <w:jc w:val="right"/>
              <w:rPr/>
            </w:pPr>
            <w:r>
              <w:rPr/>
              <w:t>500,701</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80"/>
        <w:jc w:val="both"/>
        <w:rPr>
          <w:caps w:val="false"/>
          <w:smallCaps w:val="false"/>
        </w:rPr>
      </w:pPr>
      <w:bookmarkStart w:id="714" w:name="xdx_8A5_zQN9ID1hNOsk"/>
      <w:bookmarkEnd w:id="714"/>
      <w:r>
        <w:rPr>
          <w:caps w:val="false"/>
          <w:smallCaps w:val="false"/>
        </w:rPr>
        <w:t> </w:t>
      </w:r>
    </w:p>
    <w:p>
      <w:pPr>
        <w:pStyle w:val="TextBody"/>
        <w:bidi w:val="0"/>
        <w:spacing w:before="0" w:after="0"/>
        <w:ind w:left="0" w:right="0" w:firstLine="180"/>
        <w:jc w:val="both"/>
        <w:rPr>
          <w:caps w:val="false"/>
          <w:smallCaps w:val="false"/>
        </w:rPr>
      </w:pPr>
      <w:bookmarkStart w:id="715" w:name="xdx_23D_zlGzq2S7iHWh"/>
      <w:bookmarkEnd w:id="715"/>
      <w:r>
        <w:rPr>
          <w:caps w:val="false"/>
          <w:smallCaps w:val="false"/>
        </w:rPr>
        <w:t> </w:t>
      </w:r>
    </w:p>
    <w:p>
      <w:pPr>
        <w:pStyle w:val="TextBody"/>
        <w:bidi w:val="0"/>
        <w:spacing w:before="0" w:after="0"/>
        <w:ind w:left="0" w:right="0" w:firstLine="180"/>
        <w:jc w:val="both"/>
        <w:rPr>
          <w:caps w:val="false"/>
          <w:smallCaps w:val="false"/>
        </w:rPr>
      </w:pPr>
      <w:bookmarkStart w:id="716" w:name="xdx_233_z1ctQrw8WdXf"/>
      <w:bookmarkEnd w:id="71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both"/>
        <w:rPr>
          <w:caps w:val="false"/>
          <w:smallCaps w:val="false"/>
        </w:rPr>
      </w:pPr>
      <w:bookmarkStart w:id="717" w:name="xdx_23A_zARsswDaV9y2"/>
      <w:bookmarkEnd w:id="717"/>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2026, we completed a $</w:t>
      </w:r>
      <w:bookmarkStart w:id="718" w:name="xdx_903_eus-gaap--ProceedsFromIssuanceOf"/>
      <w:bookmarkEnd w:id="718"/>
      <w:r>
        <w:rPr>
          <w:rFonts w:ascii="Times New Roman;Times;Serif" w:hAnsi="Times New Roman;Times;Serif"/>
          <w:b w:val="false"/>
          <w:i w:val="false"/>
          <w:caps w:val="false"/>
          <w:smallCaps w:val="false"/>
          <w:sz w:val="20"/>
        </w:rPr>
        <w:t>50 million securitization of residual interests from previously issued securitizations. In the transaction, a qualified institutional buyer purchased $</w:t>
      </w:r>
      <w:bookmarkStart w:id="719" w:name="xdx_90F_eus-gaap--LongTermDebt_iI_pn6n6_"/>
      <w:bookmarkEnd w:id="719"/>
      <w:r>
        <w:rPr>
          <w:rFonts w:ascii="Times New Roman;Times;Serif" w:hAnsi="Times New Roman;Times;Serif"/>
          <w:b w:val="false"/>
          <w:i w:val="false"/>
          <w:caps w:val="false"/>
          <w:smallCaps w:val="false"/>
          <w:sz w:val="20"/>
        </w:rPr>
        <w:t>50.0 million of asset-backed notes secured by an 80% interest in a CPS affiliate that owns the residual interests in four CPS securitizations issued from January 2025 through October 2025. The sold notes (“2026-1 Notes”), issued by CPS Auto Securitization Trust 2026-1, consist of a single class with a coupon of 8.75%. At June 30, 2026, there was $</w:t>
      </w:r>
      <w:bookmarkStart w:id="720" w:name="xdx_901_eus-gaap--LongTermDebt_iI_pn6n6_"/>
      <w:bookmarkEnd w:id="720"/>
      <w:r>
        <w:rPr>
          <w:rFonts w:ascii="Times New Roman;Times;Serif" w:hAnsi="Times New Roman;Times;Serif"/>
          <w:b w:val="false"/>
          <w:i w:val="false"/>
          <w:caps w:val="false"/>
          <w:smallCaps w:val="false"/>
          <w:sz w:val="20"/>
        </w:rPr>
        <w:t>50.0 million outstanding under this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2025, we entered into a $</w:t>
      </w:r>
      <w:bookmarkStart w:id="721" w:name="xdx_909_eus-gaap--LineOfCreditFacilityMa"/>
      <w:bookmarkEnd w:id="721"/>
      <w:r>
        <w:rPr>
          <w:rFonts w:ascii="Times New Roman;Times;Serif" w:hAnsi="Times New Roman;Times;Serif"/>
          <w:b w:val="false"/>
          <w:i w:val="false"/>
          <w:caps w:val="false"/>
          <w:smallCaps w:val="false"/>
          <w:sz w:val="20"/>
        </w:rPr>
        <w:t>167.5 million two-year warehouse credit line with Capital One, N.A as the Class A Lender and Oaktree Asset-Backed Income Private Placement Fund Inc., as the Class B Lenders. On April 3, 2026, we amended the credit agreement with Capital One, N.A. to increase the capacity of the facility. The amendment applies to both Capital One, N.A. and the subordinate lender, and increases the capacity of the facility from $</w:t>
      </w:r>
      <w:bookmarkStart w:id="722" w:name="xdx_903_eus-gaap--LineOfCreditFacilityCu"/>
      <w:bookmarkEnd w:id="722"/>
      <w:r>
        <w:rPr>
          <w:rFonts w:ascii="Times New Roman;Times;Serif" w:hAnsi="Times New Roman;Times;Serif"/>
          <w:b w:val="false"/>
          <w:i w:val="false"/>
          <w:caps w:val="false"/>
          <w:smallCaps w:val="false"/>
          <w:sz w:val="20"/>
        </w:rPr>
        <w:t>167.5 million to $</w:t>
      </w:r>
      <w:bookmarkStart w:id="723" w:name="xdx_90C_eus-gaap--LineOfCreditFacilityCu"/>
      <w:bookmarkEnd w:id="723"/>
      <w:r>
        <w:rPr>
          <w:rFonts w:ascii="Times New Roman;Times;Serif" w:hAnsi="Times New Roman;Times;Serif"/>
          <w:b w:val="false"/>
          <w:i w:val="false"/>
          <w:caps w:val="false"/>
          <w:smallCaps w:val="false"/>
          <w:sz w:val="20"/>
        </w:rPr>
        <w:t>390 million. This facility has a two-year revolving period to October 2027, with an optional amortization period through April 2029. The facility is structured to allow us to fund a portion of the purchase price of automobile contracts by borrowing from a credit facility to our consolidated subsidiary Page Eleven Funding, LLC. The facility provides for effective advances up to 95.50% of eligible finance receivables. The Class A loans under the facility generally accrue interest during the revolving period at a per annum rate equal to the Term SOFR plus 2.60% per annum, with a minimum rate of 2.85% per annum and during the amortization period at a per annum rate equal to the Term SOFR plus 3.60% per annum, with a minimum rate of 3.85% per annum. The Class B loans under the facility generally accrue interest during the revolving period at a per annum rate equal to the Term SOFR plus 6.40% per annum, with a minimum rate of 6.65% per annum and during the amortization period at a per annum rate equal to the Term SOFR plus 7.40% per annum, with a minimum rate of 7.65% per annum. At June 30, 2026, there was $</w:t>
      </w:r>
      <w:bookmarkStart w:id="724" w:name="xdx_90F_ecustom--LongtermIncreasedCapaci"/>
      <w:bookmarkEnd w:id="724"/>
      <w:r>
        <w:rPr>
          <w:rFonts w:ascii="Times New Roman;Times;Serif" w:hAnsi="Times New Roman;Times;Serif"/>
          <w:b w:val="false"/>
          <w:i w:val="false"/>
          <w:caps w:val="false"/>
          <w:smallCaps w:val="false"/>
          <w:sz w:val="20"/>
        </w:rPr>
        <w:t>353.7 million outstanding under this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2025, we completed a $</w:t>
      </w:r>
      <w:bookmarkStart w:id="725" w:name="xdx_907_ecustom--ProceedsFromResidualInt"/>
      <w:bookmarkEnd w:id="725"/>
      <w:r>
        <w:rPr>
          <w:rFonts w:ascii="Times New Roman;Times;Serif" w:hAnsi="Times New Roman;Times;Serif"/>
          <w:b w:val="false"/>
          <w:i w:val="false"/>
          <w:caps w:val="false"/>
          <w:smallCaps w:val="false"/>
          <w:sz w:val="20"/>
        </w:rPr>
        <w:t>65 million securitization of residual interests from previously issued securitizations. In the transaction, a qualified institutional buyer purchased $</w:t>
      </w:r>
      <w:bookmarkStart w:id="726" w:name="xdx_900_ecustom--AssetBackedNotesIssued_"/>
      <w:bookmarkEnd w:id="726"/>
      <w:r>
        <w:rPr>
          <w:rFonts w:ascii="Times New Roman;Times;Serif" w:hAnsi="Times New Roman;Times;Serif"/>
          <w:b w:val="false"/>
          <w:i w:val="false"/>
          <w:caps w:val="false"/>
          <w:smallCaps w:val="false"/>
          <w:sz w:val="20"/>
        </w:rPr>
        <w:t>65.0 million of asset-backed notes secured by an 80% interest in a CPS affiliate that owns the residual interests in five CPS securitizations issued from October 2023 through September 2024. The sold notes (“2025-1 Notes”), issued by CPS Auto Securitization Trust 2025-1, consist of a single class with a coupon of 11.00%. At June 30, 2026, there was $</w:t>
      </w:r>
      <w:bookmarkStart w:id="727" w:name="xdx_90B_eus-gaap--LineOfCredit_iI_pn5n6_"/>
      <w:bookmarkEnd w:id="727"/>
      <w:r>
        <w:rPr>
          <w:rFonts w:ascii="Times New Roman;Times;Serif" w:hAnsi="Times New Roman;Times;Serif"/>
          <w:b w:val="false"/>
          <w:i w:val="false"/>
          <w:caps w:val="false"/>
          <w:smallCaps w:val="false"/>
          <w:sz w:val="20"/>
        </w:rPr>
        <w:t>62.8 million outstanding under this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2024, we increased the capacity of our revolving credit agreement with Citibank, N.A., to $</w:t>
      </w:r>
      <w:bookmarkStart w:id="728" w:name="xdx_90D_eus-gaap--LineOfCreditFacilityMa"/>
      <w:bookmarkEnd w:id="728"/>
      <w:r>
        <w:rPr>
          <w:rFonts w:ascii="Times New Roman;Times;Serif" w:hAnsi="Times New Roman;Times;Serif"/>
          <w:b w:val="false"/>
          <w:i w:val="false"/>
          <w:caps w:val="false"/>
          <w:smallCaps w:val="false"/>
          <w:sz w:val="20"/>
        </w:rPr>
        <w:t xml:space="preserve">335 million. This follows the November 2024 closing of a revolving credit agreement with Oaktree Capital Management, which is subordinate to our credit agreement with Citibank, N.A. </w:t>
      </w:r>
      <w:bookmarkStart w:id="729" w:name="xdx_90D_ecustom--EffectiveAdvanceRateDes"/>
      <w:bookmarkEnd w:id="729"/>
      <w:r>
        <w:rPr>
          <w:rFonts w:ascii="Times New Roman;Times;Serif" w:hAnsi="Times New Roman;Times;Serif"/>
          <w:b w:val="false"/>
          <w:i w:val="false"/>
          <w:caps w:val="false"/>
          <w:smallCaps w:val="false"/>
          <w:sz w:val="20"/>
        </w:rPr>
        <w:t>The facility provides effective advances up to 10.00% of eligible finance receivables, effectively increasing the advance rate up to 95% across the facility for eligible receivables. The revolving credit agreement with Citibank, N.A. was last renewed in July 2026, extending the maturity date to July 2028 followed by an amortization period through July 2029 for any receivables pledged at the end of the revolving period. There was $</w:t>
      </w:r>
      <w:bookmarkStart w:id="730" w:name="xdx_902_eus-gaap--LineOfCredit_iI_pn5n6_"/>
      <w:bookmarkEnd w:id="730"/>
      <w:r>
        <w:rPr>
          <w:rFonts w:ascii="Times New Roman;Times;Serif" w:hAnsi="Times New Roman;Times;Serif"/>
          <w:b w:val="false"/>
          <w:i w:val="false"/>
          <w:caps w:val="false"/>
          <w:smallCaps w:val="false"/>
          <w:sz w:val="20"/>
        </w:rPr>
        <w:t>327.9 million outstanding under this facility at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2024, we renewed our two-year $</w:t>
      </w:r>
      <w:bookmarkStart w:id="731" w:name="xdx_90F_eus-gaap--LineOfCreditFacilityMa"/>
      <w:bookmarkEnd w:id="731"/>
      <w:r>
        <w:rPr>
          <w:rFonts w:ascii="Times New Roman;Times;Serif" w:hAnsi="Times New Roman;Times;Serif"/>
          <w:b w:val="false"/>
          <w:i w:val="false"/>
          <w:caps w:val="false"/>
          <w:smallCaps w:val="false"/>
          <w:sz w:val="20"/>
        </w:rPr>
        <w:t>200 million revolving credit agreement with Ares Agent Services, L.P. The revolving period for this facility was extended to March 2026 followed by an amortization period through March 2028 for any receivables pledged at the end of the revolving period. In March 2026, the revolving period was extended to April 2026. The facility was not renewed following the expiration of the revolving period. There was nothing outstanding under this facility at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we completed a $</w:t>
      </w:r>
      <w:bookmarkStart w:id="732" w:name="xdx_902_eus-gaap--ProceedsFromIssuanceOf"/>
      <w:bookmarkEnd w:id="732"/>
      <w:r>
        <w:rPr>
          <w:rFonts w:ascii="Times New Roman;Times;Serif" w:hAnsi="Times New Roman;Times;Serif"/>
          <w:b w:val="false"/>
          <w:i w:val="false"/>
          <w:caps w:val="false"/>
          <w:smallCaps w:val="false"/>
          <w:sz w:val="20"/>
        </w:rPr>
        <w:t>50 million securitization of residual interests from previously issued securitizations. In the transaction, a qualified institutional buyer purchased $</w:t>
      </w:r>
      <w:bookmarkStart w:id="733" w:name="xdx_903_eus-gaap--LongTermDebt_iI_pn6n6_"/>
      <w:bookmarkEnd w:id="733"/>
      <w:r>
        <w:rPr>
          <w:rFonts w:ascii="Times New Roman;Times;Serif" w:hAnsi="Times New Roman;Times;Serif"/>
          <w:b w:val="false"/>
          <w:i w:val="false"/>
          <w:caps w:val="false"/>
          <w:smallCaps w:val="false"/>
          <w:sz w:val="20"/>
        </w:rPr>
        <w:t>50.0 million of asset-backed notes secured by an 80% interest in a CPS affiliate that owns the residual interests in five CPS securitizations issued from January 2022 through January 2023. The sold notes (“2024-1 Notes”), issued by CPS Auto Securitization Trust 2024-1, consist of a single class with a coupon of 11.50%. At June 30, 2026, there was $</w:t>
      </w:r>
      <w:bookmarkStart w:id="734" w:name="xdx_907_eus-gaap--LineOfCredit_iI_pn5n6_"/>
      <w:bookmarkEnd w:id="734"/>
      <w:r>
        <w:rPr>
          <w:rFonts w:ascii="Times New Roman;Times;Serif" w:hAnsi="Times New Roman;Times;Serif"/>
          <w:b w:val="false"/>
          <w:i w:val="false"/>
          <w:caps w:val="false"/>
          <w:smallCaps w:val="false"/>
          <w:sz w:val="20"/>
        </w:rPr>
        <w:t>46.9 million outstanding under this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35" w:name="xdx_23D_zjyQpda7xJI4"/>
      <w:bookmarkEnd w:id="735"/>
      <w:r>
        <w:rPr>
          <w:caps w:val="false"/>
          <w:smallCaps w:val="false"/>
        </w:rPr>
        <w:t> </w:t>
      </w:r>
    </w:p>
    <w:p>
      <w:pPr>
        <w:pStyle w:val="TextBody"/>
        <w:bidi w:val="0"/>
        <w:spacing w:before="0" w:after="0"/>
        <w:ind w:left="0" w:right="0" w:hanging="0"/>
        <w:jc w:val="both"/>
        <w:rPr>
          <w:caps w:val="false"/>
          <w:smallCaps w:val="false"/>
        </w:rPr>
      </w:pPr>
      <w:bookmarkStart w:id="736" w:name="xdx_237_zGWxrzkciVie"/>
      <w:bookmarkEnd w:id="73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737" w:name="xdx_23A_znQPZxbAzLM8"/>
      <w:bookmarkEnd w:id="737"/>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2021, we completed a $</w:t>
      </w:r>
      <w:bookmarkStart w:id="738" w:name="xdx_90A_ecustom--ProceedsFromResidualInt"/>
      <w:bookmarkEnd w:id="738"/>
      <w:r>
        <w:rPr>
          <w:rFonts w:ascii="Times New Roman;Times;Serif" w:hAnsi="Times New Roman;Times;Serif"/>
          <w:b w:val="false"/>
          <w:i w:val="false"/>
          <w:caps w:val="false"/>
          <w:smallCaps w:val="false"/>
          <w:sz w:val="20"/>
        </w:rPr>
        <w:t>50 million securitization of residual interests from previously issued securitizations. In this residual interest financing transaction, qualified institutional buyers purchased $</w:t>
      </w:r>
      <w:bookmarkStart w:id="739" w:name="xdx_909_ecustom--AssetBackedNotesIssued_"/>
      <w:bookmarkEnd w:id="739"/>
      <w:r>
        <w:rPr>
          <w:rFonts w:ascii="Times New Roman;Times;Serif" w:hAnsi="Times New Roman;Times;Serif"/>
          <w:b w:val="false"/>
          <w:i w:val="false"/>
          <w:caps w:val="false"/>
          <w:smallCaps w:val="false"/>
          <w:sz w:val="20"/>
        </w:rPr>
        <w:t>50.0 million of asset-backed notes secured by residual interests in eleven CPS securitizations consecutively issued from January 2018 and September 2020. The sold notes (“2021-1 Notes”), issued by CPS Auto Securitization Trust 2021-1, consist of a single class with a coupon of 7.86%. At June 30, 2026, there was $</w:t>
      </w:r>
      <w:bookmarkStart w:id="740" w:name="xdx_902_eus-gaap--LineOfCredit_iI_pn5n6_"/>
      <w:bookmarkEnd w:id="740"/>
      <w:r>
        <w:rPr>
          <w:rFonts w:ascii="Times New Roman;Times;Serif" w:hAnsi="Times New Roman;Times;Serif"/>
          <w:b w:val="false"/>
          <w:i w:val="false"/>
          <w:caps w:val="false"/>
          <w:smallCaps w:val="false"/>
          <w:sz w:val="20"/>
        </w:rPr>
        <w:t>11.1 million outstanding under this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2005, we have offered renewable subordinated notes to the public on a continuous basis, and such notes have maturities that range from </w:t>
      </w:r>
      <w:bookmarkStart w:id="741" w:name="xdx_909_eus-gaap--DebtInstrumentTerm_dtx"/>
      <w:bookmarkEnd w:id="741"/>
      <w:r>
        <w:rPr>
          <w:rFonts w:ascii="Times New Roman;Times;Serif" w:hAnsi="Times New Roman;Times;Serif"/>
          <w:b w:val="false"/>
          <w:i w:val="false"/>
          <w:caps w:val="false"/>
          <w:smallCaps w:val="false"/>
          <w:sz w:val="20"/>
        </w:rPr>
        <w:t xml:space="preserve">six months to </w:t>
      </w:r>
      <w:bookmarkStart w:id="742" w:name="xdx_90E_eus-gaap--DebtInstrumentTerm_dtY"/>
      <w:bookmarkEnd w:id="742"/>
      <w:r>
        <w:rPr>
          <w:rFonts w:ascii="Times New Roman;Times;Serif" w:hAnsi="Times New Roman;Times;Serif"/>
          <w:b w:val="false"/>
          <w:i w:val="false"/>
          <w:caps w:val="false"/>
          <w:smallCaps w:val="false"/>
          <w:sz w:val="20"/>
        </w:rPr>
        <w:t>10 years. At June 30, 2026, there was $</w:t>
      </w:r>
      <w:bookmarkStart w:id="743" w:name="xdx_90F_eus-gaap--LineOfCredit_iI_pn5n6_"/>
      <w:bookmarkEnd w:id="743"/>
      <w:r>
        <w:rPr>
          <w:rFonts w:ascii="Times New Roman;Times;Serif" w:hAnsi="Times New Roman;Times;Serif"/>
          <w:b w:val="false"/>
          <w:i w:val="false"/>
          <w:caps w:val="false"/>
          <w:smallCaps w:val="false"/>
          <w:sz w:val="20"/>
        </w:rPr>
        <w:t>28.5 million outstanding under this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debt issuance costs of $</w:t>
      </w:r>
      <w:bookmarkStart w:id="744" w:name="xdx_90E_eus-gaap--DebtInstrumentUnamorti"/>
      <w:bookmarkEnd w:id="744"/>
      <w:r>
        <w:rPr>
          <w:rFonts w:ascii="Times New Roman;Times;Serif" w:hAnsi="Times New Roman;Times;Serif"/>
          <w:b w:val="false"/>
          <w:i w:val="false"/>
          <w:caps w:val="false"/>
          <w:smallCaps w:val="false"/>
          <w:sz w:val="20"/>
        </w:rPr>
        <w:t>2.0 million and $</w:t>
      </w:r>
      <w:bookmarkStart w:id="745" w:name="xdx_907_eus-gaap--DebtInstrumentUnamorti"/>
      <w:bookmarkEnd w:id="745"/>
      <w:r>
        <w:rPr>
          <w:rFonts w:ascii="Times New Roman;Times;Serif" w:hAnsi="Times New Roman;Times;Serif"/>
          <w:b w:val="false"/>
          <w:i w:val="false"/>
          <w:caps w:val="false"/>
          <w:smallCaps w:val="false"/>
          <w:sz w:val="20"/>
        </w:rPr>
        <w:t>1.5 million as of June 30, 2026, and December 31, 2025, respectively, have been excluded from the amount reported above for residual interest financing. These debt issuance costs are presented as a direct deduction to the carrying amount of the debt on our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46" w:name="xdx_807_eus-gaap--InterestIncomeAndInter"/>
      <w:bookmarkEnd w:id="746"/>
      <w:r>
        <w:rPr>
          <w:rFonts w:ascii="Times New Roman;Times;Serif" w:hAnsi="Times New Roman;Times;Serif"/>
          <w:b/>
          <w:i w:val="false"/>
          <w:caps w:val="false"/>
          <w:smallCaps w:val="false"/>
          <w:sz w:val="20"/>
        </w:rPr>
        <w:t xml:space="preserve">(5) </w:t>
      </w:r>
      <w:bookmarkStart w:id="747" w:name="xdx_82F_zlvN9jIPwnYa"/>
      <w:bookmarkEnd w:id="747"/>
      <w:r>
        <w:rPr>
          <w:rFonts w:ascii="Times New Roman;Times;Serif" w:hAnsi="Times New Roman;Times;Serif"/>
          <w:b/>
          <w:i/>
          <w:caps w:val="false"/>
          <w:smallCaps w:val="false"/>
          <w:sz w:val="20"/>
        </w:rPr>
        <w:t>Interest Income and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interest income:</w:t>
      </w:r>
    </w:p>
    <w:p>
      <w:pPr>
        <w:pStyle w:val="Normal"/>
        <w:bidi w:val="0"/>
        <w:spacing w:before="0" w:after="0"/>
        <w:ind w:left="0" w:right="0" w:hanging="0"/>
        <w:jc w:val="left"/>
        <w:rPr>
          <w:sz w:val="4"/>
          <w:szCs w:val="4"/>
        </w:rPr>
      </w:pPr>
      <w:r>
        <w:rPr>
          <w:sz w:val="4"/>
          <w:szCs w:val="4"/>
        </w:rPr>
      </w:r>
      <w:bookmarkStart w:id="748" w:name="xdx_89C_eus-gaap--InterestAndOtherIncome"/>
      <w:bookmarkStart w:id="749" w:name="xdx_89C_eus-gaap--InterestAndOtherIncome"/>
      <w:bookmarkEnd w:id="749"/>
    </w:p>
    <w:tbl>
      <w:tblPr>
        <w:tblW w:w="8518" w:type="dxa"/>
        <w:jc w:val="left"/>
        <w:tblInd w:w="0" w:type="dxa"/>
        <w:tblLayout w:type="fixed"/>
        <w:tblCellMar>
          <w:top w:w="0" w:type="dxa"/>
          <w:left w:w="0" w:type="dxa"/>
          <w:bottom w:w="0" w:type="dxa"/>
          <w:right w:w="0" w:type="dxa"/>
        </w:tblCellMar>
      </w:tblPr>
      <w:tblGrid>
        <w:gridCol w:w="4055"/>
        <w:gridCol w:w="60"/>
        <w:gridCol w:w="154"/>
        <w:gridCol w:w="884"/>
        <w:gridCol w:w="66"/>
        <w:gridCol w:w="66"/>
        <w:gridCol w:w="154"/>
        <w:gridCol w:w="884"/>
        <w:gridCol w:w="60"/>
        <w:gridCol w:w="60"/>
        <w:gridCol w:w="140"/>
        <w:gridCol w:w="800"/>
        <w:gridCol w:w="60"/>
        <w:gridCol w:w="60"/>
        <w:gridCol w:w="140"/>
        <w:gridCol w:w="800"/>
        <w:gridCol w:w="75"/>
      </w:tblGrid>
      <w:tr>
        <w:trPr/>
        <w:tc>
          <w:tcPr>
            <w:tcW w:w="4055" w:type="dxa"/>
            <w:tcBorders/>
            <w:vAlign w:val="center"/>
          </w:tcPr>
          <w:p>
            <w:pPr>
              <w:pStyle w:val="TableContents"/>
              <w:bidi w:val="0"/>
              <w:spacing w:before="0" w:after="283"/>
              <w:jc w:val="left"/>
              <w:rPr/>
            </w:pPr>
            <w:bookmarkStart w:id="750" w:name="xdx_8BF_zeGS7obkkAZa"/>
            <w:bookmarkEnd w:id="750"/>
            <w:r>
              <w:rPr/>
              <w:t>Schedule of interest income</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bookmarkStart w:id="751" w:name="xdx_49B_20260401__20260630_zDH9fo5IzRsj"/>
            <w:bookmarkEnd w:id="751"/>
          </w:p>
        </w:tc>
        <w:tc>
          <w:tcPr>
            <w:tcW w:w="884"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bookmarkStart w:id="752" w:name="xdx_498_20250401__20250630_z7PLxeRS94Z3"/>
            <w:bookmarkEnd w:id="752"/>
          </w:p>
        </w:tc>
        <w:tc>
          <w:tcPr>
            <w:tcW w:w="8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753" w:name="xdx_497_20260101__20260630_zMJVpqiP7vb2"/>
            <w:bookmarkEnd w:id="753"/>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754" w:name="xdx_494_20250101__20250630_zuRmL9QbMmi8"/>
            <w:bookmarkEnd w:id="754"/>
          </w:p>
        </w:tc>
        <w:tc>
          <w:tcPr>
            <w:tcW w:w="80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bookmarkStart w:id="755" w:name="xdx_400_eus-gaap--InterestIncomePurchase"/>
            <w:bookmarkEnd w:id="755"/>
          </w:p>
        </w:tc>
      </w:tr>
      <w:tr>
        <w:trPr/>
        <w:tc>
          <w:tcPr>
            <w:tcW w:w="4055" w:type="dxa"/>
            <w:tcBorders/>
            <w:shd w:fill="EEEEEE" w:val="clear"/>
            <w:vAlign w:val="center"/>
          </w:tcPr>
          <w:p>
            <w:pPr>
              <w:pStyle w:val="TableContents"/>
              <w:bidi w:val="0"/>
              <w:spacing w:before="0" w:after="283"/>
              <w:jc w:val="left"/>
              <w:rPr/>
            </w:pPr>
            <w:r>
              <w:rPr/>
              <w:t>Interest on finance receivables at fair value</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w:t>
            </w:r>
          </w:p>
        </w:tc>
        <w:tc>
          <w:tcPr>
            <w:tcW w:w="884" w:type="dxa"/>
            <w:tcBorders/>
            <w:shd w:fill="EEEEEE" w:val="clear"/>
            <w:vAlign w:val="center"/>
          </w:tcPr>
          <w:p>
            <w:pPr>
              <w:pStyle w:val="TableContents"/>
              <w:bidi w:val="0"/>
              <w:spacing w:before="0" w:after="283"/>
              <w:jc w:val="right"/>
              <w:rPr/>
            </w:pPr>
            <w:r>
              <w:rPr/>
              <w:t>116,128</w:t>
            </w:r>
          </w:p>
        </w:tc>
        <w:tc>
          <w:tcPr>
            <w:tcW w:w="66" w:type="dxa"/>
            <w:tcBorders/>
            <w:shd w:fill="EEEEEE" w:val="clear"/>
            <w:vAlign w:val="center"/>
          </w:tcPr>
          <w:p>
            <w:pPr>
              <w:pStyle w:val="TableContents"/>
              <w:bidi w:val="0"/>
              <w:spacing w:before="0" w:after="283"/>
              <w:jc w:val="left"/>
              <w:rPr>
                <w:sz w:val="4"/>
                <w:szCs w:val="4"/>
              </w:rPr>
            </w:pPr>
            <w:r>
              <w:rPr>
                <w:sz w:val="4"/>
                <w:szCs w:val="4"/>
              </w:rPr>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w:t>
            </w:r>
          </w:p>
        </w:tc>
        <w:tc>
          <w:tcPr>
            <w:tcW w:w="884" w:type="dxa"/>
            <w:tcBorders/>
            <w:shd w:fill="EEEEEE" w:val="clear"/>
            <w:vAlign w:val="center"/>
          </w:tcPr>
          <w:p>
            <w:pPr>
              <w:pStyle w:val="TableContents"/>
              <w:bidi w:val="0"/>
              <w:spacing w:before="0" w:after="283"/>
              <w:jc w:val="right"/>
              <w:rPr/>
            </w:pPr>
            <w:r>
              <w:rPr/>
              <w:t>103,027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222,459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202,594</w:t>
            </w:r>
          </w:p>
        </w:tc>
        <w:tc>
          <w:tcPr>
            <w:tcW w:w="75" w:type="dxa"/>
            <w:tcBorders/>
            <w:shd w:fill="EEEEEE" w:val="clear"/>
            <w:vAlign w:val="center"/>
          </w:tcPr>
          <w:p>
            <w:pPr>
              <w:pStyle w:val="TableContents"/>
              <w:bidi w:val="0"/>
              <w:spacing w:before="0" w:after="283"/>
              <w:jc w:val="left"/>
              <w:rPr/>
            </w:pPr>
            <w:r>
              <w:rPr/>
              <w:t> </w:t>
            </w:r>
            <w:bookmarkStart w:id="756" w:name="xdx_408_eus-gaap--InvestmentIncomeNet_pn"/>
            <w:bookmarkEnd w:id="756"/>
          </w:p>
        </w:tc>
      </w:tr>
      <w:tr>
        <w:trPr/>
        <w:tc>
          <w:tcPr>
            <w:tcW w:w="4055" w:type="dxa"/>
            <w:tcBorders/>
            <w:shd w:fill="FFFFFF" w:val="clear"/>
            <w:vAlign w:val="center"/>
          </w:tcPr>
          <w:p>
            <w:pPr>
              <w:pStyle w:val="TableContents"/>
              <w:bidi w:val="0"/>
              <w:spacing w:before="0" w:after="283"/>
              <w:jc w:val="left"/>
              <w:rPr/>
            </w:pPr>
            <w:r>
              <w:rPr/>
              <w:t>Interest on finance receivables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653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2,105</w:t>
            </w:r>
          </w:p>
        </w:tc>
        <w:tc>
          <w:tcPr>
            <w:tcW w:w="75" w:type="dxa"/>
            <w:tcBorders/>
            <w:shd w:fill="FFFFFF" w:val="clear"/>
            <w:vAlign w:val="center"/>
          </w:tcPr>
          <w:p>
            <w:pPr>
              <w:pStyle w:val="TableContents"/>
              <w:bidi w:val="0"/>
              <w:spacing w:before="0" w:after="283"/>
              <w:jc w:val="left"/>
              <w:rPr/>
            </w:pPr>
            <w:r>
              <w:rPr/>
              <w:t> </w:t>
            </w:r>
            <w:bookmarkStart w:id="757" w:name="xdx_403_eus-gaap--InterestAndOtherIncome"/>
            <w:bookmarkEnd w:id="757"/>
          </w:p>
        </w:tc>
      </w:tr>
      <w:tr>
        <w:trPr/>
        <w:tc>
          <w:tcPr>
            <w:tcW w:w="4055" w:type="dxa"/>
            <w:tcBorders/>
            <w:shd w:fill="EEEEEE" w:val="clear"/>
            <w:vAlign w:val="center"/>
          </w:tcPr>
          <w:p>
            <w:pPr>
              <w:pStyle w:val="TableContents"/>
              <w:bidi w:val="0"/>
              <w:spacing w:before="0" w:after="283"/>
              <w:jc w:val="left"/>
              <w:rPr/>
            </w:pPr>
            <w:r>
              <w:rPr/>
              <w:t>Other interest income</w:t>
            </w:r>
          </w:p>
        </w:tc>
        <w:tc>
          <w:tcPr>
            <w:tcW w:w="60" w:type="dxa"/>
            <w:tcBorders/>
            <w:shd w:fill="EEEEEE" w:val="clear"/>
            <w:vAlign w:val="center"/>
          </w:tcPr>
          <w:p>
            <w:pPr>
              <w:pStyle w:val="TableContents"/>
              <w:bidi w:val="0"/>
              <w:spacing w:before="0" w:after="283"/>
              <w:jc w:val="left"/>
              <w:rPr/>
            </w:pPr>
            <w:r>
              <w:rPr/>
              <w:t> </w:t>
            </w:r>
          </w:p>
        </w:tc>
        <w:tc>
          <w:tcPr>
            <w:tcW w:w="15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EEEEEE" w:val="clear"/>
            <w:tcMar>
              <w:bottom w:w="28" w:type="dxa"/>
            </w:tcMar>
            <w:vAlign w:val="center"/>
          </w:tcPr>
          <w:p>
            <w:pPr>
              <w:pStyle w:val="TableContents"/>
              <w:bidi w:val="0"/>
              <w:spacing w:before="0" w:after="283"/>
              <w:jc w:val="right"/>
              <w:rPr/>
            </w:pPr>
            <w:r>
              <w:rPr/>
              <w:t>1,331</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EEEEEE" w:val="clear"/>
            <w:tcMar>
              <w:bottom w:w="28" w:type="dxa"/>
            </w:tcMar>
            <w:vAlign w:val="center"/>
          </w:tcPr>
          <w:p>
            <w:pPr>
              <w:pStyle w:val="TableContents"/>
              <w:bidi w:val="0"/>
              <w:spacing w:before="0" w:after="283"/>
              <w:jc w:val="right"/>
              <w:rPr/>
            </w:pPr>
            <w:r>
              <w:rPr/>
              <w:t>1,401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2,597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2,596</w:t>
            </w:r>
          </w:p>
        </w:tc>
        <w:tc>
          <w:tcPr>
            <w:tcW w:w="75" w:type="dxa"/>
            <w:tcBorders/>
            <w:shd w:fill="EEEEEE"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758" w:name="xdx_40D_eus-gaap--InterestAndDividendInc"/>
            <w:bookmarkEnd w:id="758"/>
          </w:p>
        </w:tc>
      </w:tr>
      <w:tr>
        <w:trPr/>
        <w:tc>
          <w:tcPr>
            <w:tcW w:w="4055" w:type="dxa"/>
            <w:tcBorders/>
            <w:shd w:fill="EEEEEE" w:val="clear"/>
            <w:vAlign w:val="center"/>
          </w:tcPr>
          <w:p>
            <w:pPr>
              <w:pStyle w:val="TableContents"/>
              <w:bidi w:val="0"/>
              <w:spacing w:before="0" w:after="283"/>
              <w:jc w:val="left"/>
              <w:rPr/>
            </w:pPr>
            <w:r>
              <w:rPr/>
              <w:t>Interest income</w:t>
            </w:r>
          </w:p>
        </w:tc>
        <w:tc>
          <w:tcPr>
            <w:tcW w:w="60" w:type="dxa"/>
            <w:tcBorders/>
            <w:shd w:fill="EEEEEE" w:val="clear"/>
            <w:vAlign w:val="center"/>
          </w:tcPr>
          <w:p>
            <w:pPr>
              <w:pStyle w:val="TableContents"/>
              <w:bidi w:val="0"/>
              <w:spacing w:before="0" w:after="283"/>
              <w:jc w:val="left"/>
              <w:rPr/>
            </w:pPr>
            <w:r>
              <w:rPr/>
              <w:t> </w:t>
            </w:r>
          </w:p>
        </w:tc>
        <w:tc>
          <w:tcPr>
            <w:tcW w:w="154"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EEEEEE" w:val="clear"/>
            <w:tcMar>
              <w:bottom w:w="28" w:type="dxa"/>
            </w:tcMar>
            <w:vAlign w:val="center"/>
          </w:tcPr>
          <w:p>
            <w:pPr>
              <w:pStyle w:val="TableContents"/>
              <w:bidi w:val="0"/>
              <w:spacing w:before="0" w:after="283"/>
              <w:jc w:val="right"/>
              <w:rPr/>
            </w:pPr>
            <w:r>
              <w:rPr/>
              <w:t>118,112</w:t>
            </w:r>
          </w:p>
        </w:tc>
        <w:tc>
          <w:tcPr>
            <w:tcW w:w="66" w:type="dxa"/>
            <w:tcBorders/>
            <w:shd w:fill="EEEEEE" w:val="clear"/>
            <w:vAlign w:val="center"/>
          </w:tcPr>
          <w:p>
            <w:pPr>
              <w:pStyle w:val="TableContents"/>
              <w:bidi w:val="0"/>
              <w:spacing w:before="0" w:after="283"/>
              <w:jc w:val="left"/>
              <w:rPr>
                <w:sz w:val="4"/>
                <w:szCs w:val="4"/>
              </w:rPr>
            </w:pPr>
            <w:r>
              <w:rPr>
                <w:sz w:val="4"/>
                <w:szCs w:val="4"/>
              </w:rPr>
            </w:r>
          </w:p>
        </w:tc>
        <w:tc>
          <w:tcPr>
            <w:tcW w:w="66" w:type="dxa"/>
            <w:tcBorders/>
            <w:shd w:fill="EEEEEE" w:val="clear"/>
            <w:vAlign w:val="center"/>
          </w:tcPr>
          <w:p>
            <w:pPr>
              <w:pStyle w:val="TableContents"/>
              <w:bidi w:val="0"/>
              <w:spacing w:before="0" w:after="283"/>
              <w:jc w:val="left"/>
              <w:rPr/>
            </w:pPr>
            <w:r>
              <w:rPr/>
              <w:t> </w:t>
            </w:r>
          </w:p>
        </w:tc>
        <w:tc>
          <w:tcPr>
            <w:tcW w:w="154"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EEEEEE" w:val="clear"/>
            <w:tcMar>
              <w:bottom w:w="28" w:type="dxa"/>
            </w:tcMar>
            <w:vAlign w:val="center"/>
          </w:tcPr>
          <w:p>
            <w:pPr>
              <w:pStyle w:val="TableContents"/>
              <w:bidi w:val="0"/>
              <w:spacing w:before="0" w:after="283"/>
              <w:jc w:val="right"/>
              <w:rPr/>
            </w:pPr>
            <w:r>
              <w:rPr/>
              <w:t>105,362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226,833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207,295</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59" w:name="xdx_8A8_zrDN5vwI8fwb"/>
      <w:bookmarkEnd w:id="75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interest expense:</w:t>
      </w:r>
    </w:p>
    <w:p>
      <w:pPr>
        <w:pStyle w:val="Normal"/>
        <w:bidi w:val="0"/>
        <w:spacing w:before="0" w:after="0"/>
        <w:ind w:left="0" w:right="0" w:hanging="0"/>
        <w:jc w:val="left"/>
        <w:rPr>
          <w:sz w:val="4"/>
          <w:szCs w:val="4"/>
        </w:rPr>
      </w:pPr>
      <w:r>
        <w:rPr>
          <w:sz w:val="4"/>
          <w:szCs w:val="4"/>
        </w:rPr>
      </w:r>
      <w:bookmarkStart w:id="760" w:name="xdx_899_eus-gaap--InterestIncomeAndInter"/>
      <w:bookmarkStart w:id="761" w:name="xdx_899_eus-gaap--InterestIncomeAndInter"/>
      <w:bookmarkEnd w:id="761"/>
    </w:p>
    <w:tbl>
      <w:tblPr>
        <w:tblW w:w="7346" w:type="dxa"/>
        <w:jc w:val="left"/>
        <w:tblInd w:w="0" w:type="dxa"/>
        <w:tblLayout w:type="fixed"/>
        <w:tblCellMar>
          <w:top w:w="0" w:type="dxa"/>
          <w:left w:w="0" w:type="dxa"/>
          <w:bottom w:w="0" w:type="dxa"/>
          <w:right w:w="0" w:type="dxa"/>
        </w:tblCellMar>
      </w:tblPr>
      <w:tblGrid>
        <w:gridCol w:w="2885"/>
        <w:gridCol w:w="60"/>
        <w:gridCol w:w="175"/>
        <w:gridCol w:w="853"/>
        <w:gridCol w:w="75"/>
        <w:gridCol w:w="75"/>
        <w:gridCol w:w="175"/>
        <w:gridCol w:w="853"/>
        <w:gridCol w:w="60"/>
        <w:gridCol w:w="60"/>
        <w:gridCol w:w="140"/>
        <w:gridCol w:w="800"/>
        <w:gridCol w:w="60"/>
        <w:gridCol w:w="60"/>
        <w:gridCol w:w="140"/>
        <w:gridCol w:w="800"/>
        <w:gridCol w:w="75"/>
      </w:tblGrid>
      <w:tr>
        <w:trPr/>
        <w:tc>
          <w:tcPr>
            <w:tcW w:w="2885" w:type="dxa"/>
            <w:tcBorders/>
            <w:vAlign w:val="center"/>
          </w:tcPr>
          <w:p>
            <w:pPr>
              <w:pStyle w:val="TableContents"/>
              <w:bidi w:val="0"/>
              <w:spacing w:before="0" w:after="283"/>
              <w:jc w:val="left"/>
              <w:rPr/>
            </w:pPr>
            <w:bookmarkStart w:id="762" w:name="xdx_8B9_zPCYuC3aowae"/>
            <w:bookmarkEnd w:id="762"/>
            <w:r>
              <w:rPr/>
              <w:t>Schedule of interest expense</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Securitization trust debt</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w:t>
            </w:r>
            <w:bookmarkStart w:id="763" w:name="xdx_984_eus-gaap--InterestExpense_pn3n3_"/>
            <w:bookmarkEnd w:id="763"/>
          </w:p>
        </w:tc>
        <w:tc>
          <w:tcPr>
            <w:tcW w:w="853" w:type="dxa"/>
            <w:tcBorders/>
            <w:shd w:fill="EEEEEE" w:val="clear"/>
            <w:vAlign w:val="center"/>
          </w:tcPr>
          <w:p>
            <w:pPr>
              <w:pStyle w:val="TableContents"/>
              <w:bidi w:val="0"/>
              <w:spacing w:before="0" w:after="283"/>
              <w:jc w:val="right"/>
              <w:rPr/>
            </w:pPr>
            <w:r>
              <w:rPr/>
              <w:t>50,039</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w:t>
            </w:r>
            <w:bookmarkStart w:id="764" w:name="xdx_986_eus-gaap--InterestExpense_pn3n3_"/>
            <w:bookmarkEnd w:id="764"/>
          </w:p>
        </w:tc>
        <w:tc>
          <w:tcPr>
            <w:tcW w:w="853" w:type="dxa"/>
            <w:tcBorders/>
            <w:shd w:fill="EEEEEE" w:val="clear"/>
            <w:vAlign w:val="center"/>
          </w:tcPr>
          <w:p>
            <w:pPr>
              <w:pStyle w:val="TableContents"/>
              <w:bidi w:val="0"/>
              <w:spacing w:before="0" w:after="283"/>
              <w:jc w:val="right"/>
              <w:rPr/>
            </w:pPr>
            <w:r>
              <w:rPr/>
              <w:t>45,557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765" w:name="xdx_985_eus-gaap--InterestExpense_pn3n3_"/>
            <w:bookmarkEnd w:id="765"/>
          </w:p>
        </w:tc>
        <w:tc>
          <w:tcPr>
            <w:tcW w:w="800" w:type="dxa"/>
            <w:tcBorders/>
            <w:shd w:fill="EEEEEE" w:val="clear"/>
            <w:vAlign w:val="center"/>
          </w:tcPr>
          <w:p>
            <w:pPr>
              <w:pStyle w:val="TableContents"/>
              <w:bidi w:val="0"/>
              <w:spacing w:before="0" w:after="283"/>
              <w:jc w:val="right"/>
              <w:rPr/>
            </w:pPr>
            <w:r>
              <w:rPr/>
              <w:t>98,795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766" w:name="xdx_982_eus-gaap--InterestExpense_pn3n3_"/>
            <w:bookmarkEnd w:id="766"/>
          </w:p>
        </w:tc>
        <w:tc>
          <w:tcPr>
            <w:tcW w:w="800" w:type="dxa"/>
            <w:tcBorders/>
            <w:shd w:fill="EEEEEE" w:val="clear"/>
            <w:vAlign w:val="center"/>
          </w:tcPr>
          <w:p>
            <w:pPr>
              <w:pStyle w:val="TableContents"/>
              <w:bidi w:val="0"/>
              <w:spacing w:before="0" w:after="283"/>
              <w:jc w:val="right"/>
              <w:rPr/>
            </w:pPr>
            <w:r>
              <w:rPr/>
              <w:t>90,602</w:t>
            </w:r>
          </w:p>
        </w:tc>
        <w:tc>
          <w:tcPr>
            <w:tcW w:w="75"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Warehouse lines of credit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767" w:name="xdx_986_eus-gaap--InterestExpense_pn3n3_"/>
            <w:bookmarkEnd w:id="767"/>
          </w:p>
        </w:tc>
        <w:tc>
          <w:tcPr>
            <w:tcW w:w="853" w:type="dxa"/>
            <w:tcBorders/>
            <w:shd w:fill="FFFFFF" w:val="clear"/>
            <w:vAlign w:val="center"/>
          </w:tcPr>
          <w:p>
            <w:pPr>
              <w:pStyle w:val="TableContents"/>
              <w:bidi w:val="0"/>
              <w:spacing w:before="0" w:after="283"/>
              <w:jc w:val="right"/>
              <w:rPr/>
            </w:pPr>
            <w:r>
              <w:rPr/>
              <w:t>8,833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768" w:name="xdx_989_eus-gaap--InterestExpense_pn3n3_"/>
            <w:bookmarkEnd w:id="768"/>
          </w:p>
        </w:tc>
        <w:tc>
          <w:tcPr>
            <w:tcW w:w="853" w:type="dxa"/>
            <w:tcBorders/>
            <w:shd w:fill="FFFFFF" w:val="clear"/>
            <w:vAlign w:val="center"/>
          </w:tcPr>
          <w:p>
            <w:pPr>
              <w:pStyle w:val="TableContents"/>
              <w:bidi w:val="0"/>
              <w:spacing w:before="0" w:after="283"/>
              <w:jc w:val="right"/>
              <w:rPr/>
            </w:pPr>
            <w:r>
              <w:rPr/>
              <w:t>8,216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69" w:name="xdx_986_eus-gaap--InterestExpense_pn3n3_"/>
            <w:bookmarkEnd w:id="769"/>
          </w:p>
        </w:tc>
        <w:tc>
          <w:tcPr>
            <w:tcW w:w="800" w:type="dxa"/>
            <w:tcBorders/>
            <w:shd w:fill="FFFFFF" w:val="clear"/>
            <w:vAlign w:val="center"/>
          </w:tcPr>
          <w:p>
            <w:pPr>
              <w:pStyle w:val="TableContents"/>
              <w:bidi w:val="0"/>
              <w:spacing w:before="0" w:after="283"/>
              <w:jc w:val="right"/>
              <w:rPr/>
            </w:pPr>
            <w:r>
              <w:rPr/>
              <w:t>15,298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70" w:name="xdx_987_eus-gaap--InterestExpense_pn3n3_"/>
            <w:bookmarkEnd w:id="770"/>
          </w:p>
        </w:tc>
        <w:tc>
          <w:tcPr>
            <w:tcW w:w="800" w:type="dxa"/>
            <w:tcBorders/>
            <w:shd w:fill="FFFFFF" w:val="clear"/>
            <w:vAlign w:val="center"/>
          </w:tcPr>
          <w:p>
            <w:pPr>
              <w:pStyle w:val="TableContents"/>
              <w:bidi w:val="0"/>
              <w:spacing w:before="0" w:after="283"/>
              <w:jc w:val="right"/>
              <w:rPr/>
            </w:pPr>
            <w:r>
              <w:rPr/>
              <w:t>14,729</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bookmarkStart w:id="771" w:name="xdx_98A_eus-gaap--InterestExpense_pn3n3_"/>
            <w:bookmarkEnd w:id="771"/>
          </w:p>
        </w:tc>
        <w:tc>
          <w:tcPr>
            <w:tcW w:w="853" w:type="dxa"/>
            <w:tcBorders/>
            <w:shd w:fill="EEEEEE" w:val="clear"/>
            <w:vAlign w:val="center"/>
          </w:tcPr>
          <w:p>
            <w:pPr>
              <w:pStyle w:val="TableContents"/>
              <w:bidi w:val="0"/>
              <w:spacing w:before="0" w:after="283"/>
              <w:jc w:val="right"/>
              <w:rPr/>
            </w:pPr>
            <w:r>
              <w:rPr/>
              <w:t>4,713</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bookmarkStart w:id="772" w:name="xdx_985_eus-gaap--InterestExpense_pn3n3_"/>
            <w:bookmarkEnd w:id="772"/>
          </w:p>
        </w:tc>
        <w:tc>
          <w:tcPr>
            <w:tcW w:w="853" w:type="dxa"/>
            <w:tcBorders/>
            <w:shd w:fill="EEEEEE" w:val="clear"/>
            <w:vAlign w:val="center"/>
          </w:tcPr>
          <w:p>
            <w:pPr>
              <w:pStyle w:val="TableContents"/>
              <w:bidi w:val="0"/>
              <w:spacing w:before="0" w:after="283"/>
              <w:jc w:val="right"/>
              <w:rPr/>
            </w:pPr>
            <w:r>
              <w:rPr/>
              <w:t>4,247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773" w:name="xdx_98B_eus-gaap--InterestExpense_pn3n3_"/>
            <w:bookmarkEnd w:id="773"/>
          </w:p>
        </w:tc>
        <w:tc>
          <w:tcPr>
            <w:tcW w:w="800" w:type="dxa"/>
            <w:tcBorders/>
            <w:shd w:fill="EEEEEE" w:val="clear"/>
            <w:vAlign w:val="center"/>
          </w:tcPr>
          <w:p>
            <w:pPr>
              <w:pStyle w:val="TableContents"/>
              <w:bidi w:val="0"/>
              <w:spacing w:before="0" w:after="283"/>
              <w:jc w:val="right"/>
              <w:rPr/>
            </w:pPr>
            <w:r>
              <w:rPr/>
              <w:t>8,868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774" w:name="xdx_98C_eus-gaap--InterestExpense_pn3n3_"/>
            <w:bookmarkEnd w:id="774"/>
          </w:p>
        </w:tc>
        <w:tc>
          <w:tcPr>
            <w:tcW w:w="800" w:type="dxa"/>
            <w:tcBorders/>
            <w:shd w:fill="EEEEEE" w:val="clear"/>
            <w:vAlign w:val="center"/>
          </w:tcPr>
          <w:p>
            <w:pPr>
              <w:pStyle w:val="TableContents"/>
              <w:bidi w:val="0"/>
              <w:spacing w:before="0" w:after="283"/>
              <w:jc w:val="right"/>
              <w:rPr/>
            </w:pPr>
            <w:r>
              <w:rPr/>
              <w:t>6,962</w:t>
            </w:r>
          </w:p>
        </w:tc>
        <w:tc>
          <w:tcPr>
            <w:tcW w:w="75"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Subordinated renewable notes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5" w:name="xdx_98A_eus-gaap--InterestExpense_pn3n3_"/>
            <w:bookmarkEnd w:id="775"/>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pPr>
            <w:r>
              <w:rPr/>
              <w:t>668</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6" w:name="xdx_987_eus-gaap--InterestExpense_pn3n3_"/>
            <w:bookmarkEnd w:id="776"/>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pPr>
            <w:r>
              <w:rPr/>
              <w:t>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7" w:name="xdx_98B_eus-gaap--InterestExpense_pn3n3_"/>
            <w:bookmarkEnd w:id="777"/>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8" w:name="xdx_98F_eus-gaap--InterestExpense_pn3n3_"/>
            <w:bookmarkEnd w:id="778"/>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1,329</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853"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853"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79" w:name="xdx_98E_eus-gaap--InterestExpense_pn3n3_"/>
            <w:bookmarkEnd w:id="779"/>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pPr>
            <w:r>
              <w:rPr/>
              <w:t>64,253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80" w:name="xdx_985_eus-gaap--InterestExpense_pn3n3_"/>
            <w:bookmarkEnd w:id="780"/>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pPr>
            <w:r>
              <w:rPr/>
              <w:t>58,704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81" w:name="xdx_984_eus-gaap--InterestExpense_pn3n3_"/>
            <w:bookmarkEnd w:id="781"/>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124,314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82" w:name="xdx_98C_eus-gaap--InterestExpense_pn3n3_"/>
            <w:bookmarkEnd w:id="782"/>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113,622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783" w:name="xdx_8AE_zBSLsY1gZtnk"/>
      <w:bookmarkEnd w:id="783"/>
      <w:r>
        <w:rPr/>
        <w:t> </w:t>
      </w:r>
    </w:p>
    <w:p>
      <w:pPr>
        <w:pStyle w:val="TextBody"/>
        <w:bidi w:val="0"/>
        <w:spacing w:before="0" w:after="283"/>
        <w:jc w:val="left"/>
        <w:rPr/>
      </w:pPr>
      <w:bookmarkStart w:id="784" w:name="xdx_238_zt0XecMPM3R1"/>
      <w:bookmarkEnd w:id="784"/>
      <w:r>
        <w:rPr/>
        <w:t> </w:t>
      </w:r>
    </w:p>
    <w:p>
      <w:pPr>
        <w:pStyle w:val="TextBody"/>
        <w:bidi w:val="0"/>
        <w:spacing w:before="0" w:after="283"/>
        <w:jc w:val="left"/>
        <w:rPr/>
      </w:pPr>
      <w:bookmarkStart w:id="785" w:name="xdx_233_zuStEykmjTl2"/>
      <w:bookmarkEnd w:id="785"/>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bookmarkStart w:id="786" w:name="xdx_23B_zyHTLsbT3Xrc"/>
      <w:bookmarkEnd w:id="786"/>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7" w:name="xdx_807_eus-gaap--EarningsPerShareTextBl"/>
      <w:bookmarkEnd w:id="787"/>
      <w:r>
        <w:rPr>
          <w:rFonts w:ascii="Times New Roman;Times;Serif" w:hAnsi="Times New Roman;Times;Serif"/>
          <w:b/>
          <w:i w:val="false"/>
          <w:caps w:val="false"/>
          <w:smallCaps w:val="false"/>
          <w:sz w:val="20"/>
        </w:rPr>
        <w:t xml:space="preserve">(6) </w:t>
      </w:r>
      <w:bookmarkStart w:id="788" w:name="xdx_82B_z5eqVkcqb65g"/>
      <w:bookmarkEnd w:id="788"/>
      <w:r>
        <w:rPr>
          <w:rFonts w:ascii="Times New Roman;Times;Serif" w:hAnsi="Times New Roman;Times;Serif"/>
          <w:b/>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for the three-month and six-month periods ended June 30, 2026, and 2025 were calculated using the weighted average number of shares outstanding for the related period. The following table reconciles the number of shares used in the computations of basic and diluted earnings per share for the three-month and six-month periods ended June 30, 2026, and 2025:</w:t>
      </w:r>
    </w:p>
    <w:p>
      <w:pPr>
        <w:pStyle w:val="Normal"/>
        <w:bidi w:val="0"/>
        <w:spacing w:before="0" w:after="0"/>
        <w:ind w:left="0" w:right="0" w:firstLine="180"/>
        <w:jc w:val="left"/>
        <w:rPr>
          <w:sz w:val="4"/>
          <w:szCs w:val="4"/>
        </w:rPr>
      </w:pPr>
      <w:r>
        <w:rPr>
          <w:sz w:val="4"/>
          <w:szCs w:val="4"/>
        </w:rPr>
      </w:r>
      <w:bookmarkStart w:id="789" w:name="xdx_895_eus-gaap--ScheduleOfEarningsPerS"/>
      <w:bookmarkStart w:id="790" w:name="xdx_895_eus-gaap--ScheduleOfEarningsPerS"/>
      <w:bookmarkEnd w:id="790"/>
    </w:p>
    <w:tbl>
      <w:tblPr>
        <w:tblW w:w="10205" w:type="dxa"/>
        <w:jc w:val="left"/>
        <w:tblInd w:w="0" w:type="dxa"/>
        <w:tblLayout w:type="fixed"/>
        <w:tblCellMar>
          <w:top w:w="0" w:type="dxa"/>
          <w:left w:w="0" w:type="dxa"/>
          <w:bottom w:w="0" w:type="dxa"/>
          <w:right w:w="0" w:type="dxa"/>
        </w:tblCellMar>
      </w:tblPr>
      <w:tblGrid>
        <w:gridCol w:w="6277"/>
        <w:gridCol w:w="60"/>
        <w:gridCol w:w="71"/>
        <w:gridCol w:w="814"/>
        <w:gridCol w:w="71"/>
        <w:gridCol w:w="71"/>
        <w:gridCol w:w="71"/>
        <w:gridCol w:w="814"/>
        <w:gridCol w:w="60"/>
        <w:gridCol w:w="60"/>
        <w:gridCol w:w="65"/>
        <w:gridCol w:w="747"/>
        <w:gridCol w:w="65"/>
        <w:gridCol w:w="65"/>
        <w:gridCol w:w="65"/>
        <w:gridCol w:w="747"/>
        <w:gridCol w:w="82"/>
      </w:tblGrid>
      <w:tr>
        <w:trPr/>
        <w:tc>
          <w:tcPr>
            <w:tcW w:w="6277" w:type="dxa"/>
            <w:tcBorders/>
            <w:shd w:fill="FFFFFF" w:val="clear"/>
            <w:vAlign w:val="center"/>
          </w:tcPr>
          <w:p>
            <w:pPr>
              <w:pStyle w:val="TableContents"/>
              <w:bidi w:val="0"/>
              <w:spacing w:before="0" w:after="283"/>
              <w:jc w:val="left"/>
              <w:rPr/>
            </w:pPr>
            <w:bookmarkStart w:id="791" w:name="xdx_8B6_z4xfqug4HSJ6"/>
            <w:bookmarkEnd w:id="791"/>
            <w:r>
              <w:rPr/>
              <w:t>Schedule of earnings per share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792" w:name="xdx_498_20260401__20260630_zDi4BbMZUuIa"/>
            <w:bookmarkEnd w:id="792"/>
          </w:p>
        </w:tc>
        <w:tc>
          <w:tcPr>
            <w:tcW w:w="814"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793" w:name="xdx_499_20250401__20250630_zNNgWkaCODEb"/>
            <w:bookmarkEnd w:id="793"/>
          </w:p>
        </w:tc>
        <w:tc>
          <w:tcPr>
            <w:tcW w:w="8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794" w:name="xdx_490_20260101__20260630_zikMW2d06lR5"/>
            <w:bookmarkEnd w:id="794"/>
          </w:p>
        </w:tc>
        <w:tc>
          <w:tcPr>
            <w:tcW w:w="747"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795" w:name="xdx_490_20250101__20250630_zvMnW8U8I3Y8"/>
            <w:bookmarkEnd w:id="795"/>
          </w:p>
        </w:tc>
        <w:tc>
          <w:tcPr>
            <w:tcW w:w="747"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2"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gridSpan w:val="6"/>
            <w:tcBorders/>
            <w:vAlign w:val="center"/>
          </w:tcPr>
          <w:p>
            <w:pPr>
              <w:pStyle w:val="TableContents"/>
              <w:bidi w:val="0"/>
              <w:spacing w:before="0" w:after="283"/>
              <w:jc w:val="center"/>
              <w:rPr>
                <w:b/>
              </w:rPr>
            </w:pPr>
            <w:r>
              <w:rPr>
                <w:b/>
              </w:rPr>
              <w:t>Six Months Ended</w:t>
            </w:r>
          </w:p>
        </w:tc>
        <w:tc>
          <w:tcPr>
            <w:tcW w:w="82" w:type="dxa"/>
            <w:tcBorders/>
            <w:vAlign w:val="center"/>
          </w:tcPr>
          <w:p>
            <w:pPr>
              <w:pStyle w:val="TableContents"/>
              <w:bidi w:val="0"/>
              <w:spacing w:before="0" w:after="283"/>
              <w:jc w:val="left"/>
              <w:rPr/>
            </w:pPr>
            <w:r>
              <w:rPr/>
              <w:t> </w:t>
            </w:r>
          </w:p>
        </w:tc>
      </w:tr>
      <w:tr>
        <w:trPr/>
        <w:tc>
          <w:tcPr>
            <w:tcW w:w="6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82" w:type="dxa"/>
            <w:tcBorders/>
            <w:vAlign w:val="center"/>
          </w:tcPr>
          <w:p>
            <w:pPr>
              <w:pStyle w:val="TableContents"/>
              <w:bidi w:val="0"/>
              <w:spacing w:before="0" w:after="283"/>
              <w:jc w:val="left"/>
              <w:rPr/>
            </w:pPr>
            <w:r>
              <w:rPr/>
              <w:t> </w:t>
            </w:r>
          </w:p>
        </w:tc>
      </w:tr>
      <w:tr>
        <w:trPr/>
        <w:tc>
          <w:tcPr>
            <w:tcW w:w="6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2" w:type="dxa"/>
            <w:tcBorders/>
            <w:vAlign w:val="center"/>
          </w:tcPr>
          <w:p>
            <w:pPr>
              <w:pStyle w:val="TableContents"/>
              <w:bidi w:val="0"/>
              <w:spacing w:before="0" w:after="283"/>
              <w:jc w:val="left"/>
              <w:rPr/>
            </w:pPr>
            <w:r>
              <w:rPr/>
              <w:t> </w:t>
            </w:r>
          </w:p>
        </w:tc>
      </w:tr>
      <w:tr>
        <w:trPr/>
        <w:tc>
          <w:tcPr>
            <w:tcW w:w="6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2"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gridSpan w:val="6"/>
            <w:tcBorders/>
            <w:vAlign w:val="center"/>
          </w:tcPr>
          <w:p>
            <w:pPr>
              <w:pStyle w:val="TableContents"/>
              <w:bidi w:val="0"/>
              <w:spacing w:before="0" w:after="283"/>
              <w:jc w:val="center"/>
              <w:rPr>
                <w:b/>
              </w:rPr>
            </w:pPr>
            <w:r>
              <w:rPr>
                <w:b/>
              </w:rPr>
              <w:t>(In thousands)</w:t>
            </w:r>
          </w:p>
        </w:tc>
        <w:tc>
          <w:tcPr>
            <w:tcW w:w="82" w:type="dxa"/>
            <w:tcBorders/>
            <w:vAlign w:val="center"/>
          </w:tcPr>
          <w:p>
            <w:pPr>
              <w:pStyle w:val="TableContents"/>
              <w:bidi w:val="0"/>
              <w:spacing w:before="0" w:after="283"/>
              <w:ind w:left="0" w:right="0" w:hanging="200"/>
              <w:jc w:val="left"/>
              <w:rPr/>
            </w:pPr>
            <w:r>
              <w:rPr/>
              <w:t> </w:t>
            </w:r>
            <w:bookmarkStart w:id="796" w:name="xdx_403_eus-gaap--WeightedAverageNumberO"/>
            <w:bookmarkEnd w:id="796"/>
          </w:p>
        </w:tc>
      </w:tr>
      <w:tr>
        <w:trPr/>
        <w:tc>
          <w:tcPr>
            <w:tcW w:w="6277" w:type="dxa"/>
            <w:tcBorders/>
            <w:shd w:fill="EEEEEE" w:val="clear"/>
            <w:vAlign w:val="center"/>
          </w:tcPr>
          <w:p>
            <w:pPr>
              <w:pStyle w:val="TableContents"/>
              <w:bidi w:val="0"/>
              <w:spacing w:before="0" w:after="283"/>
              <w:jc w:val="left"/>
              <w:rPr/>
            </w:pPr>
            <w:r>
              <w:rPr/>
              <w:t>Weighted average number of common shares outstanding during the period used to compute basic earnings per share</w:t>
            </w:r>
          </w:p>
        </w:tc>
        <w:tc>
          <w:tcPr>
            <w:tcW w:w="60"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814" w:type="dxa"/>
            <w:tcBorders/>
            <w:shd w:fill="EEEEEE" w:val="clear"/>
            <w:vAlign w:val="center"/>
          </w:tcPr>
          <w:p>
            <w:pPr>
              <w:pStyle w:val="TableContents"/>
              <w:bidi w:val="0"/>
              <w:spacing w:before="0" w:after="283"/>
              <w:jc w:val="right"/>
              <w:rPr/>
            </w:pPr>
            <w:r>
              <w:rPr/>
              <w:t>21,633</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814" w:type="dxa"/>
            <w:tcBorders/>
            <w:shd w:fill="EEEEEE" w:val="clear"/>
            <w:vAlign w:val="center"/>
          </w:tcPr>
          <w:p>
            <w:pPr>
              <w:pStyle w:val="TableContents"/>
              <w:bidi w:val="0"/>
              <w:spacing w:before="0" w:after="283"/>
              <w:jc w:val="right"/>
              <w:rPr/>
            </w:pPr>
            <w:r>
              <w:rPr/>
              <w:t>21,893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747" w:type="dxa"/>
            <w:tcBorders/>
            <w:shd w:fill="EEEEEE" w:val="clear"/>
            <w:vAlign w:val="center"/>
          </w:tcPr>
          <w:p>
            <w:pPr>
              <w:pStyle w:val="TableContents"/>
              <w:bidi w:val="0"/>
              <w:spacing w:before="0" w:after="283"/>
              <w:jc w:val="right"/>
              <w:rPr/>
            </w:pPr>
            <w:r>
              <w:rPr/>
              <w:t>21,704</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747" w:type="dxa"/>
            <w:tcBorders/>
            <w:shd w:fill="EEEEEE" w:val="clear"/>
            <w:vAlign w:val="center"/>
          </w:tcPr>
          <w:p>
            <w:pPr>
              <w:pStyle w:val="TableContents"/>
              <w:bidi w:val="0"/>
              <w:spacing w:before="0" w:after="283"/>
              <w:jc w:val="right"/>
              <w:rPr/>
            </w:pPr>
            <w:r>
              <w:rPr/>
              <w:t>21,670</w:t>
            </w:r>
          </w:p>
        </w:tc>
        <w:tc>
          <w:tcPr>
            <w:tcW w:w="82" w:type="dxa"/>
            <w:tcBorders/>
            <w:shd w:fill="EEEEEE" w:val="clear"/>
            <w:vAlign w:val="center"/>
          </w:tcPr>
          <w:p>
            <w:pPr>
              <w:pStyle w:val="TableContents"/>
              <w:bidi w:val="0"/>
              <w:spacing w:before="0" w:after="283"/>
              <w:jc w:val="left"/>
              <w:rPr/>
            </w:pPr>
            <w:r>
              <w:rPr/>
              <w:t> </w:t>
            </w:r>
          </w:p>
        </w:tc>
      </w:tr>
      <w:tr>
        <w:trPr/>
        <w:tc>
          <w:tcPr>
            <w:tcW w:w="62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200"/>
              <w:jc w:val="left"/>
              <w:rPr/>
            </w:pPr>
            <w:r>
              <w:rPr/>
              <w:t> </w:t>
            </w:r>
            <w:bookmarkStart w:id="797" w:name="xdx_401_eus-gaap--IncrementalCommonShare"/>
            <w:bookmarkEnd w:id="797"/>
          </w:p>
        </w:tc>
      </w:tr>
      <w:tr>
        <w:trPr/>
        <w:tc>
          <w:tcPr>
            <w:tcW w:w="6277" w:type="dxa"/>
            <w:tcBorders/>
            <w:shd w:fill="EEEEEE" w:val="clear"/>
            <w:vAlign w:val="center"/>
          </w:tcPr>
          <w:p>
            <w:pPr>
              <w:pStyle w:val="TableContents"/>
              <w:bidi w:val="0"/>
              <w:spacing w:before="0" w:after="283"/>
              <w:jc w:val="left"/>
              <w:rPr/>
            </w:pPr>
            <w:r>
              <w:rPr/>
              <w:t>Incremental common shares attributable to exercise of outstanding options and warrants</w:t>
            </w:r>
          </w:p>
        </w:tc>
        <w:tc>
          <w:tcPr>
            <w:tcW w:w="60" w:type="dxa"/>
            <w:tcBorders/>
            <w:shd w:fill="EEEEEE" w:val="clear"/>
            <w:vAlign w:val="center"/>
          </w:tcPr>
          <w:p>
            <w:pPr>
              <w:pStyle w:val="TableContents"/>
              <w:bidi w:val="0"/>
              <w:spacing w:before="0" w:after="283"/>
              <w:jc w:val="left"/>
              <w:rPr/>
            </w:pPr>
            <w:r>
              <w:rPr/>
              <w:t> </w:t>
            </w:r>
          </w:p>
        </w:tc>
        <w:tc>
          <w:tcPr>
            <w:tcW w:w="7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1,852</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7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2,287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47" w:type="dxa"/>
            <w:tcBorders>
              <w:bottom w:val="single" w:sz="8" w:space="0" w:color="000000"/>
            </w:tcBorders>
            <w:shd w:fill="EEEEEE" w:val="clear"/>
            <w:tcMar>
              <w:bottom w:w="28" w:type="dxa"/>
            </w:tcMar>
            <w:vAlign w:val="center"/>
          </w:tcPr>
          <w:p>
            <w:pPr>
              <w:pStyle w:val="TableContents"/>
              <w:bidi w:val="0"/>
              <w:spacing w:before="0" w:after="283"/>
              <w:jc w:val="right"/>
              <w:rPr/>
            </w:pPr>
            <w:r>
              <w:rPr/>
              <w:t>1,805</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47" w:type="dxa"/>
            <w:tcBorders>
              <w:bottom w:val="single" w:sz="8" w:space="0" w:color="000000"/>
            </w:tcBorders>
            <w:shd w:fill="EEEEEE" w:val="clear"/>
            <w:tcMar>
              <w:bottom w:w="28" w:type="dxa"/>
            </w:tcMar>
            <w:vAlign w:val="center"/>
          </w:tcPr>
          <w:p>
            <w:pPr>
              <w:pStyle w:val="TableContents"/>
              <w:bidi w:val="0"/>
              <w:spacing w:before="0" w:after="283"/>
              <w:jc w:val="right"/>
              <w:rPr/>
            </w:pPr>
            <w:r>
              <w:rPr/>
              <w:t>2,584</w:t>
            </w:r>
          </w:p>
        </w:tc>
        <w:tc>
          <w:tcPr>
            <w:tcW w:w="82" w:type="dxa"/>
            <w:tcBorders/>
            <w:shd w:fill="EEEEEE" w:val="clear"/>
            <w:vAlign w:val="center"/>
          </w:tcPr>
          <w:p>
            <w:pPr>
              <w:pStyle w:val="TableContents"/>
              <w:bidi w:val="0"/>
              <w:spacing w:before="0" w:after="283"/>
              <w:jc w:val="left"/>
              <w:rPr/>
            </w:pPr>
            <w:r>
              <w:rPr/>
              <w:t> </w:t>
            </w:r>
          </w:p>
        </w:tc>
      </w:tr>
      <w:tr>
        <w:trPr/>
        <w:tc>
          <w:tcPr>
            <w:tcW w:w="62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200"/>
              <w:jc w:val="left"/>
              <w:rPr/>
            </w:pPr>
            <w:r>
              <w:rPr/>
              <w:t> </w:t>
            </w:r>
            <w:bookmarkStart w:id="798" w:name="xdx_409_eus-gaap--WeightedAverageNumberO"/>
            <w:bookmarkEnd w:id="798"/>
          </w:p>
        </w:tc>
      </w:tr>
      <w:tr>
        <w:trPr/>
        <w:tc>
          <w:tcPr>
            <w:tcW w:w="6277" w:type="dxa"/>
            <w:tcBorders/>
            <w:shd w:fill="EEEEEE" w:val="clear"/>
            <w:vAlign w:val="center"/>
          </w:tcPr>
          <w:p>
            <w:pPr>
              <w:pStyle w:val="TableContents"/>
              <w:bidi w:val="0"/>
              <w:spacing w:before="0" w:after="283"/>
              <w:jc w:val="left"/>
              <w:rPr/>
            </w:pPr>
            <w:r>
              <w:rPr/>
              <w:t>Weighted average number of common shares used to compute diluted earnings per share</w:t>
            </w:r>
          </w:p>
        </w:tc>
        <w:tc>
          <w:tcPr>
            <w:tcW w:w="60" w:type="dxa"/>
            <w:tcBorders/>
            <w:shd w:fill="EEEEEE" w:val="clear"/>
            <w:vAlign w:val="center"/>
          </w:tcPr>
          <w:p>
            <w:pPr>
              <w:pStyle w:val="TableContents"/>
              <w:bidi w:val="0"/>
              <w:spacing w:before="0" w:after="283"/>
              <w:jc w:val="left"/>
              <w:rPr/>
            </w:pPr>
            <w:r>
              <w:rPr/>
              <w:t> </w:t>
            </w:r>
          </w:p>
        </w:tc>
        <w:tc>
          <w:tcPr>
            <w:tcW w:w="71"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814" w:type="dxa"/>
            <w:tcBorders>
              <w:bottom w:val="double" w:sz="6" w:space="0" w:color="000000"/>
            </w:tcBorders>
            <w:shd w:fill="EEEEEE" w:val="clear"/>
            <w:tcMar>
              <w:bottom w:w="28" w:type="dxa"/>
            </w:tcMar>
            <w:vAlign w:val="center"/>
          </w:tcPr>
          <w:p>
            <w:pPr>
              <w:pStyle w:val="TableContents"/>
              <w:bidi w:val="0"/>
              <w:spacing w:before="0" w:after="283"/>
              <w:jc w:val="right"/>
              <w:rPr/>
            </w:pPr>
            <w:r>
              <w:rPr/>
              <w:t>23,485</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71"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814" w:type="dxa"/>
            <w:tcBorders>
              <w:bottom w:val="double" w:sz="6" w:space="0" w:color="000000"/>
            </w:tcBorders>
            <w:shd w:fill="EEEEEE" w:val="clear"/>
            <w:tcMar>
              <w:bottom w:w="28" w:type="dxa"/>
            </w:tcMar>
            <w:vAlign w:val="center"/>
          </w:tcPr>
          <w:p>
            <w:pPr>
              <w:pStyle w:val="TableContents"/>
              <w:bidi w:val="0"/>
              <w:spacing w:before="0" w:after="283"/>
              <w:jc w:val="right"/>
              <w:rPr/>
            </w:pPr>
            <w:r>
              <w:rPr/>
              <w:t>24,180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5"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747" w:type="dxa"/>
            <w:tcBorders>
              <w:bottom w:val="double" w:sz="6" w:space="0" w:color="000000"/>
            </w:tcBorders>
            <w:shd w:fill="EEEEEE" w:val="clear"/>
            <w:tcMar>
              <w:bottom w:w="28" w:type="dxa"/>
            </w:tcMar>
            <w:vAlign w:val="center"/>
          </w:tcPr>
          <w:p>
            <w:pPr>
              <w:pStyle w:val="TableContents"/>
              <w:bidi w:val="0"/>
              <w:spacing w:before="0" w:after="283"/>
              <w:jc w:val="right"/>
              <w:rPr/>
            </w:pPr>
            <w:r>
              <w:rPr/>
              <w:t>23,509</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65"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747" w:type="dxa"/>
            <w:tcBorders>
              <w:bottom w:val="double" w:sz="6" w:space="0" w:color="000000"/>
            </w:tcBorders>
            <w:shd w:fill="EEEEEE" w:val="clear"/>
            <w:tcMar>
              <w:bottom w:w="28" w:type="dxa"/>
            </w:tcMar>
            <w:vAlign w:val="center"/>
          </w:tcPr>
          <w:p>
            <w:pPr>
              <w:pStyle w:val="TableContents"/>
              <w:bidi w:val="0"/>
              <w:spacing w:before="0" w:after="283"/>
              <w:jc w:val="right"/>
              <w:rPr/>
            </w:pPr>
            <w:r>
              <w:rPr/>
              <w:t>24,254</w:t>
            </w:r>
          </w:p>
        </w:tc>
        <w:tc>
          <w:tcPr>
            <w:tcW w:w="82"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99" w:name="xdx_8A0_zAbdPqcwjatg"/>
      <w:bookmarkEnd w:id="79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anti-dilutive effects of common stock equivalents were considered, shares included in the diluted earnings per share calculation for the three-month and six-month periods ended June 30, 2026, would have included an additional </w:t>
      </w:r>
      <w:bookmarkStart w:id="800" w:name="xdx_908_eus-gaap--AntidilutiveSecurities"/>
      <w:bookmarkStart w:id="801" w:name="xdx_903_eus-gaap--AntidilutiveSecurities"/>
      <w:bookmarkEnd w:id="800"/>
      <w:bookmarkEnd w:id="801"/>
      <w:r>
        <w:rPr>
          <w:rFonts w:ascii="Times New Roman;Times;Serif" w:hAnsi="Times New Roman;Times;Serif"/>
          <w:b w:val="false"/>
          <w:i w:val="false"/>
          <w:caps w:val="false"/>
          <w:smallCaps w:val="false"/>
          <w:sz w:val="20"/>
        </w:rPr>
        <w:t xml:space="preserve">3.0 million shares attributable to the exercise of outstanding options and warrants. For the three months and six-months ended June 30, 2025, </w:t>
      </w:r>
      <w:bookmarkStart w:id="802" w:name="xdx_90F_eus-gaap--AntidilutiveSecurities"/>
      <w:bookmarkStart w:id="803" w:name="xdx_90B_eus-gaap--AntidilutiveSecurities"/>
      <w:bookmarkEnd w:id="802"/>
      <w:bookmarkEnd w:id="803"/>
      <w:r>
        <w:rPr>
          <w:rFonts w:ascii="Times New Roman;Times;Serif" w:hAnsi="Times New Roman;Times;Serif"/>
          <w:b w:val="false"/>
          <w:i w:val="false"/>
          <w:caps w:val="false"/>
          <w:smallCaps w:val="false"/>
          <w:sz w:val="20"/>
        </w:rPr>
        <w:t>1.6 million shares, would be included in the diluted earnings per share calculation.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4" w:name="xdx_802_eus-gaap--IncomeTaxDisclosureTex"/>
      <w:bookmarkEnd w:id="804"/>
      <w:r>
        <w:rPr>
          <w:rFonts w:ascii="Times New Roman;Times;Serif" w:hAnsi="Times New Roman;Times;Serif"/>
          <w:b/>
          <w:i w:val="false"/>
          <w:caps w:val="false"/>
          <w:smallCaps w:val="false"/>
          <w:sz w:val="20"/>
        </w:rPr>
        <w:t xml:space="preserve">(7) </w:t>
      </w:r>
      <w:bookmarkStart w:id="805" w:name="xdx_821_zSl7GpEKA0X3"/>
      <w:bookmarkEnd w:id="805"/>
      <w:r>
        <w:rPr>
          <w:rFonts w:ascii="Times New Roman;Times;Serif" w:hAnsi="Times New Roman;Times;Serif"/>
          <w:b/>
          <w:i/>
          <w:caps w:val="false"/>
          <w:smallCaps w:val="false"/>
          <w:sz w:val="20"/>
        </w:rPr>
        <w:t xml:space="preserve">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numerous consolidated and separate income tax returns with the United States and with many states. With few exceptions, we are no longer subject to U.S. federal, state, or local examinations by tax authorities for years before 2021.</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we had no unrecognized tax benefits for uncertain tax positions. We do not anticipate that total unrecognized tax benefits will significantly change due to any settlements of audits or expirations of statutes of limitations over the next 12 months.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bookmarkStart w:id="806" w:name="xdx_23C_zk4gZ8tVt2Nd"/>
      <w:bookmarkEnd w:id="806"/>
      <w:r>
        <w:rPr>
          <w:caps w:val="false"/>
          <w:smallCaps w:val="false"/>
        </w:rPr>
        <w:t> </w:t>
      </w:r>
    </w:p>
    <w:p>
      <w:pPr>
        <w:pStyle w:val="TextBody"/>
        <w:bidi w:val="0"/>
        <w:spacing w:before="0" w:after="0"/>
        <w:ind w:left="0" w:right="0" w:firstLine="144"/>
        <w:jc w:val="both"/>
        <w:rPr>
          <w:caps w:val="false"/>
          <w:smallCaps w:val="false"/>
        </w:rPr>
      </w:pPr>
      <w:bookmarkStart w:id="807" w:name="xdx_23C_zrcaGUYN2d15"/>
      <w:bookmarkEnd w:id="80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44"/>
        <w:jc w:val="both"/>
        <w:rPr>
          <w:caps w:val="false"/>
          <w:smallCaps w:val="false"/>
        </w:rPr>
      </w:pPr>
      <w:bookmarkStart w:id="808" w:name="xdx_230_zYJjmb7DeYk6"/>
      <w:bookmarkEnd w:id="80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recognized for the future tax consequences of events that have been recognized in the financial statements. A valuation allowance is recognized to reduce a deferred tax asset if, based on the weight of all available evidence, it is more likely than not that some or all of the deferred tax asset will not be realized. When making this judgment, both positive and negative evidence is considered, with the most weight given to evidence that can be objectively verified. The recognition of deferred tax liabilities, however, does not require a similar more likely than not test for realization. They are recognized with the expectation that they will be settled in future periods when the related taxable temporary differences reverse. As of June 30, 2026 we have a net deferred tax asset of $</w:t>
      </w:r>
      <w:bookmarkStart w:id="809" w:name="xdx_907_eus-gaap--DeferredTaxAssetsNet_i"/>
      <w:bookmarkEnd w:id="809"/>
      <w:r>
        <w:rPr>
          <w:rFonts w:ascii="Times New Roman;Times;Serif" w:hAnsi="Times New Roman;Times;Serif"/>
          <w:b w:val="false"/>
          <w:i w:val="false"/>
          <w:caps w:val="false"/>
          <w:smallCaps w:val="false"/>
          <w:sz w:val="20"/>
        </w:rPr>
        <w:t>16,000. Our net deferred tax asset of $16,000 consists of approximately $</w:t>
      </w:r>
      <w:bookmarkStart w:id="810" w:name="xdx_901_eus-gaap--DeferredTaxAssetsNet_i"/>
      <w:bookmarkEnd w:id="810"/>
      <w:r>
        <w:rPr>
          <w:rFonts w:ascii="Times New Roman;Times;Serif" w:hAnsi="Times New Roman;Times;Serif"/>
          <w:b w:val="false"/>
          <w:i w:val="false"/>
          <w:caps w:val="false"/>
          <w:smallCaps w:val="false"/>
          <w:sz w:val="20"/>
        </w:rPr>
        <w:t>270,000 of net U.S. federal deferred tax liabilities and $</w:t>
      </w:r>
      <w:bookmarkStart w:id="811" w:name="xdx_90E_eus-gaap--DeferredTaxAssetsNet_i"/>
      <w:bookmarkEnd w:id="811"/>
      <w:r>
        <w:rPr>
          <w:rFonts w:ascii="Times New Roman;Times;Serif" w:hAnsi="Times New Roman;Times;Serif"/>
          <w:b w:val="false"/>
          <w:i w:val="false"/>
          <w:caps w:val="false"/>
          <w:smallCaps w:val="false"/>
          <w:sz w:val="20"/>
        </w:rPr>
        <w:t>286,000 of net state deferred tax assets.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was $</w:t>
      </w:r>
      <w:bookmarkStart w:id="812" w:name="xdx_904_eus-gaap--CurrentIncomeTaxExpens"/>
      <w:bookmarkEnd w:id="812"/>
      <w:r>
        <w:rPr>
          <w:rFonts w:ascii="Times New Roman;Times;Serif" w:hAnsi="Times New Roman;Times;Serif"/>
          <w:b w:val="false"/>
          <w:i w:val="false"/>
          <w:caps w:val="false"/>
          <w:smallCaps w:val="false"/>
          <w:sz w:val="20"/>
        </w:rPr>
        <w:t>2.8 million for the three-month and $</w:t>
      </w:r>
      <w:bookmarkStart w:id="813" w:name="xdx_901_eus-gaap--CurrentIncomeTaxExpens"/>
      <w:bookmarkEnd w:id="813"/>
      <w:r>
        <w:rPr>
          <w:rFonts w:ascii="Times New Roman;Times;Serif" w:hAnsi="Times New Roman;Times;Serif"/>
          <w:b w:val="false"/>
          <w:i w:val="false"/>
          <w:caps w:val="false"/>
          <w:smallCaps w:val="false"/>
          <w:sz w:val="20"/>
        </w:rPr>
        <w:t>5.3 million and six-month ended on June 30, 2026, compared to income tax expense of $</w:t>
      </w:r>
      <w:bookmarkStart w:id="814" w:name="xdx_90D_eus-gaap--CurrentIncomeTaxExpens"/>
      <w:bookmarkEnd w:id="814"/>
      <w:r>
        <w:rPr>
          <w:rFonts w:ascii="Times New Roman;Times;Serif" w:hAnsi="Times New Roman;Times;Serif"/>
          <w:b w:val="false"/>
          <w:i w:val="false"/>
          <w:caps w:val="false"/>
          <w:smallCaps w:val="false"/>
          <w:sz w:val="20"/>
        </w:rPr>
        <w:t>2.2 million and $</w:t>
      </w:r>
      <w:bookmarkStart w:id="815" w:name="xdx_908_eus-gaap--CurrentIncomeTaxExpens"/>
      <w:bookmarkEnd w:id="815"/>
      <w:r>
        <w:rPr>
          <w:rFonts w:ascii="Times New Roman;Times;Serif" w:hAnsi="Times New Roman;Times;Serif"/>
          <w:b w:val="false"/>
          <w:i w:val="false"/>
          <w:caps w:val="false"/>
          <w:smallCaps w:val="false"/>
          <w:sz w:val="20"/>
        </w:rPr>
        <w:t xml:space="preserve">4.3 million for the three-months and six-months ended June 30, 2025, representing an effective income tax rate of </w:t>
      </w:r>
      <w:bookmarkStart w:id="816" w:name="xdx_90C_eus-gaap--EffectiveIncomeTaxRate"/>
      <w:bookmarkStart w:id="817" w:name="xdx_90B_eus-gaap--EffectiveIncomeTaxRate"/>
      <w:bookmarkEnd w:id="816"/>
      <w:bookmarkEnd w:id="817"/>
      <w:r>
        <w:rPr>
          <w:rFonts w:ascii="Times New Roman;Times;Serif" w:hAnsi="Times New Roman;Times;Serif"/>
          <w:b w:val="false"/>
          <w:i w:val="false"/>
          <w:caps w:val="false"/>
          <w:smallCaps w:val="false"/>
          <w:sz w:val="20"/>
        </w:rPr>
        <w:t>31% in both periods.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18" w:name="xdx_80A_eus-gaap--LegalMattersAndConting"/>
      <w:bookmarkEnd w:id="818"/>
      <w:r>
        <w:rPr>
          <w:rFonts w:ascii="Times New Roman;Times;Serif" w:hAnsi="Times New Roman;Times;Serif"/>
          <w:b/>
          <w:i w:val="false"/>
          <w:caps w:val="false"/>
          <w:smallCaps w:val="false"/>
          <w:sz w:val="20"/>
        </w:rPr>
        <w:t xml:space="preserve">(8) </w:t>
      </w:r>
      <w:bookmarkStart w:id="819" w:name="xdx_827_zoXc460Qbasc"/>
      <w:bookmarkEnd w:id="819"/>
      <w:r>
        <w:rPr>
          <w:rFonts w:ascii="Times New Roman;Times;Serif" w:hAnsi="Times New Roman;Times;Serif"/>
          <w:b/>
          <w:i/>
          <w:caps w:val="false"/>
          <w:smallCaps w:val="false"/>
          <w:sz w:val="20"/>
        </w:rPr>
        <w:t>Legal Proceedings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Litigation. We are routinely involved in various legal proceedings resulting from our consumer finance activities and practices, both continuing 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there can be no assurance as to the outcomes of the matters described above. We record at each measurement date our best estimate of probable incurred losses for legal contingencies, if any. The amount of losses that may ultimately be incurred cannot be estimated with certainty. However, based on such information as is available to us, the Company is not currently a party to any such material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we believe that the ultimate resolution of legal proceedings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0" w:name="xdx_80D_eus-gaap--FairValueMeasurementIn"/>
      <w:bookmarkEnd w:id="820"/>
      <w:r>
        <w:rPr>
          <w:rFonts w:ascii="Times New Roman;Times;Serif" w:hAnsi="Times New Roman;Times;Serif"/>
          <w:b/>
          <w:i w:val="false"/>
          <w:caps w:val="false"/>
          <w:smallCaps w:val="false"/>
          <w:sz w:val="20"/>
        </w:rPr>
        <w:t xml:space="preserve">(9) </w:t>
      </w:r>
      <w:bookmarkStart w:id="821" w:name="xdx_82A_zZVC4kqqYRqg"/>
      <w:bookmarkEnd w:id="821"/>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bookmarkStart w:id="822" w:name="xdx_238_zzV4Pi96sDR"/>
      <w:bookmarkEnd w:id="822"/>
      <w:r>
        <w:rPr>
          <w:caps w:val="false"/>
          <w:smallCaps w:val="false"/>
        </w:rPr>
        <w:t> </w:t>
      </w:r>
    </w:p>
    <w:p>
      <w:pPr>
        <w:pStyle w:val="TextBody"/>
        <w:bidi w:val="0"/>
        <w:spacing w:before="0" w:after="0"/>
        <w:ind w:left="0" w:right="0" w:firstLine="144"/>
        <w:jc w:val="both"/>
        <w:rPr>
          <w:caps w:val="false"/>
          <w:smallCaps w:val="false"/>
        </w:rPr>
      </w:pPr>
      <w:bookmarkStart w:id="823" w:name="xdx_235_zlV8wMH6aGR9"/>
      <w:bookmarkEnd w:id="82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44"/>
        <w:jc w:val="both"/>
        <w:rPr>
          <w:caps w:val="false"/>
          <w:smallCaps w:val="false"/>
        </w:rPr>
      </w:pPr>
      <w:bookmarkStart w:id="824" w:name="xdx_235_zdvigJSdE391"/>
      <w:bookmarkEnd w:id="82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in or out of level 1, level 2 or level 3 assets and liabilities for the three and six months ended June 30, 2026, and 2025.</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values of financial assets and liabilities, excluding assets carried at fair value, on June 30, 2026 and December 31, 2025, were as follows:</w:t>
      </w:r>
    </w:p>
    <w:p>
      <w:pPr>
        <w:pStyle w:val="Normal"/>
        <w:bidi w:val="0"/>
        <w:spacing w:before="0" w:after="0"/>
        <w:ind w:left="0" w:right="0" w:firstLine="144"/>
        <w:jc w:val="left"/>
        <w:rPr>
          <w:sz w:val="4"/>
          <w:szCs w:val="4"/>
        </w:rPr>
      </w:pPr>
      <w:r>
        <w:rPr>
          <w:sz w:val="4"/>
          <w:szCs w:val="4"/>
        </w:rPr>
      </w:r>
      <w:bookmarkStart w:id="825" w:name="xdx_895_eus-gaap--FairValueByBalanceShee"/>
      <w:bookmarkStart w:id="826" w:name="xdx_895_eus-gaap--FairValueByBalanceShee"/>
      <w:bookmarkEnd w:id="826"/>
    </w:p>
    <w:tbl>
      <w:tblPr>
        <w:tblW w:w="10205" w:type="dxa"/>
        <w:jc w:val="left"/>
        <w:tblInd w:w="0" w:type="dxa"/>
        <w:tblLayout w:type="fixed"/>
        <w:tblCellMar>
          <w:top w:w="0" w:type="dxa"/>
          <w:left w:w="0" w:type="dxa"/>
          <w:bottom w:w="0" w:type="dxa"/>
          <w:right w:w="0" w:type="dxa"/>
        </w:tblCellMar>
      </w:tblPr>
      <w:tblGrid>
        <w:gridCol w:w="4086"/>
        <w:gridCol w:w="60"/>
        <w:gridCol w:w="140"/>
        <w:gridCol w:w="980"/>
        <w:gridCol w:w="60"/>
        <w:gridCol w:w="60"/>
        <w:gridCol w:w="170"/>
        <w:gridCol w:w="975"/>
        <w:gridCol w:w="72"/>
        <w:gridCol w:w="72"/>
        <w:gridCol w:w="350"/>
        <w:gridCol w:w="351"/>
        <w:gridCol w:w="72"/>
        <w:gridCol w:w="72"/>
        <w:gridCol w:w="170"/>
        <w:gridCol w:w="1194"/>
        <w:gridCol w:w="60"/>
        <w:gridCol w:w="60"/>
        <w:gridCol w:w="140"/>
        <w:gridCol w:w="980"/>
        <w:gridCol w:w="81"/>
      </w:tblGrid>
      <w:tr>
        <w:trPr/>
        <w:tc>
          <w:tcPr>
            <w:tcW w:w="4086" w:type="dxa"/>
            <w:tcBorders/>
            <w:shd w:fill="FFFFFF" w:val="clear"/>
            <w:vAlign w:val="center"/>
          </w:tcPr>
          <w:p>
            <w:pPr>
              <w:pStyle w:val="TableContents"/>
              <w:bidi w:val="0"/>
              <w:spacing w:before="0" w:after="283"/>
              <w:jc w:val="left"/>
              <w:rPr/>
            </w:pPr>
            <w:bookmarkStart w:id="827" w:name="xdx_8B3_zUz1u3UEUqRb"/>
            <w:bookmarkEnd w:id="827"/>
            <w:r>
              <w:rPr/>
              <w:t>Schedule of fair values of financial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28" w:name="xdx_493_20260630__us-gaap--FairValueByAs"/>
            <w:bookmarkEnd w:id="828"/>
          </w:p>
        </w:tc>
        <w:tc>
          <w:tcPr>
            <w:tcW w:w="9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829" w:name="xdx_495_20260630__us-gaap--FairValueByFa"/>
            <w:bookmarkEnd w:id="829"/>
          </w:p>
        </w:tc>
        <w:tc>
          <w:tcPr>
            <w:tcW w:w="975" w:type="dxa"/>
            <w:tcBorders/>
            <w:shd w:fill="FFFFFF" w:val="clear"/>
            <w:vAlign w:val="center"/>
          </w:tcPr>
          <w:p>
            <w:pPr>
              <w:pStyle w:val="TableContents"/>
              <w:bidi w:val="0"/>
              <w:spacing w:before="0" w:after="283"/>
              <w:jc w:val="center"/>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bookmarkStart w:id="830" w:name="xdx_497_20260630__us-gaap--FairValueByFa"/>
            <w:bookmarkEnd w:id="830"/>
          </w:p>
        </w:tc>
        <w:tc>
          <w:tcPr>
            <w:tcW w:w="351" w:type="dxa"/>
            <w:tcBorders/>
            <w:shd w:fill="FFFFFF" w:val="clear"/>
            <w:vAlign w:val="center"/>
          </w:tcPr>
          <w:p>
            <w:pPr>
              <w:pStyle w:val="TableContents"/>
              <w:bidi w:val="0"/>
              <w:spacing w:before="0" w:after="283"/>
              <w:jc w:val="center"/>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831" w:name="xdx_49E_20260630__us-gaap--FairValueByFa"/>
            <w:bookmarkEnd w:id="831"/>
          </w:p>
        </w:tc>
        <w:tc>
          <w:tcPr>
            <w:tcW w:w="119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32" w:name="xdx_491_20260630_zuYRDWDPih9h"/>
            <w:bookmarkEnd w:id="832"/>
          </w:p>
        </w:tc>
        <w:tc>
          <w:tcPr>
            <w:tcW w:w="980"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r>
      <w:tr>
        <w:trPr/>
        <w:tc>
          <w:tcPr>
            <w:tcW w:w="4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8"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As of June 30, 2026</w:t>
            </w:r>
          </w:p>
        </w:tc>
        <w:tc>
          <w:tcPr>
            <w:tcW w:w="81" w:type="dxa"/>
            <w:tcBorders/>
            <w:vAlign w:val="center"/>
          </w:tcPr>
          <w:p>
            <w:pPr>
              <w:pStyle w:val="TableContents"/>
              <w:bidi w:val="0"/>
              <w:spacing w:before="0" w:after="283"/>
              <w:jc w:val="left"/>
              <w:rPr/>
            </w:pPr>
            <w:r>
              <w:rPr/>
              <w:t> </w:t>
            </w:r>
          </w:p>
        </w:tc>
      </w:tr>
      <w:tr>
        <w:trPr/>
        <w:tc>
          <w:tcPr>
            <w:tcW w:w="4086" w:type="dxa"/>
            <w:tcBorders/>
            <w:vAlign w:val="center"/>
          </w:tcPr>
          <w:p>
            <w:pPr>
              <w:pStyle w:val="TableContents"/>
              <w:bidi w:val="0"/>
              <w:spacing w:before="0" w:after="283"/>
              <w:jc w:val="left"/>
              <w:rPr>
                <w:b/>
                <w:u w:val="single"/>
              </w:rPr>
            </w:pPr>
            <w:r>
              <w:rPr>
                <w:b/>
                <w:u w:val="single"/>
              </w:rPr>
              <w:t>Financial Instrument</w:t>
            </w:r>
          </w:p>
        </w:tc>
        <w:tc>
          <w:tcPr>
            <w:tcW w:w="60" w:type="dxa"/>
            <w:tcBorders/>
            <w:vAlign w:val="center"/>
          </w:tcPr>
          <w:p>
            <w:pPr>
              <w:pStyle w:val="TableContents"/>
              <w:bidi w:val="0"/>
              <w:spacing w:before="0" w:after="283"/>
              <w:jc w:val="left"/>
              <w:rPr/>
            </w:pPr>
            <w:r>
              <w:rPr/>
              <w:t> </w:t>
            </w:r>
          </w:p>
        </w:tc>
        <w:tc>
          <w:tcPr>
            <w:tcW w:w="5978" w:type="dxa"/>
            <w:gridSpan w:val="18"/>
            <w:tcBorders/>
            <w:vAlign w:val="center"/>
          </w:tcPr>
          <w:p>
            <w:pPr>
              <w:pStyle w:val="TableContents"/>
              <w:bidi w:val="0"/>
              <w:spacing w:before="0" w:after="283"/>
              <w:jc w:val="center"/>
              <w:rPr>
                <w:b/>
              </w:rPr>
            </w:pPr>
            <w:r>
              <w:rPr>
                <w:b/>
              </w:rPr>
              <w:t>(In thousands)</w:t>
            </w:r>
          </w:p>
        </w:tc>
        <w:tc>
          <w:tcPr>
            <w:tcW w:w="81" w:type="dxa"/>
            <w:tcBorders/>
            <w:vAlign w:val="center"/>
          </w:tcPr>
          <w:p>
            <w:pPr>
              <w:pStyle w:val="TableContents"/>
              <w:bidi w:val="0"/>
              <w:spacing w:before="0" w:after="283"/>
              <w:jc w:val="left"/>
              <w:rPr/>
            </w:pPr>
            <w:r>
              <w:rPr/>
              <w:t> </w:t>
            </w:r>
          </w:p>
        </w:tc>
      </w:tr>
      <w:tr>
        <w:trPr/>
        <w:tc>
          <w:tcPr>
            <w:tcW w:w="4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Fair Value Measurements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4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81" w:type="dxa"/>
            <w:tcBorders/>
            <w:vAlign w:val="center"/>
          </w:tcPr>
          <w:p>
            <w:pPr>
              <w:pStyle w:val="TableContents"/>
              <w:bidi w:val="0"/>
              <w:spacing w:before="0" w:after="283"/>
              <w:jc w:val="left"/>
              <w:rPr/>
            </w:pPr>
            <w:r>
              <w:rPr/>
              <w:t> </w:t>
            </w:r>
          </w:p>
        </w:tc>
      </w:tr>
      <w:tr>
        <w:trPr/>
        <w:tc>
          <w:tcPr>
            <w:tcW w:w="4086" w:type="dxa"/>
            <w:tcBorders/>
            <w:shd w:fill="EEEEEE" w:val="clear"/>
            <w:vAlign w:val="center"/>
          </w:tcPr>
          <w:p>
            <w:pPr>
              <w:pStyle w:val="TableContents"/>
              <w:bidi w:val="0"/>
              <w:spacing w:before="0" w:after="283"/>
              <w:jc w:val="left"/>
              <w:rPr>
                <w:b/>
              </w:rPr>
            </w:pPr>
            <w:r>
              <w:rPr>
                <w:b/>
              </w:rPr>
              <w:t>Assets:</w:t>
            </w:r>
          </w:p>
        </w:tc>
        <w:tc>
          <w:tcPr>
            <w:tcW w:w="60" w:type="dxa"/>
            <w:tcBorders/>
            <w:shd w:fill="EEEEEE" w:val="clear"/>
            <w:vAlign w:val="center"/>
          </w:tcPr>
          <w:p>
            <w:pPr>
              <w:pStyle w:val="TableContents"/>
              <w:bidi w:val="0"/>
              <w:spacing w:before="0" w:after="283"/>
              <w:jc w:val="left"/>
              <w:rPr/>
            </w:pPr>
            <w:r>
              <w:rPr/>
              <w:t> </w:t>
            </w:r>
          </w:p>
        </w:tc>
        <w:tc>
          <w:tcPr>
            <w:tcW w:w="1120" w:type="dxa"/>
            <w:gridSpan w:val="2"/>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45" w:type="dxa"/>
            <w:gridSpan w:val="2"/>
            <w:tcBorders/>
            <w:shd w:fill="EEEEEE" w:val="clear"/>
            <w:vAlign w:val="center"/>
          </w:tcPr>
          <w:p>
            <w:pPr>
              <w:pStyle w:val="TableContents"/>
              <w:bidi w:val="0"/>
              <w:spacing w:before="0" w:after="283"/>
              <w:jc w:val="center"/>
              <w:rPr/>
            </w:pPr>
            <w:r>
              <w:rPr/>
              <w:t> </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701" w:type="dxa"/>
            <w:gridSpan w:val="2"/>
            <w:tcBorders/>
            <w:shd w:fill="EEEEEE" w:val="clear"/>
            <w:vAlign w:val="center"/>
          </w:tcPr>
          <w:p>
            <w:pPr>
              <w:pStyle w:val="TableContents"/>
              <w:bidi w:val="0"/>
              <w:spacing w:before="0" w:after="283"/>
              <w:jc w:val="center"/>
              <w:rPr/>
            </w:pPr>
            <w:r>
              <w:rPr/>
              <w:t> </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364" w:type="dxa"/>
            <w:gridSpan w:val="2"/>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20" w:type="dxa"/>
            <w:gridSpan w:val="2"/>
            <w:tcBorders/>
            <w:shd w:fill="EEEEEE" w:val="clear"/>
            <w:vAlign w:val="center"/>
          </w:tcPr>
          <w:p>
            <w:pPr>
              <w:pStyle w:val="TableContents"/>
              <w:bidi w:val="0"/>
              <w:spacing w:before="0" w:after="283"/>
              <w:jc w:val="center"/>
              <w:rPr/>
            </w:pPr>
            <w:r>
              <w:rPr/>
              <w:t> </w:t>
            </w:r>
          </w:p>
        </w:tc>
        <w:tc>
          <w:tcPr>
            <w:tcW w:w="81" w:type="dxa"/>
            <w:tcBorders/>
            <w:shd w:fill="EEEEEE" w:val="clear"/>
            <w:vAlign w:val="center"/>
          </w:tcPr>
          <w:p>
            <w:pPr>
              <w:pStyle w:val="TableContents"/>
              <w:bidi w:val="0"/>
              <w:spacing w:before="0" w:after="283"/>
              <w:jc w:val="left"/>
              <w:rPr/>
            </w:pPr>
            <w:r>
              <w:rPr/>
              <w:t> </w:t>
            </w:r>
            <w:bookmarkStart w:id="833" w:name="xdx_40F_eus-gaap--CashAndCashEquivalents"/>
            <w:bookmarkEnd w:id="833"/>
          </w:p>
        </w:tc>
      </w:tr>
      <w:tr>
        <w:trPr/>
        <w:tc>
          <w:tcPr>
            <w:tcW w:w="4086"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7,501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351"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7,501</w:t>
            </w:r>
          </w:p>
        </w:tc>
        <w:tc>
          <w:tcPr>
            <w:tcW w:w="81" w:type="dxa"/>
            <w:tcBorders/>
            <w:shd w:fill="FFFFFF" w:val="clear"/>
            <w:vAlign w:val="center"/>
          </w:tcPr>
          <w:p>
            <w:pPr>
              <w:pStyle w:val="TableContents"/>
              <w:bidi w:val="0"/>
              <w:spacing w:before="0" w:after="283"/>
              <w:jc w:val="left"/>
              <w:rPr/>
            </w:pPr>
            <w:r>
              <w:rPr/>
              <w:t> </w:t>
            </w:r>
            <w:bookmarkStart w:id="834" w:name="xdx_409_eus-gaap--RestrictedCashAndCashE"/>
            <w:bookmarkEnd w:id="834"/>
          </w:p>
        </w:tc>
      </w:tr>
      <w:tr>
        <w:trPr/>
        <w:tc>
          <w:tcPr>
            <w:tcW w:w="4086" w:type="dxa"/>
            <w:tcBorders/>
            <w:shd w:fill="EEEEEE" w:val="clear"/>
            <w:vAlign w:val="center"/>
          </w:tcPr>
          <w:p>
            <w:pPr>
              <w:pStyle w:val="TableContents"/>
              <w:bidi w:val="0"/>
              <w:spacing w:before="0" w:after="283"/>
              <w:jc w:val="left"/>
              <w:rPr/>
            </w:pPr>
            <w:r>
              <w:rPr/>
              <w:t>Restricted cash and equivalents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172,703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0" w:type="dxa"/>
            <w:tcBorders/>
            <w:shd w:fill="EEEEEE" w:val="clear"/>
            <w:vAlign w:val="center"/>
          </w:tcPr>
          <w:p>
            <w:pPr>
              <w:pStyle w:val="TableContents"/>
              <w:bidi w:val="0"/>
              <w:spacing w:before="0" w:after="283"/>
              <w:jc w:val="left"/>
              <w:rPr/>
            </w:pPr>
            <w:r>
              <w:rPr/>
              <w:t>$</w:t>
            </w:r>
          </w:p>
        </w:tc>
        <w:tc>
          <w:tcPr>
            <w:tcW w:w="975" w:type="dxa"/>
            <w:tcBorders/>
            <w:shd w:fill="EEEEEE" w:val="clear"/>
            <w:vAlign w:val="center"/>
          </w:tcPr>
          <w:p>
            <w:pPr>
              <w:pStyle w:val="TableContents"/>
              <w:bidi w:val="0"/>
              <w:spacing w:before="0" w:after="283"/>
              <w:jc w:val="right"/>
              <w:rPr/>
            </w:pPr>
            <w:r>
              <w:rPr/>
              <w:t>172,703</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w:t>
            </w:r>
          </w:p>
        </w:tc>
        <w:tc>
          <w:tcPr>
            <w:tcW w:w="351" w:type="dxa"/>
            <w:tcBorders/>
            <w:shd w:fill="EEEEEE" w:val="clear"/>
            <w:vAlign w:val="center"/>
          </w:tcPr>
          <w:p>
            <w:pPr>
              <w:pStyle w:val="TableContents"/>
              <w:bidi w:val="0"/>
              <w:spacing w:before="0" w:after="283"/>
              <w:jc w:val="right"/>
              <w:rPr/>
            </w:pPr>
            <w:r>
              <w:rPr/>
              <w:t>–</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70" w:type="dxa"/>
            <w:tcBorders/>
            <w:shd w:fill="EEEEEE" w:val="clear"/>
            <w:vAlign w:val="center"/>
          </w:tcPr>
          <w:p>
            <w:pPr>
              <w:pStyle w:val="TableContents"/>
              <w:bidi w:val="0"/>
              <w:spacing w:before="0" w:after="283"/>
              <w:jc w:val="left"/>
              <w:rPr/>
            </w:pPr>
            <w:r>
              <w:rPr/>
              <w:t>$</w:t>
            </w:r>
          </w:p>
        </w:tc>
        <w:tc>
          <w:tcPr>
            <w:tcW w:w="1194"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172,703</w:t>
            </w:r>
          </w:p>
        </w:tc>
        <w:tc>
          <w:tcPr>
            <w:tcW w:w="81" w:type="dxa"/>
            <w:tcBorders/>
            <w:shd w:fill="EEEEEE" w:val="clear"/>
            <w:vAlign w:val="center"/>
          </w:tcPr>
          <w:p>
            <w:pPr>
              <w:pStyle w:val="TableContents"/>
              <w:bidi w:val="0"/>
              <w:spacing w:before="0" w:after="283"/>
              <w:jc w:val="left"/>
              <w:rPr/>
            </w:pPr>
            <w:r>
              <w:rPr/>
              <w:t> </w:t>
            </w:r>
          </w:p>
        </w:tc>
      </w:tr>
      <w:tr>
        <w:trPr/>
        <w:tc>
          <w:tcPr>
            <w:tcW w:w="4086"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bookmarkStart w:id="835" w:name="xdx_404_eus-gaap--LinesOfCreditCurrent_i"/>
            <w:bookmarkEnd w:id="835"/>
          </w:p>
        </w:tc>
      </w:tr>
      <w:tr>
        <w:trPr/>
        <w:tc>
          <w:tcPr>
            <w:tcW w:w="4086" w:type="dxa"/>
            <w:tcBorders/>
            <w:shd w:fill="EEEEEE" w:val="clear"/>
            <w:vAlign w:val="center"/>
          </w:tcPr>
          <w:p>
            <w:pPr>
              <w:pStyle w:val="TableContents"/>
              <w:bidi w:val="0"/>
              <w:spacing w:before="0" w:after="283"/>
              <w:jc w:val="left"/>
              <w:rPr/>
            </w:pPr>
            <w:r>
              <w:rPr/>
              <w:t>Warehouse lines of credit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679,900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0" w:type="dxa"/>
            <w:tcBorders/>
            <w:shd w:fill="EEEEEE" w:val="clear"/>
            <w:vAlign w:val="center"/>
          </w:tcPr>
          <w:p>
            <w:pPr>
              <w:pStyle w:val="TableContents"/>
              <w:bidi w:val="0"/>
              <w:spacing w:before="0" w:after="283"/>
              <w:jc w:val="left"/>
              <w:rPr/>
            </w:pPr>
            <w:r>
              <w:rPr/>
              <w:t>$</w:t>
            </w:r>
          </w:p>
        </w:tc>
        <w:tc>
          <w:tcPr>
            <w:tcW w:w="975" w:type="dxa"/>
            <w:tcBorders/>
            <w:shd w:fill="EEEEEE" w:val="clear"/>
            <w:vAlign w:val="center"/>
          </w:tcPr>
          <w:p>
            <w:pPr>
              <w:pStyle w:val="TableContents"/>
              <w:bidi w:val="0"/>
              <w:spacing w:before="0" w:after="283"/>
              <w:jc w:val="right"/>
              <w:rPr/>
            </w:pPr>
            <w:r>
              <w:rPr/>
              <w:t>–</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w:t>
            </w:r>
          </w:p>
        </w:tc>
        <w:tc>
          <w:tcPr>
            <w:tcW w:w="351" w:type="dxa"/>
            <w:tcBorders/>
            <w:shd w:fill="EEEEEE" w:val="clear"/>
            <w:vAlign w:val="center"/>
          </w:tcPr>
          <w:p>
            <w:pPr>
              <w:pStyle w:val="TableContents"/>
              <w:bidi w:val="0"/>
              <w:spacing w:before="0" w:after="283"/>
              <w:jc w:val="right"/>
              <w:rPr/>
            </w:pPr>
            <w:r>
              <w:rPr/>
              <w:t>–</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70" w:type="dxa"/>
            <w:tcBorders/>
            <w:shd w:fill="EEEEEE" w:val="clear"/>
            <w:vAlign w:val="center"/>
          </w:tcPr>
          <w:p>
            <w:pPr>
              <w:pStyle w:val="TableContents"/>
              <w:bidi w:val="0"/>
              <w:spacing w:before="0" w:after="283"/>
              <w:jc w:val="left"/>
              <w:rPr/>
            </w:pPr>
            <w:r>
              <w:rPr/>
              <w:t>$</w:t>
            </w:r>
          </w:p>
        </w:tc>
        <w:tc>
          <w:tcPr>
            <w:tcW w:w="1194" w:type="dxa"/>
            <w:tcBorders/>
            <w:shd w:fill="EEEEEE" w:val="clear"/>
            <w:vAlign w:val="center"/>
          </w:tcPr>
          <w:p>
            <w:pPr>
              <w:pStyle w:val="TableContents"/>
              <w:bidi w:val="0"/>
              <w:spacing w:before="0" w:after="283"/>
              <w:jc w:val="right"/>
              <w:rPr/>
            </w:pPr>
            <w:r>
              <w:rPr/>
              <w:t>679,900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679,900</w:t>
            </w:r>
          </w:p>
        </w:tc>
        <w:tc>
          <w:tcPr>
            <w:tcW w:w="81" w:type="dxa"/>
            <w:tcBorders/>
            <w:shd w:fill="EEEEEE" w:val="clear"/>
            <w:vAlign w:val="center"/>
          </w:tcPr>
          <w:p>
            <w:pPr>
              <w:pStyle w:val="TableContents"/>
              <w:bidi w:val="0"/>
              <w:spacing w:before="0" w:after="283"/>
              <w:jc w:val="left"/>
              <w:rPr/>
            </w:pPr>
            <w:r>
              <w:rPr/>
              <w:t> </w:t>
            </w:r>
            <w:bookmarkStart w:id="836" w:name="xdx_40A_eus-gaap--AccountsPayableFairVal"/>
            <w:bookmarkEnd w:id="836"/>
          </w:p>
        </w:tc>
      </w:tr>
      <w:tr>
        <w:trPr/>
        <w:tc>
          <w:tcPr>
            <w:tcW w:w="4086" w:type="dxa"/>
            <w:tcBorders/>
            <w:shd w:fill="FFFFFF" w:val="clear"/>
            <w:vAlign w:val="center"/>
          </w:tcPr>
          <w:p>
            <w:pPr>
              <w:pStyle w:val="TableContents"/>
              <w:bidi w:val="0"/>
              <w:spacing w:before="0" w:after="283"/>
              <w:jc w:val="left"/>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13,452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351"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94" w:type="dxa"/>
            <w:tcBorders/>
            <w:shd w:fill="FFFFFF" w:val="clear"/>
            <w:vAlign w:val="center"/>
          </w:tcPr>
          <w:p>
            <w:pPr>
              <w:pStyle w:val="TableContents"/>
              <w:bidi w:val="0"/>
              <w:spacing w:before="0" w:after="283"/>
              <w:jc w:val="right"/>
              <w:rPr/>
            </w:pPr>
            <w:r>
              <w:rPr/>
              <w:t>13,452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13,452</w:t>
            </w:r>
          </w:p>
        </w:tc>
        <w:tc>
          <w:tcPr>
            <w:tcW w:w="81" w:type="dxa"/>
            <w:tcBorders/>
            <w:shd w:fill="FFFFFF" w:val="clear"/>
            <w:vAlign w:val="center"/>
          </w:tcPr>
          <w:p>
            <w:pPr>
              <w:pStyle w:val="TableContents"/>
              <w:bidi w:val="0"/>
              <w:spacing w:before="0" w:after="283"/>
              <w:jc w:val="left"/>
              <w:rPr/>
            </w:pPr>
            <w:r>
              <w:rPr/>
              <w:t> </w:t>
            </w:r>
            <w:bookmarkStart w:id="837" w:name="xdx_407_ecustom--ResidualInterestFinanci"/>
            <w:bookmarkEnd w:id="837"/>
          </w:p>
        </w:tc>
      </w:tr>
      <w:tr>
        <w:trPr/>
        <w:tc>
          <w:tcPr>
            <w:tcW w:w="4086" w:type="dxa"/>
            <w:tcBorders/>
            <w:shd w:fill="EEEEEE" w:val="clear"/>
            <w:vAlign w:val="center"/>
          </w:tcPr>
          <w:p>
            <w:pPr>
              <w:pStyle w:val="TableContents"/>
              <w:bidi w:val="0"/>
              <w:spacing w:before="0" w:after="283"/>
              <w:jc w:val="left"/>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168,809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0" w:type="dxa"/>
            <w:tcBorders/>
            <w:shd w:fill="EEEEEE" w:val="clear"/>
            <w:vAlign w:val="center"/>
          </w:tcPr>
          <w:p>
            <w:pPr>
              <w:pStyle w:val="TableContents"/>
              <w:bidi w:val="0"/>
              <w:spacing w:before="0" w:after="283"/>
              <w:jc w:val="left"/>
              <w:rPr/>
            </w:pPr>
            <w:r>
              <w:rPr/>
              <w:t>$</w:t>
            </w:r>
          </w:p>
        </w:tc>
        <w:tc>
          <w:tcPr>
            <w:tcW w:w="975" w:type="dxa"/>
            <w:tcBorders/>
            <w:shd w:fill="EEEEEE" w:val="clear"/>
            <w:vAlign w:val="center"/>
          </w:tcPr>
          <w:p>
            <w:pPr>
              <w:pStyle w:val="TableContents"/>
              <w:bidi w:val="0"/>
              <w:spacing w:before="0" w:after="283"/>
              <w:jc w:val="right"/>
              <w:rPr/>
            </w:pPr>
            <w:r>
              <w:rPr/>
              <w:t> </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w:t>
            </w:r>
          </w:p>
        </w:tc>
        <w:tc>
          <w:tcPr>
            <w:tcW w:w="351" w:type="dxa"/>
            <w:tcBorders/>
            <w:shd w:fill="EEEEEE" w:val="clear"/>
            <w:vAlign w:val="center"/>
          </w:tcPr>
          <w:p>
            <w:pPr>
              <w:pStyle w:val="TableContents"/>
              <w:bidi w:val="0"/>
              <w:spacing w:before="0" w:after="283"/>
              <w:jc w:val="right"/>
              <w:rPr/>
            </w:pPr>
            <w:r>
              <w:rPr/>
              <w:t>–</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70" w:type="dxa"/>
            <w:tcBorders/>
            <w:shd w:fill="EEEEEE" w:val="clear"/>
            <w:vAlign w:val="center"/>
          </w:tcPr>
          <w:p>
            <w:pPr>
              <w:pStyle w:val="TableContents"/>
              <w:bidi w:val="0"/>
              <w:spacing w:before="0" w:after="283"/>
              <w:jc w:val="left"/>
              <w:rPr/>
            </w:pPr>
            <w:r>
              <w:rPr/>
              <w:t>$</w:t>
            </w:r>
          </w:p>
        </w:tc>
        <w:tc>
          <w:tcPr>
            <w:tcW w:w="1194" w:type="dxa"/>
            <w:tcBorders/>
            <w:shd w:fill="EEEEEE" w:val="clear"/>
            <w:vAlign w:val="center"/>
          </w:tcPr>
          <w:p>
            <w:pPr>
              <w:pStyle w:val="TableContents"/>
              <w:bidi w:val="0"/>
              <w:spacing w:before="0" w:after="283"/>
              <w:jc w:val="right"/>
              <w:rPr/>
            </w:pPr>
            <w:r>
              <w:rPr/>
              <w:t>177,828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177,828</w:t>
            </w:r>
          </w:p>
        </w:tc>
        <w:tc>
          <w:tcPr>
            <w:tcW w:w="81" w:type="dxa"/>
            <w:tcBorders/>
            <w:shd w:fill="EEEEEE" w:val="clear"/>
            <w:vAlign w:val="center"/>
          </w:tcPr>
          <w:p>
            <w:pPr>
              <w:pStyle w:val="TableContents"/>
              <w:bidi w:val="0"/>
              <w:spacing w:before="0" w:after="283"/>
              <w:jc w:val="left"/>
              <w:rPr/>
            </w:pPr>
            <w:r>
              <w:rPr/>
              <w:t> </w:t>
            </w:r>
            <w:bookmarkStart w:id="838" w:name="xdx_40C_eus-gaap--SecuredDebt_iI_pn3n3_d"/>
            <w:bookmarkEnd w:id="838"/>
          </w:p>
        </w:tc>
      </w:tr>
      <w:tr>
        <w:trPr/>
        <w:tc>
          <w:tcPr>
            <w:tcW w:w="4086" w:type="dxa"/>
            <w:tcBorders/>
            <w:shd w:fill="FFFFFF" w:val="clear"/>
            <w:vAlign w:val="center"/>
          </w:tcPr>
          <w:p>
            <w:pPr>
              <w:pStyle w:val="TableContents"/>
              <w:bidi w:val="0"/>
              <w:spacing w:before="0" w:after="283"/>
              <w:jc w:val="left"/>
              <w:rPr/>
            </w:pPr>
            <w:r>
              <w:rPr/>
              <w:t>Securitization trust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3,131,105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351"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94" w:type="dxa"/>
            <w:tcBorders/>
            <w:shd w:fill="FFFFFF" w:val="clear"/>
            <w:vAlign w:val="center"/>
          </w:tcPr>
          <w:p>
            <w:pPr>
              <w:pStyle w:val="TableContents"/>
              <w:bidi w:val="0"/>
              <w:spacing w:before="0" w:after="283"/>
              <w:jc w:val="right"/>
              <w:rPr/>
            </w:pPr>
            <w:r>
              <w:rPr/>
              <w:t>3,131,499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3,131,499</w:t>
            </w:r>
          </w:p>
        </w:tc>
        <w:tc>
          <w:tcPr>
            <w:tcW w:w="81" w:type="dxa"/>
            <w:tcBorders/>
            <w:shd w:fill="FFFFFF" w:val="clear"/>
            <w:vAlign w:val="center"/>
          </w:tcPr>
          <w:p>
            <w:pPr>
              <w:pStyle w:val="TableContents"/>
              <w:bidi w:val="0"/>
              <w:spacing w:before="0" w:after="283"/>
              <w:jc w:val="left"/>
              <w:rPr/>
            </w:pPr>
            <w:r>
              <w:rPr/>
              <w:t> </w:t>
            </w:r>
            <w:bookmarkStart w:id="839" w:name="xdx_406_eus-gaap--SubordinatedDebt_iI_pn"/>
            <w:bookmarkEnd w:id="839"/>
          </w:p>
        </w:tc>
      </w:tr>
      <w:tr>
        <w:trPr/>
        <w:tc>
          <w:tcPr>
            <w:tcW w:w="4086" w:type="dxa"/>
            <w:tcBorders/>
            <w:shd w:fill="EEEEEE" w:val="clear"/>
            <w:vAlign w:val="center"/>
          </w:tcPr>
          <w:p>
            <w:pPr>
              <w:pStyle w:val="TableContents"/>
              <w:bidi w:val="0"/>
              <w:spacing w:before="0" w:after="283"/>
              <w:jc w:val="left"/>
              <w:rPr/>
            </w:pPr>
            <w:r>
              <w:rPr/>
              <w:t>Subordinated renewable notes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28,461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0" w:type="dxa"/>
            <w:tcBorders/>
            <w:shd w:fill="EEEEEE" w:val="clear"/>
            <w:vAlign w:val="center"/>
          </w:tcPr>
          <w:p>
            <w:pPr>
              <w:pStyle w:val="TableContents"/>
              <w:bidi w:val="0"/>
              <w:spacing w:before="0" w:after="283"/>
              <w:jc w:val="left"/>
              <w:rPr/>
            </w:pPr>
            <w:r>
              <w:rPr/>
              <w:t>$</w:t>
            </w:r>
          </w:p>
        </w:tc>
        <w:tc>
          <w:tcPr>
            <w:tcW w:w="975" w:type="dxa"/>
            <w:tcBorders/>
            <w:shd w:fill="EEEEEE" w:val="clear"/>
            <w:vAlign w:val="center"/>
          </w:tcPr>
          <w:p>
            <w:pPr>
              <w:pStyle w:val="TableContents"/>
              <w:bidi w:val="0"/>
              <w:spacing w:before="0" w:after="283"/>
              <w:jc w:val="right"/>
              <w:rPr/>
            </w:pPr>
            <w:r>
              <w:rPr/>
              <w:t>–</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350" w:type="dxa"/>
            <w:tcBorders/>
            <w:shd w:fill="EEEEEE" w:val="clear"/>
            <w:vAlign w:val="center"/>
          </w:tcPr>
          <w:p>
            <w:pPr>
              <w:pStyle w:val="TableContents"/>
              <w:bidi w:val="0"/>
              <w:spacing w:before="0" w:after="283"/>
              <w:jc w:val="left"/>
              <w:rPr/>
            </w:pPr>
            <w:r>
              <w:rPr/>
              <w:t>$</w:t>
            </w:r>
          </w:p>
        </w:tc>
        <w:tc>
          <w:tcPr>
            <w:tcW w:w="351" w:type="dxa"/>
            <w:tcBorders/>
            <w:shd w:fill="EEEEEE" w:val="clear"/>
            <w:vAlign w:val="center"/>
          </w:tcPr>
          <w:p>
            <w:pPr>
              <w:pStyle w:val="TableContents"/>
              <w:bidi w:val="0"/>
              <w:spacing w:before="0" w:after="283"/>
              <w:jc w:val="right"/>
              <w:rPr/>
            </w:pPr>
            <w:r>
              <w:rPr/>
              <w:t>–</w:t>
            </w:r>
          </w:p>
        </w:tc>
        <w:tc>
          <w:tcPr>
            <w:tcW w:w="72" w:type="dxa"/>
            <w:tcBorders/>
            <w:shd w:fill="EEEEEE" w:val="clear"/>
            <w:vAlign w:val="center"/>
          </w:tcPr>
          <w:p>
            <w:pPr>
              <w:pStyle w:val="TableContents"/>
              <w:bidi w:val="0"/>
              <w:spacing w:before="0" w:after="283"/>
              <w:jc w:val="left"/>
              <w:rPr/>
            </w:pPr>
            <w:r>
              <w:rPr/>
              <w:t> </w:t>
            </w:r>
          </w:p>
        </w:tc>
        <w:tc>
          <w:tcPr>
            <w:tcW w:w="72" w:type="dxa"/>
            <w:tcBorders/>
            <w:shd w:fill="EEEEEE" w:val="clear"/>
            <w:vAlign w:val="center"/>
          </w:tcPr>
          <w:p>
            <w:pPr>
              <w:pStyle w:val="TableContents"/>
              <w:bidi w:val="0"/>
              <w:spacing w:before="0" w:after="283"/>
              <w:jc w:val="left"/>
              <w:rPr/>
            </w:pPr>
            <w:r>
              <w:rPr/>
              <w:t> </w:t>
            </w:r>
          </w:p>
        </w:tc>
        <w:tc>
          <w:tcPr>
            <w:tcW w:w="170" w:type="dxa"/>
            <w:tcBorders/>
            <w:shd w:fill="EEEEEE" w:val="clear"/>
            <w:vAlign w:val="center"/>
          </w:tcPr>
          <w:p>
            <w:pPr>
              <w:pStyle w:val="TableContents"/>
              <w:bidi w:val="0"/>
              <w:spacing w:before="0" w:after="283"/>
              <w:jc w:val="left"/>
              <w:rPr/>
            </w:pPr>
            <w:r>
              <w:rPr/>
              <w:t>$</w:t>
            </w:r>
          </w:p>
        </w:tc>
        <w:tc>
          <w:tcPr>
            <w:tcW w:w="1194" w:type="dxa"/>
            <w:tcBorders/>
            <w:shd w:fill="EEEEEE" w:val="clear"/>
            <w:vAlign w:val="center"/>
          </w:tcPr>
          <w:p>
            <w:pPr>
              <w:pStyle w:val="TableContents"/>
              <w:bidi w:val="0"/>
              <w:spacing w:before="0" w:after="283"/>
              <w:jc w:val="right"/>
              <w:rPr/>
            </w:pPr>
            <w:r>
              <w:rPr/>
              <w:t>28,461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28,461</w:t>
            </w:r>
          </w:p>
        </w:tc>
        <w:tc>
          <w:tcPr>
            <w:tcW w:w="81"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368" w:type="dxa"/>
        <w:jc w:val="left"/>
        <w:tblInd w:w="0" w:type="dxa"/>
        <w:tblLayout w:type="fixed"/>
        <w:tblCellMar>
          <w:top w:w="0" w:type="dxa"/>
          <w:left w:w="0" w:type="dxa"/>
          <w:bottom w:w="0" w:type="dxa"/>
          <w:right w:w="0" w:type="dxa"/>
        </w:tblCellMar>
      </w:tblPr>
      <w:tblGrid>
        <w:gridCol w:w="2990"/>
        <w:gridCol w:w="60"/>
        <w:gridCol w:w="140"/>
        <w:gridCol w:w="980"/>
        <w:gridCol w:w="60"/>
        <w:gridCol w:w="60"/>
        <w:gridCol w:w="183"/>
        <w:gridCol w:w="1048"/>
        <w:gridCol w:w="78"/>
        <w:gridCol w:w="78"/>
        <w:gridCol w:w="376"/>
        <w:gridCol w:w="378"/>
        <w:gridCol w:w="78"/>
        <w:gridCol w:w="78"/>
        <w:gridCol w:w="183"/>
        <w:gridCol w:w="1283"/>
        <w:gridCol w:w="60"/>
        <w:gridCol w:w="60"/>
        <w:gridCol w:w="140"/>
        <w:gridCol w:w="980"/>
        <w:gridCol w:w="7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40" w:name="xdx_49A_20251231__us-gaap--FairValueByAs"/>
            <w:bookmarkEnd w:id="840"/>
          </w:p>
        </w:tc>
        <w:tc>
          <w:tcPr>
            <w:tcW w:w="9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841" w:name="xdx_49C_20251231__us-gaap--FairValueByFa"/>
            <w:bookmarkEnd w:id="841"/>
          </w:p>
        </w:tc>
        <w:tc>
          <w:tcPr>
            <w:tcW w:w="1048" w:type="dxa"/>
            <w:tcBorders/>
            <w:shd w:fill="FFFFFF" w:val="clear"/>
            <w:vAlign w:val="center"/>
          </w:tcPr>
          <w:p>
            <w:pPr>
              <w:pStyle w:val="TableContents"/>
              <w:bidi w:val="0"/>
              <w:spacing w:before="0" w:after="283"/>
              <w:jc w:val="center"/>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bookmarkStart w:id="842" w:name="xdx_493_20251231__us-gaap--FairValueByFa"/>
            <w:bookmarkEnd w:id="842"/>
          </w:p>
        </w:tc>
        <w:tc>
          <w:tcPr>
            <w:tcW w:w="378" w:type="dxa"/>
            <w:tcBorders/>
            <w:shd w:fill="FFFFFF" w:val="clear"/>
            <w:vAlign w:val="center"/>
          </w:tcPr>
          <w:p>
            <w:pPr>
              <w:pStyle w:val="TableContents"/>
              <w:bidi w:val="0"/>
              <w:spacing w:before="0" w:after="283"/>
              <w:jc w:val="center"/>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843" w:name="xdx_490_20251231__us-gaap--FairValueByFa"/>
            <w:bookmarkEnd w:id="843"/>
          </w:p>
        </w:tc>
        <w:tc>
          <w:tcPr>
            <w:tcW w:w="12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44" w:name="xdx_493_20251231_zBvu7ZbhLK69"/>
            <w:bookmarkEnd w:id="844"/>
          </w:p>
        </w:tc>
        <w:tc>
          <w:tcPr>
            <w:tcW w:w="98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3"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b/>
                <w:u w:val="single"/>
              </w:rPr>
            </w:pPr>
            <w:r>
              <w:rPr>
                <w:b/>
                <w:u w:val="single"/>
              </w:rPr>
              <w:t>Financial Instrument</w:t>
            </w:r>
          </w:p>
        </w:tc>
        <w:tc>
          <w:tcPr>
            <w:tcW w:w="60" w:type="dxa"/>
            <w:tcBorders/>
            <w:vAlign w:val="center"/>
          </w:tcPr>
          <w:p>
            <w:pPr>
              <w:pStyle w:val="TableContents"/>
              <w:bidi w:val="0"/>
              <w:spacing w:before="0" w:after="283"/>
              <w:jc w:val="left"/>
              <w:rPr/>
            </w:pPr>
            <w:r>
              <w:rPr/>
              <w:t> </w:t>
            </w:r>
          </w:p>
        </w:tc>
        <w:tc>
          <w:tcPr>
            <w:tcW w:w="6243" w:type="dxa"/>
            <w:gridSpan w:val="18"/>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6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Fair Value Measurements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990" w:type="dxa"/>
            <w:tcBorders/>
            <w:shd w:fill="EEEEEE" w:val="clear"/>
            <w:vAlign w:val="center"/>
          </w:tcPr>
          <w:p>
            <w:pPr>
              <w:pStyle w:val="TableContents"/>
              <w:bidi w:val="0"/>
              <w:spacing w:before="0" w:after="283"/>
              <w:jc w:val="left"/>
              <w:rPr>
                <w:b/>
              </w:rPr>
            </w:pPr>
            <w:r>
              <w:rPr>
                <w:b/>
              </w:rPr>
              <w:t>Assets:</w:t>
            </w:r>
          </w:p>
        </w:tc>
        <w:tc>
          <w:tcPr>
            <w:tcW w:w="60" w:type="dxa"/>
            <w:tcBorders/>
            <w:shd w:fill="EEEEEE" w:val="clear"/>
            <w:vAlign w:val="center"/>
          </w:tcPr>
          <w:p>
            <w:pPr>
              <w:pStyle w:val="TableContents"/>
              <w:bidi w:val="0"/>
              <w:spacing w:before="0" w:after="283"/>
              <w:jc w:val="left"/>
              <w:rPr/>
            </w:pPr>
            <w:r>
              <w:rPr/>
              <w:t> </w:t>
            </w:r>
          </w:p>
        </w:tc>
        <w:tc>
          <w:tcPr>
            <w:tcW w:w="1120" w:type="dxa"/>
            <w:gridSpan w:val="2"/>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31" w:type="dxa"/>
            <w:gridSpan w:val="2"/>
            <w:tcBorders/>
            <w:shd w:fill="EEEEEE" w:val="clear"/>
            <w:vAlign w:val="center"/>
          </w:tcPr>
          <w:p>
            <w:pPr>
              <w:pStyle w:val="TableContents"/>
              <w:bidi w:val="0"/>
              <w:spacing w:before="0" w:after="283"/>
              <w:jc w:val="center"/>
              <w:rPr/>
            </w:pPr>
            <w:r>
              <w:rPr/>
              <w:t> </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754" w:type="dxa"/>
            <w:gridSpan w:val="2"/>
            <w:tcBorders/>
            <w:shd w:fill="EEEEEE" w:val="clear"/>
            <w:vAlign w:val="center"/>
          </w:tcPr>
          <w:p>
            <w:pPr>
              <w:pStyle w:val="TableContents"/>
              <w:bidi w:val="0"/>
              <w:spacing w:before="0" w:after="283"/>
              <w:jc w:val="center"/>
              <w:rPr/>
            </w:pPr>
            <w:r>
              <w:rPr/>
              <w:t> </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466" w:type="dxa"/>
            <w:gridSpan w:val="2"/>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20" w:type="dxa"/>
            <w:gridSpan w:val="2"/>
            <w:tcBorders/>
            <w:shd w:fill="EEEEEE" w:val="clear"/>
            <w:vAlign w:val="center"/>
          </w:tcPr>
          <w:p>
            <w:pPr>
              <w:pStyle w:val="TableContents"/>
              <w:bidi w:val="0"/>
              <w:spacing w:before="0" w:after="283"/>
              <w:jc w:val="center"/>
              <w:rPr/>
            </w:pPr>
            <w:r>
              <w:rPr/>
              <w:t> </w:t>
            </w:r>
          </w:p>
        </w:tc>
        <w:tc>
          <w:tcPr>
            <w:tcW w:w="75" w:type="dxa"/>
            <w:tcBorders/>
            <w:shd w:fill="EEEEEE" w:val="clear"/>
            <w:vAlign w:val="center"/>
          </w:tcPr>
          <w:p>
            <w:pPr>
              <w:pStyle w:val="TableContents"/>
              <w:bidi w:val="0"/>
              <w:spacing w:before="0" w:after="283"/>
              <w:jc w:val="left"/>
              <w:rPr/>
            </w:pPr>
            <w:r>
              <w:rPr/>
              <w:t> </w:t>
            </w:r>
            <w:bookmarkStart w:id="845" w:name="xdx_407_eus-gaap--CashAndCashEquivalents"/>
            <w:bookmarkEnd w:id="845"/>
          </w:p>
        </w:tc>
      </w:tr>
      <w:tr>
        <w:trPr/>
        <w:tc>
          <w:tcPr>
            <w:tcW w:w="299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048" w:type="dxa"/>
            <w:tcBorders/>
            <w:shd w:fill="FFFFFF" w:val="clear"/>
            <w:vAlign w:val="center"/>
          </w:tcPr>
          <w:p>
            <w:pPr>
              <w:pStyle w:val="TableContents"/>
              <w:bidi w:val="0"/>
              <w:spacing w:before="0" w:after="283"/>
              <w:jc w:val="right"/>
              <w:rPr/>
            </w:pPr>
            <w:r>
              <w:rPr/>
              <w:t>6,322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w:t>
            </w:r>
          </w:p>
        </w:tc>
        <w:tc>
          <w:tcPr>
            <w:tcW w:w="37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6,322</w:t>
            </w:r>
          </w:p>
        </w:tc>
        <w:tc>
          <w:tcPr>
            <w:tcW w:w="75" w:type="dxa"/>
            <w:tcBorders/>
            <w:shd w:fill="FFFFFF" w:val="clear"/>
            <w:vAlign w:val="center"/>
          </w:tcPr>
          <w:p>
            <w:pPr>
              <w:pStyle w:val="TableContents"/>
              <w:bidi w:val="0"/>
              <w:spacing w:before="0" w:after="283"/>
              <w:jc w:val="left"/>
              <w:rPr/>
            </w:pPr>
            <w:r>
              <w:rPr/>
              <w:t> </w:t>
            </w:r>
            <w:bookmarkStart w:id="846" w:name="xdx_40E_eus-gaap--RestrictedCashAndCashE"/>
            <w:bookmarkEnd w:id="846"/>
          </w:p>
        </w:tc>
      </w:tr>
      <w:tr>
        <w:trPr/>
        <w:tc>
          <w:tcPr>
            <w:tcW w:w="2990" w:type="dxa"/>
            <w:tcBorders/>
            <w:shd w:fill="EEEEEE" w:val="clear"/>
            <w:vAlign w:val="center"/>
          </w:tcPr>
          <w:p>
            <w:pPr>
              <w:pStyle w:val="TableContents"/>
              <w:bidi w:val="0"/>
              <w:spacing w:before="0" w:after="283"/>
              <w:jc w:val="left"/>
              <w:rPr/>
            </w:pPr>
            <w:r>
              <w:rPr/>
              <w:t>Restricted cash and equivalents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165,885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048" w:type="dxa"/>
            <w:tcBorders/>
            <w:shd w:fill="EEEEEE" w:val="clear"/>
            <w:vAlign w:val="center"/>
          </w:tcPr>
          <w:p>
            <w:pPr>
              <w:pStyle w:val="TableContents"/>
              <w:bidi w:val="0"/>
              <w:spacing w:before="0" w:after="283"/>
              <w:jc w:val="right"/>
              <w:rPr/>
            </w:pPr>
            <w:r>
              <w:rPr/>
              <w:t>165,885</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376" w:type="dxa"/>
            <w:tcBorders/>
            <w:shd w:fill="EEEEEE" w:val="clear"/>
            <w:vAlign w:val="center"/>
          </w:tcPr>
          <w:p>
            <w:pPr>
              <w:pStyle w:val="TableContents"/>
              <w:bidi w:val="0"/>
              <w:spacing w:before="0" w:after="283"/>
              <w:jc w:val="left"/>
              <w:rPr/>
            </w:pPr>
            <w:r>
              <w:rPr/>
              <w:t>$</w:t>
            </w:r>
          </w:p>
        </w:tc>
        <w:tc>
          <w:tcPr>
            <w:tcW w:w="37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283"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165,885</w:t>
            </w:r>
          </w:p>
        </w:tc>
        <w:tc>
          <w:tcPr>
            <w:tcW w:w="75" w:type="dxa"/>
            <w:tcBorders/>
            <w:shd w:fill="EEEEEE"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847" w:name="xdx_40F_eus-gaap--LinesOfCreditCurrent_i"/>
            <w:bookmarkEnd w:id="847"/>
          </w:p>
        </w:tc>
      </w:tr>
      <w:tr>
        <w:trPr/>
        <w:tc>
          <w:tcPr>
            <w:tcW w:w="2990" w:type="dxa"/>
            <w:tcBorders/>
            <w:shd w:fill="EEEEEE" w:val="clear"/>
            <w:vAlign w:val="center"/>
          </w:tcPr>
          <w:p>
            <w:pPr>
              <w:pStyle w:val="TableContents"/>
              <w:bidi w:val="0"/>
              <w:spacing w:before="0" w:after="283"/>
              <w:jc w:val="left"/>
              <w:rPr/>
            </w:pPr>
            <w:r>
              <w:rPr/>
              <w:t>Warehouse lines of credit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324,871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04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376" w:type="dxa"/>
            <w:tcBorders/>
            <w:shd w:fill="EEEEEE" w:val="clear"/>
            <w:vAlign w:val="center"/>
          </w:tcPr>
          <w:p>
            <w:pPr>
              <w:pStyle w:val="TableContents"/>
              <w:bidi w:val="0"/>
              <w:spacing w:before="0" w:after="283"/>
              <w:jc w:val="left"/>
              <w:rPr/>
            </w:pPr>
            <w:r>
              <w:rPr/>
              <w:t>$</w:t>
            </w:r>
          </w:p>
        </w:tc>
        <w:tc>
          <w:tcPr>
            <w:tcW w:w="37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283" w:type="dxa"/>
            <w:tcBorders/>
            <w:shd w:fill="EEEEEE" w:val="clear"/>
            <w:vAlign w:val="center"/>
          </w:tcPr>
          <w:p>
            <w:pPr>
              <w:pStyle w:val="TableContents"/>
              <w:bidi w:val="0"/>
              <w:spacing w:before="0" w:after="283"/>
              <w:jc w:val="right"/>
              <w:rPr/>
            </w:pPr>
            <w:r>
              <w:rPr/>
              <w:t>324,871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324,871</w:t>
            </w:r>
          </w:p>
        </w:tc>
        <w:tc>
          <w:tcPr>
            <w:tcW w:w="75" w:type="dxa"/>
            <w:tcBorders/>
            <w:shd w:fill="EEEEEE" w:val="clear"/>
            <w:vAlign w:val="center"/>
          </w:tcPr>
          <w:p>
            <w:pPr>
              <w:pStyle w:val="TableContents"/>
              <w:bidi w:val="0"/>
              <w:spacing w:before="0" w:after="283"/>
              <w:jc w:val="left"/>
              <w:rPr/>
            </w:pPr>
            <w:r>
              <w:rPr/>
              <w:t> </w:t>
            </w:r>
            <w:bookmarkStart w:id="848" w:name="xdx_400_eus-gaap--AccountsPayableFairVal"/>
            <w:bookmarkEnd w:id="848"/>
          </w:p>
        </w:tc>
      </w:tr>
      <w:tr>
        <w:trPr/>
        <w:tc>
          <w:tcPr>
            <w:tcW w:w="2990" w:type="dxa"/>
            <w:tcBorders/>
            <w:shd w:fill="FFFFFF" w:val="clear"/>
            <w:vAlign w:val="center"/>
          </w:tcPr>
          <w:p>
            <w:pPr>
              <w:pStyle w:val="TableContents"/>
              <w:bidi w:val="0"/>
              <w:spacing w:before="0" w:after="283"/>
              <w:jc w:val="left"/>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04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w:t>
            </w:r>
          </w:p>
        </w:tc>
        <w:tc>
          <w:tcPr>
            <w:tcW w:w="37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83" w:type="dxa"/>
            <w:tcBorders/>
            <w:shd w:fill="FFFFFF" w:val="clear"/>
            <w:vAlign w:val="center"/>
          </w:tcPr>
          <w:p>
            <w:pPr>
              <w:pStyle w:val="TableContents"/>
              <w:bidi w:val="0"/>
              <w:spacing w:before="0" w:after="283"/>
              <w:jc w:val="right"/>
              <w:rPr/>
            </w:pPr>
            <w:r>
              <w:rPr/>
              <w:t>11,994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11,994</w:t>
            </w:r>
          </w:p>
        </w:tc>
        <w:tc>
          <w:tcPr>
            <w:tcW w:w="75" w:type="dxa"/>
            <w:tcBorders/>
            <w:shd w:fill="FFFFFF" w:val="clear"/>
            <w:vAlign w:val="center"/>
          </w:tcPr>
          <w:p>
            <w:pPr>
              <w:pStyle w:val="TableContents"/>
              <w:bidi w:val="0"/>
              <w:spacing w:before="0" w:after="283"/>
              <w:jc w:val="left"/>
              <w:rPr/>
            </w:pPr>
            <w:r>
              <w:rPr/>
              <w:t> </w:t>
            </w:r>
            <w:bookmarkStart w:id="849" w:name="xdx_406_ecustom--ResidualInterestFinanci"/>
            <w:bookmarkEnd w:id="849"/>
          </w:p>
        </w:tc>
      </w:tr>
      <w:tr>
        <w:trPr/>
        <w:tc>
          <w:tcPr>
            <w:tcW w:w="2990" w:type="dxa"/>
            <w:tcBorders/>
            <w:shd w:fill="EEEEEE" w:val="clear"/>
            <w:vAlign w:val="center"/>
          </w:tcPr>
          <w:p>
            <w:pPr>
              <w:pStyle w:val="TableContents"/>
              <w:bidi w:val="0"/>
              <w:spacing w:before="0" w:after="283"/>
              <w:jc w:val="left"/>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142,982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04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376" w:type="dxa"/>
            <w:tcBorders/>
            <w:shd w:fill="EEEEEE" w:val="clear"/>
            <w:vAlign w:val="center"/>
          </w:tcPr>
          <w:p>
            <w:pPr>
              <w:pStyle w:val="TableContents"/>
              <w:bidi w:val="0"/>
              <w:spacing w:before="0" w:after="283"/>
              <w:jc w:val="left"/>
              <w:rPr/>
            </w:pPr>
            <w:r>
              <w:rPr/>
              <w:t>$</w:t>
            </w:r>
          </w:p>
        </w:tc>
        <w:tc>
          <w:tcPr>
            <w:tcW w:w="37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283" w:type="dxa"/>
            <w:tcBorders/>
            <w:shd w:fill="EEEEEE" w:val="clear"/>
            <w:vAlign w:val="center"/>
          </w:tcPr>
          <w:p>
            <w:pPr>
              <w:pStyle w:val="TableContents"/>
              <w:bidi w:val="0"/>
              <w:spacing w:before="0" w:after="283"/>
              <w:jc w:val="right"/>
              <w:rPr/>
            </w:pPr>
            <w:r>
              <w:rPr/>
              <w:t>152,607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152,607</w:t>
            </w:r>
          </w:p>
        </w:tc>
        <w:tc>
          <w:tcPr>
            <w:tcW w:w="75" w:type="dxa"/>
            <w:tcBorders/>
            <w:shd w:fill="EEEEEE" w:val="clear"/>
            <w:vAlign w:val="center"/>
          </w:tcPr>
          <w:p>
            <w:pPr>
              <w:pStyle w:val="TableContents"/>
              <w:bidi w:val="0"/>
              <w:spacing w:before="0" w:after="283"/>
              <w:jc w:val="left"/>
              <w:rPr/>
            </w:pPr>
            <w:r>
              <w:rPr/>
              <w:t> </w:t>
            </w:r>
            <w:bookmarkStart w:id="850" w:name="xdx_401_eus-gaap--SecuredDebt_iI_pn3n3_d"/>
            <w:bookmarkEnd w:id="850"/>
          </w:p>
        </w:tc>
      </w:tr>
      <w:tr>
        <w:trPr/>
        <w:tc>
          <w:tcPr>
            <w:tcW w:w="2990" w:type="dxa"/>
            <w:tcBorders/>
            <w:shd w:fill="FFFFFF" w:val="clear"/>
            <w:vAlign w:val="center"/>
          </w:tcPr>
          <w:p>
            <w:pPr>
              <w:pStyle w:val="TableContents"/>
              <w:bidi w:val="0"/>
              <w:spacing w:before="0" w:after="283"/>
              <w:jc w:val="left"/>
              <w:rPr/>
            </w:pPr>
            <w:r>
              <w:rPr/>
              <w:t>Securitization trust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2,986,574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04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w:t>
            </w:r>
          </w:p>
        </w:tc>
        <w:tc>
          <w:tcPr>
            <w:tcW w:w="37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83" w:type="dxa"/>
            <w:tcBorders/>
            <w:shd w:fill="FFFFFF" w:val="clear"/>
            <w:vAlign w:val="center"/>
          </w:tcPr>
          <w:p>
            <w:pPr>
              <w:pStyle w:val="TableContents"/>
              <w:bidi w:val="0"/>
              <w:spacing w:before="0" w:after="283"/>
              <w:jc w:val="right"/>
              <w:rPr/>
            </w:pPr>
            <w:r>
              <w:rPr/>
              <w:t>2,985,961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2,985,961</w:t>
            </w:r>
          </w:p>
        </w:tc>
        <w:tc>
          <w:tcPr>
            <w:tcW w:w="75" w:type="dxa"/>
            <w:tcBorders/>
            <w:shd w:fill="FFFFFF" w:val="clear"/>
            <w:vAlign w:val="center"/>
          </w:tcPr>
          <w:p>
            <w:pPr>
              <w:pStyle w:val="TableContents"/>
              <w:bidi w:val="0"/>
              <w:spacing w:before="0" w:after="283"/>
              <w:jc w:val="left"/>
              <w:rPr/>
            </w:pPr>
            <w:r>
              <w:rPr/>
              <w:t> </w:t>
            </w:r>
            <w:bookmarkStart w:id="851" w:name="xdx_40F_eus-gaap--SubordinatedDebt_iI_pn"/>
            <w:bookmarkEnd w:id="851"/>
          </w:p>
        </w:tc>
      </w:tr>
      <w:tr>
        <w:trPr/>
        <w:tc>
          <w:tcPr>
            <w:tcW w:w="2990" w:type="dxa"/>
            <w:tcBorders/>
            <w:shd w:fill="EEEEEE" w:val="clear"/>
            <w:vAlign w:val="center"/>
          </w:tcPr>
          <w:p>
            <w:pPr>
              <w:pStyle w:val="TableContents"/>
              <w:bidi w:val="0"/>
              <w:spacing w:before="0" w:after="283"/>
              <w:jc w:val="left"/>
              <w:rPr/>
            </w:pPr>
            <w:r>
              <w:rPr/>
              <w:t>Subordinated renewable notes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28,986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04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376" w:type="dxa"/>
            <w:tcBorders/>
            <w:shd w:fill="EEEEEE" w:val="clear"/>
            <w:vAlign w:val="center"/>
          </w:tcPr>
          <w:p>
            <w:pPr>
              <w:pStyle w:val="TableContents"/>
              <w:bidi w:val="0"/>
              <w:spacing w:before="0" w:after="283"/>
              <w:jc w:val="left"/>
              <w:rPr/>
            </w:pPr>
            <w:r>
              <w:rPr/>
              <w:t>$</w:t>
            </w:r>
          </w:p>
        </w:tc>
        <w:tc>
          <w:tcPr>
            <w:tcW w:w="37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283" w:type="dxa"/>
            <w:tcBorders/>
            <w:shd w:fill="EEEEEE" w:val="clear"/>
            <w:vAlign w:val="center"/>
          </w:tcPr>
          <w:p>
            <w:pPr>
              <w:pStyle w:val="TableContents"/>
              <w:bidi w:val="0"/>
              <w:spacing w:before="0" w:after="283"/>
              <w:jc w:val="right"/>
              <w:rPr/>
            </w:pPr>
            <w:r>
              <w:rPr/>
              <w:t>28,986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28,986</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52" w:name="xdx_8AF_z1JSNw4cm74b"/>
      <w:bookmarkEnd w:id="852"/>
      <w:r>
        <w:rPr>
          <w:caps w:val="false"/>
          <w:smallCaps w:val="false"/>
        </w:rPr>
        <w:t> </w:t>
      </w:r>
    </w:p>
    <w:p>
      <w:pPr>
        <w:pStyle w:val="TextBody"/>
        <w:bidi w:val="0"/>
        <w:spacing w:before="0" w:after="0"/>
        <w:ind w:left="0" w:right="0" w:hanging="0"/>
        <w:jc w:val="left"/>
        <w:rPr>
          <w:caps w:val="false"/>
          <w:smallCaps w:val="false"/>
        </w:rPr>
      </w:pPr>
      <w:bookmarkStart w:id="853" w:name="xdx_23B_zc6l3EzazIfi"/>
      <w:bookmarkEnd w:id="853"/>
      <w:r>
        <w:rPr>
          <w:caps w:val="false"/>
          <w:smallCaps w:val="false"/>
        </w:rPr>
        <w:t> </w:t>
      </w:r>
    </w:p>
    <w:p>
      <w:pPr>
        <w:pStyle w:val="TextBody"/>
        <w:bidi w:val="0"/>
        <w:spacing w:before="0" w:after="0"/>
        <w:ind w:left="0" w:right="0" w:hanging="0"/>
        <w:jc w:val="left"/>
        <w:rPr>
          <w:caps w:val="false"/>
          <w:smallCaps w:val="false"/>
        </w:rPr>
      </w:pPr>
      <w:bookmarkStart w:id="854" w:name="xdx_23F_zruZV0BAMUe6"/>
      <w:bookmarkEnd w:id="85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855" w:name="xdx_23B_zhNXsDLUxZy9"/>
      <w:bookmarkEnd w:id="85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6" w:name="xdx_803_eus-gaap--SegmentReportingDisclo"/>
      <w:bookmarkEnd w:id="856"/>
      <w:r>
        <w:rPr>
          <w:rFonts w:ascii="Times New Roman;Times;Serif" w:hAnsi="Times New Roman;Times;Serif"/>
          <w:b/>
          <w:i w:val="false"/>
          <w:caps w:val="false"/>
          <w:smallCaps w:val="false"/>
          <w:sz w:val="20"/>
        </w:rPr>
        <w:t xml:space="preserve">(10) </w:t>
      </w:r>
      <w:bookmarkStart w:id="857" w:name="xdx_826_znVXpBkRyYc3"/>
      <w:bookmarkEnd w:id="857"/>
      <w:r>
        <w:rPr>
          <w:rFonts w:ascii="Times New Roman;Times;Serif" w:hAnsi="Times New Roman;Times;Serif"/>
          <w:b/>
          <w:i/>
          <w:caps w:val="false"/>
          <w:smallCaps w:val="false"/>
          <w:sz w:val="20"/>
        </w:rPr>
        <w:t>Business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858" w:name="xdx_90D_eus-gaap--NumberOfReportableSegm"/>
      <w:bookmarkEnd w:id="858"/>
      <w:r>
        <w:rPr>
          <w:rFonts w:ascii="Times New Roman;Times;Serif" w:hAnsi="Times New Roman;Times;Serif"/>
          <w:b w:val="false"/>
          <w:i w:val="false"/>
          <w:caps w:val="false"/>
          <w:smallCaps w:val="false"/>
          <w:sz w:val="20"/>
        </w:rPr>
        <w:t>one reportable segment. This determination is made by our Chief Executive Officer, who acts as the chief operating decision-maker (“CODM”), in assessing performance and making decisions regarding resource allocation. The CODM assesses performance by reviewing the consolidated financial statements, which reflect the financial results of our one reportable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Company’s one reportable segment, it provides indirect vehicle financing to motor vehicle dealer’s less credit- worthy borrowers. The Company’s revenue primarily consists of interest income and is derived from the interest recorded on contracts the Company has purchased. The revenue generated from any individual borrower is deemed to be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9" w:name="xdx_80B_eus-gaap--SubsequentEventsTextBl"/>
      <w:bookmarkEnd w:id="859"/>
      <w:r>
        <w:rPr>
          <w:rFonts w:ascii="Times New Roman;Times;Serif" w:hAnsi="Times New Roman;Times;Serif"/>
          <w:b/>
          <w:i w:val="false"/>
          <w:caps w:val="false"/>
          <w:smallCaps w:val="false"/>
          <w:sz w:val="20"/>
        </w:rPr>
        <w:t xml:space="preserve">(11) </w:t>
      </w:r>
      <w:bookmarkStart w:id="860" w:name="xdx_82F_zoqNnmb9nzJ6"/>
      <w:bookmarkEnd w:id="860"/>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we renewed our two-year revolving credit agreement with Citibank, N.A., while simultaneously increasing the capacity of the facility. The renewal and increase apply to both Citibank, N.A. and the subordinate lender, and increases the capacity of the facility from $335 million to $508 million. The revolving period for this facility will extend to July 2028 after which CPS will have the option to repay the outstanding loans in full or to allow them to amortize for a one-year period.</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we completed our third securitization of 2026. In the transaction, qualified institutional buyers purchased $716.88 million of asset-backed notes secured by $734.51 million in automobile receivables originated by CPS. The sold notes, issued by CPS Auto Receivables Trust 2026-C, consist of five classes. Ratings of the notes were provided by Standard &amp; Poor’s and DBRS Morningstar, and were based on the structure of the transaction, the historical performance of similar receivables and CPS’s experience as a servicer. The weighted average interest rate on the notes is approximately 5.90%.</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bookmarkStart w:id="861" w:name="xdx_81E_zsP1c5oe1rca"/>
      <w:bookmarkEnd w:id="861"/>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You can generally identify forward-looking statements as statements containing the words “will,” “would,” “believe,” “may,” “could,” “expect,” “anticipate,” “intend,” “estimate,” “judgment,” “assume,” “plans,” “goals, “strategy,” “future,” “likely,” “should” or other similar expressions.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forward-looking statements include, among others, statements we make regarding:</w:t>
      </w:r>
    </w:p>
    <w:p>
      <w:pPr>
        <w:pStyle w:val="TextBody"/>
        <w:bidi w:val="0"/>
        <w:spacing w:before="0" w:after="0"/>
        <w:ind w:left="0" w:right="0" w:firstLine="1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charge-offs and recovery rates;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willingness or ability of obligors to pay pursuant to contractual terms;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enforce rights under contracts;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and rates at which we plan to acquire automobile contracts;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anticipated levels of recoveries upon sale of repossessed vehicles;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revenues or expenses;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for credit losses;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industry and general economic trends;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losses for legal contingencies;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anticipated deferred tax assets;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estimates of taxable income;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service and repay our debt;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structuring of securitization transactions as secured financings and the effects of such structures on financial items and future profitability; or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the change in structure on our profitability and the duration of the period in which our profitability would be affected by the change in securitization structure.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results, performance and achievements may differ materially from the results, performance and achievements expressed or implied in such forward-looking statements. Some of the factors that might cause such a difference include, but are not limited to, the following:</w:t>
      </w:r>
    </w:p>
    <w:p>
      <w:pPr>
        <w:pStyle w:val="TextBody"/>
        <w:bidi w:val="0"/>
        <w:spacing w:before="0" w:after="0"/>
        <w:ind w:left="0" w:right="0" w:firstLine="144"/>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60"/>
        <w:gridCol w:w="125"/>
        <w:gridCol w:w="936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unexpected exogenous events, such as a widespread public health emergency;</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mandates imposed in reaction to such events, such as prohibitions of otherwise permissible activity;</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changes in general economic conditions;</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changes in performance of our automobile contracts;</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increases in interest rates;</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our ability to generate sufficient operating and financing cash flows;</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competition;</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the level of losses incurred on contracts in our managed portfolio;</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adverse decisions by courts or regulators;</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regulatory changes with respect to consumer finance;</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changes in the market for used vehicles;</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levels of cash releases from existing pools of contracts;</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the terms on which we are able to finance contract purchases;</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the willingness or ability of dealers to assign contracts to us on acceptable terms;</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the terms on which we are able to complete term securitizations once contracts are acquired;</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any breach in the security of our systems; and</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365" w:type="dxa"/>
            <w:tcBorders/>
            <w:vAlign w:val="center"/>
          </w:tcPr>
          <w:p>
            <w:pPr>
              <w:pStyle w:val="TableContents"/>
              <w:bidi w:val="0"/>
              <w:spacing w:before="0" w:after="283"/>
              <w:jc w:val="both"/>
              <w:rPr/>
            </w:pPr>
            <w:r>
              <w:rPr/>
              <w:t>such other factors as discussed through the “Risk Factors” section of this report.</w:t>
            </w:r>
          </w:p>
        </w:tc>
      </w:tr>
    </w:tbl>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guarantees of performance. Instead, they are based only on our current beliefs, expectations and assumptions regarding the future of our business, plans and strategies, projections, anticipated events and trends, the economy and other uncertain conditions. Because forward-looking statements relate to the future, they involve risks, uncertainties and assumptions. Actual results may differ from expectations due to many factors beyond our ability to control or predict, including those described herein, and in any documents incorporated by reference in this report. Therefore, you should not rely on any of these forward-looking statements. For these statements, we claim the protection of the safe harbor for forward-looking statements contained in the Private Securities Litigation Reform Act of 1995.</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no obligation to publicly update any forward-looking information. You are advised to consult any additional disclosure we make in our periodic reports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2" w:name="q2_009"/>
      <w:bookmarkEnd w:id="862"/>
      <w:r>
        <w:rPr>
          <w:rFonts w:ascii="Times New Roman;Times;Serif" w:hAnsi="Times New Roman;Times;Serif"/>
          <w:b/>
          <w:i w:val="false"/>
          <w:caps w:val="false"/>
          <w:smallCaps w:val="false"/>
          <w:sz w:val="20"/>
        </w:rPr>
        <w:t>Item 2</w:t>
      </w:r>
      <w:r>
        <w:rPr>
          <w:rFonts w:ascii="Times New Roman;Times;Serif" w:hAnsi="Times New Roman;Times;Serif"/>
          <w:b/>
          <w:i/>
          <w:caps w:val="false"/>
          <w:smallCaps w:val="false"/>
          <w:sz w:val="20"/>
        </w:rPr>
        <w:t>.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to a lesser extent, originate loans directly to consumers for the refinancing of an existing loan from other lenders secured by an automobile and have also (i) originated vehicle purchase money loans by lending directly to consumers,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and began our operations in March 1991. From inception through June 30, 2026, we have originated a total of approximately $26.0 billion of automobile contracts from dealers, and to a lesser degree, by originating loans secured by automobiles directly with consumers. Our recent history of contract purchase volumes and managed portfolio levels are shown in the table below. Managed portfolio comprises both contracts we owned and those we were servicing for third parties.</w:t>
      </w:r>
    </w:p>
    <w:p>
      <w:pPr>
        <w:pStyle w:val="TextBody"/>
        <w:bidi w:val="0"/>
        <w:spacing w:before="0" w:after="0"/>
        <w:ind w:left="0" w:right="0" w:firstLine="144"/>
        <w:jc w:val="both"/>
        <w:rPr>
          <w:caps w:val="false"/>
          <w:smallCaps w:val="false"/>
        </w:rPr>
      </w:pPr>
      <w:r>
        <w:rPr>
          <w:caps w:val="false"/>
          <w:smallCaps w:val="false"/>
        </w:rPr>
        <w:t> </w:t>
      </w:r>
    </w:p>
    <w:tbl>
      <w:tblPr>
        <w:tblW w:w="9943" w:type="dxa"/>
        <w:jc w:val="left"/>
        <w:tblInd w:w="0" w:type="dxa"/>
        <w:tblLayout w:type="fixed"/>
        <w:tblCellMar>
          <w:top w:w="0" w:type="dxa"/>
          <w:left w:w="0" w:type="dxa"/>
          <w:bottom w:w="0" w:type="dxa"/>
          <w:right w:w="0" w:type="dxa"/>
        </w:tblCellMar>
      </w:tblPr>
      <w:tblGrid>
        <w:gridCol w:w="3125"/>
        <w:gridCol w:w="60"/>
        <w:gridCol w:w="141"/>
        <w:gridCol w:w="3013"/>
        <w:gridCol w:w="60"/>
        <w:gridCol w:w="60"/>
        <w:gridCol w:w="336"/>
        <w:gridCol w:w="3073"/>
        <w:gridCol w:w="75"/>
      </w:tblGrid>
      <w:tr>
        <w:trPr/>
        <w:tc>
          <w:tcPr>
            <w:tcW w:w="9943" w:type="dxa"/>
            <w:gridSpan w:val="9"/>
            <w:tcBorders/>
            <w:vAlign w:val="center"/>
          </w:tcPr>
          <w:p>
            <w:pPr>
              <w:pStyle w:val="TableContents"/>
              <w:bidi w:val="0"/>
              <w:spacing w:before="0" w:after="283"/>
              <w:jc w:val="center"/>
              <w:rPr>
                <w:b/>
              </w:rPr>
            </w:pPr>
            <w:r>
              <w:rPr>
                <w:b/>
              </w:rPr>
              <w:t>Contract Purchases and Outstanding Managed Portfolio</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83" w:type="dxa"/>
            <w:gridSpan w:val="6"/>
            <w:tcBorders>
              <w:bottom w:val="single" w:sz="8" w:space="0" w:color="000000"/>
            </w:tcBorders>
            <w:tcMar>
              <w:bottom w:w="28" w:type="dxa"/>
            </w:tcMar>
            <w:vAlign w:val="center"/>
          </w:tcPr>
          <w:p>
            <w:pPr>
              <w:pStyle w:val="TableContents"/>
              <w:bidi w:val="0"/>
              <w:spacing w:before="0" w:after="283"/>
              <w:jc w:val="center"/>
              <w:rPr>
                <w:i/>
              </w:rPr>
            </w:pPr>
            <w:r>
              <w:rPr>
                <w:i/>
              </w:rPr>
              <w:t>$ in thousands</w:t>
            </w:r>
          </w:p>
        </w:tc>
        <w:tc>
          <w:tcPr>
            <w:tcW w:w="75" w:type="dxa"/>
            <w:tcBorders/>
            <w:vAlign w:val="center"/>
          </w:tcPr>
          <w:p>
            <w:pPr>
              <w:pStyle w:val="TableContents"/>
              <w:bidi w:val="0"/>
              <w:spacing w:before="0" w:after="283"/>
              <w:jc w:val="left"/>
              <w:rPr/>
            </w:pPr>
            <w:r>
              <w:rPr/>
              <w:t> </w:t>
            </w:r>
          </w:p>
        </w:tc>
      </w:tr>
      <w:tr>
        <w:trPr/>
        <w:tc>
          <w:tcPr>
            <w:tcW w:w="3125" w:type="dxa"/>
            <w:tcBorders>
              <w:bottom w:val="single" w:sz="8" w:space="0" w:color="000000"/>
            </w:tcBorders>
            <w:tcMar>
              <w:bottom w:w="28" w:type="dxa"/>
            </w:tcMar>
            <w:vAlign w:val="center"/>
          </w:tcPr>
          <w:p>
            <w:pPr>
              <w:pStyle w:val="TableContents"/>
              <w:bidi w:val="0"/>
              <w:spacing w:before="0" w:after="283"/>
              <w:jc w:val="center"/>
              <w:rPr>
                <w:b/>
              </w:rPr>
            </w:pPr>
            <w:r>
              <w:rPr>
                <w:b/>
              </w:rPr>
              <w:t>Period</w:t>
            </w:r>
          </w:p>
        </w:tc>
        <w:tc>
          <w:tcPr>
            <w:tcW w:w="60" w:type="dxa"/>
            <w:tcBorders/>
            <w:vAlign w:val="center"/>
          </w:tcPr>
          <w:p>
            <w:pPr>
              <w:pStyle w:val="TableContents"/>
              <w:bidi w:val="0"/>
              <w:spacing w:before="0" w:after="283"/>
              <w:jc w:val="left"/>
              <w:rPr/>
            </w:pPr>
            <w:r>
              <w:rPr/>
              <w:t> </w:t>
            </w:r>
          </w:p>
        </w:tc>
        <w:tc>
          <w:tcPr>
            <w:tcW w:w="3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Contracts Purchased in 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Managed Portfolio at Period End</w:t>
            </w:r>
          </w:p>
        </w:tc>
        <w:tc>
          <w:tcPr>
            <w:tcW w:w="75" w:type="dxa"/>
            <w:tcBorders/>
            <w:vAlign w:val="center"/>
          </w:tcPr>
          <w:p>
            <w:pPr>
              <w:pStyle w:val="TableContents"/>
              <w:bidi w:val="0"/>
              <w:spacing w:before="0" w:after="283"/>
              <w:jc w:val="left"/>
              <w:rPr/>
            </w:pPr>
            <w:r>
              <w:rPr/>
              <w:t> </w:t>
            </w:r>
          </w:p>
        </w:tc>
      </w:tr>
      <w:tr>
        <w:trPr/>
        <w:tc>
          <w:tcPr>
            <w:tcW w:w="3125" w:type="dxa"/>
            <w:tcBorders/>
            <w:shd w:fill="EEEEEE" w:val="clear"/>
            <w:vAlign w:val="center"/>
          </w:tcPr>
          <w:p>
            <w:pPr>
              <w:pStyle w:val="TableContents"/>
              <w:bidi w:val="0"/>
              <w:spacing w:before="0" w:after="283"/>
              <w:jc w:val="center"/>
              <w:rPr/>
            </w:pPr>
            <w:r>
              <w:rPr/>
              <w:t>2021</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3013" w:type="dxa"/>
            <w:tcBorders/>
            <w:shd w:fill="EEEEEE" w:val="clear"/>
            <w:vAlign w:val="center"/>
          </w:tcPr>
          <w:p>
            <w:pPr>
              <w:pStyle w:val="TableContents"/>
              <w:bidi w:val="0"/>
              <w:spacing w:before="0" w:after="283"/>
              <w:jc w:val="right"/>
              <w:rPr/>
            </w:pPr>
            <w:r>
              <w:rPr/>
              <w:t>     </w:t>
            </w:r>
            <w:r>
              <w:rPr/>
              <w:t>1,146,321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36" w:type="dxa"/>
            <w:tcBorders/>
            <w:shd w:fill="EEEEEE" w:val="clear"/>
            <w:vAlign w:val="center"/>
          </w:tcPr>
          <w:p>
            <w:pPr>
              <w:pStyle w:val="TableContents"/>
              <w:bidi w:val="0"/>
              <w:spacing w:before="0" w:after="283"/>
              <w:jc w:val="left"/>
              <w:rPr/>
            </w:pPr>
            <w:r>
              <w:rPr/>
              <w:t>$</w:t>
            </w:r>
          </w:p>
        </w:tc>
        <w:tc>
          <w:tcPr>
            <w:tcW w:w="3073" w:type="dxa"/>
            <w:tcBorders/>
            <w:shd w:fill="EEEEEE" w:val="clear"/>
            <w:vAlign w:val="center"/>
          </w:tcPr>
          <w:p>
            <w:pPr>
              <w:pStyle w:val="TableContents"/>
              <w:bidi w:val="0"/>
              <w:spacing w:before="0" w:after="283"/>
              <w:jc w:val="right"/>
              <w:rPr/>
            </w:pPr>
            <w:r>
              <w:rPr/>
              <w:t>     </w:t>
            </w:r>
            <w:r>
              <w:rPr/>
              <w:t>2,249,069</w:t>
            </w:r>
          </w:p>
        </w:tc>
        <w:tc>
          <w:tcPr>
            <w:tcW w:w="75" w:type="dxa"/>
            <w:tcBorders/>
            <w:shd w:fill="EEEEEE"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center"/>
              <w:rPr/>
            </w:pPr>
            <w:r>
              <w:rPr/>
              <w:t>2022</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3013" w:type="dxa"/>
            <w:tcBorders/>
            <w:shd w:fill="FFFFFF" w:val="clear"/>
            <w:vAlign w:val="center"/>
          </w:tcPr>
          <w:p>
            <w:pPr>
              <w:pStyle w:val="TableContents"/>
              <w:bidi w:val="0"/>
              <w:spacing w:before="0" w:after="283"/>
              <w:jc w:val="right"/>
              <w:rPr/>
            </w:pPr>
            <w:r>
              <w:rPr/>
              <w:t>1,854,385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3073" w:type="dxa"/>
            <w:tcBorders/>
            <w:shd w:fill="FFFFFF" w:val="clear"/>
            <w:vAlign w:val="center"/>
          </w:tcPr>
          <w:p>
            <w:pPr>
              <w:pStyle w:val="TableContents"/>
              <w:bidi w:val="0"/>
              <w:spacing w:before="0" w:after="283"/>
              <w:jc w:val="right"/>
              <w:rPr/>
            </w:pPr>
            <w:r>
              <w:rPr/>
              <w:t>3,001,308</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EEEEEE" w:val="clear"/>
            <w:vAlign w:val="center"/>
          </w:tcPr>
          <w:p>
            <w:pPr>
              <w:pStyle w:val="TableContents"/>
              <w:bidi w:val="0"/>
              <w:spacing w:before="0" w:after="283"/>
              <w:jc w:val="center"/>
              <w:rPr/>
            </w:pPr>
            <w:r>
              <w:rPr/>
              <w:t>2023</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3013" w:type="dxa"/>
            <w:tcBorders/>
            <w:shd w:fill="EEEEEE" w:val="clear"/>
            <w:vAlign w:val="center"/>
          </w:tcPr>
          <w:p>
            <w:pPr>
              <w:pStyle w:val="TableContents"/>
              <w:bidi w:val="0"/>
              <w:spacing w:before="0" w:after="283"/>
              <w:jc w:val="right"/>
              <w:rPr/>
            </w:pPr>
            <w:r>
              <w:rPr/>
              <w:t>1,357,752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36" w:type="dxa"/>
            <w:tcBorders/>
            <w:shd w:fill="EEEEEE" w:val="clear"/>
            <w:vAlign w:val="center"/>
          </w:tcPr>
          <w:p>
            <w:pPr>
              <w:pStyle w:val="TableContents"/>
              <w:bidi w:val="0"/>
              <w:spacing w:before="0" w:after="283"/>
              <w:jc w:val="left"/>
              <w:rPr/>
            </w:pPr>
            <w:r>
              <w:rPr/>
              <w:t> </w:t>
            </w:r>
          </w:p>
        </w:tc>
        <w:tc>
          <w:tcPr>
            <w:tcW w:w="3073" w:type="dxa"/>
            <w:tcBorders/>
            <w:shd w:fill="EEEEEE" w:val="clear"/>
            <w:vAlign w:val="center"/>
          </w:tcPr>
          <w:p>
            <w:pPr>
              <w:pStyle w:val="TableContents"/>
              <w:bidi w:val="0"/>
              <w:spacing w:before="0" w:after="283"/>
              <w:jc w:val="right"/>
              <w:rPr/>
            </w:pPr>
            <w:r>
              <w:rPr/>
              <w:t>3,194,623</w:t>
            </w:r>
          </w:p>
        </w:tc>
        <w:tc>
          <w:tcPr>
            <w:tcW w:w="75" w:type="dxa"/>
            <w:tcBorders/>
            <w:shd w:fill="EEEEEE"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center"/>
              <w:rPr/>
            </w:pPr>
            <w:r>
              <w:rPr/>
              <w:t>2024</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3013" w:type="dxa"/>
            <w:tcBorders/>
            <w:shd w:fill="FFFFFF" w:val="clear"/>
            <w:vAlign w:val="center"/>
          </w:tcPr>
          <w:p>
            <w:pPr>
              <w:pStyle w:val="TableContents"/>
              <w:bidi w:val="0"/>
              <w:spacing w:before="0" w:after="283"/>
              <w:jc w:val="right"/>
              <w:rPr/>
            </w:pPr>
            <w:r>
              <w:rPr/>
              <w:t>1,681,941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3073" w:type="dxa"/>
            <w:tcBorders/>
            <w:shd w:fill="FFFFFF" w:val="clear"/>
            <w:vAlign w:val="center"/>
          </w:tcPr>
          <w:p>
            <w:pPr>
              <w:pStyle w:val="TableContents"/>
              <w:bidi w:val="0"/>
              <w:spacing w:before="0" w:after="283"/>
              <w:jc w:val="right"/>
              <w:rPr/>
            </w:pPr>
            <w:r>
              <w:rPr/>
              <w:t>3,665,725</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EEEEEE" w:val="clear"/>
            <w:vAlign w:val="center"/>
          </w:tcPr>
          <w:p>
            <w:pPr>
              <w:pStyle w:val="TableContents"/>
              <w:bidi w:val="0"/>
              <w:spacing w:before="0" w:after="283"/>
              <w:jc w:val="center"/>
              <w:rPr/>
            </w:pPr>
            <w:r>
              <w:rPr/>
              <w:t>2025</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3013" w:type="dxa"/>
            <w:tcBorders/>
            <w:shd w:fill="EEEEEE" w:val="clear"/>
            <w:vAlign w:val="center"/>
          </w:tcPr>
          <w:p>
            <w:pPr>
              <w:pStyle w:val="TableContents"/>
              <w:bidi w:val="0"/>
              <w:spacing w:before="0" w:after="283"/>
              <w:jc w:val="right"/>
              <w:rPr/>
            </w:pPr>
            <w:r>
              <w:rPr/>
              <w:t>1,638,326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36" w:type="dxa"/>
            <w:tcBorders/>
            <w:shd w:fill="EEEEEE" w:val="clear"/>
            <w:vAlign w:val="center"/>
          </w:tcPr>
          <w:p>
            <w:pPr>
              <w:pStyle w:val="TableContents"/>
              <w:bidi w:val="0"/>
              <w:spacing w:before="0" w:after="283"/>
              <w:jc w:val="left"/>
              <w:rPr/>
            </w:pPr>
            <w:r>
              <w:rPr/>
              <w:t> </w:t>
            </w:r>
          </w:p>
        </w:tc>
        <w:tc>
          <w:tcPr>
            <w:tcW w:w="3073" w:type="dxa"/>
            <w:tcBorders/>
            <w:shd w:fill="EEEEEE" w:val="clear"/>
            <w:vAlign w:val="center"/>
          </w:tcPr>
          <w:p>
            <w:pPr>
              <w:pStyle w:val="TableContents"/>
              <w:bidi w:val="0"/>
              <w:spacing w:before="0" w:after="283"/>
              <w:jc w:val="right"/>
              <w:rPr/>
            </w:pPr>
            <w:r>
              <w:rPr/>
              <w:t>3,898,425</w:t>
            </w:r>
          </w:p>
        </w:tc>
        <w:tc>
          <w:tcPr>
            <w:tcW w:w="75" w:type="dxa"/>
            <w:tcBorders/>
            <w:shd w:fill="EEEEEE"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center"/>
              <w:rPr/>
            </w:pPr>
            <w:r>
              <w:rPr/>
              <w:t>Six months ended June 30, 2026</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3013" w:type="dxa"/>
            <w:tcBorders/>
            <w:shd w:fill="FFFFFF" w:val="clear"/>
            <w:vAlign w:val="center"/>
          </w:tcPr>
          <w:p>
            <w:pPr>
              <w:pStyle w:val="TableContents"/>
              <w:bidi w:val="0"/>
              <w:spacing w:before="0" w:after="283"/>
              <w:jc w:val="right"/>
              <w:rPr/>
            </w:pPr>
            <w:r>
              <w:rPr/>
              <w:t>1,290,886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3073" w:type="dxa"/>
            <w:tcBorders/>
            <w:shd w:fill="FFFFFF" w:val="clear"/>
            <w:vAlign w:val="center"/>
          </w:tcPr>
          <w:p>
            <w:pPr>
              <w:pStyle w:val="TableContents"/>
              <w:bidi w:val="0"/>
              <w:spacing w:before="0" w:after="283"/>
              <w:jc w:val="right"/>
              <w:rPr/>
            </w:pPr>
            <w:r>
              <w:rPr/>
              <w:t>4,429,944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Nevada, and Virginia branches. We service our automobile contracts from our California, Nevada, Virginia, Florida and Illinois branches.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Securitization and Warehouse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or reverse expense provisions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1994 we have conducted 109 term securitizations of automobile contracts that we originated. As of June 30, 2026, 19 of those securitizations are active and all are structured as secured financings. We generally conduct our securitizations on a quarterly basis, near the beginning of each calendar quarter, resulting in four securitizations per calendar year.</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history of term securitizations is summarized in the table below:</w:t>
      </w:r>
    </w:p>
    <w:p>
      <w:pPr>
        <w:pStyle w:val="TextBody"/>
        <w:bidi w:val="0"/>
        <w:spacing w:before="0" w:after="0"/>
        <w:ind w:left="0" w:right="0" w:firstLine="14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7"/>
        <w:gridCol w:w="60"/>
        <w:gridCol w:w="212"/>
        <w:gridCol w:w="2845"/>
        <w:gridCol w:w="60"/>
        <w:gridCol w:w="60"/>
        <w:gridCol w:w="459"/>
        <w:gridCol w:w="3635"/>
        <w:gridCol w:w="77"/>
      </w:tblGrid>
      <w:tr>
        <w:trPr/>
        <w:tc>
          <w:tcPr>
            <w:tcW w:w="10205" w:type="dxa"/>
            <w:gridSpan w:val="9"/>
            <w:tcBorders/>
            <w:vAlign w:val="center"/>
          </w:tcPr>
          <w:p>
            <w:pPr>
              <w:pStyle w:val="TableContents"/>
              <w:bidi w:val="0"/>
              <w:spacing w:before="0" w:after="283"/>
              <w:jc w:val="center"/>
              <w:rPr>
                <w:b/>
              </w:rPr>
            </w:pPr>
            <w:r>
              <w:rPr>
                <w:b/>
              </w:rPr>
              <w:t>Recent Asset-Backed Term Securitizations</w:t>
            </w:r>
          </w:p>
        </w:tc>
      </w:tr>
      <w:tr>
        <w:trPr/>
        <w:tc>
          <w:tcPr>
            <w:tcW w:w="2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71" w:type="dxa"/>
            <w:gridSpan w:val="6"/>
            <w:tcBorders>
              <w:bottom w:val="single" w:sz="8" w:space="0" w:color="000000"/>
            </w:tcBorders>
            <w:tcMar>
              <w:bottom w:w="28" w:type="dxa"/>
            </w:tcMar>
            <w:vAlign w:val="center"/>
          </w:tcPr>
          <w:p>
            <w:pPr>
              <w:pStyle w:val="TableContents"/>
              <w:bidi w:val="0"/>
              <w:spacing w:before="0" w:after="283"/>
              <w:jc w:val="center"/>
              <w:rPr>
                <w:i/>
              </w:rPr>
            </w:pPr>
            <w:r>
              <w:rPr>
                <w:i/>
              </w:rPr>
              <w:t>$ in thousands</w:t>
            </w:r>
          </w:p>
        </w:tc>
        <w:tc>
          <w:tcPr>
            <w:tcW w:w="77" w:type="dxa"/>
            <w:tcBorders/>
            <w:vAlign w:val="center"/>
          </w:tcPr>
          <w:p>
            <w:pPr>
              <w:pStyle w:val="TableContents"/>
              <w:bidi w:val="0"/>
              <w:spacing w:before="0" w:after="283"/>
              <w:jc w:val="left"/>
              <w:rPr/>
            </w:pPr>
            <w:r>
              <w:rPr/>
              <w:t> </w:t>
            </w:r>
          </w:p>
        </w:tc>
      </w:tr>
      <w:tr>
        <w:trPr/>
        <w:tc>
          <w:tcPr>
            <w:tcW w:w="2797" w:type="dxa"/>
            <w:tcBorders>
              <w:bottom w:val="single" w:sz="8" w:space="0" w:color="000000"/>
            </w:tcBorders>
            <w:tcMar>
              <w:bottom w:w="28" w:type="dxa"/>
            </w:tcMar>
            <w:vAlign w:val="center"/>
          </w:tcPr>
          <w:p>
            <w:pPr>
              <w:pStyle w:val="TableContents"/>
              <w:bidi w:val="0"/>
              <w:spacing w:before="0" w:after="283"/>
              <w:jc w:val="center"/>
              <w:rPr>
                <w:b/>
              </w:rPr>
            </w:pPr>
            <w:r>
              <w:rPr>
                <w:b/>
              </w:rPr>
              <w:t>Period</w:t>
            </w:r>
          </w:p>
        </w:tc>
        <w:tc>
          <w:tcPr>
            <w:tcW w:w="60" w:type="dxa"/>
            <w:tcBorders/>
            <w:vAlign w:val="center"/>
          </w:tcPr>
          <w:p>
            <w:pPr>
              <w:pStyle w:val="TableContents"/>
              <w:bidi w:val="0"/>
              <w:spacing w:before="0" w:after="283"/>
              <w:jc w:val="left"/>
              <w:rPr/>
            </w:pPr>
            <w:r>
              <w:rPr/>
              <w:t> </w:t>
            </w:r>
          </w:p>
        </w:tc>
        <w:tc>
          <w:tcPr>
            <w:tcW w:w="3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Term Securitizations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Receivables Pledged in Term Securitizations</w:t>
            </w:r>
          </w:p>
        </w:tc>
        <w:tc>
          <w:tcPr>
            <w:tcW w:w="77" w:type="dxa"/>
            <w:tcBorders/>
            <w:vAlign w:val="center"/>
          </w:tcPr>
          <w:p>
            <w:pPr>
              <w:pStyle w:val="TableContents"/>
              <w:bidi w:val="0"/>
              <w:spacing w:before="0" w:after="283"/>
              <w:jc w:val="left"/>
              <w:rPr/>
            </w:pPr>
            <w:r>
              <w:rPr/>
              <w:t> </w:t>
            </w:r>
          </w:p>
        </w:tc>
      </w:tr>
      <w:tr>
        <w:trPr/>
        <w:tc>
          <w:tcPr>
            <w:tcW w:w="2797" w:type="dxa"/>
            <w:tcBorders/>
            <w:shd w:fill="EEEEEE" w:val="clear"/>
            <w:vAlign w:val="center"/>
          </w:tcPr>
          <w:p>
            <w:pPr>
              <w:pStyle w:val="TableContents"/>
              <w:bidi w:val="0"/>
              <w:spacing w:before="0" w:after="283"/>
              <w:jc w:val="center"/>
              <w:rPr/>
            </w:pPr>
            <w:r>
              <w:rPr/>
              <w:t>2020</w:t>
            </w:r>
          </w:p>
        </w:tc>
        <w:tc>
          <w:tcPr>
            <w:tcW w:w="60" w:type="dxa"/>
            <w:tcBorders/>
            <w:shd w:fill="EEEEEE" w:val="clear"/>
            <w:vAlign w:val="center"/>
          </w:tcPr>
          <w:p>
            <w:pPr>
              <w:pStyle w:val="TableContents"/>
              <w:bidi w:val="0"/>
              <w:spacing w:before="0" w:after="283"/>
              <w:jc w:val="left"/>
              <w:rPr/>
            </w:pPr>
            <w:r>
              <w:rPr/>
              <w:t> </w:t>
            </w:r>
          </w:p>
        </w:tc>
        <w:tc>
          <w:tcPr>
            <w:tcW w:w="212" w:type="dxa"/>
            <w:tcBorders/>
            <w:shd w:fill="EEEEEE" w:val="clear"/>
            <w:vAlign w:val="center"/>
          </w:tcPr>
          <w:p>
            <w:pPr>
              <w:pStyle w:val="TableContents"/>
              <w:bidi w:val="0"/>
              <w:spacing w:before="0" w:after="283"/>
              <w:jc w:val="left"/>
              <w:rPr/>
            </w:pPr>
            <w:r>
              <w:rPr/>
              <w:t> </w:t>
            </w:r>
          </w:p>
        </w:tc>
        <w:tc>
          <w:tcPr>
            <w:tcW w:w="2845" w:type="dxa"/>
            <w:tcBorders/>
            <w:shd w:fill="EEEEEE" w:val="clear"/>
            <w:vAlign w:val="center"/>
          </w:tcPr>
          <w:p>
            <w:pPr>
              <w:pStyle w:val="TableContents"/>
              <w:bidi w:val="0"/>
              <w:spacing w:before="0" w:after="283"/>
              <w:jc w:val="right"/>
              <w:rPr/>
            </w:pPr>
            <w:r>
              <w:rPr/>
              <w:t>           </w:t>
            </w:r>
            <w:r>
              <w:rPr/>
              <w:t>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59" w:type="dxa"/>
            <w:tcBorders/>
            <w:shd w:fill="EEEEEE" w:val="clear"/>
            <w:vAlign w:val="center"/>
          </w:tcPr>
          <w:p>
            <w:pPr>
              <w:pStyle w:val="TableContents"/>
              <w:bidi w:val="0"/>
              <w:spacing w:before="0" w:after="283"/>
              <w:jc w:val="left"/>
              <w:rPr/>
            </w:pPr>
            <w:r>
              <w:rPr/>
              <w:t>$</w:t>
            </w:r>
          </w:p>
        </w:tc>
        <w:tc>
          <w:tcPr>
            <w:tcW w:w="3635" w:type="dxa"/>
            <w:tcBorders/>
            <w:shd w:fill="EEEEEE" w:val="clear"/>
            <w:vAlign w:val="center"/>
          </w:tcPr>
          <w:p>
            <w:pPr>
              <w:pStyle w:val="TableContents"/>
              <w:bidi w:val="0"/>
              <w:spacing w:before="0" w:after="283"/>
              <w:jc w:val="right"/>
              <w:rPr/>
            </w:pPr>
            <w:r>
              <w:rPr/>
              <w:t>     </w:t>
            </w:r>
            <w:r>
              <w:rPr/>
              <w:t>741,867</w:t>
            </w:r>
          </w:p>
        </w:tc>
        <w:tc>
          <w:tcPr>
            <w:tcW w:w="77" w:type="dxa"/>
            <w:tcBorders/>
            <w:shd w:fill="EEEEEE" w:val="clear"/>
            <w:vAlign w:val="center"/>
          </w:tcPr>
          <w:p>
            <w:pPr>
              <w:pStyle w:val="TableContents"/>
              <w:bidi w:val="0"/>
              <w:spacing w:before="0" w:after="283"/>
              <w:jc w:val="left"/>
              <w:rPr/>
            </w:pPr>
            <w:r>
              <w:rPr/>
              <w:t> </w:t>
            </w:r>
          </w:p>
        </w:tc>
      </w:tr>
      <w:tr>
        <w:trPr/>
        <w:tc>
          <w:tcPr>
            <w:tcW w:w="2797" w:type="dxa"/>
            <w:tcBorders/>
            <w:shd w:fill="FFFFFF" w:val="clear"/>
            <w:vAlign w:val="center"/>
          </w:tcPr>
          <w:p>
            <w:pPr>
              <w:pStyle w:val="TableContents"/>
              <w:bidi w:val="0"/>
              <w:spacing w:before="0" w:after="283"/>
              <w:jc w:val="center"/>
              <w:rPr/>
            </w:pPr>
            <w:r>
              <w:rPr/>
              <w:t>2021</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2845"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3635" w:type="dxa"/>
            <w:tcBorders/>
            <w:shd w:fill="FFFFFF" w:val="clear"/>
            <w:vAlign w:val="center"/>
          </w:tcPr>
          <w:p>
            <w:pPr>
              <w:pStyle w:val="TableContents"/>
              <w:bidi w:val="0"/>
              <w:spacing w:before="0" w:after="283"/>
              <w:jc w:val="right"/>
              <w:rPr/>
            </w:pPr>
            <w:r>
              <w:rPr/>
              <w:t>1,145,002</w:t>
            </w:r>
          </w:p>
        </w:tc>
        <w:tc>
          <w:tcPr>
            <w:tcW w:w="77" w:type="dxa"/>
            <w:tcBorders/>
            <w:shd w:fill="FFFFFF" w:val="clear"/>
            <w:vAlign w:val="center"/>
          </w:tcPr>
          <w:p>
            <w:pPr>
              <w:pStyle w:val="TableContents"/>
              <w:bidi w:val="0"/>
              <w:spacing w:before="0" w:after="283"/>
              <w:jc w:val="left"/>
              <w:rPr/>
            </w:pPr>
            <w:r>
              <w:rPr/>
              <w:t> </w:t>
            </w:r>
          </w:p>
        </w:tc>
      </w:tr>
      <w:tr>
        <w:trPr/>
        <w:tc>
          <w:tcPr>
            <w:tcW w:w="2797" w:type="dxa"/>
            <w:tcBorders/>
            <w:shd w:fill="EEEEEE" w:val="clear"/>
            <w:vAlign w:val="center"/>
          </w:tcPr>
          <w:p>
            <w:pPr>
              <w:pStyle w:val="TableContents"/>
              <w:bidi w:val="0"/>
              <w:spacing w:before="0" w:after="283"/>
              <w:jc w:val="center"/>
              <w:rPr/>
            </w:pPr>
            <w:r>
              <w:rPr/>
              <w:t>2022</w:t>
            </w:r>
          </w:p>
        </w:tc>
        <w:tc>
          <w:tcPr>
            <w:tcW w:w="60" w:type="dxa"/>
            <w:tcBorders/>
            <w:shd w:fill="EEEEEE" w:val="clear"/>
            <w:vAlign w:val="center"/>
          </w:tcPr>
          <w:p>
            <w:pPr>
              <w:pStyle w:val="TableContents"/>
              <w:bidi w:val="0"/>
              <w:spacing w:before="0" w:after="283"/>
              <w:jc w:val="left"/>
              <w:rPr/>
            </w:pPr>
            <w:r>
              <w:rPr/>
              <w:t> </w:t>
            </w:r>
          </w:p>
        </w:tc>
        <w:tc>
          <w:tcPr>
            <w:tcW w:w="212" w:type="dxa"/>
            <w:tcBorders/>
            <w:shd w:fill="EEEEEE" w:val="clear"/>
            <w:vAlign w:val="center"/>
          </w:tcPr>
          <w:p>
            <w:pPr>
              <w:pStyle w:val="TableContents"/>
              <w:bidi w:val="0"/>
              <w:spacing w:before="0" w:after="283"/>
              <w:jc w:val="left"/>
              <w:rPr/>
            </w:pPr>
            <w:r>
              <w:rPr/>
              <w:t> </w:t>
            </w:r>
          </w:p>
        </w:tc>
        <w:tc>
          <w:tcPr>
            <w:tcW w:w="2845" w:type="dxa"/>
            <w:tcBorders/>
            <w:shd w:fill="EEEEEE" w:val="clear"/>
            <w:vAlign w:val="center"/>
          </w:tcPr>
          <w:p>
            <w:pPr>
              <w:pStyle w:val="TableContents"/>
              <w:bidi w:val="0"/>
              <w:spacing w:before="0" w:after="283"/>
              <w:jc w:val="right"/>
              <w:rPr/>
            </w:pPr>
            <w:r>
              <w:rPr/>
              <w:t>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59" w:type="dxa"/>
            <w:tcBorders/>
            <w:shd w:fill="EEEEEE" w:val="clear"/>
            <w:vAlign w:val="center"/>
          </w:tcPr>
          <w:p>
            <w:pPr>
              <w:pStyle w:val="TableContents"/>
              <w:bidi w:val="0"/>
              <w:spacing w:before="0" w:after="283"/>
              <w:jc w:val="left"/>
              <w:rPr/>
            </w:pPr>
            <w:r>
              <w:rPr/>
              <w:t> </w:t>
            </w:r>
          </w:p>
        </w:tc>
        <w:tc>
          <w:tcPr>
            <w:tcW w:w="3635" w:type="dxa"/>
            <w:tcBorders/>
            <w:shd w:fill="EEEEEE" w:val="clear"/>
            <w:vAlign w:val="center"/>
          </w:tcPr>
          <w:p>
            <w:pPr>
              <w:pStyle w:val="TableContents"/>
              <w:bidi w:val="0"/>
              <w:spacing w:before="0" w:after="283"/>
              <w:jc w:val="right"/>
              <w:rPr/>
            </w:pPr>
            <w:r>
              <w:rPr/>
              <w:t>1,537,383</w:t>
            </w:r>
          </w:p>
        </w:tc>
        <w:tc>
          <w:tcPr>
            <w:tcW w:w="77" w:type="dxa"/>
            <w:tcBorders/>
            <w:shd w:fill="EEEEEE" w:val="clear"/>
            <w:vAlign w:val="center"/>
          </w:tcPr>
          <w:p>
            <w:pPr>
              <w:pStyle w:val="TableContents"/>
              <w:bidi w:val="0"/>
              <w:spacing w:before="0" w:after="283"/>
              <w:jc w:val="left"/>
              <w:rPr/>
            </w:pPr>
            <w:r>
              <w:rPr/>
              <w:t> </w:t>
            </w:r>
          </w:p>
        </w:tc>
      </w:tr>
      <w:tr>
        <w:trPr/>
        <w:tc>
          <w:tcPr>
            <w:tcW w:w="2797" w:type="dxa"/>
            <w:tcBorders/>
            <w:shd w:fill="FFFFFF" w:val="clear"/>
            <w:vAlign w:val="center"/>
          </w:tcPr>
          <w:p>
            <w:pPr>
              <w:pStyle w:val="TableContents"/>
              <w:bidi w:val="0"/>
              <w:spacing w:before="0" w:after="283"/>
              <w:jc w:val="center"/>
              <w:rPr/>
            </w:pPr>
            <w:r>
              <w:rPr/>
              <w:t>2023</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2845"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3635" w:type="dxa"/>
            <w:tcBorders/>
            <w:shd w:fill="FFFFFF" w:val="clear"/>
            <w:vAlign w:val="center"/>
          </w:tcPr>
          <w:p>
            <w:pPr>
              <w:pStyle w:val="TableContents"/>
              <w:bidi w:val="0"/>
              <w:spacing w:before="0" w:after="283"/>
              <w:jc w:val="right"/>
              <w:rPr/>
            </w:pPr>
            <w:r>
              <w:rPr/>
              <w:t>1,352,114</w:t>
            </w:r>
          </w:p>
        </w:tc>
        <w:tc>
          <w:tcPr>
            <w:tcW w:w="77" w:type="dxa"/>
            <w:tcBorders/>
            <w:shd w:fill="FFFFFF" w:val="clear"/>
            <w:vAlign w:val="center"/>
          </w:tcPr>
          <w:p>
            <w:pPr>
              <w:pStyle w:val="TableContents"/>
              <w:bidi w:val="0"/>
              <w:spacing w:before="0" w:after="283"/>
              <w:jc w:val="left"/>
              <w:rPr/>
            </w:pPr>
            <w:r>
              <w:rPr/>
              <w:t> </w:t>
            </w:r>
          </w:p>
        </w:tc>
      </w:tr>
      <w:tr>
        <w:trPr/>
        <w:tc>
          <w:tcPr>
            <w:tcW w:w="2797" w:type="dxa"/>
            <w:tcBorders/>
            <w:shd w:fill="EEEEEE" w:val="clear"/>
            <w:vAlign w:val="center"/>
          </w:tcPr>
          <w:p>
            <w:pPr>
              <w:pStyle w:val="TableContents"/>
              <w:bidi w:val="0"/>
              <w:spacing w:before="0" w:after="283"/>
              <w:jc w:val="center"/>
              <w:rPr/>
            </w:pPr>
            <w:r>
              <w:rPr/>
              <w:t>2024</w:t>
            </w:r>
          </w:p>
        </w:tc>
        <w:tc>
          <w:tcPr>
            <w:tcW w:w="60" w:type="dxa"/>
            <w:tcBorders/>
            <w:shd w:fill="EEEEEE" w:val="clear"/>
            <w:vAlign w:val="center"/>
          </w:tcPr>
          <w:p>
            <w:pPr>
              <w:pStyle w:val="TableContents"/>
              <w:bidi w:val="0"/>
              <w:spacing w:before="0" w:after="283"/>
              <w:jc w:val="left"/>
              <w:rPr/>
            </w:pPr>
            <w:r>
              <w:rPr/>
              <w:t> </w:t>
            </w:r>
          </w:p>
        </w:tc>
        <w:tc>
          <w:tcPr>
            <w:tcW w:w="212" w:type="dxa"/>
            <w:tcBorders/>
            <w:shd w:fill="EEEEEE" w:val="clear"/>
            <w:vAlign w:val="center"/>
          </w:tcPr>
          <w:p>
            <w:pPr>
              <w:pStyle w:val="TableContents"/>
              <w:bidi w:val="0"/>
              <w:spacing w:before="0" w:after="283"/>
              <w:jc w:val="left"/>
              <w:rPr/>
            </w:pPr>
            <w:r>
              <w:rPr/>
              <w:t> </w:t>
            </w:r>
          </w:p>
        </w:tc>
        <w:tc>
          <w:tcPr>
            <w:tcW w:w="2845" w:type="dxa"/>
            <w:tcBorders/>
            <w:shd w:fill="EEEEEE" w:val="clear"/>
            <w:vAlign w:val="center"/>
          </w:tcPr>
          <w:p>
            <w:pPr>
              <w:pStyle w:val="TableContents"/>
              <w:bidi w:val="0"/>
              <w:spacing w:before="0" w:after="283"/>
              <w:jc w:val="right"/>
              <w:rPr/>
            </w:pPr>
            <w:r>
              <w:rPr/>
              <w:t>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59" w:type="dxa"/>
            <w:tcBorders/>
            <w:shd w:fill="EEEEEE" w:val="clear"/>
            <w:vAlign w:val="center"/>
          </w:tcPr>
          <w:p>
            <w:pPr>
              <w:pStyle w:val="TableContents"/>
              <w:bidi w:val="0"/>
              <w:spacing w:before="0" w:after="283"/>
              <w:jc w:val="left"/>
              <w:rPr/>
            </w:pPr>
            <w:r>
              <w:rPr/>
              <w:t> </w:t>
            </w:r>
          </w:p>
        </w:tc>
        <w:tc>
          <w:tcPr>
            <w:tcW w:w="3635" w:type="dxa"/>
            <w:tcBorders/>
            <w:shd w:fill="EEEEEE" w:val="clear"/>
            <w:vAlign w:val="center"/>
          </w:tcPr>
          <w:p>
            <w:pPr>
              <w:pStyle w:val="TableContents"/>
              <w:bidi w:val="0"/>
              <w:spacing w:before="0" w:after="283"/>
              <w:jc w:val="right"/>
              <w:rPr/>
            </w:pPr>
            <w:r>
              <w:rPr/>
              <w:t>1,533,854</w:t>
            </w:r>
          </w:p>
        </w:tc>
        <w:tc>
          <w:tcPr>
            <w:tcW w:w="77" w:type="dxa"/>
            <w:tcBorders/>
            <w:shd w:fill="EEEEEE" w:val="clear"/>
            <w:vAlign w:val="center"/>
          </w:tcPr>
          <w:p>
            <w:pPr>
              <w:pStyle w:val="TableContents"/>
              <w:bidi w:val="0"/>
              <w:spacing w:before="0" w:after="283"/>
              <w:jc w:val="left"/>
              <w:rPr/>
            </w:pPr>
            <w:r>
              <w:rPr/>
              <w:t> </w:t>
            </w:r>
          </w:p>
        </w:tc>
      </w:tr>
      <w:tr>
        <w:trPr/>
        <w:tc>
          <w:tcPr>
            <w:tcW w:w="2797" w:type="dxa"/>
            <w:tcBorders/>
            <w:shd w:fill="FFFFFF" w:val="clear"/>
            <w:vAlign w:val="center"/>
          </w:tcPr>
          <w:p>
            <w:pPr>
              <w:pStyle w:val="TableContents"/>
              <w:bidi w:val="0"/>
              <w:spacing w:before="0" w:after="283"/>
              <w:jc w:val="center"/>
              <w:rPr/>
            </w:pPr>
            <w:r>
              <w:rPr/>
              <w:t>2025</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2845"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3635" w:type="dxa"/>
            <w:tcBorders/>
            <w:shd w:fill="FFFFFF" w:val="clear"/>
            <w:vAlign w:val="center"/>
          </w:tcPr>
          <w:p>
            <w:pPr>
              <w:pStyle w:val="TableContents"/>
              <w:bidi w:val="0"/>
              <w:spacing w:before="0" w:after="283"/>
              <w:jc w:val="right"/>
              <w:rPr/>
            </w:pPr>
            <w:r>
              <w:rPr/>
              <w:t>1,727,785</w:t>
            </w:r>
          </w:p>
        </w:tc>
        <w:tc>
          <w:tcPr>
            <w:tcW w:w="77" w:type="dxa"/>
            <w:tcBorders/>
            <w:shd w:fill="FFFFFF" w:val="clear"/>
            <w:vAlign w:val="center"/>
          </w:tcPr>
          <w:p>
            <w:pPr>
              <w:pStyle w:val="TableContents"/>
              <w:bidi w:val="0"/>
              <w:spacing w:before="0" w:after="283"/>
              <w:jc w:val="left"/>
              <w:rPr/>
            </w:pPr>
            <w:r>
              <w:rPr/>
              <w:t> </w:t>
            </w:r>
          </w:p>
        </w:tc>
      </w:tr>
      <w:tr>
        <w:trPr/>
        <w:tc>
          <w:tcPr>
            <w:tcW w:w="2797" w:type="dxa"/>
            <w:tcBorders/>
            <w:shd w:fill="EEEEEE" w:val="clear"/>
            <w:vAlign w:val="center"/>
          </w:tcPr>
          <w:p>
            <w:pPr>
              <w:pStyle w:val="TableContents"/>
              <w:bidi w:val="0"/>
              <w:spacing w:before="0" w:after="283"/>
              <w:jc w:val="center"/>
              <w:rPr/>
            </w:pPr>
            <w:r>
              <w:rPr/>
              <w:t>Six months ended June 30, 2026</w:t>
            </w:r>
          </w:p>
        </w:tc>
        <w:tc>
          <w:tcPr>
            <w:tcW w:w="60" w:type="dxa"/>
            <w:tcBorders/>
            <w:shd w:fill="EEEEEE" w:val="clear"/>
            <w:vAlign w:val="center"/>
          </w:tcPr>
          <w:p>
            <w:pPr>
              <w:pStyle w:val="TableContents"/>
              <w:bidi w:val="0"/>
              <w:spacing w:before="0" w:after="283"/>
              <w:jc w:val="left"/>
              <w:rPr/>
            </w:pPr>
            <w:r>
              <w:rPr/>
              <w:t> </w:t>
            </w:r>
          </w:p>
        </w:tc>
        <w:tc>
          <w:tcPr>
            <w:tcW w:w="212" w:type="dxa"/>
            <w:tcBorders/>
            <w:shd w:fill="EEEEEE" w:val="clear"/>
            <w:vAlign w:val="center"/>
          </w:tcPr>
          <w:p>
            <w:pPr>
              <w:pStyle w:val="TableContents"/>
              <w:bidi w:val="0"/>
              <w:spacing w:before="0" w:after="283"/>
              <w:jc w:val="left"/>
              <w:rPr/>
            </w:pPr>
            <w:r>
              <w:rPr/>
              <w:t> </w:t>
            </w:r>
          </w:p>
        </w:tc>
        <w:tc>
          <w:tcPr>
            <w:tcW w:w="2845" w:type="dxa"/>
            <w:tcBorders/>
            <w:shd w:fill="EEEEEE" w:val="clear"/>
            <w:vAlign w:val="center"/>
          </w:tcPr>
          <w:p>
            <w:pPr>
              <w:pStyle w:val="TableContents"/>
              <w:bidi w:val="0"/>
              <w:spacing w:before="0" w:after="283"/>
              <w:jc w:val="right"/>
              <w:rPr/>
            </w:pPr>
            <w:r>
              <w:rPr/>
              <w:t>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59" w:type="dxa"/>
            <w:tcBorders/>
            <w:shd w:fill="EEEEEE" w:val="clear"/>
            <w:vAlign w:val="center"/>
          </w:tcPr>
          <w:p>
            <w:pPr>
              <w:pStyle w:val="TableContents"/>
              <w:bidi w:val="0"/>
              <w:spacing w:before="0" w:after="283"/>
              <w:jc w:val="left"/>
              <w:rPr/>
            </w:pPr>
            <w:r>
              <w:rPr/>
              <w:t> </w:t>
            </w:r>
          </w:p>
        </w:tc>
        <w:tc>
          <w:tcPr>
            <w:tcW w:w="3635" w:type="dxa"/>
            <w:tcBorders/>
            <w:shd w:fill="EEEEEE" w:val="clear"/>
            <w:vAlign w:val="center"/>
          </w:tcPr>
          <w:p>
            <w:pPr>
              <w:pStyle w:val="TableContents"/>
              <w:bidi w:val="0"/>
              <w:spacing w:before="0" w:after="283"/>
              <w:jc w:val="right"/>
              <w:rPr/>
            </w:pPr>
            <w:r>
              <w:rPr/>
              <w:t>878,835</w:t>
            </w:r>
          </w:p>
        </w:tc>
        <w:tc>
          <w:tcPr>
            <w:tcW w:w="77"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prior to a securitization transaction we fund our automobile contract purchases primarily with proceeds from warehouse credit facilities. As of June 30, 2026 our short-term funding capacity was $725.0 million over two credit facilities. The first credit facility was established in May 2012.</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entered into a new $167.5 million facility. On April 3, 2026, it amended its two-year revolving credit agreement with Capital One, N.A. to increase the capacity of the facility. The amendment applies to both Capital One, N.A. and the subordinate lender, and increases the capacity of the facility from $167.5 million to $390 million. This facility has a two-year revolving period to October 2027, with an optional amortization period through April 2029.</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we have also completed financings of our residual interests in other securitizations that we and our affiliates previously sponsored. Most recently, in March 2026, we completed a $50 million securitization of residual interests from previously issued securitizations. In the transaction, qualified institutional buyers purchased $50.0 million of asset-backed notes secured by an 80% interest in a CPS affiliate that owns the residual interests in four CPS securitizations issued from January 2025 through October 2025. The sold notes (“2026-1 Notes”), issued by CPS Auto Securitization Trust 2026-1, consist of a single class with a coupon of 8.75%.</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we originate and service for third parties are not pledged to our warehouse facilities or included in our securitizations.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Covenants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warehouse credit facilities and our residual interest financings contain various financial covenants requiring certain minimum financial ratios.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June 30, 2026 we were in compliance with all such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Operating Results for the three months ended June 30, 2026, with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During the three months ended June 30, 2026, our revenues were $121.4 million, an increase of $11.6 million, or 10.6% from the prior year revenue of 109.8 million. The primary reason for the increase in revenues is the increase in interest income resulting from the increase in the average outstanding balance of finance receivables measured at fair value. Revenues for the three months ended June 30, 2026, did not include a mark to the recorded value of the finance receivables measured at fair value.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no marks to finance receivables measured at fair value. There was a $3.0 million mark up to the fair value portfolio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for the three months ended June 30, 2026, increased $12.8 million, or 12.1% to $118.1 million from $105.4 million in the prior year. The primary reason for the increase in interest income is the 13.7% increase in the average balance of our loan portfolio over the prior year period. The interest yield on our total loan portfolio decreased to 11.3% from 11.4% in the prior year period. The interest yield on receivables measured at fair value is reduced to take account of expected losses and is therefore less than the yield on other finance receivables. The table below shows the average balance and interest yield of our loan portfolio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405"/>
        <w:gridCol w:w="60"/>
        <w:gridCol w:w="140"/>
        <w:gridCol w:w="980"/>
        <w:gridCol w:w="60"/>
        <w:gridCol w:w="60"/>
        <w:gridCol w:w="140"/>
        <w:gridCol w:w="800"/>
        <w:gridCol w:w="60"/>
        <w:gridCol w:w="60"/>
        <w:gridCol w:w="96"/>
        <w:gridCol w:w="704"/>
        <w:gridCol w:w="60"/>
        <w:gridCol w:w="60"/>
        <w:gridCol w:w="140"/>
        <w:gridCol w:w="980"/>
        <w:gridCol w:w="60"/>
        <w:gridCol w:w="60"/>
        <w:gridCol w:w="140"/>
        <w:gridCol w:w="800"/>
        <w:gridCol w:w="60"/>
        <w:gridCol w:w="60"/>
        <w:gridCol w:w="96"/>
        <w:gridCol w:w="704"/>
        <w:gridCol w:w="7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2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20" w:type="dxa"/>
            <w:gridSpan w:val="22"/>
            <w:tcBorders/>
            <w:vAlign w:val="center"/>
          </w:tcPr>
          <w:p>
            <w:pPr>
              <w:pStyle w:val="TableContents"/>
              <w:bidi w:val="0"/>
              <w:spacing w:before="0" w:after="283"/>
              <w:jc w:val="center"/>
              <w:rPr>
                <w:b/>
              </w:rPr>
            </w:pPr>
            <w:r>
              <w:rPr>
                <w:b/>
              </w:rPr>
              <w:t>(Dollars in thousands)</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Interest</w:t>
            </w:r>
          </w:p>
        </w:tc>
        <w:tc>
          <w:tcPr>
            <w:tcW w:w="75" w:type="dxa"/>
            <w:tcBorders/>
            <w:vAlign w:val="center"/>
          </w:tcPr>
          <w:p>
            <w:pPr>
              <w:pStyle w:val="TableContents"/>
              <w:bidi w:val="0"/>
              <w:spacing w:before="0" w:after="283"/>
              <w:jc w:val="left"/>
              <w:rPr/>
            </w:pPr>
            <w:r>
              <w:rPr/>
              <w:t> </w:t>
            </w:r>
          </w:p>
        </w:tc>
      </w:tr>
      <w:tr>
        <w:trPr/>
        <w:tc>
          <w:tcPr>
            <w:tcW w:w="2405" w:type="dxa"/>
            <w:tcBorders>
              <w:bottom w:val="single" w:sz="8" w:space="0" w:color="000000"/>
            </w:tcBorders>
            <w:tcMar>
              <w:bottom w:w="28" w:type="dxa"/>
            </w:tcMar>
            <w:vAlign w:val="center"/>
          </w:tcPr>
          <w:p>
            <w:pPr>
              <w:pStyle w:val="TableContents"/>
              <w:bidi w:val="0"/>
              <w:spacing w:before="0" w:after="283"/>
              <w:jc w:val="center"/>
              <w:rPr>
                <w:b/>
              </w:rPr>
            </w:pPr>
            <w:r>
              <w:rPr>
                <w:b/>
              </w:rPr>
              <w:t>Interest Earning Assets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w:t>
            </w:r>
          </w:p>
        </w:tc>
        <w:tc>
          <w:tcPr>
            <w:tcW w:w="75" w:type="dxa"/>
            <w:tcBorders/>
            <w:vAlign w:val="center"/>
          </w:tcPr>
          <w:p>
            <w:pPr>
              <w:pStyle w:val="TableContents"/>
              <w:bidi w:val="0"/>
              <w:spacing w:before="0" w:after="283"/>
              <w:jc w:val="left"/>
              <w:rPr/>
            </w:pPr>
            <w:r>
              <w:rPr/>
              <w:t> </w:t>
            </w:r>
          </w:p>
        </w:tc>
      </w:tr>
      <w:tr>
        <w:trPr/>
        <w:tc>
          <w:tcPr>
            <w:tcW w:w="2405" w:type="dxa"/>
            <w:tcBorders/>
            <w:shd w:fill="EEEEEE" w:val="clear"/>
            <w:vAlign w:val="center"/>
          </w:tcPr>
          <w:p>
            <w:pPr>
              <w:pStyle w:val="TableContents"/>
              <w:bidi w:val="0"/>
              <w:spacing w:before="0" w:after="283"/>
              <w:jc w:val="left"/>
              <w:rPr/>
            </w:pPr>
            <w:r>
              <w:rPr/>
              <w:t>Loan Portfolio</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4,185,948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118,112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6" w:type="dxa"/>
            <w:tcBorders/>
            <w:shd w:fill="EEEEEE" w:val="clear"/>
            <w:vAlign w:val="center"/>
          </w:tcPr>
          <w:p>
            <w:pPr>
              <w:pStyle w:val="TableContents"/>
              <w:bidi w:val="0"/>
              <w:spacing w:before="0" w:after="283"/>
              <w:jc w:val="left"/>
              <w:rPr/>
            </w:pPr>
            <w:r>
              <w:rPr/>
              <w:t> </w:t>
            </w:r>
          </w:p>
        </w:tc>
        <w:tc>
          <w:tcPr>
            <w:tcW w:w="704" w:type="dxa"/>
            <w:tcBorders/>
            <w:shd w:fill="EEEEEE" w:val="clear"/>
            <w:vAlign w:val="center"/>
          </w:tcPr>
          <w:p>
            <w:pPr>
              <w:pStyle w:val="TableContents"/>
              <w:bidi w:val="0"/>
              <w:spacing w:before="0" w:after="283"/>
              <w:jc w:val="right"/>
              <w:rPr/>
            </w:pPr>
            <w:r>
              <w:rPr/>
              <w:t>11.3%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3,682,959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105,362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6" w:type="dxa"/>
            <w:tcBorders/>
            <w:shd w:fill="EEEEEE" w:val="clear"/>
            <w:vAlign w:val="center"/>
          </w:tcPr>
          <w:p>
            <w:pPr>
              <w:pStyle w:val="TableContents"/>
              <w:bidi w:val="0"/>
              <w:spacing w:before="0" w:after="283"/>
              <w:jc w:val="left"/>
              <w:rPr/>
            </w:pPr>
            <w:r>
              <w:rPr/>
              <w:t> </w:t>
            </w:r>
          </w:p>
        </w:tc>
        <w:tc>
          <w:tcPr>
            <w:tcW w:w="704" w:type="dxa"/>
            <w:tcBorders/>
            <w:shd w:fill="EEEEEE" w:val="clear"/>
            <w:vAlign w:val="center"/>
          </w:tcPr>
          <w:p>
            <w:pPr>
              <w:pStyle w:val="TableContents"/>
              <w:bidi w:val="0"/>
              <w:spacing w:before="0" w:after="283"/>
              <w:jc w:val="right"/>
              <w:rPr/>
            </w:pPr>
            <w:r>
              <w:rPr/>
              <w:t>11.4%</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income was $3.3 million for the three months ended June 30, 2026, compared to $1.4 million for the comparable period in 2025. This $1.9 million increase was primarily driven by the dealer recoveries collected for the three months ending June 30, 2026. These dealer recoveries were $1.8 million for the quarter ended June 30, 2026. There were no dealer recoveries in the prior year period. The Company engaged a third party that identifies discrepancies in the values of the vehicles that have been repossessed and sold at auction. The third party attempts to collect the amount of the discrepancy from the dealers and remits the amounts collected to the Company net of fees charged. </w:t>
      </w:r>
    </w:p>
    <w:p>
      <w:pPr>
        <w:pStyle w:val="TextBody"/>
        <w:bidi w:val="0"/>
        <w:spacing w:before="0" w:after="0"/>
        <w:ind w:left="0" w:right="0" w:firstLine="360"/>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Our operating expenses consist largely of interest expenses, employee costs, sales and general and administrative expenses. Interest expense is affected by the volume of automobile contracts we purchased during the trailing 12-month period and the use of our warehouse facilities and asset-backed securitizations to finance those contracts and on the interest rates on these facilities.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consist largely of facilities expenses, telephone and other communication services, credit services, computer services, sales and advertising expenses, and depreciation and amortization.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$112.4 million for the three months ended June 30, 2026, compared to $102.8 million for the prior period, an increase of $9.5 million, or 9.3%. The increase is primarily due to increases in interest expense.</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costs were $23.4 million during the three months ended June 30, 2026, compared to $24.4 million for the same quarter in the prior year, a decrease of $944,000, or 3.9%. The table below summarizes our employees by category as well as contract purchases and units in our managed portfolio as of, and for the three-month periods ended, June 30, 2026, and 2025.</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7042" w:type="dxa"/>
        <w:jc w:val="left"/>
        <w:tblInd w:w="0" w:type="dxa"/>
        <w:tblLayout w:type="fixed"/>
        <w:tblCellMar>
          <w:top w:w="0" w:type="dxa"/>
          <w:left w:w="0" w:type="dxa"/>
          <w:bottom w:w="0" w:type="dxa"/>
          <w:right w:w="0" w:type="dxa"/>
        </w:tblCellMar>
      </w:tblPr>
      <w:tblGrid>
        <w:gridCol w:w="3785"/>
        <w:gridCol w:w="60"/>
        <w:gridCol w:w="218"/>
        <w:gridCol w:w="1250"/>
        <w:gridCol w:w="93"/>
        <w:gridCol w:w="93"/>
        <w:gridCol w:w="218"/>
        <w:gridCol w:w="1250"/>
        <w:gridCol w:w="75"/>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vAlign w:val="center"/>
          </w:tcPr>
          <w:p>
            <w:pPr>
              <w:pStyle w:val="TableContents"/>
              <w:bidi w:val="0"/>
              <w:spacing w:before="0" w:after="283"/>
              <w:jc w:val="center"/>
              <w:rPr>
                <w:b/>
              </w:rPr>
            </w:pPr>
            <w:r>
              <w:rPr>
                <w:b/>
              </w:rPr>
              <w:t>(Dollars in millions)</w:t>
            </w:r>
          </w:p>
        </w:tc>
        <w:tc>
          <w:tcPr>
            <w:tcW w:w="75" w:type="dxa"/>
            <w:tcBorders/>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Contracts purchased (dollars)</w:t>
            </w:r>
          </w:p>
        </w:tc>
        <w:tc>
          <w:tcPr>
            <w:tcW w:w="60" w:type="dxa"/>
            <w:tcBorders/>
            <w:shd w:fill="EEEEEE" w:val="clear"/>
            <w:vAlign w:val="center"/>
          </w:tcPr>
          <w:p>
            <w:pPr>
              <w:pStyle w:val="TableContents"/>
              <w:bidi w:val="0"/>
              <w:spacing w:before="0" w:after="283"/>
              <w:jc w:val="left"/>
              <w:rPr/>
            </w:pPr>
            <w:r>
              <w:rPr/>
              <w:t> </w:t>
            </w:r>
          </w:p>
        </w:tc>
        <w:tc>
          <w:tcPr>
            <w:tcW w:w="218" w:type="dxa"/>
            <w:tcBorders/>
            <w:shd w:fill="EEEEEE" w:val="clear"/>
            <w:vAlign w:val="center"/>
          </w:tcPr>
          <w:p>
            <w:pPr>
              <w:pStyle w:val="TableContents"/>
              <w:bidi w:val="0"/>
              <w:spacing w:before="0" w:after="283"/>
              <w:jc w:val="left"/>
              <w:rPr/>
            </w:pPr>
            <w:r>
              <w:rPr/>
              <w:t>$</w:t>
            </w:r>
          </w:p>
        </w:tc>
        <w:tc>
          <w:tcPr>
            <w:tcW w:w="1250" w:type="dxa"/>
            <w:tcBorders/>
            <w:shd w:fill="EEEEEE" w:val="clear"/>
            <w:vAlign w:val="center"/>
          </w:tcPr>
          <w:p>
            <w:pPr>
              <w:pStyle w:val="TableContents"/>
              <w:bidi w:val="0"/>
              <w:spacing w:before="0" w:after="283"/>
              <w:jc w:val="right"/>
              <w:rPr/>
            </w:pPr>
            <w:r>
              <w:rPr/>
              <w:t>757.7</w:t>
            </w:r>
          </w:p>
        </w:tc>
        <w:tc>
          <w:tcPr>
            <w:tcW w:w="93" w:type="dxa"/>
            <w:tcBorders/>
            <w:shd w:fill="EEEEEE" w:val="clear"/>
            <w:vAlign w:val="center"/>
          </w:tcPr>
          <w:p>
            <w:pPr>
              <w:pStyle w:val="TableContents"/>
              <w:bidi w:val="0"/>
              <w:spacing w:before="0" w:after="283"/>
              <w:jc w:val="left"/>
              <w:rPr/>
            </w:pPr>
            <w:r>
              <w:rPr/>
              <w:t> </w:t>
            </w:r>
          </w:p>
        </w:tc>
        <w:tc>
          <w:tcPr>
            <w:tcW w:w="93" w:type="dxa"/>
            <w:tcBorders/>
            <w:shd w:fill="EEEEEE" w:val="clear"/>
            <w:vAlign w:val="center"/>
          </w:tcPr>
          <w:p>
            <w:pPr>
              <w:pStyle w:val="TableContents"/>
              <w:bidi w:val="0"/>
              <w:spacing w:before="0" w:after="283"/>
              <w:jc w:val="left"/>
              <w:rPr/>
            </w:pPr>
            <w:r>
              <w:rPr/>
              <w:t> </w:t>
            </w:r>
          </w:p>
        </w:tc>
        <w:tc>
          <w:tcPr>
            <w:tcW w:w="218" w:type="dxa"/>
            <w:tcBorders/>
            <w:shd w:fill="EEEEEE" w:val="clear"/>
            <w:vAlign w:val="center"/>
          </w:tcPr>
          <w:p>
            <w:pPr>
              <w:pStyle w:val="TableContents"/>
              <w:bidi w:val="0"/>
              <w:spacing w:before="0" w:after="283"/>
              <w:jc w:val="left"/>
              <w:rPr/>
            </w:pPr>
            <w:r>
              <w:rPr/>
              <w:t>$</w:t>
            </w:r>
          </w:p>
        </w:tc>
        <w:tc>
          <w:tcPr>
            <w:tcW w:w="1250" w:type="dxa"/>
            <w:tcBorders/>
            <w:shd w:fill="EEEEEE" w:val="clear"/>
            <w:vAlign w:val="center"/>
          </w:tcPr>
          <w:p>
            <w:pPr>
              <w:pStyle w:val="TableContents"/>
              <w:bidi w:val="0"/>
              <w:spacing w:before="0" w:after="283"/>
              <w:jc w:val="right"/>
              <w:rPr/>
            </w:pPr>
            <w:r>
              <w:rPr/>
              <w:t>433.0</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Contracts purchased (units)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32,857</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19,322</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Managed portfolio outstanding (dollars)</w:t>
            </w:r>
          </w:p>
        </w:tc>
        <w:tc>
          <w:tcPr>
            <w:tcW w:w="60" w:type="dxa"/>
            <w:tcBorders/>
            <w:shd w:fill="EEEEEE" w:val="clear"/>
            <w:vAlign w:val="center"/>
          </w:tcPr>
          <w:p>
            <w:pPr>
              <w:pStyle w:val="TableContents"/>
              <w:bidi w:val="0"/>
              <w:spacing w:before="0" w:after="283"/>
              <w:jc w:val="left"/>
              <w:rPr/>
            </w:pPr>
            <w:r>
              <w:rPr/>
              <w:t> </w:t>
            </w:r>
          </w:p>
        </w:tc>
        <w:tc>
          <w:tcPr>
            <w:tcW w:w="218" w:type="dxa"/>
            <w:tcBorders/>
            <w:shd w:fill="EEEEEE" w:val="clear"/>
            <w:vAlign w:val="center"/>
          </w:tcPr>
          <w:p>
            <w:pPr>
              <w:pStyle w:val="TableContents"/>
              <w:bidi w:val="0"/>
              <w:spacing w:before="0" w:after="283"/>
              <w:jc w:val="left"/>
              <w:rPr/>
            </w:pPr>
            <w:r>
              <w:rPr/>
              <w:t>$</w:t>
            </w:r>
          </w:p>
        </w:tc>
        <w:tc>
          <w:tcPr>
            <w:tcW w:w="1250" w:type="dxa"/>
            <w:tcBorders/>
            <w:shd w:fill="EEEEEE" w:val="clear"/>
            <w:vAlign w:val="center"/>
          </w:tcPr>
          <w:p>
            <w:pPr>
              <w:pStyle w:val="TableContents"/>
              <w:bidi w:val="0"/>
              <w:spacing w:before="0" w:after="283"/>
              <w:jc w:val="right"/>
              <w:rPr/>
            </w:pPr>
            <w:r>
              <w:rPr/>
              <w:t>4,306.7</w:t>
            </w:r>
          </w:p>
        </w:tc>
        <w:tc>
          <w:tcPr>
            <w:tcW w:w="93" w:type="dxa"/>
            <w:tcBorders/>
            <w:shd w:fill="EEEEEE" w:val="clear"/>
            <w:vAlign w:val="center"/>
          </w:tcPr>
          <w:p>
            <w:pPr>
              <w:pStyle w:val="TableContents"/>
              <w:bidi w:val="0"/>
              <w:spacing w:before="0" w:after="283"/>
              <w:jc w:val="left"/>
              <w:rPr/>
            </w:pPr>
            <w:r>
              <w:rPr/>
              <w:t> </w:t>
            </w:r>
          </w:p>
        </w:tc>
        <w:tc>
          <w:tcPr>
            <w:tcW w:w="93" w:type="dxa"/>
            <w:tcBorders/>
            <w:shd w:fill="EEEEEE" w:val="clear"/>
            <w:vAlign w:val="center"/>
          </w:tcPr>
          <w:p>
            <w:pPr>
              <w:pStyle w:val="TableContents"/>
              <w:bidi w:val="0"/>
              <w:spacing w:before="0" w:after="283"/>
              <w:jc w:val="left"/>
              <w:rPr/>
            </w:pPr>
            <w:r>
              <w:rPr/>
              <w:t> </w:t>
            </w:r>
          </w:p>
        </w:tc>
        <w:tc>
          <w:tcPr>
            <w:tcW w:w="218" w:type="dxa"/>
            <w:tcBorders/>
            <w:shd w:fill="EEEEEE" w:val="clear"/>
            <w:vAlign w:val="center"/>
          </w:tcPr>
          <w:p>
            <w:pPr>
              <w:pStyle w:val="TableContents"/>
              <w:bidi w:val="0"/>
              <w:spacing w:before="0" w:after="283"/>
              <w:jc w:val="left"/>
              <w:rPr/>
            </w:pPr>
            <w:r>
              <w:rPr/>
              <w:t>$</w:t>
            </w:r>
          </w:p>
        </w:tc>
        <w:tc>
          <w:tcPr>
            <w:tcW w:w="1250" w:type="dxa"/>
            <w:tcBorders/>
            <w:shd w:fill="EEEEEE" w:val="clear"/>
            <w:vAlign w:val="center"/>
          </w:tcPr>
          <w:p>
            <w:pPr>
              <w:pStyle w:val="TableContents"/>
              <w:bidi w:val="0"/>
              <w:spacing w:before="0" w:after="283"/>
              <w:jc w:val="right"/>
              <w:rPr/>
            </w:pPr>
            <w:r>
              <w:rPr/>
              <w:t>3,708.4</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Managed portfolio outstanding (units)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235,760</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211,246</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8" w:type="dxa"/>
            <w:tcBorders/>
            <w:shd w:fill="EEEEEE" w:val="clear"/>
            <w:vAlign w:val="center"/>
          </w:tcPr>
          <w:p>
            <w:pPr>
              <w:pStyle w:val="TableContents"/>
              <w:bidi w:val="0"/>
              <w:spacing w:before="0" w:after="283"/>
              <w:jc w:val="left"/>
              <w:rPr/>
            </w:pPr>
            <w:r>
              <w:rPr/>
              <w:t> </w:t>
            </w:r>
          </w:p>
        </w:tc>
        <w:tc>
          <w:tcPr>
            <w:tcW w:w="1250" w:type="dxa"/>
            <w:tcBorders/>
            <w:shd w:fill="EEEEEE" w:val="clear"/>
            <w:vAlign w:val="center"/>
          </w:tcPr>
          <w:p>
            <w:pPr>
              <w:pStyle w:val="TableContents"/>
              <w:bidi w:val="0"/>
              <w:spacing w:before="0" w:after="283"/>
              <w:jc w:val="right"/>
              <w:rPr/>
            </w:pPr>
            <w:r>
              <w:rPr/>
              <w:t> </w:t>
            </w:r>
          </w:p>
        </w:tc>
        <w:tc>
          <w:tcPr>
            <w:tcW w:w="93" w:type="dxa"/>
            <w:tcBorders/>
            <w:shd w:fill="EEEEEE" w:val="clear"/>
            <w:vAlign w:val="center"/>
          </w:tcPr>
          <w:p>
            <w:pPr>
              <w:pStyle w:val="TableContents"/>
              <w:bidi w:val="0"/>
              <w:spacing w:before="0" w:after="283"/>
              <w:jc w:val="left"/>
              <w:rPr/>
            </w:pPr>
            <w:r>
              <w:rPr/>
              <w:t> </w:t>
            </w:r>
          </w:p>
        </w:tc>
        <w:tc>
          <w:tcPr>
            <w:tcW w:w="93" w:type="dxa"/>
            <w:tcBorders/>
            <w:shd w:fill="EEEEEE" w:val="clear"/>
            <w:vAlign w:val="center"/>
          </w:tcPr>
          <w:p>
            <w:pPr>
              <w:pStyle w:val="TableContents"/>
              <w:bidi w:val="0"/>
              <w:spacing w:before="0" w:after="283"/>
              <w:jc w:val="left"/>
              <w:rPr/>
            </w:pPr>
            <w:r>
              <w:rPr/>
              <w:t> </w:t>
            </w:r>
          </w:p>
        </w:tc>
        <w:tc>
          <w:tcPr>
            <w:tcW w:w="218" w:type="dxa"/>
            <w:tcBorders/>
            <w:shd w:fill="EEEEEE" w:val="clear"/>
            <w:vAlign w:val="center"/>
          </w:tcPr>
          <w:p>
            <w:pPr>
              <w:pStyle w:val="TableContents"/>
              <w:bidi w:val="0"/>
              <w:spacing w:before="0" w:after="283"/>
              <w:jc w:val="left"/>
              <w:rPr/>
            </w:pPr>
            <w:r>
              <w:rPr/>
              <w:t> </w:t>
            </w:r>
          </w:p>
        </w:tc>
        <w:tc>
          <w:tcPr>
            <w:tcW w:w="125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Number of Originations staff</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193</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195</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Number of Sales staff</w:t>
            </w:r>
          </w:p>
        </w:tc>
        <w:tc>
          <w:tcPr>
            <w:tcW w:w="60" w:type="dxa"/>
            <w:tcBorders/>
            <w:shd w:fill="EEEEEE" w:val="clear"/>
            <w:vAlign w:val="center"/>
          </w:tcPr>
          <w:p>
            <w:pPr>
              <w:pStyle w:val="TableContents"/>
              <w:bidi w:val="0"/>
              <w:spacing w:before="0" w:after="283"/>
              <w:jc w:val="left"/>
              <w:rPr/>
            </w:pPr>
            <w:r>
              <w:rPr/>
              <w:t> </w:t>
            </w:r>
          </w:p>
        </w:tc>
        <w:tc>
          <w:tcPr>
            <w:tcW w:w="218" w:type="dxa"/>
            <w:tcBorders/>
            <w:shd w:fill="EEEEEE" w:val="clear"/>
            <w:vAlign w:val="center"/>
          </w:tcPr>
          <w:p>
            <w:pPr>
              <w:pStyle w:val="TableContents"/>
              <w:bidi w:val="0"/>
              <w:spacing w:before="0" w:after="283"/>
              <w:jc w:val="left"/>
              <w:rPr/>
            </w:pPr>
            <w:r>
              <w:rPr/>
              <w:t> </w:t>
            </w:r>
          </w:p>
        </w:tc>
        <w:tc>
          <w:tcPr>
            <w:tcW w:w="1250" w:type="dxa"/>
            <w:tcBorders/>
            <w:shd w:fill="EEEEEE" w:val="clear"/>
            <w:vAlign w:val="center"/>
          </w:tcPr>
          <w:p>
            <w:pPr>
              <w:pStyle w:val="TableContents"/>
              <w:bidi w:val="0"/>
              <w:spacing w:before="0" w:after="283"/>
              <w:jc w:val="right"/>
              <w:rPr/>
            </w:pPr>
            <w:r>
              <w:rPr/>
              <w:t>160</w:t>
            </w:r>
          </w:p>
        </w:tc>
        <w:tc>
          <w:tcPr>
            <w:tcW w:w="93" w:type="dxa"/>
            <w:tcBorders/>
            <w:shd w:fill="EEEEEE" w:val="clear"/>
            <w:vAlign w:val="center"/>
          </w:tcPr>
          <w:p>
            <w:pPr>
              <w:pStyle w:val="TableContents"/>
              <w:bidi w:val="0"/>
              <w:spacing w:before="0" w:after="283"/>
              <w:jc w:val="left"/>
              <w:rPr/>
            </w:pPr>
            <w:r>
              <w:rPr/>
              <w:t> </w:t>
            </w:r>
          </w:p>
        </w:tc>
        <w:tc>
          <w:tcPr>
            <w:tcW w:w="93" w:type="dxa"/>
            <w:tcBorders/>
            <w:shd w:fill="EEEEEE" w:val="clear"/>
            <w:vAlign w:val="center"/>
          </w:tcPr>
          <w:p>
            <w:pPr>
              <w:pStyle w:val="TableContents"/>
              <w:bidi w:val="0"/>
              <w:spacing w:before="0" w:after="283"/>
              <w:jc w:val="left"/>
              <w:rPr/>
            </w:pPr>
            <w:r>
              <w:rPr/>
              <w:t> </w:t>
            </w:r>
          </w:p>
        </w:tc>
        <w:tc>
          <w:tcPr>
            <w:tcW w:w="218" w:type="dxa"/>
            <w:tcBorders/>
            <w:shd w:fill="EEEEEE" w:val="clear"/>
            <w:vAlign w:val="center"/>
          </w:tcPr>
          <w:p>
            <w:pPr>
              <w:pStyle w:val="TableContents"/>
              <w:bidi w:val="0"/>
              <w:spacing w:before="0" w:after="283"/>
              <w:jc w:val="left"/>
              <w:rPr/>
            </w:pPr>
            <w:r>
              <w:rPr/>
              <w:t> </w:t>
            </w:r>
          </w:p>
        </w:tc>
        <w:tc>
          <w:tcPr>
            <w:tcW w:w="1250" w:type="dxa"/>
            <w:tcBorders/>
            <w:shd w:fill="EEEEEE" w:val="clear"/>
            <w:vAlign w:val="center"/>
          </w:tcPr>
          <w:p>
            <w:pPr>
              <w:pStyle w:val="TableContents"/>
              <w:bidi w:val="0"/>
              <w:spacing w:before="0" w:after="283"/>
              <w:jc w:val="right"/>
              <w:rPr/>
            </w:pPr>
            <w:r>
              <w:rPr/>
              <w:t>118</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Number of Servicing staff</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570</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552</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Number of other staff</w:t>
            </w:r>
          </w:p>
        </w:tc>
        <w:tc>
          <w:tcPr>
            <w:tcW w:w="60" w:type="dxa"/>
            <w:tcBorders/>
            <w:shd w:fill="EEEEEE" w:val="clear"/>
            <w:vAlign w:val="center"/>
          </w:tcPr>
          <w:p>
            <w:pPr>
              <w:pStyle w:val="TableContents"/>
              <w:bidi w:val="0"/>
              <w:spacing w:before="0" w:after="283"/>
              <w:jc w:val="left"/>
              <w:rPr/>
            </w:pPr>
            <w:r>
              <w:rPr/>
              <w:t> </w:t>
            </w:r>
          </w:p>
        </w:tc>
        <w:tc>
          <w:tcPr>
            <w:tcW w:w="21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EEEEEE" w:val="clear"/>
            <w:tcMar>
              <w:bottom w:w="28" w:type="dxa"/>
            </w:tcMar>
            <w:vAlign w:val="center"/>
          </w:tcPr>
          <w:p>
            <w:pPr>
              <w:pStyle w:val="TableContents"/>
              <w:bidi w:val="0"/>
              <w:spacing w:before="0" w:after="283"/>
              <w:jc w:val="right"/>
              <w:rPr/>
            </w:pPr>
            <w:r>
              <w:rPr/>
              <w:t>71</w:t>
            </w:r>
          </w:p>
        </w:tc>
        <w:tc>
          <w:tcPr>
            <w:tcW w:w="93" w:type="dxa"/>
            <w:tcBorders/>
            <w:shd w:fill="EEEEEE" w:val="clear"/>
            <w:vAlign w:val="center"/>
          </w:tcPr>
          <w:p>
            <w:pPr>
              <w:pStyle w:val="TableContents"/>
              <w:bidi w:val="0"/>
              <w:spacing w:before="0" w:after="283"/>
              <w:jc w:val="left"/>
              <w:rPr/>
            </w:pPr>
            <w:r>
              <w:rPr/>
              <w:t> </w:t>
            </w:r>
          </w:p>
        </w:tc>
        <w:tc>
          <w:tcPr>
            <w:tcW w:w="93" w:type="dxa"/>
            <w:tcBorders/>
            <w:shd w:fill="EEEEEE" w:val="clear"/>
            <w:vAlign w:val="center"/>
          </w:tcPr>
          <w:p>
            <w:pPr>
              <w:pStyle w:val="TableContents"/>
              <w:bidi w:val="0"/>
              <w:spacing w:before="0" w:after="283"/>
              <w:jc w:val="left"/>
              <w:rPr/>
            </w:pPr>
            <w:r>
              <w:rPr/>
              <w:t> </w:t>
            </w:r>
          </w:p>
        </w:tc>
        <w:tc>
          <w:tcPr>
            <w:tcW w:w="21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EEEEEE" w:val="clear"/>
            <w:tcMar>
              <w:bottom w:w="28" w:type="dxa"/>
            </w:tcMar>
            <w:vAlign w:val="center"/>
          </w:tcPr>
          <w:p>
            <w:pPr>
              <w:pStyle w:val="TableContents"/>
              <w:bidi w:val="0"/>
              <w:spacing w:before="0" w:after="283"/>
              <w:jc w:val="right"/>
              <w:rPr/>
            </w:pPr>
            <w:r>
              <w:rPr/>
              <w:t>67</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Total number of employees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994</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932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headcount within our Sales staff throughout the three-month periods ended, June 30, 2026, and the decrease in the average employee cost of our Servicing staff from June 30, 2025, were the largest contributing factors to the increase in headcount and decrease to employee costs from the three-month period ended, June 30, 2025 to June 30, 2026.</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associated with purchasing and servicing our portfolio of finance receivables, including expenses for facilities, credit services, and telecommunications. General and administrative expenses were $14.7 million, an increase of $2.3 million from $12.4 million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three months ended June 30, 2026, was $64.3 million and represented 57.2% of total operating expenses, compared to $58.7 million in the previous year, when it was 57.1% of total operating expenses. The $5.5 million increase in interest expense compared to the prior year period was largely due to increases in the average balance of our securitization trust debt, warehouse credit line debt and residual interest financing debt.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securitization trust debt increased by $4.5 million for the three months ended June 30, 2026, compared to the prior period. The average balance of securitization trust debt increased to $3,272.1 million for the three months ended June 30, 2026, compared to $2,811.9 million for the three months ended June 30, 2025. The annualized average rate on our securitization trust debt was 6.1% for the three months ended June 30, 2026, compared to 6.5%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pStyle w:val="TextBody"/>
        <w:bidi w:val="0"/>
        <w:spacing w:before="0" w:after="0"/>
        <w:ind w:left="0" w:right="0" w:firstLine="18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1917"/>
        <w:gridCol w:w="73"/>
        <w:gridCol w:w="2873"/>
      </w:tblGrid>
      <w:tr>
        <w:trPr/>
        <w:tc>
          <w:tcPr>
            <w:tcW w:w="4863" w:type="dxa"/>
            <w:gridSpan w:val="3"/>
            <w:tcBorders/>
            <w:vAlign w:val="center"/>
          </w:tcPr>
          <w:p>
            <w:pPr>
              <w:pStyle w:val="TableContents"/>
              <w:bidi w:val="0"/>
              <w:jc w:val="center"/>
              <w:rPr>
                <w:b/>
              </w:rPr>
            </w:pPr>
            <w:r>
              <w:rPr>
                <w:b/>
              </w:rPr>
              <w:t>Blended Cost of Funds on Recent Asset-Backed</w:t>
            </w:r>
          </w:p>
          <w:p>
            <w:pPr>
              <w:pStyle w:val="TableContents"/>
              <w:bidi w:val="0"/>
              <w:spacing w:before="0" w:after="283"/>
              <w:jc w:val="center"/>
              <w:rPr>
                <w:b/>
              </w:rPr>
            </w:pPr>
            <w:r>
              <w:rPr>
                <w:b/>
              </w:rPr>
              <w:t>Term Securitizations</w:t>
            </w:r>
          </w:p>
        </w:tc>
      </w:tr>
      <w:tr>
        <w:trPr/>
        <w:tc>
          <w:tcPr>
            <w:tcW w:w="1917" w:type="dxa"/>
            <w:tcBorders>
              <w:bottom w:val="single" w:sz="4" w:space="0" w:color="000000"/>
            </w:tcBorders>
            <w:tcMar>
              <w:bottom w:w="28" w:type="dxa"/>
            </w:tcMar>
            <w:vAlign w:val="center"/>
          </w:tcPr>
          <w:p>
            <w:pPr>
              <w:pStyle w:val="TableContents"/>
              <w:bidi w:val="0"/>
              <w:spacing w:before="0" w:after="283"/>
              <w:jc w:val="center"/>
              <w:rPr>
                <w:b/>
              </w:rPr>
            </w:pPr>
            <w:r>
              <w:rPr>
                <w:b/>
              </w:rPr>
              <w:t>Period</w:t>
            </w:r>
          </w:p>
        </w:tc>
        <w:tc>
          <w:tcPr>
            <w:tcW w:w="73" w:type="dxa"/>
            <w:tcBorders/>
            <w:vAlign w:val="center"/>
          </w:tcPr>
          <w:p>
            <w:pPr>
              <w:pStyle w:val="TableContents"/>
              <w:bidi w:val="0"/>
              <w:spacing w:before="0" w:after="283"/>
              <w:jc w:val="left"/>
              <w:rPr/>
            </w:pPr>
            <w:r>
              <w:rPr/>
              <w:t> </w:t>
            </w:r>
          </w:p>
        </w:tc>
        <w:tc>
          <w:tcPr>
            <w:tcW w:w="2873" w:type="dxa"/>
            <w:tcBorders>
              <w:bottom w:val="single" w:sz="4" w:space="0" w:color="000000"/>
            </w:tcBorders>
            <w:tcMar>
              <w:bottom w:w="28" w:type="dxa"/>
            </w:tcMar>
            <w:vAlign w:val="center"/>
          </w:tcPr>
          <w:p>
            <w:pPr>
              <w:pStyle w:val="TableContents"/>
              <w:bidi w:val="0"/>
              <w:spacing w:before="0" w:after="283"/>
              <w:jc w:val="center"/>
              <w:rPr>
                <w:b/>
              </w:rPr>
            </w:pPr>
            <w:r>
              <w:rPr>
                <w:b/>
              </w:rPr>
              <w:t>Blended Cost of Funds</w:t>
            </w:r>
          </w:p>
        </w:tc>
      </w:tr>
      <w:tr>
        <w:trPr/>
        <w:tc>
          <w:tcPr>
            <w:tcW w:w="1917" w:type="dxa"/>
            <w:tcBorders/>
            <w:shd w:fill="EEEEEE" w:val="clear"/>
            <w:vAlign w:val="center"/>
          </w:tcPr>
          <w:p>
            <w:pPr>
              <w:pStyle w:val="TableContents"/>
              <w:bidi w:val="0"/>
              <w:spacing w:before="0" w:after="283"/>
              <w:jc w:val="center"/>
              <w:rPr/>
            </w:pPr>
            <w:r>
              <w:rPr/>
              <w:t>January 2023</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6.48%</w:t>
            </w:r>
          </w:p>
        </w:tc>
      </w:tr>
      <w:tr>
        <w:trPr/>
        <w:tc>
          <w:tcPr>
            <w:tcW w:w="1917" w:type="dxa"/>
            <w:tcBorders/>
            <w:shd w:fill="FFFFFF" w:val="clear"/>
            <w:vAlign w:val="center"/>
          </w:tcPr>
          <w:p>
            <w:pPr>
              <w:pStyle w:val="TableContents"/>
              <w:bidi w:val="0"/>
              <w:spacing w:before="0" w:after="283"/>
              <w:jc w:val="center"/>
              <w:rPr/>
            </w:pPr>
            <w:r>
              <w:rPr/>
              <w:t>April 2023</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7.17%</w:t>
            </w:r>
          </w:p>
        </w:tc>
      </w:tr>
      <w:tr>
        <w:trPr/>
        <w:tc>
          <w:tcPr>
            <w:tcW w:w="1917" w:type="dxa"/>
            <w:tcBorders/>
            <w:shd w:fill="EEEEEE" w:val="clear"/>
            <w:vAlign w:val="center"/>
          </w:tcPr>
          <w:p>
            <w:pPr>
              <w:pStyle w:val="TableContents"/>
              <w:bidi w:val="0"/>
              <w:spacing w:before="0" w:after="283"/>
              <w:jc w:val="center"/>
              <w:rPr/>
            </w:pPr>
            <w:r>
              <w:rPr/>
              <w:t>July 2023</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7.13%</w:t>
            </w:r>
          </w:p>
        </w:tc>
      </w:tr>
      <w:tr>
        <w:trPr/>
        <w:tc>
          <w:tcPr>
            <w:tcW w:w="1917" w:type="dxa"/>
            <w:tcBorders/>
            <w:shd w:fill="FFFFFF" w:val="clear"/>
            <w:vAlign w:val="center"/>
          </w:tcPr>
          <w:p>
            <w:pPr>
              <w:pStyle w:val="TableContents"/>
              <w:bidi w:val="0"/>
              <w:spacing w:before="0" w:after="283"/>
              <w:jc w:val="center"/>
              <w:rPr/>
            </w:pPr>
            <w:r>
              <w:rPr/>
              <w:t>October 2023</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7.89%</w:t>
            </w:r>
          </w:p>
        </w:tc>
      </w:tr>
      <w:tr>
        <w:trPr/>
        <w:tc>
          <w:tcPr>
            <w:tcW w:w="1917" w:type="dxa"/>
            <w:tcBorders/>
            <w:shd w:fill="EEEEEE" w:val="clear"/>
            <w:vAlign w:val="center"/>
          </w:tcPr>
          <w:p>
            <w:pPr>
              <w:pStyle w:val="TableContents"/>
              <w:bidi w:val="0"/>
              <w:spacing w:before="0" w:after="283"/>
              <w:jc w:val="center"/>
              <w:rPr/>
            </w:pPr>
            <w:r>
              <w:rPr/>
              <w:t>January 2024</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6.51%</w:t>
            </w:r>
          </w:p>
        </w:tc>
      </w:tr>
      <w:tr>
        <w:trPr/>
        <w:tc>
          <w:tcPr>
            <w:tcW w:w="1917" w:type="dxa"/>
            <w:tcBorders/>
            <w:shd w:fill="FFFFFF" w:val="clear"/>
            <w:vAlign w:val="center"/>
          </w:tcPr>
          <w:p>
            <w:pPr>
              <w:pStyle w:val="TableContents"/>
              <w:bidi w:val="0"/>
              <w:spacing w:before="0" w:after="283"/>
              <w:jc w:val="center"/>
              <w:rPr/>
            </w:pPr>
            <w:r>
              <w:rPr/>
              <w:t>April 2024</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6.69%</w:t>
            </w:r>
          </w:p>
        </w:tc>
      </w:tr>
      <w:tr>
        <w:trPr/>
        <w:tc>
          <w:tcPr>
            <w:tcW w:w="1917" w:type="dxa"/>
            <w:tcBorders/>
            <w:shd w:fill="EEEEEE" w:val="clear"/>
            <w:vAlign w:val="center"/>
          </w:tcPr>
          <w:p>
            <w:pPr>
              <w:pStyle w:val="TableContents"/>
              <w:bidi w:val="0"/>
              <w:spacing w:before="0" w:after="283"/>
              <w:jc w:val="center"/>
              <w:rPr/>
            </w:pPr>
            <w:r>
              <w:rPr/>
              <w:t>June 2024</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6.56%</w:t>
            </w:r>
          </w:p>
        </w:tc>
      </w:tr>
      <w:tr>
        <w:trPr/>
        <w:tc>
          <w:tcPr>
            <w:tcW w:w="1917" w:type="dxa"/>
            <w:tcBorders/>
            <w:shd w:fill="FFFFFF" w:val="clear"/>
            <w:vAlign w:val="center"/>
          </w:tcPr>
          <w:p>
            <w:pPr>
              <w:pStyle w:val="TableContents"/>
              <w:bidi w:val="0"/>
              <w:spacing w:before="0" w:after="283"/>
              <w:jc w:val="center"/>
              <w:rPr/>
            </w:pPr>
            <w:r>
              <w:rPr/>
              <w:t>September 2024</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5.52%</w:t>
            </w:r>
          </w:p>
        </w:tc>
      </w:tr>
      <w:tr>
        <w:trPr/>
        <w:tc>
          <w:tcPr>
            <w:tcW w:w="1917" w:type="dxa"/>
            <w:tcBorders/>
            <w:shd w:fill="EEEEEE" w:val="clear"/>
            <w:vAlign w:val="center"/>
          </w:tcPr>
          <w:p>
            <w:pPr>
              <w:pStyle w:val="TableContents"/>
              <w:bidi w:val="0"/>
              <w:spacing w:before="0" w:after="283"/>
              <w:jc w:val="center"/>
              <w:rPr/>
            </w:pPr>
            <w:r>
              <w:rPr/>
              <w:t>January 2025</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5.88%</w:t>
            </w:r>
          </w:p>
        </w:tc>
      </w:tr>
      <w:tr>
        <w:trPr/>
        <w:tc>
          <w:tcPr>
            <w:tcW w:w="1917" w:type="dxa"/>
            <w:tcBorders/>
            <w:shd w:fill="FFFFFF" w:val="clear"/>
            <w:vAlign w:val="center"/>
          </w:tcPr>
          <w:p>
            <w:pPr>
              <w:pStyle w:val="TableContents"/>
              <w:bidi w:val="0"/>
              <w:spacing w:before="0" w:after="283"/>
              <w:jc w:val="center"/>
              <w:rPr/>
            </w:pPr>
            <w:r>
              <w:rPr/>
              <w:t>May 2025</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5.96%</w:t>
            </w:r>
          </w:p>
        </w:tc>
      </w:tr>
      <w:tr>
        <w:trPr/>
        <w:tc>
          <w:tcPr>
            <w:tcW w:w="1917" w:type="dxa"/>
            <w:tcBorders/>
            <w:shd w:fill="EEEEEE" w:val="clear"/>
            <w:vAlign w:val="center"/>
          </w:tcPr>
          <w:p>
            <w:pPr>
              <w:pStyle w:val="TableContents"/>
              <w:bidi w:val="0"/>
              <w:spacing w:before="0" w:after="283"/>
              <w:jc w:val="center"/>
              <w:rPr/>
            </w:pPr>
            <w:r>
              <w:rPr/>
              <w:t>July 2025</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5.43%</w:t>
            </w:r>
          </w:p>
        </w:tc>
      </w:tr>
      <w:tr>
        <w:trPr/>
        <w:tc>
          <w:tcPr>
            <w:tcW w:w="1917" w:type="dxa"/>
            <w:tcBorders/>
            <w:shd w:fill="FFFFFF" w:val="clear"/>
            <w:vAlign w:val="center"/>
          </w:tcPr>
          <w:p>
            <w:pPr>
              <w:pStyle w:val="TableContents"/>
              <w:bidi w:val="0"/>
              <w:spacing w:before="0" w:after="283"/>
              <w:jc w:val="center"/>
              <w:rPr/>
            </w:pPr>
            <w:r>
              <w:rPr/>
              <w:t>October 2025</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5.72%</w:t>
            </w:r>
          </w:p>
        </w:tc>
      </w:tr>
      <w:tr>
        <w:trPr/>
        <w:tc>
          <w:tcPr>
            <w:tcW w:w="1917" w:type="dxa"/>
            <w:tcBorders/>
            <w:shd w:fill="EEEEEE" w:val="clear"/>
            <w:vAlign w:val="center"/>
          </w:tcPr>
          <w:p>
            <w:pPr>
              <w:pStyle w:val="TableContents"/>
              <w:bidi w:val="0"/>
              <w:spacing w:before="0" w:after="283"/>
              <w:jc w:val="center"/>
              <w:rPr/>
            </w:pPr>
            <w:r>
              <w:rPr/>
              <w:t>January 2026</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5.18%</w:t>
            </w:r>
          </w:p>
        </w:tc>
      </w:tr>
      <w:tr>
        <w:trPr/>
        <w:tc>
          <w:tcPr>
            <w:tcW w:w="1917" w:type="dxa"/>
            <w:tcBorders/>
            <w:shd w:fill="FFFFFF" w:val="clear"/>
            <w:vAlign w:val="center"/>
          </w:tcPr>
          <w:p>
            <w:pPr>
              <w:pStyle w:val="TableContents"/>
              <w:bidi w:val="0"/>
              <w:spacing w:before="0" w:after="283"/>
              <w:jc w:val="center"/>
              <w:rPr/>
            </w:pPr>
            <w:r>
              <w:rPr/>
              <w:t>April 2026</w:t>
            </w:r>
          </w:p>
        </w:tc>
        <w:tc>
          <w:tcPr>
            <w:tcW w:w="73" w:type="dxa"/>
            <w:tcBorders/>
            <w:shd w:fill="FFFFFF" w:val="clear"/>
            <w:vAlign w:val="center"/>
          </w:tcPr>
          <w:p>
            <w:pPr>
              <w:pStyle w:val="TableContents"/>
              <w:bidi w:val="0"/>
              <w:spacing w:before="0" w:after="283"/>
              <w:jc w:val="center"/>
              <w:rPr/>
            </w:pPr>
            <w:r>
              <w:rPr/>
              <w:t> </w:t>
            </w:r>
          </w:p>
        </w:tc>
        <w:tc>
          <w:tcPr>
            <w:tcW w:w="2873" w:type="dxa"/>
            <w:tcBorders/>
            <w:shd w:fill="FFFFFF" w:val="clear"/>
            <w:vAlign w:val="center"/>
          </w:tcPr>
          <w:p>
            <w:pPr>
              <w:pStyle w:val="TableContents"/>
              <w:bidi w:val="0"/>
              <w:spacing w:before="0" w:after="283"/>
              <w:jc w:val="center"/>
              <w:rPr/>
            </w:pPr>
            <w:r>
              <w:rPr/>
              <w:t>5.51%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warehouse credit line debt increased by $617,000 to $8.8 million for the three months ended June 30, 2026, compared to $8.2 million in the prior year period. The increase was primarily due to the higher utilization of our credit lines during the quarter compared to last year. The average balance of our warehouse debt was $445.6 million during the three months ended June 30, 2026, compared to $353.2 million for the same period in 2025. The annualized average rate on our credit line debt was 7.9% for the three months ended June 30, 2026, compared to 9.3%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subordinated renewable notes was $668,000 for the three months ended June 30, 2026. The average balance of the outstanding subordinated debt was $28.1 million for the three months June 30, 2026, compared to $28.0 million for the prior year period. The average yield of subordinated notes is 9.5% for the three months ended June 30, 2025, compared to 9.7%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March 2024, March 2025, and again in March 2026 we completed a securitization of residual interests from other previously issued securitizations in the amount of $50 million, $50 million, $65 million, and $50 million, respectively. Interest expense for these residual interest financings was $4.7 million for the three months ended June 30, 2026, compared to $4.2 million for the same period in 2025.</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interest income and interest expense and a net interest yield analysis for the three-month periods ended June 30, 2026, and 2025:</w:t>
      </w:r>
    </w:p>
    <w:p>
      <w:pPr>
        <w:pStyle w:val="TextBody"/>
        <w:bidi w:val="0"/>
        <w:spacing w:before="0" w:after="0"/>
        <w:ind w:left="0" w:right="0" w:firstLine="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7"/>
        <w:gridCol w:w="60"/>
        <w:gridCol w:w="141"/>
        <w:gridCol w:w="989"/>
        <w:gridCol w:w="60"/>
        <w:gridCol w:w="60"/>
        <w:gridCol w:w="140"/>
        <w:gridCol w:w="800"/>
        <w:gridCol w:w="60"/>
        <w:gridCol w:w="60"/>
        <w:gridCol w:w="142"/>
        <w:gridCol w:w="1048"/>
        <w:gridCol w:w="60"/>
        <w:gridCol w:w="60"/>
        <w:gridCol w:w="141"/>
        <w:gridCol w:w="989"/>
        <w:gridCol w:w="60"/>
        <w:gridCol w:w="60"/>
        <w:gridCol w:w="140"/>
        <w:gridCol w:w="800"/>
        <w:gridCol w:w="60"/>
        <w:gridCol w:w="60"/>
        <w:gridCol w:w="142"/>
        <w:gridCol w:w="1048"/>
        <w:gridCol w:w="78"/>
      </w:tblGrid>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78" w:type="dxa"/>
            <w:tcBorders/>
            <w:vAlign w:val="center"/>
          </w:tcPr>
          <w:p>
            <w:pPr>
              <w:pStyle w:val="TableContents"/>
              <w:bidi w:val="0"/>
              <w:spacing w:before="0" w:after="283"/>
              <w:jc w:val="left"/>
              <w:rPr/>
            </w:pPr>
            <w:r>
              <w:rPr/>
              <w:t> </w:t>
            </w:r>
          </w:p>
        </w:tc>
      </w:tr>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r>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0" w:type="dxa"/>
            <w:gridSpan w:val="22"/>
            <w:tcBorders/>
            <w:vAlign w:val="center"/>
          </w:tcPr>
          <w:p>
            <w:pPr>
              <w:pStyle w:val="TableContents"/>
              <w:bidi w:val="0"/>
              <w:spacing w:before="0" w:after="283"/>
              <w:jc w:val="center"/>
              <w:rPr>
                <w:b/>
              </w:rPr>
            </w:pPr>
            <w:r>
              <w:rPr>
                <w:b/>
              </w:rPr>
              <w:t>(Dollars in thousands)</w:t>
            </w:r>
          </w:p>
        </w:tc>
        <w:tc>
          <w:tcPr>
            <w:tcW w:w="78" w:type="dxa"/>
            <w:tcBorders/>
            <w:vAlign w:val="center"/>
          </w:tcPr>
          <w:p>
            <w:pPr>
              <w:pStyle w:val="TableContents"/>
              <w:bidi w:val="0"/>
              <w:spacing w:before="0" w:after="283"/>
              <w:jc w:val="left"/>
              <w:rPr/>
            </w:pPr>
            <w:r>
              <w:rPr/>
              <w:t> </w:t>
            </w:r>
          </w:p>
        </w:tc>
      </w:tr>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Annualized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Annualized</w:t>
            </w:r>
          </w:p>
        </w:tc>
        <w:tc>
          <w:tcPr>
            <w:tcW w:w="78" w:type="dxa"/>
            <w:tcBorders/>
            <w:vAlign w:val="center"/>
          </w:tcPr>
          <w:p>
            <w:pPr>
              <w:pStyle w:val="TableContents"/>
              <w:bidi w:val="0"/>
              <w:spacing w:before="0" w:after="283"/>
              <w:jc w:val="left"/>
              <w:rPr/>
            </w:pPr>
            <w:r>
              <w:rPr/>
              <w:t> </w:t>
            </w:r>
          </w:p>
        </w:tc>
      </w:tr>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Average</w:t>
            </w:r>
          </w:p>
        </w:tc>
        <w:tc>
          <w:tcPr>
            <w:tcW w:w="78" w:type="dxa"/>
            <w:tcBorders/>
            <w:vAlign w:val="center"/>
          </w:tcPr>
          <w:p>
            <w:pPr>
              <w:pStyle w:val="TableContents"/>
              <w:bidi w:val="0"/>
              <w:spacing w:before="0" w:after="283"/>
              <w:jc w:val="left"/>
              <w:rPr/>
            </w:pPr>
            <w:r>
              <w:rPr/>
              <w:t> </w:t>
            </w:r>
          </w:p>
        </w:tc>
      </w:tr>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Yield/Rate</w:t>
            </w:r>
          </w:p>
        </w:tc>
        <w:tc>
          <w:tcPr>
            <w:tcW w:w="78" w:type="dxa"/>
            <w:tcBorders/>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center"/>
              <w:rPr>
                <w:b/>
                <w:u w:val="single"/>
              </w:rPr>
            </w:pPr>
            <w:r>
              <w:rPr>
                <w:b/>
                <w:u w:val="single"/>
              </w:rPr>
              <w:t>Interest Earning Assets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left"/>
              <w:rPr/>
            </w:pPr>
            <w:r>
              <w:rPr/>
              <w:t>Loan Portfolio</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89" w:type="dxa"/>
            <w:tcBorders/>
            <w:shd w:fill="FFFFFF" w:val="clear"/>
            <w:vAlign w:val="center"/>
          </w:tcPr>
          <w:p>
            <w:pPr>
              <w:pStyle w:val="TableContents"/>
              <w:bidi w:val="0"/>
              <w:spacing w:before="0" w:after="283"/>
              <w:jc w:val="right"/>
              <w:rPr/>
            </w:pPr>
            <w:r>
              <w:rPr/>
              <w:t>4,185,948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118,112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89" w:type="dxa"/>
            <w:tcBorders/>
            <w:shd w:fill="FFFFFF" w:val="clear"/>
            <w:vAlign w:val="center"/>
          </w:tcPr>
          <w:p>
            <w:pPr>
              <w:pStyle w:val="TableContents"/>
              <w:bidi w:val="0"/>
              <w:spacing w:before="0" w:after="283"/>
              <w:jc w:val="right"/>
              <w:rPr/>
            </w:pPr>
            <w:r>
              <w:rPr/>
              <w:t>3,682,959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105,362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11.4%</w:t>
            </w:r>
          </w:p>
        </w:tc>
        <w:tc>
          <w:tcPr>
            <w:tcW w:w="78" w:type="dxa"/>
            <w:tcBorders/>
            <w:shd w:fill="FFFFFF" w:val="clear"/>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center"/>
              <w:rPr>
                <w:b/>
                <w:u w:val="single"/>
              </w:rPr>
            </w:pPr>
            <w:r>
              <w:rPr>
                <w:b/>
                <w:u w:val="single"/>
              </w:rPr>
              <w:t>Interest Bearing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left"/>
              <w:rPr/>
            </w:pPr>
            <w:r>
              <w:rPr/>
              <w:t>Warehouse lines of credit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989" w:type="dxa"/>
            <w:tcBorders/>
            <w:shd w:fill="EEEEEE" w:val="clear"/>
            <w:vAlign w:val="center"/>
          </w:tcPr>
          <w:p>
            <w:pPr>
              <w:pStyle w:val="TableContents"/>
              <w:bidi w:val="0"/>
              <w:spacing w:before="0" w:after="283"/>
              <w:jc w:val="right"/>
              <w:rPr/>
            </w:pPr>
            <w:r>
              <w:rPr/>
              <w:t>445,598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8,833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7.9%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989" w:type="dxa"/>
            <w:tcBorders/>
            <w:shd w:fill="EEEEEE" w:val="clear"/>
            <w:vAlign w:val="center"/>
          </w:tcPr>
          <w:p>
            <w:pPr>
              <w:pStyle w:val="TableContents"/>
              <w:bidi w:val="0"/>
              <w:spacing w:before="0" w:after="283"/>
              <w:jc w:val="right"/>
              <w:rPr/>
            </w:pPr>
            <w:r>
              <w:rPr/>
              <w:t>353,153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8,216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9.3%</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left"/>
              <w:rPr/>
            </w:pPr>
            <w:r>
              <w:rPr/>
              <w:t>Residual interest financing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176,578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165,000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10.3%</w:t>
            </w:r>
          </w:p>
        </w:tc>
        <w:tc>
          <w:tcPr>
            <w:tcW w:w="78" w:type="dxa"/>
            <w:tcBorders/>
            <w:shd w:fill="FFFFFF" w:val="clear"/>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left"/>
              <w:rPr/>
            </w:pPr>
            <w:r>
              <w:rPr/>
              <w:t>Securitization trust debt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3,272,074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50,039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6.1%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2,811,906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45,557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6.5%</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left"/>
              <w:rPr/>
            </w:pPr>
            <w:r>
              <w:rPr/>
              <w:t>Subordinated renewable notes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pPr>
            <w:r>
              <w:rPr/>
              <w:t>28,116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pPr>
            <w:r>
              <w:rPr/>
              <w:t>28,035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9.8%</w:t>
            </w:r>
          </w:p>
        </w:tc>
        <w:tc>
          <w:tcPr>
            <w:tcW w:w="78" w:type="dxa"/>
            <w:tcBorders/>
            <w:shd w:fill="FFFFFF" w:val="clear"/>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9" w:type="dxa"/>
            <w:tcBorders>
              <w:bottom w:val="double" w:sz="6" w:space="0" w:color="000000"/>
            </w:tcBorders>
            <w:shd w:fill="EEEEEE" w:val="clear"/>
            <w:tcMar>
              <w:bottom w:w="28" w:type="dxa"/>
            </w:tcMar>
            <w:vAlign w:val="center"/>
          </w:tcPr>
          <w:p>
            <w:pPr>
              <w:pStyle w:val="TableContents"/>
              <w:bidi w:val="0"/>
              <w:spacing w:before="0" w:after="283"/>
              <w:jc w:val="right"/>
              <w:rPr/>
            </w:pPr>
            <w:r>
              <w:rPr/>
              <w:t>3,922,366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64,253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6.6%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9" w:type="dxa"/>
            <w:tcBorders>
              <w:bottom w:val="double" w:sz="6" w:space="0" w:color="000000"/>
            </w:tcBorders>
            <w:shd w:fill="EEEEEE" w:val="clear"/>
            <w:tcMar>
              <w:bottom w:w="28" w:type="dxa"/>
            </w:tcMar>
            <w:vAlign w:val="center"/>
          </w:tcPr>
          <w:p>
            <w:pPr>
              <w:pStyle w:val="TableContents"/>
              <w:bidi w:val="0"/>
              <w:spacing w:before="0" w:after="283"/>
              <w:jc w:val="right"/>
              <w:rPr/>
            </w:pPr>
            <w:r>
              <w:rPr/>
              <w:t>3,358,094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58,704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7.0%</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04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left"/>
              <w:rPr/>
            </w:pPr>
            <w:r>
              <w:rPr/>
              <w:t>Net interest income/spread</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53,859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46,658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left"/>
              <w:rPr/>
            </w:pPr>
            <w:r>
              <w:rPr/>
              <w:t>Net interest yield (2)</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5.1%</w:t>
            </w:r>
          </w:p>
        </w:tc>
        <w:tc>
          <w:tcPr>
            <w:tcW w:w="78" w:type="dxa"/>
            <w:tcBorders/>
            <w:shd w:fill="FFFFFF" w:val="clear"/>
            <w:vAlign w:val="center"/>
          </w:tcPr>
          <w:p>
            <w:pPr>
              <w:pStyle w:val="TableContents"/>
              <w:bidi w:val="0"/>
              <w:spacing w:before="0" w:after="283"/>
              <w:ind w:left="0" w:right="0" w:hanging="100"/>
              <w:jc w:val="left"/>
              <w:rPr/>
            </w:pPr>
            <w:r>
              <w:rPr/>
              <w:t> </w:t>
            </w:r>
          </w:p>
        </w:tc>
      </w:tr>
      <w:tr>
        <w:trPr/>
        <w:tc>
          <w:tcPr>
            <w:tcW w:w="2947" w:type="dxa"/>
            <w:tcBorders/>
            <w:shd w:fill="EEEEEE" w:val="clear"/>
            <w:vAlign w:val="center"/>
          </w:tcPr>
          <w:p>
            <w:pPr>
              <w:pStyle w:val="TableContents"/>
              <w:bidi w:val="0"/>
              <w:spacing w:before="0" w:after="283"/>
              <w:jc w:val="left"/>
              <w:rPr/>
            </w:pPr>
            <w:r>
              <w:rPr/>
              <w:t>Ratio of average interest earning assets to average interest bearing liabilities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107%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110%</w:t>
            </w:r>
          </w:p>
        </w:tc>
        <w:tc>
          <w:tcPr>
            <w:tcW w:w="78"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Average balances are based on month end balances except for warehouse lines of credit, which are based on daily balances.</w:t>
      </w:r>
    </w:p>
    <w:p>
      <w:pPr>
        <w:pStyle w:val="TextBody"/>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Annualized net interest income divided by average interest earning assets.</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tbl>
      <w:tblPr>
        <w:tblW w:w="7131" w:type="dxa"/>
        <w:jc w:val="left"/>
        <w:tblInd w:w="0" w:type="dxa"/>
        <w:tblLayout w:type="fixed"/>
        <w:tblCellMar>
          <w:top w:w="0" w:type="dxa"/>
          <w:left w:w="0" w:type="dxa"/>
          <w:bottom w:w="0" w:type="dxa"/>
          <w:right w:w="0" w:type="dxa"/>
        </w:tblCellMar>
      </w:tblPr>
      <w:tblGrid>
        <w:gridCol w:w="2885"/>
        <w:gridCol w:w="60"/>
        <w:gridCol w:w="190"/>
        <w:gridCol w:w="926"/>
        <w:gridCol w:w="129"/>
        <w:gridCol w:w="81"/>
        <w:gridCol w:w="220"/>
        <w:gridCol w:w="1074"/>
        <w:gridCol w:w="81"/>
        <w:gridCol w:w="81"/>
        <w:gridCol w:w="233"/>
        <w:gridCol w:w="1061"/>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6" w:type="dxa"/>
            <w:gridSpan w:val="10"/>
            <w:tcBorders/>
            <w:vAlign w:val="center"/>
          </w:tcPr>
          <w:p>
            <w:pPr>
              <w:pStyle w:val="TableContents"/>
              <w:bidi w:val="0"/>
              <w:spacing w:before="0" w:after="283"/>
              <w:jc w:val="center"/>
              <w:rPr>
                <w:b/>
              </w:rPr>
            </w:pPr>
            <w:r>
              <w:rPr>
                <w:b/>
              </w:rPr>
              <w:t>Three Months Ended June 30, 2026</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7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Compared to June 30, 2025</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center"/>
              <w:rPr>
                <w:b/>
              </w:rPr>
            </w:pPr>
            <w:r>
              <w:rPr>
                <w:b/>
              </w:rPr>
              <w:t>Total</w:t>
            </w:r>
          </w:p>
        </w:tc>
        <w:tc>
          <w:tcPr>
            <w:tcW w:w="12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Change Due</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Change Due</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2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Volume</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Rate</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6" w:type="dxa"/>
            <w:gridSpan w:val="10"/>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center"/>
              <w:rPr>
                <w:b/>
                <w:u w:val="single"/>
              </w:rPr>
            </w:pPr>
            <w:r>
              <w:rPr>
                <w:b/>
                <w:u w:val="single"/>
              </w:rPr>
              <w:t>Interest Earning Assets</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 </w:t>
            </w:r>
          </w:p>
        </w:tc>
        <w:tc>
          <w:tcPr>
            <w:tcW w:w="129"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20" w:type="dxa"/>
            <w:tcBorders/>
            <w:shd w:fill="EEEEEE" w:val="clear"/>
            <w:vAlign w:val="center"/>
          </w:tcPr>
          <w:p>
            <w:pPr>
              <w:pStyle w:val="TableContents"/>
              <w:bidi w:val="0"/>
              <w:spacing w:before="0" w:after="283"/>
              <w:jc w:val="left"/>
              <w:rPr/>
            </w:pPr>
            <w:r>
              <w:rPr/>
              <w:t> </w:t>
            </w:r>
          </w:p>
        </w:tc>
        <w:tc>
          <w:tcPr>
            <w:tcW w:w="1074" w:type="dxa"/>
            <w:tcBorders/>
            <w:shd w:fill="EEEEEE" w:val="clear"/>
            <w:vAlign w:val="center"/>
          </w:tcPr>
          <w:p>
            <w:pPr>
              <w:pStyle w:val="TableContents"/>
              <w:bidi w:val="0"/>
              <w:spacing w:before="0" w:after="283"/>
              <w:jc w:val="right"/>
              <w:rPr/>
            </w:pPr>
            <w:r>
              <w:rPr/>
              <w:t> </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33" w:type="dxa"/>
            <w:tcBorders/>
            <w:shd w:fill="EEEEEE" w:val="clear"/>
            <w:vAlign w:val="center"/>
          </w:tcPr>
          <w:p>
            <w:pPr>
              <w:pStyle w:val="TableContents"/>
              <w:bidi w:val="0"/>
              <w:spacing w:before="0" w:after="283"/>
              <w:jc w:val="left"/>
              <w:rPr/>
            </w:pPr>
            <w:r>
              <w:rPr/>
              <w:t> </w:t>
            </w:r>
          </w:p>
        </w:tc>
        <w:tc>
          <w:tcPr>
            <w:tcW w:w="1061"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Loan Portfolio</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926" w:type="dxa"/>
            <w:tcBorders/>
            <w:shd w:fill="FFFFFF" w:val="clear"/>
            <w:vAlign w:val="center"/>
          </w:tcPr>
          <w:p>
            <w:pPr>
              <w:pStyle w:val="TableContents"/>
              <w:bidi w:val="0"/>
              <w:spacing w:before="0" w:after="283"/>
              <w:jc w:val="right"/>
              <w:rPr/>
            </w:pPr>
            <w:r>
              <w:rPr/>
              <w:t>12,750</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w:t>
            </w:r>
          </w:p>
        </w:tc>
        <w:tc>
          <w:tcPr>
            <w:tcW w:w="1074" w:type="dxa"/>
            <w:tcBorders/>
            <w:shd w:fill="FFFFFF" w:val="clear"/>
            <w:vAlign w:val="center"/>
          </w:tcPr>
          <w:p>
            <w:pPr>
              <w:pStyle w:val="TableContents"/>
              <w:bidi w:val="0"/>
              <w:spacing w:before="0" w:after="283"/>
              <w:jc w:val="right"/>
              <w:rPr/>
            </w:pPr>
            <w:r>
              <w:rPr/>
              <w:t>13,796</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p>
        </w:tc>
        <w:tc>
          <w:tcPr>
            <w:tcW w:w="1061" w:type="dxa"/>
            <w:tcBorders/>
            <w:shd w:fill="FFFFFF" w:val="clear"/>
            <w:vAlign w:val="center"/>
          </w:tcPr>
          <w:p>
            <w:pPr>
              <w:pStyle w:val="TableContents"/>
              <w:bidi w:val="0"/>
              <w:spacing w:before="0" w:after="283"/>
              <w:jc w:val="right"/>
              <w:rPr/>
            </w:pPr>
            <w:r>
              <w:rPr/>
              <w:t>(1,046</w:t>
            </w:r>
          </w:p>
        </w:tc>
        <w:tc>
          <w:tcPr>
            <w:tcW w:w="110" w:type="dxa"/>
            <w:tcBorders/>
            <w:shd w:fill="FFFFFF" w:val="clear"/>
            <w:vAlign w:val="center"/>
          </w:tcPr>
          <w:p>
            <w:pPr>
              <w:pStyle w:val="TableContents"/>
              <w:bidi w:val="0"/>
              <w:spacing w:before="0" w:after="283"/>
              <w:jc w:val="left"/>
              <w:rPr/>
            </w:pPr>
            <w:r>
              <w:rPr/>
              <w:t>)</w:t>
            </w:r>
          </w:p>
        </w:tc>
      </w:tr>
      <w:tr>
        <w:trPr/>
        <w:tc>
          <w:tcPr>
            <w:tcW w:w="28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 </w:t>
            </w:r>
          </w:p>
        </w:tc>
        <w:tc>
          <w:tcPr>
            <w:tcW w:w="129"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20" w:type="dxa"/>
            <w:tcBorders/>
            <w:shd w:fill="EEEEEE" w:val="clear"/>
            <w:vAlign w:val="center"/>
          </w:tcPr>
          <w:p>
            <w:pPr>
              <w:pStyle w:val="TableContents"/>
              <w:bidi w:val="0"/>
              <w:spacing w:before="0" w:after="283"/>
              <w:jc w:val="left"/>
              <w:rPr/>
            </w:pPr>
            <w:r>
              <w:rPr/>
              <w:t> </w:t>
            </w:r>
          </w:p>
        </w:tc>
        <w:tc>
          <w:tcPr>
            <w:tcW w:w="1074" w:type="dxa"/>
            <w:tcBorders/>
            <w:shd w:fill="EEEEEE" w:val="clear"/>
            <w:vAlign w:val="center"/>
          </w:tcPr>
          <w:p>
            <w:pPr>
              <w:pStyle w:val="TableContents"/>
              <w:bidi w:val="0"/>
              <w:spacing w:before="0" w:after="283"/>
              <w:jc w:val="right"/>
              <w:rPr/>
            </w:pPr>
            <w:r>
              <w:rPr/>
              <w:t> </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33" w:type="dxa"/>
            <w:tcBorders/>
            <w:shd w:fill="EEEEEE" w:val="clear"/>
            <w:vAlign w:val="center"/>
          </w:tcPr>
          <w:p>
            <w:pPr>
              <w:pStyle w:val="TableContents"/>
              <w:bidi w:val="0"/>
              <w:spacing w:before="0" w:after="283"/>
              <w:jc w:val="left"/>
              <w:rPr/>
            </w:pPr>
            <w:r>
              <w:rPr/>
              <w:t> </w:t>
            </w:r>
          </w:p>
        </w:tc>
        <w:tc>
          <w:tcPr>
            <w:tcW w:w="1061"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center"/>
              <w:rPr>
                <w:b/>
                <w:u w:val="single"/>
              </w:rPr>
            </w:pPr>
            <w:r>
              <w:rPr>
                <w:b/>
                <w:u w:val="single"/>
              </w:rPr>
              <w:t>Interest Bearing Liabilities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Warehouse lines of credit</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617</w:t>
            </w:r>
          </w:p>
        </w:tc>
        <w:tc>
          <w:tcPr>
            <w:tcW w:w="129"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20" w:type="dxa"/>
            <w:tcBorders/>
            <w:shd w:fill="EEEEEE" w:val="clear"/>
            <w:vAlign w:val="center"/>
          </w:tcPr>
          <w:p>
            <w:pPr>
              <w:pStyle w:val="TableContents"/>
              <w:bidi w:val="0"/>
              <w:spacing w:before="0" w:after="283"/>
              <w:jc w:val="left"/>
              <w:rPr/>
            </w:pPr>
            <w:r>
              <w:rPr/>
              <w:t> </w:t>
            </w:r>
          </w:p>
        </w:tc>
        <w:tc>
          <w:tcPr>
            <w:tcW w:w="1074" w:type="dxa"/>
            <w:tcBorders/>
            <w:shd w:fill="EEEEEE" w:val="clear"/>
            <w:vAlign w:val="center"/>
          </w:tcPr>
          <w:p>
            <w:pPr>
              <w:pStyle w:val="TableContents"/>
              <w:bidi w:val="0"/>
              <w:spacing w:before="0" w:after="283"/>
              <w:jc w:val="right"/>
              <w:rPr/>
            </w:pPr>
            <w:r>
              <w:rPr/>
              <w:t>2,177</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33" w:type="dxa"/>
            <w:tcBorders/>
            <w:shd w:fill="EEEEEE" w:val="clear"/>
            <w:vAlign w:val="center"/>
          </w:tcPr>
          <w:p>
            <w:pPr>
              <w:pStyle w:val="TableContents"/>
              <w:bidi w:val="0"/>
              <w:spacing w:before="0" w:after="283"/>
              <w:jc w:val="left"/>
              <w:rPr/>
            </w:pPr>
            <w:r>
              <w:rPr/>
              <w:t> </w:t>
            </w:r>
          </w:p>
        </w:tc>
        <w:tc>
          <w:tcPr>
            <w:tcW w:w="1061" w:type="dxa"/>
            <w:tcBorders/>
            <w:shd w:fill="EEEEEE" w:val="clear"/>
            <w:vAlign w:val="center"/>
          </w:tcPr>
          <w:p>
            <w:pPr>
              <w:pStyle w:val="TableContents"/>
              <w:bidi w:val="0"/>
              <w:spacing w:before="0" w:after="283"/>
              <w:jc w:val="right"/>
              <w:rPr/>
            </w:pPr>
            <w:r>
              <w:rPr/>
              <w:t>(1,560</w:t>
            </w:r>
          </w:p>
        </w:tc>
        <w:tc>
          <w:tcPr>
            <w:tcW w:w="110" w:type="dxa"/>
            <w:tcBorders/>
            <w:shd w:fill="EEEEEE"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Residual interest financing</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466</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289</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Securitization trust debt</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4,482</w:t>
            </w:r>
          </w:p>
        </w:tc>
        <w:tc>
          <w:tcPr>
            <w:tcW w:w="129"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20" w:type="dxa"/>
            <w:tcBorders/>
            <w:shd w:fill="EEEEEE" w:val="clear"/>
            <w:vAlign w:val="center"/>
          </w:tcPr>
          <w:p>
            <w:pPr>
              <w:pStyle w:val="TableContents"/>
              <w:bidi w:val="0"/>
              <w:spacing w:before="0" w:after="283"/>
              <w:jc w:val="left"/>
              <w:rPr/>
            </w:pPr>
            <w:r>
              <w:rPr/>
              <w:t> </w:t>
            </w:r>
          </w:p>
        </w:tc>
        <w:tc>
          <w:tcPr>
            <w:tcW w:w="1074" w:type="dxa"/>
            <w:tcBorders/>
            <w:shd w:fill="EEEEEE" w:val="clear"/>
            <w:vAlign w:val="center"/>
          </w:tcPr>
          <w:p>
            <w:pPr>
              <w:pStyle w:val="TableContents"/>
              <w:bidi w:val="0"/>
              <w:spacing w:before="0" w:after="283"/>
              <w:jc w:val="right"/>
              <w:rPr/>
            </w:pPr>
            <w:r>
              <w:rPr/>
              <w:t>7,754</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33" w:type="dxa"/>
            <w:tcBorders/>
            <w:shd w:fill="EEEEEE" w:val="clear"/>
            <w:vAlign w:val="center"/>
          </w:tcPr>
          <w:p>
            <w:pPr>
              <w:pStyle w:val="TableContents"/>
              <w:bidi w:val="0"/>
              <w:spacing w:before="0" w:after="283"/>
              <w:jc w:val="left"/>
              <w:rPr/>
            </w:pPr>
            <w:r>
              <w:rPr/>
              <w:t> </w:t>
            </w:r>
          </w:p>
        </w:tc>
        <w:tc>
          <w:tcPr>
            <w:tcW w:w="1061" w:type="dxa"/>
            <w:tcBorders/>
            <w:shd w:fill="EEEEEE" w:val="clear"/>
            <w:vAlign w:val="center"/>
          </w:tcPr>
          <w:p>
            <w:pPr>
              <w:pStyle w:val="TableContents"/>
              <w:bidi w:val="0"/>
              <w:spacing w:before="0" w:after="283"/>
              <w:jc w:val="right"/>
              <w:rPr/>
            </w:pPr>
            <w:r>
              <w:rPr/>
              <w:t>(3,272</w:t>
            </w:r>
          </w:p>
        </w:tc>
        <w:tc>
          <w:tcPr>
            <w:tcW w:w="110" w:type="dxa"/>
            <w:tcBorders/>
            <w:shd w:fill="EEEEEE"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Subordinated renewable notes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29"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w:t>
            </w:r>
          </w:p>
        </w:tc>
      </w:tr>
      <w:tr>
        <w:trPr/>
        <w:tc>
          <w:tcPr>
            <w:tcW w:w="28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EEEEEE" w:val="clear"/>
            <w:tcMar>
              <w:bottom w:w="28" w:type="dxa"/>
            </w:tcMar>
            <w:vAlign w:val="center"/>
          </w:tcPr>
          <w:p>
            <w:pPr>
              <w:pStyle w:val="TableContents"/>
              <w:bidi w:val="0"/>
              <w:spacing w:before="0" w:after="283"/>
              <w:jc w:val="right"/>
              <w:rPr/>
            </w:pPr>
            <w:r>
              <w:rPr/>
              <w:t>5,549</w:t>
            </w:r>
          </w:p>
        </w:tc>
        <w:tc>
          <w:tcPr>
            <w:tcW w:w="129"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2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EEEEEE" w:val="clear"/>
            <w:tcMar>
              <w:bottom w:w="28" w:type="dxa"/>
            </w:tcMar>
            <w:vAlign w:val="center"/>
          </w:tcPr>
          <w:p>
            <w:pPr>
              <w:pStyle w:val="TableContents"/>
              <w:bidi w:val="0"/>
              <w:spacing w:before="0" w:after="283"/>
              <w:jc w:val="right"/>
              <w:rPr/>
            </w:pPr>
            <w:r>
              <w:rPr/>
              <w:t>10,225</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3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EEEEEE" w:val="clear"/>
            <w:tcMar>
              <w:bottom w:w="28" w:type="dxa"/>
            </w:tcMar>
            <w:vAlign w:val="center"/>
          </w:tcPr>
          <w:p>
            <w:pPr>
              <w:pStyle w:val="TableContents"/>
              <w:bidi w:val="0"/>
              <w:spacing w:before="0" w:after="283"/>
              <w:jc w:val="right"/>
              <w:rPr/>
            </w:pPr>
            <w:r>
              <w:rPr/>
              <w:t>(4,676</w:t>
            </w:r>
          </w:p>
        </w:tc>
        <w:tc>
          <w:tcPr>
            <w:tcW w:w="110" w:type="dxa"/>
            <w:tcBorders/>
            <w:shd w:fill="EEEEEE"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Net interest income/spread</w:t>
            </w:r>
          </w:p>
        </w:tc>
        <w:tc>
          <w:tcPr>
            <w:tcW w:w="60" w:type="dxa"/>
            <w:tcBorders/>
            <w:shd w:fill="EEEEEE" w:val="clear"/>
            <w:vAlign w:val="center"/>
          </w:tcPr>
          <w:p>
            <w:pPr>
              <w:pStyle w:val="TableContents"/>
              <w:bidi w:val="0"/>
              <w:spacing w:before="0" w:after="283"/>
              <w:jc w:val="left"/>
              <w:rPr/>
            </w:pPr>
            <w:r>
              <w:rPr/>
              <w:t> </w:t>
            </w:r>
          </w:p>
        </w:tc>
        <w:tc>
          <w:tcPr>
            <w:tcW w:w="19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26" w:type="dxa"/>
            <w:tcBorders>
              <w:bottom w:val="double" w:sz="6" w:space="0" w:color="000000"/>
            </w:tcBorders>
            <w:shd w:fill="EEEEEE" w:val="clear"/>
            <w:tcMar>
              <w:bottom w:w="28" w:type="dxa"/>
            </w:tcMar>
            <w:vAlign w:val="center"/>
          </w:tcPr>
          <w:p>
            <w:pPr>
              <w:pStyle w:val="TableContents"/>
              <w:bidi w:val="0"/>
              <w:spacing w:before="0" w:after="283"/>
              <w:jc w:val="right"/>
              <w:rPr/>
            </w:pPr>
            <w:r>
              <w:rPr/>
              <w:t>7,201</w:t>
            </w:r>
          </w:p>
        </w:tc>
        <w:tc>
          <w:tcPr>
            <w:tcW w:w="129"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2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EEEEEE" w:val="clear"/>
            <w:tcMar>
              <w:bottom w:w="28" w:type="dxa"/>
            </w:tcMar>
            <w:vAlign w:val="center"/>
          </w:tcPr>
          <w:p>
            <w:pPr>
              <w:pStyle w:val="TableContents"/>
              <w:bidi w:val="0"/>
              <w:spacing w:before="0" w:after="283"/>
              <w:jc w:val="right"/>
              <w:rPr/>
            </w:pPr>
            <w:r>
              <w:rPr/>
              <w:t>3,571</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23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61" w:type="dxa"/>
            <w:tcBorders>
              <w:bottom w:val="double" w:sz="6" w:space="0" w:color="000000"/>
            </w:tcBorders>
            <w:shd w:fill="EEEEEE" w:val="clear"/>
            <w:tcMar>
              <w:bottom w:w="28" w:type="dxa"/>
            </w:tcMar>
            <w:vAlign w:val="center"/>
          </w:tcPr>
          <w:p>
            <w:pPr>
              <w:pStyle w:val="TableContents"/>
              <w:bidi w:val="0"/>
              <w:spacing w:before="0" w:after="283"/>
              <w:jc w:val="right"/>
              <w:rPr/>
            </w:pPr>
            <w:r>
              <w:rPr/>
              <w:t>3,630</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fair value method of accounting, we recognize interest income net of expected credit losses. Thus, no provision for credit loss expense is recorded for finance receivables measured at fair value. Finance receivables acquired before 2018 are recorded at cost, and both their total balance and activity is immaterial.</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expenses consist primarily of commission-based compensation paid to our employee sales representatives. Our sales representatives earn a salary plus commission based on volume of contract purchases. Sales expense increased by $2.6 to $8.3 million during the three months ended June 30, 2026, from $5.7 million for the same quarter in 2025. We purchased $757.7 million of new contracts during the three months ended June 30, 2026, compared to $433.0 million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expenses were $1.5 million for the three months ending June 30, 2026, which is up from $1.4 million in the second quarter of 2025.</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is $249,000 for both current and the prior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recorded income tax expense of $2.8 million, representing a 31% effective tax rate. In the prior period, our income tax expense was $2.2 million, representing a 31%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Operating Results for the six months ended June 30, 2026 with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During the six months ended June 30, 2026, our revenues were $233.7 million, an increase of $17.1 million, or 7.9% from the prior year revenue of $216.6 million. The primary reason for the increase in revenues is the increase in interest income resulting from the increase in the average outstanding balance of finance receivables measured at fair value. Revenues for the six months ended June 30, 2026, did not include a mark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no marks to finance receivables measured at fair value. There was a $6.5 million mark up to the fair value portfolio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for the six months ended June 30, 2026 increased $19.5 million, or 9.4%, to $226.8 million from $207.3 million in the prior year. The primary reason for the increase in interest income is the 10.8% increase in the average balance of our loan portfolio over the prior year period. The interest yield on our total loan portfolio decreased from 11.4% in the prior year period to 11.3% in the current year period. The interest yield on receivables measured at fair value is reduced to take account of expected losses and is therefore less than the yield on other finance receivables. The table below shows the average balance and interest yield of our loan portfolio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405"/>
        <w:gridCol w:w="60"/>
        <w:gridCol w:w="140"/>
        <w:gridCol w:w="980"/>
        <w:gridCol w:w="60"/>
        <w:gridCol w:w="60"/>
        <w:gridCol w:w="140"/>
        <w:gridCol w:w="800"/>
        <w:gridCol w:w="60"/>
        <w:gridCol w:w="60"/>
        <w:gridCol w:w="96"/>
        <w:gridCol w:w="704"/>
        <w:gridCol w:w="60"/>
        <w:gridCol w:w="60"/>
        <w:gridCol w:w="140"/>
        <w:gridCol w:w="980"/>
        <w:gridCol w:w="60"/>
        <w:gridCol w:w="60"/>
        <w:gridCol w:w="140"/>
        <w:gridCol w:w="800"/>
        <w:gridCol w:w="60"/>
        <w:gridCol w:w="60"/>
        <w:gridCol w:w="96"/>
        <w:gridCol w:w="704"/>
        <w:gridCol w:w="7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2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20" w:type="dxa"/>
            <w:gridSpan w:val="22"/>
            <w:tcBorders/>
            <w:vAlign w:val="center"/>
          </w:tcPr>
          <w:p>
            <w:pPr>
              <w:pStyle w:val="TableContents"/>
              <w:bidi w:val="0"/>
              <w:spacing w:before="0" w:after="283"/>
              <w:jc w:val="center"/>
              <w:rPr>
                <w:b/>
              </w:rPr>
            </w:pPr>
            <w:r>
              <w:rPr>
                <w:b/>
              </w:rPr>
              <w:t>(Dollars in thousands)</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Interest</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w:t>
            </w:r>
          </w:p>
        </w:tc>
        <w:tc>
          <w:tcPr>
            <w:tcW w:w="75" w:type="dxa"/>
            <w:tcBorders/>
            <w:vAlign w:val="center"/>
          </w:tcPr>
          <w:p>
            <w:pPr>
              <w:pStyle w:val="TableContents"/>
              <w:bidi w:val="0"/>
              <w:spacing w:before="0" w:after="283"/>
              <w:jc w:val="left"/>
              <w:rPr/>
            </w:pPr>
            <w:r>
              <w:rPr/>
              <w:t> </w:t>
            </w:r>
          </w:p>
        </w:tc>
      </w:tr>
      <w:tr>
        <w:trPr/>
        <w:tc>
          <w:tcPr>
            <w:tcW w:w="2405" w:type="dxa"/>
            <w:tcBorders/>
            <w:shd w:fill="EEEEEE" w:val="clear"/>
            <w:vAlign w:val="center"/>
          </w:tcPr>
          <w:p>
            <w:pPr>
              <w:pStyle w:val="TableContents"/>
              <w:bidi w:val="0"/>
              <w:spacing w:before="0" w:after="283"/>
              <w:jc w:val="center"/>
              <w:rPr>
                <w:b/>
                <w:u w:val="single"/>
              </w:rPr>
            </w:pPr>
            <w:r>
              <w:rPr>
                <w:b/>
                <w:u w:val="single"/>
              </w:rPr>
              <w:t>Interest Earning Assets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6" w:type="dxa"/>
            <w:tcBorders/>
            <w:shd w:fill="EEEEEE" w:val="clear"/>
            <w:vAlign w:val="center"/>
          </w:tcPr>
          <w:p>
            <w:pPr>
              <w:pStyle w:val="TableContents"/>
              <w:bidi w:val="0"/>
              <w:spacing w:before="0" w:after="283"/>
              <w:jc w:val="left"/>
              <w:rPr/>
            </w:pPr>
            <w:r>
              <w:rPr/>
              <w:t> </w:t>
            </w:r>
          </w:p>
        </w:tc>
        <w:tc>
          <w:tcPr>
            <w:tcW w:w="704"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6" w:type="dxa"/>
            <w:tcBorders/>
            <w:shd w:fill="EEEEEE" w:val="clear"/>
            <w:vAlign w:val="center"/>
          </w:tcPr>
          <w:p>
            <w:pPr>
              <w:pStyle w:val="TableContents"/>
              <w:bidi w:val="0"/>
              <w:spacing w:before="0" w:after="283"/>
              <w:jc w:val="left"/>
              <w:rPr/>
            </w:pPr>
            <w:r>
              <w:rPr/>
              <w:t> </w:t>
            </w:r>
          </w:p>
        </w:tc>
        <w:tc>
          <w:tcPr>
            <w:tcW w:w="704"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Loan Portfolio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4,019,847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226,833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3,627,800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207,295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income was $6.9 million for the six months ended June 30, 2026 compared to $2.8 million for the comparable period in 2025. This $4.1 million increase was primarily driven by the dealer recoveries collected for the six months ended June 30, 2026. These dealer recoveries were $4.1 million for the six months ended June 30, 2026. There were no dealer recoveries in the prior year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Our operating expenses consist largely of interest expense, employee costs, sales and general and administrative expenses.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profit margins and net income include changes in the automobile and automobile finance market environments, and macroeconomic factors such as interest rates and changes in the unemployment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consist largely of facilities expenses, telephone and other communication services, credit services, computer services, sales and advertising expenses, and depreciation and amortization.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$216.7 million for the six months ended June 30, 2026, compared to $202.9 million for the prior period, an increase of $13.8 million, or 6.8%. The increase is primarily due to increases in interest expense. To a lesser extent, increases in sales expense also contributed to the increase in operating expenses during the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costs were $46.5 million during the six months ended June 30, 2026 compared to $49.4 million for the same period in the prior year. The table below summarizes our employees by category as well as contract purchases and units in our managed portfolio as of, and for the six-month periods ended, June 30, 2026 and 2025:</w:t>
      </w:r>
    </w:p>
    <w:p>
      <w:pPr>
        <w:pStyle w:val="TextBody"/>
        <w:bidi w:val="0"/>
        <w:spacing w:before="0" w:after="0"/>
        <w:ind w:left="0" w:right="0" w:firstLine="180"/>
        <w:jc w:val="both"/>
        <w:rPr>
          <w:caps w:val="false"/>
          <w:smallCaps w:val="false"/>
        </w:rPr>
      </w:pPr>
      <w:r>
        <w:rPr>
          <w:caps w:val="false"/>
          <w:smallCaps w:val="false"/>
        </w:rPr>
        <w:t> </w:t>
      </w:r>
    </w:p>
    <w:tbl>
      <w:tblPr>
        <w:tblW w:w="6742" w:type="dxa"/>
        <w:jc w:val="left"/>
        <w:tblInd w:w="0" w:type="dxa"/>
        <w:tblLayout w:type="fixed"/>
        <w:tblCellMar>
          <w:top w:w="0" w:type="dxa"/>
          <w:left w:w="0" w:type="dxa"/>
          <w:bottom w:w="0" w:type="dxa"/>
          <w:right w:w="0" w:type="dxa"/>
        </w:tblCellMar>
      </w:tblPr>
      <w:tblGrid>
        <w:gridCol w:w="3785"/>
        <w:gridCol w:w="60"/>
        <w:gridCol w:w="197"/>
        <w:gridCol w:w="1130"/>
        <w:gridCol w:w="84"/>
        <w:gridCol w:w="84"/>
        <w:gridCol w:w="197"/>
        <w:gridCol w:w="1130"/>
        <w:gridCol w:w="75"/>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vAlign w:val="center"/>
          </w:tcPr>
          <w:p>
            <w:pPr>
              <w:pStyle w:val="TableContents"/>
              <w:bidi w:val="0"/>
              <w:spacing w:before="0" w:after="283"/>
              <w:jc w:val="center"/>
              <w:rPr>
                <w:b/>
              </w:rPr>
            </w:pPr>
            <w:r>
              <w:rPr>
                <w:b/>
              </w:rPr>
              <w:t>(Dollars in millions)</w:t>
            </w:r>
          </w:p>
        </w:tc>
        <w:tc>
          <w:tcPr>
            <w:tcW w:w="75" w:type="dxa"/>
            <w:tcBorders/>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Contracts purchased (dollars)</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p>
        </w:tc>
        <w:tc>
          <w:tcPr>
            <w:tcW w:w="1130" w:type="dxa"/>
            <w:tcBorders/>
            <w:shd w:fill="EEEEEE" w:val="clear"/>
            <w:vAlign w:val="center"/>
          </w:tcPr>
          <w:p>
            <w:pPr>
              <w:pStyle w:val="TableContents"/>
              <w:bidi w:val="0"/>
              <w:spacing w:before="0" w:after="283"/>
              <w:jc w:val="right"/>
              <w:rPr/>
            </w:pPr>
            <w:r>
              <w:rPr/>
              <w:t>1,290.9</w:t>
            </w:r>
          </w:p>
        </w:tc>
        <w:tc>
          <w:tcPr>
            <w:tcW w:w="8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p>
        </w:tc>
        <w:tc>
          <w:tcPr>
            <w:tcW w:w="1130" w:type="dxa"/>
            <w:tcBorders/>
            <w:shd w:fill="EEEEEE" w:val="clear"/>
            <w:vAlign w:val="center"/>
          </w:tcPr>
          <w:p>
            <w:pPr>
              <w:pStyle w:val="TableContents"/>
              <w:bidi w:val="0"/>
              <w:spacing w:before="0" w:after="283"/>
              <w:jc w:val="right"/>
              <w:rPr/>
            </w:pPr>
            <w:r>
              <w:rPr/>
              <w:t>884.2</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Contracts purchased (units)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56,776</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40,029</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Managed portfolio outstanding (dollars)</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p>
        </w:tc>
        <w:tc>
          <w:tcPr>
            <w:tcW w:w="1130" w:type="dxa"/>
            <w:tcBorders/>
            <w:shd w:fill="EEEEEE" w:val="clear"/>
            <w:vAlign w:val="center"/>
          </w:tcPr>
          <w:p>
            <w:pPr>
              <w:pStyle w:val="TableContents"/>
              <w:bidi w:val="0"/>
              <w:spacing w:before="0" w:after="283"/>
              <w:jc w:val="right"/>
              <w:rPr/>
            </w:pPr>
            <w:r>
              <w:rPr/>
              <w:t>4,306.7</w:t>
            </w:r>
          </w:p>
        </w:tc>
        <w:tc>
          <w:tcPr>
            <w:tcW w:w="8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p>
        </w:tc>
        <w:tc>
          <w:tcPr>
            <w:tcW w:w="1130" w:type="dxa"/>
            <w:tcBorders/>
            <w:shd w:fill="EEEEEE" w:val="clear"/>
            <w:vAlign w:val="center"/>
          </w:tcPr>
          <w:p>
            <w:pPr>
              <w:pStyle w:val="TableContents"/>
              <w:bidi w:val="0"/>
              <w:spacing w:before="0" w:after="283"/>
              <w:jc w:val="right"/>
              <w:rPr/>
            </w:pPr>
            <w:r>
              <w:rPr/>
              <w:t>3,708.4</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Managed portfolio outstanding (units)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235,760</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211,246</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130" w:type="dxa"/>
            <w:tcBorders/>
            <w:shd w:fill="EEEEEE" w:val="clear"/>
            <w:vAlign w:val="center"/>
          </w:tcPr>
          <w:p>
            <w:pPr>
              <w:pStyle w:val="TableContents"/>
              <w:bidi w:val="0"/>
              <w:spacing w:before="0" w:after="283"/>
              <w:jc w:val="right"/>
              <w:rPr/>
            </w:pPr>
            <w:r>
              <w:rPr/>
              <w:t> </w:t>
            </w:r>
          </w:p>
        </w:tc>
        <w:tc>
          <w:tcPr>
            <w:tcW w:w="8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13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Number of Originations staff</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193</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195</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Number of Sales staff</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130" w:type="dxa"/>
            <w:tcBorders/>
            <w:shd w:fill="EEEEEE" w:val="clear"/>
            <w:vAlign w:val="center"/>
          </w:tcPr>
          <w:p>
            <w:pPr>
              <w:pStyle w:val="TableContents"/>
              <w:bidi w:val="0"/>
              <w:spacing w:before="0" w:after="283"/>
              <w:jc w:val="right"/>
              <w:rPr/>
            </w:pPr>
            <w:r>
              <w:rPr/>
              <w:t>160</w:t>
            </w:r>
          </w:p>
        </w:tc>
        <w:tc>
          <w:tcPr>
            <w:tcW w:w="8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130" w:type="dxa"/>
            <w:tcBorders/>
            <w:shd w:fill="EEEEEE" w:val="clear"/>
            <w:vAlign w:val="center"/>
          </w:tcPr>
          <w:p>
            <w:pPr>
              <w:pStyle w:val="TableContents"/>
              <w:bidi w:val="0"/>
              <w:spacing w:before="0" w:after="283"/>
              <w:jc w:val="right"/>
              <w:rPr/>
            </w:pPr>
            <w:r>
              <w:rPr/>
              <w:t>118</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Number of Servicing staff</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570</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552</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Number of other staff</w:t>
            </w:r>
          </w:p>
        </w:tc>
        <w:tc>
          <w:tcPr>
            <w:tcW w:w="60" w:type="dxa"/>
            <w:tcBorders/>
            <w:shd w:fill="EEEEEE" w:val="clear"/>
            <w:vAlign w:val="center"/>
          </w:tcPr>
          <w:p>
            <w:pPr>
              <w:pStyle w:val="TableContents"/>
              <w:bidi w:val="0"/>
              <w:spacing w:before="0" w:after="283"/>
              <w:jc w:val="left"/>
              <w:rPr/>
            </w:pPr>
            <w:r>
              <w:rPr/>
              <w:t> </w:t>
            </w:r>
          </w:p>
        </w:tc>
        <w:tc>
          <w:tcPr>
            <w:tcW w:w="19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EEEEEE" w:val="clear"/>
            <w:tcMar>
              <w:bottom w:w="28" w:type="dxa"/>
            </w:tcMar>
            <w:vAlign w:val="center"/>
          </w:tcPr>
          <w:p>
            <w:pPr>
              <w:pStyle w:val="TableContents"/>
              <w:bidi w:val="0"/>
              <w:spacing w:before="0" w:after="283"/>
              <w:jc w:val="right"/>
              <w:rPr/>
            </w:pPr>
            <w:r>
              <w:rPr/>
              <w:t>71</w:t>
            </w:r>
          </w:p>
        </w:tc>
        <w:tc>
          <w:tcPr>
            <w:tcW w:w="8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9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EEEEEE" w:val="clear"/>
            <w:tcMar>
              <w:bottom w:w="28" w:type="dxa"/>
            </w:tcMar>
            <w:vAlign w:val="center"/>
          </w:tcPr>
          <w:p>
            <w:pPr>
              <w:pStyle w:val="TableContents"/>
              <w:bidi w:val="0"/>
              <w:spacing w:before="0" w:after="283"/>
              <w:jc w:val="right"/>
              <w:rPr/>
            </w:pPr>
            <w:r>
              <w:rPr/>
              <w:t>67</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Total number of employees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994</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932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headcount within our Sales staff throughout the six-month periods ended, June 30, 2026, and the decrease in the average employee cost of our Servicing staff from June 30, 2025, were the largest contributing factors to the increase in headcount and decrease to employee costs from the six-month period ended, June 30, 2025 to June 30, 2026.</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associated with purchasing and servicing our portfolio of finance receivables, including expenses for facilities, credit services, and telecommunications. General and administrative expenses were $27.6 million for the six months ended June 30, 2026, an increase of $2.6 from $25.0 million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six months ended June 30, 2026 was $124.3 million, compared to $113.6 million in the previous year, an increase of $10.7 million.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securitization trust debt increased by $8.2 million for the six months ended June 30, 2026 compared to the prior period. The average balance of securitization trust debt increased to $3,199.7 million for the six months ended June 30, 2026 compared to $2,836.9 million for the six months ended June 30, 2025. The annualized average rate on our securitization trust debt was 6.2% for the six months ended June 30, 2026 compared to 6.4%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pStyle w:val="TextBody"/>
        <w:bidi w:val="0"/>
        <w:spacing w:before="0" w:after="0"/>
        <w:ind w:left="0" w:right="0" w:firstLine="18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1917"/>
        <w:gridCol w:w="73"/>
        <w:gridCol w:w="2873"/>
      </w:tblGrid>
      <w:tr>
        <w:trPr/>
        <w:tc>
          <w:tcPr>
            <w:tcW w:w="4863" w:type="dxa"/>
            <w:gridSpan w:val="3"/>
            <w:tcBorders/>
            <w:vAlign w:val="center"/>
          </w:tcPr>
          <w:p>
            <w:pPr>
              <w:pStyle w:val="TableContents"/>
              <w:bidi w:val="0"/>
              <w:jc w:val="center"/>
              <w:rPr>
                <w:b/>
              </w:rPr>
            </w:pPr>
            <w:r>
              <w:rPr>
                <w:b/>
              </w:rPr>
              <w:t>Blended Cost of Funds on Recent Asset-Backed</w:t>
            </w:r>
          </w:p>
          <w:p>
            <w:pPr>
              <w:pStyle w:val="TableContents"/>
              <w:bidi w:val="0"/>
              <w:spacing w:before="0" w:after="283"/>
              <w:jc w:val="center"/>
              <w:rPr>
                <w:b/>
              </w:rPr>
            </w:pPr>
            <w:r>
              <w:rPr>
                <w:b/>
              </w:rPr>
              <w:t>Term Securitizations</w:t>
            </w:r>
          </w:p>
        </w:tc>
      </w:tr>
      <w:tr>
        <w:trPr/>
        <w:tc>
          <w:tcPr>
            <w:tcW w:w="1917" w:type="dxa"/>
            <w:tcBorders>
              <w:bottom w:val="single" w:sz="4" w:space="0" w:color="000000"/>
            </w:tcBorders>
            <w:tcMar>
              <w:bottom w:w="28" w:type="dxa"/>
            </w:tcMar>
            <w:vAlign w:val="center"/>
          </w:tcPr>
          <w:p>
            <w:pPr>
              <w:pStyle w:val="TableContents"/>
              <w:bidi w:val="0"/>
              <w:spacing w:before="0" w:after="283"/>
              <w:jc w:val="center"/>
              <w:rPr>
                <w:b/>
              </w:rPr>
            </w:pPr>
            <w:r>
              <w:rPr>
                <w:b/>
              </w:rPr>
              <w:t>Period</w:t>
            </w:r>
          </w:p>
        </w:tc>
        <w:tc>
          <w:tcPr>
            <w:tcW w:w="73" w:type="dxa"/>
            <w:tcBorders/>
            <w:vAlign w:val="center"/>
          </w:tcPr>
          <w:p>
            <w:pPr>
              <w:pStyle w:val="TableContents"/>
              <w:bidi w:val="0"/>
              <w:spacing w:before="0" w:after="283"/>
              <w:jc w:val="left"/>
              <w:rPr/>
            </w:pPr>
            <w:r>
              <w:rPr/>
              <w:t> </w:t>
            </w:r>
          </w:p>
        </w:tc>
        <w:tc>
          <w:tcPr>
            <w:tcW w:w="2873" w:type="dxa"/>
            <w:tcBorders>
              <w:bottom w:val="single" w:sz="4" w:space="0" w:color="000000"/>
            </w:tcBorders>
            <w:tcMar>
              <w:bottom w:w="28" w:type="dxa"/>
            </w:tcMar>
            <w:vAlign w:val="center"/>
          </w:tcPr>
          <w:p>
            <w:pPr>
              <w:pStyle w:val="TableContents"/>
              <w:bidi w:val="0"/>
              <w:spacing w:before="0" w:after="283"/>
              <w:jc w:val="center"/>
              <w:rPr>
                <w:b/>
              </w:rPr>
            </w:pPr>
            <w:r>
              <w:rPr>
                <w:b/>
              </w:rPr>
              <w:t>Blended Cost of Funds</w:t>
            </w:r>
          </w:p>
        </w:tc>
      </w:tr>
      <w:tr>
        <w:trPr/>
        <w:tc>
          <w:tcPr>
            <w:tcW w:w="1917" w:type="dxa"/>
            <w:tcBorders/>
            <w:shd w:fill="EEEEEE" w:val="clear"/>
            <w:vAlign w:val="center"/>
          </w:tcPr>
          <w:p>
            <w:pPr>
              <w:pStyle w:val="TableContents"/>
              <w:bidi w:val="0"/>
              <w:spacing w:before="0" w:after="283"/>
              <w:jc w:val="center"/>
              <w:rPr/>
            </w:pPr>
            <w:r>
              <w:rPr/>
              <w:t>January 2023</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6.48%</w:t>
            </w:r>
          </w:p>
        </w:tc>
      </w:tr>
      <w:tr>
        <w:trPr/>
        <w:tc>
          <w:tcPr>
            <w:tcW w:w="1917" w:type="dxa"/>
            <w:tcBorders/>
            <w:shd w:fill="FFFFFF" w:val="clear"/>
            <w:vAlign w:val="center"/>
          </w:tcPr>
          <w:p>
            <w:pPr>
              <w:pStyle w:val="TableContents"/>
              <w:bidi w:val="0"/>
              <w:spacing w:before="0" w:after="283"/>
              <w:jc w:val="center"/>
              <w:rPr/>
            </w:pPr>
            <w:r>
              <w:rPr/>
              <w:t>April 2023</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7.17%</w:t>
            </w:r>
          </w:p>
        </w:tc>
      </w:tr>
      <w:tr>
        <w:trPr/>
        <w:tc>
          <w:tcPr>
            <w:tcW w:w="1917" w:type="dxa"/>
            <w:tcBorders/>
            <w:shd w:fill="EEEEEE" w:val="clear"/>
            <w:vAlign w:val="center"/>
          </w:tcPr>
          <w:p>
            <w:pPr>
              <w:pStyle w:val="TableContents"/>
              <w:bidi w:val="0"/>
              <w:spacing w:before="0" w:after="283"/>
              <w:jc w:val="center"/>
              <w:rPr/>
            </w:pPr>
            <w:r>
              <w:rPr/>
              <w:t>July 2023</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7.13%</w:t>
            </w:r>
          </w:p>
        </w:tc>
      </w:tr>
      <w:tr>
        <w:trPr/>
        <w:tc>
          <w:tcPr>
            <w:tcW w:w="1917" w:type="dxa"/>
            <w:tcBorders/>
            <w:shd w:fill="FFFFFF" w:val="clear"/>
            <w:vAlign w:val="center"/>
          </w:tcPr>
          <w:p>
            <w:pPr>
              <w:pStyle w:val="TableContents"/>
              <w:bidi w:val="0"/>
              <w:spacing w:before="0" w:after="283"/>
              <w:jc w:val="center"/>
              <w:rPr/>
            </w:pPr>
            <w:r>
              <w:rPr/>
              <w:t>October 2023</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7.89%</w:t>
            </w:r>
          </w:p>
        </w:tc>
      </w:tr>
      <w:tr>
        <w:trPr/>
        <w:tc>
          <w:tcPr>
            <w:tcW w:w="1917" w:type="dxa"/>
            <w:tcBorders/>
            <w:shd w:fill="EEEEEE" w:val="clear"/>
            <w:vAlign w:val="center"/>
          </w:tcPr>
          <w:p>
            <w:pPr>
              <w:pStyle w:val="TableContents"/>
              <w:bidi w:val="0"/>
              <w:spacing w:before="0" w:after="283"/>
              <w:jc w:val="center"/>
              <w:rPr/>
            </w:pPr>
            <w:r>
              <w:rPr/>
              <w:t>January 2024</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6.51%</w:t>
            </w:r>
          </w:p>
        </w:tc>
      </w:tr>
      <w:tr>
        <w:trPr/>
        <w:tc>
          <w:tcPr>
            <w:tcW w:w="1917" w:type="dxa"/>
            <w:tcBorders/>
            <w:shd w:fill="FFFFFF" w:val="clear"/>
            <w:vAlign w:val="center"/>
          </w:tcPr>
          <w:p>
            <w:pPr>
              <w:pStyle w:val="TableContents"/>
              <w:bidi w:val="0"/>
              <w:spacing w:before="0" w:after="283"/>
              <w:jc w:val="center"/>
              <w:rPr/>
            </w:pPr>
            <w:r>
              <w:rPr/>
              <w:t>April 2024</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6.69%</w:t>
            </w:r>
          </w:p>
        </w:tc>
      </w:tr>
      <w:tr>
        <w:trPr/>
        <w:tc>
          <w:tcPr>
            <w:tcW w:w="1917" w:type="dxa"/>
            <w:tcBorders/>
            <w:shd w:fill="EEEEEE" w:val="clear"/>
            <w:vAlign w:val="center"/>
          </w:tcPr>
          <w:p>
            <w:pPr>
              <w:pStyle w:val="TableContents"/>
              <w:bidi w:val="0"/>
              <w:spacing w:before="0" w:after="283"/>
              <w:jc w:val="center"/>
              <w:rPr/>
            </w:pPr>
            <w:r>
              <w:rPr/>
              <w:t>June 2024</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6.56%</w:t>
            </w:r>
          </w:p>
        </w:tc>
      </w:tr>
      <w:tr>
        <w:trPr/>
        <w:tc>
          <w:tcPr>
            <w:tcW w:w="1917" w:type="dxa"/>
            <w:tcBorders/>
            <w:shd w:fill="FFFFFF" w:val="clear"/>
            <w:vAlign w:val="center"/>
          </w:tcPr>
          <w:p>
            <w:pPr>
              <w:pStyle w:val="TableContents"/>
              <w:bidi w:val="0"/>
              <w:spacing w:before="0" w:after="283"/>
              <w:jc w:val="center"/>
              <w:rPr/>
            </w:pPr>
            <w:r>
              <w:rPr/>
              <w:t>September 2024</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5.52%</w:t>
            </w:r>
          </w:p>
        </w:tc>
      </w:tr>
      <w:tr>
        <w:trPr/>
        <w:tc>
          <w:tcPr>
            <w:tcW w:w="1917" w:type="dxa"/>
            <w:tcBorders/>
            <w:shd w:fill="EEEEEE" w:val="clear"/>
            <w:vAlign w:val="center"/>
          </w:tcPr>
          <w:p>
            <w:pPr>
              <w:pStyle w:val="TableContents"/>
              <w:bidi w:val="0"/>
              <w:spacing w:before="0" w:after="283"/>
              <w:jc w:val="center"/>
              <w:rPr/>
            </w:pPr>
            <w:r>
              <w:rPr/>
              <w:t>January 2025</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5.88%</w:t>
            </w:r>
          </w:p>
        </w:tc>
      </w:tr>
      <w:tr>
        <w:trPr/>
        <w:tc>
          <w:tcPr>
            <w:tcW w:w="1917" w:type="dxa"/>
            <w:tcBorders/>
            <w:shd w:fill="FFFFFF" w:val="clear"/>
            <w:vAlign w:val="center"/>
          </w:tcPr>
          <w:p>
            <w:pPr>
              <w:pStyle w:val="TableContents"/>
              <w:bidi w:val="0"/>
              <w:spacing w:before="0" w:after="283"/>
              <w:jc w:val="center"/>
              <w:rPr/>
            </w:pPr>
            <w:r>
              <w:rPr/>
              <w:t>May 2025</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5.96%</w:t>
            </w:r>
          </w:p>
        </w:tc>
      </w:tr>
      <w:tr>
        <w:trPr/>
        <w:tc>
          <w:tcPr>
            <w:tcW w:w="1917" w:type="dxa"/>
            <w:tcBorders/>
            <w:shd w:fill="EEEEEE" w:val="clear"/>
            <w:vAlign w:val="center"/>
          </w:tcPr>
          <w:p>
            <w:pPr>
              <w:pStyle w:val="TableContents"/>
              <w:bidi w:val="0"/>
              <w:spacing w:before="0" w:after="283"/>
              <w:jc w:val="center"/>
              <w:rPr/>
            </w:pPr>
            <w:r>
              <w:rPr/>
              <w:t>July 2025</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5.43%</w:t>
            </w:r>
          </w:p>
        </w:tc>
      </w:tr>
      <w:tr>
        <w:trPr/>
        <w:tc>
          <w:tcPr>
            <w:tcW w:w="1917" w:type="dxa"/>
            <w:tcBorders/>
            <w:shd w:fill="FFFFFF" w:val="clear"/>
            <w:vAlign w:val="center"/>
          </w:tcPr>
          <w:p>
            <w:pPr>
              <w:pStyle w:val="TableContents"/>
              <w:bidi w:val="0"/>
              <w:spacing w:before="0" w:after="283"/>
              <w:jc w:val="center"/>
              <w:rPr/>
            </w:pPr>
            <w:r>
              <w:rPr/>
              <w:t>October 2025</w:t>
            </w:r>
          </w:p>
        </w:tc>
        <w:tc>
          <w:tcPr>
            <w:tcW w:w="73" w:type="dxa"/>
            <w:tcBorders/>
            <w:shd w:fill="FFFFFF" w:val="clear"/>
            <w:vAlign w:val="center"/>
          </w:tcPr>
          <w:p>
            <w:pPr>
              <w:pStyle w:val="TableContents"/>
              <w:bidi w:val="0"/>
              <w:spacing w:before="0" w:after="283"/>
              <w:jc w:val="left"/>
              <w:rPr/>
            </w:pPr>
            <w:r>
              <w:rPr/>
              <w:t> </w:t>
            </w:r>
          </w:p>
        </w:tc>
        <w:tc>
          <w:tcPr>
            <w:tcW w:w="2873" w:type="dxa"/>
            <w:tcBorders/>
            <w:shd w:fill="FFFFFF" w:val="clear"/>
            <w:vAlign w:val="center"/>
          </w:tcPr>
          <w:p>
            <w:pPr>
              <w:pStyle w:val="TableContents"/>
              <w:bidi w:val="0"/>
              <w:spacing w:before="0" w:after="283"/>
              <w:jc w:val="center"/>
              <w:rPr/>
            </w:pPr>
            <w:r>
              <w:rPr/>
              <w:t>5.72%</w:t>
            </w:r>
          </w:p>
        </w:tc>
      </w:tr>
      <w:tr>
        <w:trPr/>
        <w:tc>
          <w:tcPr>
            <w:tcW w:w="1917" w:type="dxa"/>
            <w:tcBorders/>
            <w:shd w:fill="EEEEEE" w:val="clear"/>
            <w:vAlign w:val="center"/>
          </w:tcPr>
          <w:p>
            <w:pPr>
              <w:pStyle w:val="TableContents"/>
              <w:bidi w:val="0"/>
              <w:spacing w:before="0" w:after="283"/>
              <w:jc w:val="center"/>
              <w:rPr/>
            </w:pPr>
            <w:r>
              <w:rPr/>
              <w:t>January 2026</w:t>
            </w:r>
          </w:p>
        </w:tc>
        <w:tc>
          <w:tcPr>
            <w:tcW w:w="73" w:type="dxa"/>
            <w:tcBorders/>
            <w:shd w:fill="EEEEEE" w:val="clear"/>
            <w:vAlign w:val="center"/>
          </w:tcPr>
          <w:p>
            <w:pPr>
              <w:pStyle w:val="TableContents"/>
              <w:bidi w:val="0"/>
              <w:spacing w:before="0" w:after="283"/>
              <w:jc w:val="left"/>
              <w:rPr/>
            </w:pPr>
            <w:r>
              <w:rPr/>
              <w:t> </w:t>
            </w:r>
          </w:p>
        </w:tc>
        <w:tc>
          <w:tcPr>
            <w:tcW w:w="2873" w:type="dxa"/>
            <w:tcBorders/>
            <w:shd w:fill="EEEEEE" w:val="clear"/>
            <w:vAlign w:val="center"/>
          </w:tcPr>
          <w:p>
            <w:pPr>
              <w:pStyle w:val="TableContents"/>
              <w:bidi w:val="0"/>
              <w:spacing w:before="0" w:after="283"/>
              <w:jc w:val="center"/>
              <w:rPr/>
            </w:pPr>
            <w:r>
              <w:rPr/>
              <w:t>5.18%</w:t>
            </w:r>
          </w:p>
        </w:tc>
      </w:tr>
      <w:tr>
        <w:trPr/>
        <w:tc>
          <w:tcPr>
            <w:tcW w:w="1917" w:type="dxa"/>
            <w:tcBorders/>
            <w:shd w:fill="FFFFFF" w:val="clear"/>
            <w:vAlign w:val="center"/>
          </w:tcPr>
          <w:p>
            <w:pPr>
              <w:pStyle w:val="TableContents"/>
              <w:bidi w:val="0"/>
              <w:spacing w:before="0" w:after="283"/>
              <w:jc w:val="center"/>
              <w:rPr/>
            </w:pPr>
            <w:r>
              <w:rPr/>
              <w:t>April 2026</w:t>
            </w:r>
          </w:p>
        </w:tc>
        <w:tc>
          <w:tcPr>
            <w:tcW w:w="73" w:type="dxa"/>
            <w:tcBorders/>
            <w:shd w:fill="FFFFFF" w:val="clear"/>
            <w:vAlign w:val="center"/>
          </w:tcPr>
          <w:p>
            <w:pPr>
              <w:pStyle w:val="TableContents"/>
              <w:bidi w:val="0"/>
              <w:spacing w:before="0" w:after="283"/>
              <w:jc w:val="center"/>
              <w:rPr/>
            </w:pPr>
            <w:r>
              <w:rPr/>
              <w:t> </w:t>
            </w:r>
          </w:p>
        </w:tc>
        <w:tc>
          <w:tcPr>
            <w:tcW w:w="2873" w:type="dxa"/>
            <w:tcBorders/>
            <w:shd w:fill="FFFFFF" w:val="clear"/>
            <w:vAlign w:val="center"/>
          </w:tcPr>
          <w:p>
            <w:pPr>
              <w:pStyle w:val="TableContents"/>
              <w:bidi w:val="0"/>
              <w:spacing w:before="0" w:after="283"/>
              <w:jc w:val="center"/>
              <w:rPr/>
            </w:pPr>
            <w:r>
              <w:rPr/>
              <w:t>5.51%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warehouse credit line debt increased by $569,000 to $15.3 million for the six months ended June 30, 2026, compared to $14.7 million in the prior year period. The average balance of our warehouse debt was $361.3 million during the six months ended June 30, 2026, compared to $314.7 million for the same period in 2025. The annualized average rate on our credit line debt was 8.5% for the six months ended June 30, 2026, compared to 9.4%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subordinated renewable notes was $1.4 million for the six months ended June 30, 2026. The average balance of the outstanding subordinated debt increased by $890,000 to $28.4 million for the six months ended June 30, 2026, compared to $27.5 million for the prior year. The average yield of subordinated notes was 9.5% in the current compare to 9.7% prior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March 2024, March 2025, and again in March 2026 we completed a securitization of residual interests from other previously issued securitizations in the amount of $50 million, $50 million, $65 million, and $50 million, respectively. Interest expense on the residual interest financing was $8.9 million for the six months ended June 30, 2026 compared to $7.0 million for the same period in 2025.</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interest income and interest expense and a net interest yield analysis for the six-month periods ended June 30, 2026 and 2025:</w:t>
      </w:r>
    </w:p>
    <w:p>
      <w:pPr>
        <w:pStyle w:val="TextBody"/>
        <w:bidi w:val="0"/>
        <w:spacing w:before="0" w:after="0"/>
        <w:ind w:left="0" w:right="0" w:firstLine="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7"/>
        <w:gridCol w:w="60"/>
        <w:gridCol w:w="141"/>
        <w:gridCol w:w="989"/>
        <w:gridCol w:w="60"/>
        <w:gridCol w:w="60"/>
        <w:gridCol w:w="140"/>
        <w:gridCol w:w="800"/>
        <w:gridCol w:w="60"/>
        <w:gridCol w:w="60"/>
        <w:gridCol w:w="142"/>
        <w:gridCol w:w="1048"/>
        <w:gridCol w:w="60"/>
        <w:gridCol w:w="60"/>
        <w:gridCol w:w="141"/>
        <w:gridCol w:w="989"/>
        <w:gridCol w:w="60"/>
        <w:gridCol w:w="60"/>
        <w:gridCol w:w="140"/>
        <w:gridCol w:w="800"/>
        <w:gridCol w:w="60"/>
        <w:gridCol w:w="60"/>
        <w:gridCol w:w="142"/>
        <w:gridCol w:w="1048"/>
        <w:gridCol w:w="78"/>
      </w:tblGrid>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8" w:type="dxa"/>
            <w:tcBorders/>
            <w:vAlign w:val="center"/>
          </w:tcPr>
          <w:p>
            <w:pPr>
              <w:pStyle w:val="TableContents"/>
              <w:bidi w:val="0"/>
              <w:spacing w:before="0" w:after="283"/>
              <w:jc w:val="left"/>
              <w:rPr/>
            </w:pPr>
            <w:r>
              <w:rPr/>
              <w:t> </w:t>
            </w:r>
          </w:p>
        </w:tc>
      </w:tr>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r>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0" w:type="dxa"/>
            <w:gridSpan w:val="22"/>
            <w:tcBorders/>
            <w:vAlign w:val="center"/>
          </w:tcPr>
          <w:p>
            <w:pPr>
              <w:pStyle w:val="TableContents"/>
              <w:bidi w:val="0"/>
              <w:spacing w:before="0" w:after="283"/>
              <w:jc w:val="center"/>
              <w:rPr>
                <w:b/>
              </w:rPr>
            </w:pPr>
            <w:r>
              <w:rPr>
                <w:b/>
              </w:rPr>
              <w:t>(Dollars in thousands)</w:t>
            </w:r>
          </w:p>
        </w:tc>
        <w:tc>
          <w:tcPr>
            <w:tcW w:w="78" w:type="dxa"/>
            <w:tcBorders/>
            <w:vAlign w:val="center"/>
          </w:tcPr>
          <w:p>
            <w:pPr>
              <w:pStyle w:val="TableContents"/>
              <w:bidi w:val="0"/>
              <w:spacing w:before="0" w:after="283"/>
              <w:jc w:val="left"/>
              <w:rPr/>
            </w:pPr>
            <w:r>
              <w:rPr/>
              <w:t> </w:t>
            </w:r>
          </w:p>
        </w:tc>
      </w:tr>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Annualized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Annualized</w:t>
            </w:r>
          </w:p>
        </w:tc>
        <w:tc>
          <w:tcPr>
            <w:tcW w:w="78" w:type="dxa"/>
            <w:tcBorders/>
            <w:vAlign w:val="center"/>
          </w:tcPr>
          <w:p>
            <w:pPr>
              <w:pStyle w:val="TableContents"/>
              <w:bidi w:val="0"/>
              <w:spacing w:before="0" w:after="283"/>
              <w:jc w:val="left"/>
              <w:rPr/>
            </w:pPr>
            <w:r>
              <w:rPr/>
              <w:t> </w:t>
            </w:r>
          </w:p>
        </w:tc>
      </w:tr>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Average</w:t>
            </w:r>
          </w:p>
        </w:tc>
        <w:tc>
          <w:tcPr>
            <w:tcW w:w="78" w:type="dxa"/>
            <w:tcBorders/>
            <w:vAlign w:val="center"/>
          </w:tcPr>
          <w:p>
            <w:pPr>
              <w:pStyle w:val="TableContents"/>
              <w:bidi w:val="0"/>
              <w:spacing w:before="0" w:after="283"/>
              <w:jc w:val="left"/>
              <w:rPr/>
            </w:pPr>
            <w:r>
              <w:rPr/>
              <w:t> </w:t>
            </w:r>
          </w:p>
        </w:tc>
      </w:tr>
      <w:tr>
        <w:trPr/>
        <w:tc>
          <w:tcPr>
            <w:tcW w:w="2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Yield/Rate</w:t>
            </w:r>
          </w:p>
        </w:tc>
        <w:tc>
          <w:tcPr>
            <w:tcW w:w="78" w:type="dxa"/>
            <w:tcBorders/>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center"/>
              <w:rPr>
                <w:b/>
                <w:u w:val="single"/>
              </w:rPr>
            </w:pPr>
            <w:r>
              <w:rPr>
                <w:b/>
                <w:u w:val="single"/>
              </w:rPr>
              <w:t>Interest Earning Assets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left"/>
              <w:rPr/>
            </w:pPr>
            <w:r>
              <w:rPr/>
              <w:t>Loan portfolio</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89" w:type="dxa"/>
            <w:tcBorders/>
            <w:shd w:fill="FFFFFF" w:val="clear"/>
            <w:vAlign w:val="center"/>
          </w:tcPr>
          <w:p>
            <w:pPr>
              <w:pStyle w:val="TableContents"/>
              <w:bidi w:val="0"/>
              <w:spacing w:before="0" w:after="283"/>
              <w:jc w:val="right"/>
              <w:rPr/>
            </w:pPr>
            <w:r>
              <w:rPr/>
              <w:t>4,019,847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226,833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89" w:type="dxa"/>
            <w:tcBorders/>
            <w:shd w:fill="FFFFFF" w:val="clear"/>
            <w:vAlign w:val="center"/>
          </w:tcPr>
          <w:p>
            <w:pPr>
              <w:pStyle w:val="TableContents"/>
              <w:bidi w:val="0"/>
              <w:spacing w:before="0" w:after="283"/>
              <w:jc w:val="right"/>
              <w:rPr/>
            </w:pPr>
            <w:r>
              <w:rPr/>
              <w:t>3,627,800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207,295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11.4%</w:t>
            </w:r>
          </w:p>
        </w:tc>
        <w:tc>
          <w:tcPr>
            <w:tcW w:w="78" w:type="dxa"/>
            <w:tcBorders/>
            <w:shd w:fill="FFFFFF" w:val="clear"/>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center"/>
              <w:rPr>
                <w:b/>
                <w:u w:val="single"/>
              </w:rPr>
            </w:pPr>
            <w:r>
              <w:rPr>
                <w:b/>
                <w:u w:val="single"/>
              </w:rPr>
              <w:t>Interest Bearing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left"/>
              <w:rPr/>
            </w:pPr>
            <w:r>
              <w:rPr/>
              <w:t>Warehouse lines of credit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989" w:type="dxa"/>
            <w:tcBorders/>
            <w:shd w:fill="EEEEEE" w:val="clear"/>
            <w:vAlign w:val="center"/>
          </w:tcPr>
          <w:p>
            <w:pPr>
              <w:pStyle w:val="TableContents"/>
              <w:bidi w:val="0"/>
              <w:spacing w:before="0" w:after="283"/>
              <w:jc w:val="right"/>
              <w:rPr/>
            </w:pPr>
            <w:r>
              <w:rPr/>
              <w:t>361,258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15,298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8.5%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989" w:type="dxa"/>
            <w:tcBorders/>
            <w:shd w:fill="EEEEEE" w:val="clear"/>
            <w:vAlign w:val="center"/>
          </w:tcPr>
          <w:p>
            <w:pPr>
              <w:pStyle w:val="TableContents"/>
              <w:bidi w:val="0"/>
              <w:spacing w:before="0" w:after="283"/>
              <w:jc w:val="right"/>
              <w:rPr/>
            </w:pPr>
            <w:r>
              <w:rPr/>
              <w:t>314,698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14,729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9.4%</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left"/>
              <w:rPr/>
            </w:pPr>
            <w:r>
              <w:rPr/>
              <w:t>Residual interest financing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165,647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136,989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10.2%</w:t>
            </w:r>
          </w:p>
        </w:tc>
        <w:tc>
          <w:tcPr>
            <w:tcW w:w="78" w:type="dxa"/>
            <w:tcBorders/>
            <w:shd w:fill="FFFFFF" w:val="clear"/>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left"/>
              <w:rPr/>
            </w:pPr>
            <w:r>
              <w:rPr/>
              <w:t>Securitization trust debt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3,199,731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98,795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6.2%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2,836,888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90,602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6.4%</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left"/>
              <w:rPr/>
            </w:pPr>
            <w:r>
              <w:rPr/>
              <w:t>Subordinated renewable notes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pPr>
            <w:r>
              <w:rPr/>
              <w:t>28,382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pPr>
            <w:r>
              <w:rPr/>
              <w:t>27,493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9.7%</w:t>
            </w:r>
          </w:p>
        </w:tc>
        <w:tc>
          <w:tcPr>
            <w:tcW w:w="78" w:type="dxa"/>
            <w:tcBorders/>
            <w:shd w:fill="FFFFFF" w:val="clear"/>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9" w:type="dxa"/>
            <w:tcBorders>
              <w:bottom w:val="double" w:sz="6" w:space="0" w:color="000000"/>
            </w:tcBorders>
            <w:shd w:fill="EEEEEE" w:val="clear"/>
            <w:tcMar>
              <w:bottom w:w="28" w:type="dxa"/>
            </w:tcMar>
            <w:vAlign w:val="center"/>
          </w:tcPr>
          <w:p>
            <w:pPr>
              <w:pStyle w:val="TableContents"/>
              <w:bidi w:val="0"/>
              <w:spacing w:before="0" w:after="283"/>
              <w:jc w:val="right"/>
              <w:rPr/>
            </w:pPr>
            <w:r>
              <w:rPr/>
              <w:t>3,755,018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124,314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6.6%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9" w:type="dxa"/>
            <w:tcBorders>
              <w:bottom w:val="double" w:sz="6" w:space="0" w:color="000000"/>
            </w:tcBorders>
            <w:shd w:fill="EEEEEE" w:val="clear"/>
            <w:tcMar>
              <w:bottom w:w="28" w:type="dxa"/>
            </w:tcMar>
            <w:vAlign w:val="center"/>
          </w:tcPr>
          <w:p>
            <w:pPr>
              <w:pStyle w:val="TableContents"/>
              <w:bidi w:val="0"/>
              <w:spacing w:before="0" w:after="283"/>
              <w:jc w:val="right"/>
              <w:rPr/>
            </w:pPr>
            <w:r>
              <w:rPr/>
              <w:t>3,316,068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113,622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6.9%</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947" w:type="dxa"/>
            <w:tcBorders/>
            <w:shd w:fill="EEEEEE" w:val="clear"/>
            <w:vAlign w:val="center"/>
          </w:tcPr>
          <w:p>
            <w:pPr>
              <w:pStyle w:val="TableContents"/>
              <w:bidi w:val="0"/>
              <w:spacing w:before="0" w:after="283"/>
              <w:jc w:val="left"/>
              <w:rPr/>
            </w:pPr>
            <w:r>
              <w:rPr/>
              <w:t>Net interest income/spread</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102,519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93,673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2947" w:type="dxa"/>
            <w:tcBorders/>
            <w:shd w:fill="FFFFFF" w:val="clear"/>
            <w:vAlign w:val="center"/>
          </w:tcPr>
          <w:p>
            <w:pPr>
              <w:pStyle w:val="TableContents"/>
              <w:bidi w:val="0"/>
              <w:spacing w:before="0" w:after="283"/>
              <w:jc w:val="left"/>
              <w:rPr/>
            </w:pPr>
            <w:r>
              <w:rPr/>
              <w:t>Net interest yield (2)</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5.2%</w:t>
            </w:r>
          </w:p>
        </w:tc>
        <w:tc>
          <w:tcPr>
            <w:tcW w:w="78" w:type="dxa"/>
            <w:tcBorders/>
            <w:shd w:fill="FFFFFF" w:val="clear"/>
            <w:vAlign w:val="center"/>
          </w:tcPr>
          <w:p>
            <w:pPr>
              <w:pStyle w:val="TableContents"/>
              <w:bidi w:val="0"/>
              <w:spacing w:before="0" w:after="283"/>
              <w:ind w:left="0" w:right="0" w:hanging="100"/>
              <w:jc w:val="left"/>
              <w:rPr/>
            </w:pPr>
            <w:r>
              <w:rPr/>
              <w:t> </w:t>
            </w:r>
          </w:p>
        </w:tc>
      </w:tr>
      <w:tr>
        <w:trPr/>
        <w:tc>
          <w:tcPr>
            <w:tcW w:w="2947" w:type="dxa"/>
            <w:tcBorders/>
            <w:shd w:fill="EEEEEE" w:val="clear"/>
            <w:vAlign w:val="center"/>
          </w:tcPr>
          <w:p>
            <w:pPr>
              <w:pStyle w:val="TableContents"/>
              <w:bidi w:val="0"/>
              <w:spacing w:before="0" w:after="283"/>
              <w:jc w:val="left"/>
              <w:rPr/>
            </w:pPr>
            <w:r>
              <w:rPr/>
              <w:t>Ratio of average interest earning assets to average interest bearing liabilities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107%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109%</w:t>
            </w:r>
          </w:p>
        </w:tc>
        <w:tc>
          <w:tcPr>
            <w:tcW w:w="78"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Average balances are based on month end balances except for warehouse lines of credit, which are based on daily balances.</w:t>
      </w:r>
    </w:p>
    <w:p>
      <w:pPr>
        <w:pStyle w:val="TextBody"/>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Annualized net interest income divided by average interest earning assets.</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tbl>
      <w:tblPr>
        <w:tblW w:w="6985" w:type="dxa"/>
        <w:jc w:val="left"/>
        <w:tblInd w:w="0" w:type="dxa"/>
        <w:tblLayout w:type="fixed"/>
        <w:tblCellMar>
          <w:top w:w="0" w:type="dxa"/>
          <w:left w:w="0" w:type="dxa"/>
          <w:bottom w:w="0" w:type="dxa"/>
          <w:right w:w="0" w:type="dxa"/>
        </w:tblCellMar>
      </w:tblPr>
      <w:tblGrid>
        <w:gridCol w:w="2885"/>
        <w:gridCol w:w="60"/>
        <w:gridCol w:w="177"/>
        <w:gridCol w:w="861"/>
        <w:gridCol w:w="76"/>
        <w:gridCol w:w="76"/>
        <w:gridCol w:w="220"/>
        <w:gridCol w:w="1074"/>
        <w:gridCol w:w="76"/>
        <w:gridCol w:w="76"/>
        <w:gridCol w:w="233"/>
        <w:gridCol w:w="1061"/>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0" w:type="dxa"/>
            <w:gridSpan w:val="10"/>
            <w:tcBorders/>
            <w:vAlign w:val="center"/>
          </w:tcPr>
          <w:p>
            <w:pPr>
              <w:pStyle w:val="TableContents"/>
              <w:bidi w:val="0"/>
              <w:spacing w:before="0" w:after="283"/>
              <w:jc w:val="center"/>
              <w:rPr>
                <w:b/>
              </w:rPr>
            </w:pPr>
            <w:r>
              <w:rPr>
                <w:b/>
              </w:rPr>
              <w:t>Six Months Ended June 30, 2026</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Compared to June 30, 2025</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center"/>
              <w:rPr>
                <w:b/>
              </w:rPr>
            </w:pPr>
            <w:r>
              <w:rPr>
                <w:b/>
              </w:rPr>
              <w:t>Total</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Change Due</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Change Due</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Volume</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Rate</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0" w:type="dxa"/>
            <w:gridSpan w:val="10"/>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center"/>
              <w:rPr>
                <w:b/>
                <w:u w:val="single"/>
              </w:rPr>
            </w:pPr>
            <w:r>
              <w:rPr>
                <w:b/>
                <w:u w:val="single"/>
              </w:rPr>
              <w:t>Interest Earning Assets</w:t>
            </w:r>
          </w:p>
        </w:tc>
        <w:tc>
          <w:tcPr>
            <w:tcW w:w="60" w:type="dxa"/>
            <w:tcBorders/>
            <w:shd w:fill="EEEEEE" w:val="clear"/>
            <w:vAlign w:val="center"/>
          </w:tcPr>
          <w:p>
            <w:pPr>
              <w:pStyle w:val="TableContents"/>
              <w:bidi w:val="0"/>
              <w:spacing w:before="0" w:after="283"/>
              <w:jc w:val="left"/>
              <w:rPr/>
            </w:pPr>
            <w:r>
              <w:rPr/>
              <w:t> </w:t>
            </w:r>
          </w:p>
        </w:tc>
        <w:tc>
          <w:tcPr>
            <w:tcW w:w="177" w:type="dxa"/>
            <w:tcBorders/>
            <w:shd w:fill="EEEEEE" w:val="clear"/>
            <w:vAlign w:val="center"/>
          </w:tcPr>
          <w:p>
            <w:pPr>
              <w:pStyle w:val="TableContents"/>
              <w:bidi w:val="0"/>
              <w:spacing w:before="0" w:after="283"/>
              <w:jc w:val="left"/>
              <w:rPr/>
            </w:pPr>
            <w:r>
              <w:rPr/>
              <w:t> </w:t>
            </w:r>
          </w:p>
        </w:tc>
        <w:tc>
          <w:tcPr>
            <w:tcW w:w="861"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220" w:type="dxa"/>
            <w:tcBorders/>
            <w:shd w:fill="EEEEEE" w:val="clear"/>
            <w:vAlign w:val="center"/>
          </w:tcPr>
          <w:p>
            <w:pPr>
              <w:pStyle w:val="TableContents"/>
              <w:bidi w:val="0"/>
              <w:spacing w:before="0" w:after="283"/>
              <w:jc w:val="left"/>
              <w:rPr/>
            </w:pPr>
            <w:r>
              <w:rPr/>
              <w:t> </w:t>
            </w:r>
          </w:p>
        </w:tc>
        <w:tc>
          <w:tcPr>
            <w:tcW w:w="1074"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233" w:type="dxa"/>
            <w:tcBorders/>
            <w:shd w:fill="EEEEEE" w:val="clear"/>
            <w:vAlign w:val="center"/>
          </w:tcPr>
          <w:p>
            <w:pPr>
              <w:pStyle w:val="TableContents"/>
              <w:bidi w:val="0"/>
              <w:spacing w:before="0" w:after="283"/>
              <w:jc w:val="left"/>
              <w:rPr/>
            </w:pPr>
            <w:r>
              <w:rPr/>
              <w:t> </w:t>
            </w:r>
          </w:p>
        </w:tc>
        <w:tc>
          <w:tcPr>
            <w:tcW w:w="1061"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Loan portfolio</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861" w:type="dxa"/>
            <w:tcBorders/>
            <w:shd w:fill="FFFFFF" w:val="clear"/>
            <w:vAlign w:val="center"/>
          </w:tcPr>
          <w:p>
            <w:pPr>
              <w:pStyle w:val="TableContents"/>
              <w:bidi w:val="0"/>
              <w:spacing w:before="0" w:after="283"/>
              <w:jc w:val="right"/>
              <w:rPr/>
            </w:pPr>
            <w:r>
              <w:rPr/>
              <w:t>19,538</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w:t>
            </w:r>
          </w:p>
        </w:tc>
        <w:tc>
          <w:tcPr>
            <w:tcW w:w="1074" w:type="dxa"/>
            <w:tcBorders/>
            <w:shd w:fill="FFFFFF" w:val="clear"/>
            <w:vAlign w:val="center"/>
          </w:tcPr>
          <w:p>
            <w:pPr>
              <w:pStyle w:val="TableContents"/>
              <w:bidi w:val="0"/>
              <w:spacing w:before="0" w:after="283"/>
              <w:jc w:val="right"/>
              <w:rPr/>
            </w:pPr>
            <w:r>
              <w:rPr/>
              <w:t>25,266</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p>
        </w:tc>
        <w:tc>
          <w:tcPr>
            <w:tcW w:w="1061" w:type="dxa"/>
            <w:tcBorders/>
            <w:shd w:fill="FFFFFF" w:val="clear"/>
            <w:vAlign w:val="center"/>
          </w:tcPr>
          <w:p>
            <w:pPr>
              <w:pStyle w:val="TableContents"/>
              <w:bidi w:val="0"/>
              <w:spacing w:before="0" w:after="283"/>
              <w:jc w:val="right"/>
              <w:rPr/>
            </w:pPr>
            <w:r>
              <w:rPr/>
              <w:t>(5,728</w:t>
            </w:r>
          </w:p>
        </w:tc>
        <w:tc>
          <w:tcPr>
            <w:tcW w:w="110" w:type="dxa"/>
            <w:tcBorders/>
            <w:shd w:fill="FFFFFF" w:val="clear"/>
            <w:vAlign w:val="center"/>
          </w:tcPr>
          <w:p>
            <w:pPr>
              <w:pStyle w:val="TableContents"/>
              <w:bidi w:val="0"/>
              <w:spacing w:before="0" w:after="283"/>
              <w:jc w:val="left"/>
              <w:rPr/>
            </w:pPr>
            <w:r>
              <w:rPr/>
              <w:t>)</w:t>
            </w:r>
          </w:p>
        </w:tc>
      </w:tr>
      <w:tr>
        <w:trPr/>
        <w:tc>
          <w:tcPr>
            <w:tcW w:w="2885" w:type="dxa"/>
            <w:tcBorders/>
            <w:shd w:fill="EEEEEE" w:val="clear"/>
            <w:vAlign w:val="center"/>
          </w:tcPr>
          <w:p>
            <w:pPr>
              <w:pStyle w:val="TableContents"/>
              <w:bidi w:val="0"/>
              <w:spacing w:before="0" w:after="283"/>
              <w:jc w:val="center"/>
              <w:rPr>
                <w:b/>
                <w:u w:val="single"/>
              </w:rPr>
            </w:pPr>
            <w:r>
              <w:rPr>
                <w:b/>
                <w:u w:val="single"/>
              </w:rPr>
              <w:t>Interest Bearing Liabilities</w:t>
            </w:r>
          </w:p>
        </w:tc>
        <w:tc>
          <w:tcPr>
            <w:tcW w:w="60" w:type="dxa"/>
            <w:tcBorders/>
            <w:shd w:fill="EEEEEE" w:val="clear"/>
            <w:vAlign w:val="center"/>
          </w:tcPr>
          <w:p>
            <w:pPr>
              <w:pStyle w:val="TableContents"/>
              <w:bidi w:val="0"/>
              <w:spacing w:before="0" w:after="283"/>
              <w:jc w:val="left"/>
              <w:rPr/>
            </w:pPr>
            <w:r>
              <w:rPr/>
              <w:t> </w:t>
            </w:r>
          </w:p>
        </w:tc>
        <w:tc>
          <w:tcPr>
            <w:tcW w:w="177" w:type="dxa"/>
            <w:tcBorders/>
            <w:shd w:fill="EEEEEE" w:val="clear"/>
            <w:vAlign w:val="center"/>
          </w:tcPr>
          <w:p>
            <w:pPr>
              <w:pStyle w:val="TableContents"/>
              <w:bidi w:val="0"/>
              <w:spacing w:before="0" w:after="283"/>
              <w:jc w:val="left"/>
              <w:rPr/>
            </w:pPr>
            <w:r>
              <w:rPr/>
              <w:t> </w:t>
            </w:r>
          </w:p>
        </w:tc>
        <w:tc>
          <w:tcPr>
            <w:tcW w:w="861"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220" w:type="dxa"/>
            <w:tcBorders/>
            <w:shd w:fill="EEEEEE" w:val="clear"/>
            <w:vAlign w:val="center"/>
          </w:tcPr>
          <w:p>
            <w:pPr>
              <w:pStyle w:val="TableContents"/>
              <w:bidi w:val="0"/>
              <w:spacing w:before="0" w:after="283"/>
              <w:jc w:val="left"/>
              <w:rPr/>
            </w:pPr>
            <w:r>
              <w:rPr/>
              <w:t> </w:t>
            </w:r>
          </w:p>
        </w:tc>
        <w:tc>
          <w:tcPr>
            <w:tcW w:w="1074"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233" w:type="dxa"/>
            <w:tcBorders/>
            <w:shd w:fill="EEEEEE" w:val="clear"/>
            <w:vAlign w:val="center"/>
          </w:tcPr>
          <w:p>
            <w:pPr>
              <w:pStyle w:val="TableContents"/>
              <w:bidi w:val="0"/>
              <w:spacing w:before="0" w:after="283"/>
              <w:jc w:val="left"/>
              <w:rPr/>
            </w:pPr>
            <w:r>
              <w:rPr/>
              <w:t> </w:t>
            </w:r>
          </w:p>
        </w:tc>
        <w:tc>
          <w:tcPr>
            <w:tcW w:w="1061"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Warehouse lines of credit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569</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3,790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(3,221</w:t>
            </w:r>
          </w:p>
        </w:tc>
        <w:tc>
          <w:tcPr>
            <w:tcW w:w="110" w:type="dxa"/>
            <w:tcBorders/>
            <w:shd w:fill="FFFFFF" w:val="clear"/>
            <w:vAlign w:val="center"/>
          </w:tcPr>
          <w:p>
            <w:pPr>
              <w:pStyle w:val="TableContents"/>
              <w:bidi w:val="0"/>
              <w:spacing w:before="0" w:after="283"/>
              <w:jc w:val="left"/>
              <w:rPr/>
            </w:pPr>
            <w:r>
              <w:rPr/>
              <w:t>)</w:t>
            </w:r>
          </w:p>
        </w:tc>
      </w:tr>
      <w:tr>
        <w:trPr/>
        <w:tc>
          <w:tcPr>
            <w:tcW w:w="2885" w:type="dxa"/>
            <w:tcBorders/>
            <w:shd w:fill="EEEEEE" w:val="clear"/>
            <w:vAlign w:val="center"/>
          </w:tcPr>
          <w:p>
            <w:pPr>
              <w:pStyle w:val="TableContents"/>
              <w:bidi w:val="0"/>
              <w:spacing w:before="0" w:after="283"/>
              <w:jc w:val="left"/>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177" w:type="dxa"/>
            <w:tcBorders/>
            <w:shd w:fill="EEEEEE" w:val="clear"/>
            <w:vAlign w:val="center"/>
          </w:tcPr>
          <w:p>
            <w:pPr>
              <w:pStyle w:val="TableContents"/>
              <w:bidi w:val="0"/>
              <w:spacing w:before="0" w:after="283"/>
              <w:jc w:val="left"/>
              <w:rPr/>
            </w:pPr>
            <w:r>
              <w:rPr/>
              <w:t> </w:t>
            </w:r>
          </w:p>
        </w:tc>
        <w:tc>
          <w:tcPr>
            <w:tcW w:w="861" w:type="dxa"/>
            <w:tcBorders/>
            <w:shd w:fill="EEEEEE" w:val="clear"/>
            <w:vAlign w:val="center"/>
          </w:tcPr>
          <w:p>
            <w:pPr>
              <w:pStyle w:val="TableContents"/>
              <w:bidi w:val="0"/>
              <w:spacing w:before="0" w:after="283"/>
              <w:jc w:val="right"/>
              <w:rPr/>
            </w:pPr>
            <w:r>
              <w:rPr/>
              <w:t>1,906</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220" w:type="dxa"/>
            <w:tcBorders/>
            <w:shd w:fill="EEEEEE" w:val="clear"/>
            <w:vAlign w:val="center"/>
          </w:tcPr>
          <w:p>
            <w:pPr>
              <w:pStyle w:val="TableContents"/>
              <w:bidi w:val="0"/>
              <w:spacing w:before="0" w:after="283"/>
              <w:jc w:val="left"/>
              <w:rPr/>
            </w:pPr>
            <w:r>
              <w:rPr/>
              <w:t> </w:t>
            </w:r>
          </w:p>
        </w:tc>
        <w:tc>
          <w:tcPr>
            <w:tcW w:w="1074" w:type="dxa"/>
            <w:tcBorders/>
            <w:shd w:fill="EEEEEE" w:val="clear"/>
            <w:vAlign w:val="center"/>
          </w:tcPr>
          <w:p>
            <w:pPr>
              <w:pStyle w:val="TableContents"/>
              <w:bidi w:val="0"/>
              <w:spacing w:before="0" w:after="283"/>
              <w:jc w:val="right"/>
              <w:rPr/>
            </w:pPr>
            <w:r>
              <w:rPr/>
              <w:t>1,007</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233" w:type="dxa"/>
            <w:tcBorders/>
            <w:shd w:fill="EEEEEE" w:val="clear"/>
            <w:vAlign w:val="center"/>
          </w:tcPr>
          <w:p>
            <w:pPr>
              <w:pStyle w:val="TableContents"/>
              <w:bidi w:val="0"/>
              <w:spacing w:before="0" w:after="283"/>
              <w:jc w:val="left"/>
              <w:rPr/>
            </w:pPr>
            <w:r>
              <w:rPr/>
              <w:t> </w:t>
            </w:r>
          </w:p>
        </w:tc>
        <w:tc>
          <w:tcPr>
            <w:tcW w:w="1061" w:type="dxa"/>
            <w:tcBorders/>
            <w:shd w:fill="EEEEEE" w:val="clear"/>
            <w:vAlign w:val="center"/>
          </w:tcPr>
          <w:p>
            <w:pPr>
              <w:pStyle w:val="TableContents"/>
              <w:bidi w:val="0"/>
              <w:spacing w:before="0" w:after="283"/>
              <w:jc w:val="right"/>
              <w:rPr/>
            </w:pPr>
            <w:r>
              <w:rPr/>
              <w:t>899</w:t>
            </w:r>
          </w:p>
        </w:tc>
        <w:tc>
          <w:tcPr>
            <w:tcW w:w="110"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Securitization trust debt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8,193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14,983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(6,790</w:t>
            </w:r>
          </w:p>
        </w:tc>
        <w:tc>
          <w:tcPr>
            <w:tcW w:w="110" w:type="dxa"/>
            <w:tcBorders/>
            <w:shd w:fill="FFFFFF" w:val="clear"/>
            <w:vAlign w:val="center"/>
          </w:tcPr>
          <w:p>
            <w:pPr>
              <w:pStyle w:val="TableContents"/>
              <w:bidi w:val="0"/>
              <w:spacing w:before="0" w:after="283"/>
              <w:jc w:val="left"/>
              <w:rPr/>
            </w:pPr>
            <w:r>
              <w:rPr/>
              <w:t>)</w:t>
            </w:r>
          </w:p>
        </w:tc>
      </w:tr>
      <w:tr>
        <w:trPr/>
        <w:tc>
          <w:tcPr>
            <w:tcW w:w="2885" w:type="dxa"/>
            <w:tcBorders/>
            <w:shd w:fill="EEEEEE" w:val="clear"/>
            <w:vAlign w:val="center"/>
          </w:tcPr>
          <w:p>
            <w:pPr>
              <w:pStyle w:val="TableContents"/>
              <w:bidi w:val="0"/>
              <w:spacing w:before="0" w:after="283"/>
              <w:jc w:val="left"/>
              <w:rPr/>
            </w:pPr>
            <w:r>
              <w:rPr/>
              <w:t>Subordinated renewable notes</w:t>
            </w:r>
          </w:p>
        </w:tc>
        <w:tc>
          <w:tcPr>
            <w:tcW w:w="60" w:type="dxa"/>
            <w:tcBorders/>
            <w:shd w:fill="EEEEEE" w:val="clear"/>
            <w:vAlign w:val="center"/>
          </w:tcPr>
          <w:p>
            <w:pPr>
              <w:pStyle w:val="TableContents"/>
              <w:bidi w:val="0"/>
              <w:spacing w:before="0" w:after="283"/>
              <w:jc w:val="left"/>
              <w:rPr/>
            </w:pPr>
            <w:r>
              <w:rPr/>
              <w:t> </w:t>
            </w:r>
          </w:p>
        </w:tc>
        <w:tc>
          <w:tcPr>
            <w:tcW w:w="17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EEEEEE" w:val="clear"/>
            <w:tcMar>
              <w:bottom w:w="28" w:type="dxa"/>
            </w:tcMar>
            <w:vAlign w:val="center"/>
          </w:tcPr>
          <w:p>
            <w:pPr>
              <w:pStyle w:val="TableContents"/>
              <w:bidi w:val="0"/>
              <w:spacing w:before="0" w:after="283"/>
              <w:jc w:val="right"/>
              <w:rPr/>
            </w:pPr>
            <w:r>
              <w:rPr/>
              <w:t>24</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22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EEEEEE" w:val="clear"/>
            <w:tcMar>
              <w:bottom w:w="28" w:type="dxa"/>
            </w:tcMar>
            <w:vAlign w:val="center"/>
          </w:tcPr>
          <w:p>
            <w:pPr>
              <w:pStyle w:val="TableContents"/>
              <w:bidi w:val="0"/>
              <w:spacing w:before="0" w:after="283"/>
              <w:jc w:val="right"/>
              <w:rPr/>
            </w:pPr>
            <w:r>
              <w:rPr/>
              <w:t>62</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23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EEEEEE" w:val="clear"/>
            <w:tcMar>
              <w:bottom w:w="28" w:type="dxa"/>
            </w:tcMar>
            <w:vAlign w:val="center"/>
          </w:tcPr>
          <w:p>
            <w:pPr>
              <w:pStyle w:val="TableContents"/>
              <w:bidi w:val="0"/>
              <w:spacing w:before="0" w:after="283"/>
              <w:jc w:val="right"/>
              <w:rPr/>
            </w:pPr>
            <w:r>
              <w:rPr/>
              <w:t>(38</w:t>
            </w:r>
          </w:p>
        </w:tc>
        <w:tc>
          <w:tcPr>
            <w:tcW w:w="110" w:type="dxa"/>
            <w:tcBorders/>
            <w:shd w:fill="EEEEEE"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pPr>
            <w:r>
              <w:rPr/>
              <w:t>10,692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19,842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(9,150</w:t>
            </w:r>
          </w:p>
        </w:tc>
        <w:tc>
          <w:tcPr>
            <w:tcW w:w="110" w:type="dxa"/>
            <w:tcBorders/>
            <w:shd w:fill="FFFFFF" w:val="clear"/>
            <w:vAlign w:val="center"/>
          </w:tcPr>
          <w:p>
            <w:pPr>
              <w:pStyle w:val="TableContents"/>
              <w:bidi w:val="0"/>
              <w:spacing w:before="0" w:after="283"/>
              <w:jc w:val="left"/>
              <w:rPr/>
            </w:pPr>
            <w:r>
              <w:rPr/>
              <w:t>)</w:t>
            </w:r>
          </w:p>
        </w:tc>
      </w:tr>
      <w:tr>
        <w:trPr/>
        <w:tc>
          <w:tcPr>
            <w:tcW w:w="28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7" w:type="dxa"/>
            <w:tcBorders/>
            <w:shd w:fill="EEEEEE" w:val="clear"/>
            <w:vAlign w:val="center"/>
          </w:tcPr>
          <w:p>
            <w:pPr>
              <w:pStyle w:val="TableContents"/>
              <w:bidi w:val="0"/>
              <w:spacing w:before="0" w:after="283"/>
              <w:jc w:val="left"/>
              <w:rPr/>
            </w:pPr>
            <w:r>
              <w:rPr/>
              <w:t> </w:t>
            </w:r>
          </w:p>
        </w:tc>
        <w:tc>
          <w:tcPr>
            <w:tcW w:w="861"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220" w:type="dxa"/>
            <w:tcBorders/>
            <w:shd w:fill="EEEEEE" w:val="clear"/>
            <w:vAlign w:val="center"/>
          </w:tcPr>
          <w:p>
            <w:pPr>
              <w:pStyle w:val="TableContents"/>
              <w:bidi w:val="0"/>
              <w:spacing w:before="0" w:after="283"/>
              <w:jc w:val="left"/>
              <w:rPr/>
            </w:pPr>
            <w:r>
              <w:rPr/>
              <w:t> </w:t>
            </w:r>
          </w:p>
        </w:tc>
        <w:tc>
          <w:tcPr>
            <w:tcW w:w="1074"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233" w:type="dxa"/>
            <w:tcBorders/>
            <w:shd w:fill="EEEEEE" w:val="clear"/>
            <w:vAlign w:val="center"/>
          </w:tcPr>
          <w:p>
            <w:pPr>
              <w:pStyle w:val="TableContents"/>
              <w:bidi w:val="0"/>
              <w:spacing w:before="0" w:after="283"/>
              <w:jc w:val="left"/>
              <w:rPr/>
            </w:pPr>
            <w:r>
              <w:rPr/>
              <w:t> </w:t>
            </w:r>
          </w:p>
        </w:tc>
        <w:tc>
          <w:tcPr>
            <w:tcW w:w="1061"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Net interest income/spread</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pPr>
            <w:r>
              <w:rPr/>
              <w:t>8,846</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5,424</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1" w:type="dxa"/>
            <w:tcBorders>
              <w:bottom w:val="double" w:sz="6" w:space="0" w:color="000000"/>
            </w:tcBorders>
            <w:shd w:fill="FFFFFF" w:val="clear"/>
            <w:tcMar>
              <w:bottom w:w="28" w:type="dxa"/>
            </w:tcMar>
            <w:vAlign w:val="center"/>
          </w:tcPr>
          <w:p>
            <w:pPr>
              <w:pStyle w:val="TableContents"/>
              <w:bidi w:val="0"/>
              <w:spacing w:before="0" w:after="283"/>
              <w:jc w:val="right"/>
              <w:rPr/>
            </w:pPr>
            <w:r>
              <w:rPr/>
              <w:t>3,422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expenses consist primarily of commission-based compensation paid to our employee sales representatives. Our sales representatives earn a salary plus commissions based on volume of contract purchases. Sales expense increased to $14.9 million during the six months ended June 30, 2026 from $11.6 million in the same period in 2025. We purchased $1,290.9 million of new contracts during the six months ended June 30, 2026 compared to $884.2 million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expenses was $3.0 million for the six months ending June 30, 2026, which is up from $2.8 million for the same period in 2025.</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decreased to $474,000 compared to $498,000 in the previous year.</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recorded income tax expense of $5.3 million, representing a 31% effective tax rate. In the prior period, our income tax expense was $4.3 million, representing a 31% effective tax rate.</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Credit Experience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Delinquency, Repossession and Extension Experience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Managed Portfolio (Excludes Third Party Portfolio)</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6"/>
        <w:gridCol w:w="60"/>
        <w:gridCol w:w="78"/>
        <w:gridCol w:w="969"/>
        <w:gridCol w:w="60"/>
        <w:gridCol w:w="60"/>
        <w:gridCol w:w="140"/>
        <w:gridCol w:w="980"/>
        <w:gridCol w:w="60"/>
        <w:gridCol w:w="60"/>
        <w:gridCol w:w="78"/>
        <w:gridCol w:w="969"/>
        <w:gridCol w:w="60"/>
        <w:gridCol w:w="60"/>
        <w:gridCol w:w="140"/>
        <w:gridCol w:w="980"/>
        <w:gridCol w:w="60"/>
        <w:gridCol w:w="60"/>
        <w:gridCol w:w="78"/>
        <w:gridCol w:w="969"/>
        <w:gridCol w:w="60"/>
        <w:gridCol w:w="60"/>
        <w:gridCol w:w="140"/>
        <w:gridCol w:w="980"/>
        <w:gridCol w:w="78"/>
      </w:tblGrid>
      <w:tr>
        <w:trPr/>
        <w:tc>
          <w:tcPr>
            <w:tcW w:w="29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8" w:type="dxa"/>
            <w:tcBorders/>
            <w:vAlign w:val="center"/>
          </w:tcPr>
          <w:p>
            <w:pPr>
              <w:pStyle w:val="TableContents"/>
              <w:bidi w:val="0"/>
              <w:spacing w:before="0" w:after="283"/>
              <w:jc w:val="left"/>
              <w:rPr/>
            </w:pPr>
            <w:r>
              <w:rPr/>
              <w:t> </w:t>
            </w:r>
          </w:p>
        </w:tc>
      </w:tr>
      <w:tr>
        <w:trPr/>
        <w:tc>
          <w:tcPr>
            <w:tcW w:w="29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29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8" w:type="dxa"/>
            <w:tcBorders/>
            <w:vAlign w:val="center"/>
          </w:tcPr>
          <w:p>
            <w:pPr>
              <w:pStyle w:val="TableContents"/>
              <w:bidi w:val="0"/>
              <w:spacing w:before="0" w:after="283"/>
              <w:jc w:val="left"/>
              <w:rPr/>
            </w:pPr>
            <w:r>
              <w:rPr/>
              <w:t> </w:t>
            </w:r>
          </w:p>
        </w:tc>
      </w:tr>
      <w:tr>
        <w:trPr/>
        <w:tc>
          <w:tcPr>
            <w:tcW w:w="29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1" w:type="dxa"/>
            <w:gridSpan w:val="22"/>
            <w:tcBorders/>
            <w:vAlign w:val="center"/>
          </w:tcPr>
          <w:p>
            <w:pPr>
              <w:pStyle w:val="TableContents"/>
              <w:bidi w:val="0"/>
              <w:spacing w:before="0" w:after="283"/>
              <w:jc w:val="center"/>
              <w:rPr>
                <w:b/>
              </w:rPr>
            </w:pPr>
            <w:r>
              <w:rPr>
                <w:b/>
              </w:rPr>
              <w:t>(Dollars in thousands)</w:t>
            </w:r>
          </w:p>
        </w:tc>
        <w:tc>
          <w:tcPr>
            <w:tcW w:w="78" w:type="dxa"/>
            <w:tcBorders/>
            <w:vAlign w:val="center"/>
          </w:tcPr>
          <w:p>
            <w:pPr>
              <w:pStyle w:val="TableContents"/>
              <w:bidi w:val="0"/>
              <w:spacing w:before="0" w:after="283"/>
              <w:jc w:val="left"/>
              <w:rPr/>
            </w:pPr>
            <w:r>
              <w:rPr/>
              <w:t> </w:t>
            </w:r>
          </w:p>
        </w:tc>
      </w:tr>
      <w:tr>
        <w:trPr/>
        <w:tc>
          <w:tcPr>
            <w:tcW w:w="2966" w:type="dxa"/>
            <w:tcBorders/>
            <w:shd w:fill="EEEEEE" w:val="clear"/>
            <w:vAlign w:val="center"/>
          </w:tcPr>
          <w:p>
            <w:pPr>
              <w:pStyle w:val="TableContents"/>
              <w:bidi w:val="0"/>
              <w:spacing w:before="0" w:after="283"/>
              <w:jc w:val="left"/>
              <w:rPr>
                <w:b/>
                <w:i/>
              </w:rPr>
            </w:pPr>
            <w:r>
              <w:rPr>
                <w:b/>
                <w:i/>
              </w:rPr>
              <w:t>Delinquency Experience</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2966" w:type="dxa"/>
            <w:tcBorders/>
            <w:shd w:fill="FFFFFF" w:val="clear"/>
            <w:vAlign w:val="center"/>
          </w:tcPr>
          <w:p>
            <w:pPr>
              <w:pStyle w:val="TableContents"/>
              <w:bidi w:val="0"/>
              <w:spacing w:before="0" w:after="283"/>
              <w:jc w:val="left"/>
              <w:rPr/>
            </w:pPr>
            <w:r>
              <w:rPr/>
              <w:t>Gross servicing portfolio (1)</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235,760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4,306,656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211,246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3,708,381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212,718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3,778,647</w:t>
            </w:r>
          </w:p>
        </w:tc>
        <w:tc>
          <w:tcPr>
            <w:tcW w:w="78" w:type="dxa"/>
            <w:tcBorders/>
            <w:shd w:fill="FFFFFF" w:val="clear"/>
            <w:vAlign w:val="center"/>
          </w:tcPr>
          <w:p>
            <w:pPr>
              <w:pStyle w:val="TableContents"/>
              <w:bidi w:val="0"/>
              <w:spacing w:before="0" w:after="283"/>
              <w:jc w:val="left"/>
              <w:rPr/>
            </w:pPr>
            <w:r>
              <w:rPr/>
              <w:t> </w:t>
            </w:r>
          </w:p>
        </w:tc>
      </w:tr>
      <w:tr>
        <w:trPr/>
        <w:tc>
          <w:tcPr>
            <w:tcW w:w="2966" w:type="dxa"/>
            <w:tcBorders/>
            <w:shd w:fill="EEEEEE" w:val="clear"/>
            <w:vAlign w:val="center"/>
          </w:tcPr>
          <w:p>
            <w:pPr>
              <w:pStyle w:val="TableContents"/>
              <w:bidi w:val="0"/>
              <w:spacing w:before="0" w:after="283"/>
              <w:jc w:val="left"/>
              <w:rPr/>
            </w:pPr>
            <w:r>
              <w:rPr/>
              <w:t>Period of delinquency (2)</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2966" w:type="dxa"/>
            <w:tcBorders/>
            <w:shd w:fill="FFFFFF" w:val="clear"/>
            <w:vAlign w:val="center"/>
          </w:tcPr>
          <w:p>
            <w:pPr>
              <w:pStyle w:val="TableContents"/>
              <w:bidi w:val="0"/>
              <w:spacing w:before="0" w:after="283"/>
              <w:jc w:val="left"/>
              <w:rPr/>
            </w:pPr>
            <w:r>
              <w:rPr/>
              <w:t>31-60 days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15,477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274,287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228,495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15,639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272,499</w:t>
            </w:r>
          </w:p>
        </w:tc>
        <w:tc>
          <w:tcPr>
            <w:tcW w:w="78" w:type="dxa"/>
            <w:tcBorders/>
            <w:shd w:fill="FFFFFF" w:val="clear"/>
            <w:vAlign w:val="center"/>
          </w:tcPr>
          <w:p>
            <w:pPr>
              <w:pStyle w:val="TableContents"/>
              <w:bidi w:val="0"/>
              <w:spacing w:before="0" w:after="283"/>
              <w:jc w:val="left"/>
              <w:rPr/>
            </w:pPr>
            <w:r>
              <w:rPr/>
              <w:t> </w:t>
            </w:r>
          </w:p>
        </w:tc>
      </w:tr>
      <w:tr>
        <w:trPr/>
        <w:tc>
          <w:tcPr>
            <w:tcW w:w="2966" w:type="dxa"/>
            <w:tcBorders/>
            <w:shd w:fill="EEEEEE" w:val="clear"/>
            <w:vAlign w:val="center"/>
          </w:tcPr>
          <w:p>
            <w:pPr>
              <w:pStyle w:val="TableContents"/>
              <w:bidi w:val="0"/>
              <w:spacing w:before="0" w:after="283"/>
              <w:jc w:val="left"/>
              <w:rPr/>
            </w:pPr>
            <w:r>
              <w:rPr/>
              <w:t>61-90 days</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6,513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109,324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6,504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103,947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7,163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118,304</w:t>
            </w:r>
          </w:p>
        </w:tc>
        <w:tc>
          <w:tcPr>
            <w:tcW w:w="78" w:type="dxa"/>
            <w:tcBorders/>
            <w:shd w:fill="EEEEEE" w:val="clear"/>
            <w:vAlign w:val="center"/>
          </w:tcPr>
          <w:p>
            <w:pPr>
              <w:pStyle w:val="TableContents"/>
              <w:bidi w:val="0"/>
              <w:spacing w:before="0" w:after="283"/>
              <w:jc w:val="left"/>
              <w:rPr/>
            </w:pPr>
            <w:r>
              <w:rPr/>
              <w:t> </w:t>
            </w:r>
          </w:p>
        </w:tc>
      </w:tr>
      <w:tr>
        <w:trPr/>
        <w:tc>
          <w:tcPr>
            <w:tcW w:w="2966" w:type="dxa"/>
            <w:tcBorders/>
            <w:shd w:fill="FFFFFF" w:val="clear"/>
            <w:vAlign w:val="center"/>
          </w:tcPr>
          <w:p>
            <w:pPr>
              <w:pStyle w:val="TableContents"/>
              <w:bidi w:val="0"/>
              <w:spacing w:before="0" w:after="283"/>
              <w:jc w:val="left"/>
              <w:rPr/>
            </w:pPr>
            <w:r>
              <w:rPr/>
              <w:t>91+ days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3,265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45,939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3,885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56,775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3,806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56,223</w:t>
            </w:r>
          </w:p>
        </w:tc>
        <w:tc>
          <w:tcPr>
            <w:tcW w:w="78" w:type="dxa"/>
            <w:tcBorders/>
            <w:shd w:fill="FFFFFF" w:val="clear"/>
            <w:vAlign w:val="center"/>
          </w:tcPr>
          <w:p>
            <w:pPr>
              <w:pStyle w:val="TableContents"/>
              <w:bidi w:val="0"/>
              <w:spacing w:before="0" w:after="283"/>
              <w:jc w:val="left"/>
              <w:rPr/>
            </w:pPr>
            <w:r>
              <w:rPr/>
              <w:t> </w:t>
            </w:r>
          </w:p>
        </w:tc>
      </w:tr>
      <w:tr>
        <w:trPr/>
        <w:tc>
          <w:tcPr>
            <w:tcW w:w="2966" w:type="dxa"/>
            <w:tcBorders/>
            <w:shd w:fill="EEEEEE" w:val="clear"/>
            <w:vAlign w:val="center"/>
          </w:tcPr>
          <w:p>
            <w:pPr>
              <w:pStyle w:val="TableContents"/>
              <w:bidi w:val="0"/>
              <w:spacing w:before="0" w:after="283"/>
              <w:jc w:val="left"/>
              <w:rPr/>
            </w:pPr>
            <w:r>
              <w:rPr/>
              <w:t>Total delinquencies (2)</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25,255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429,550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23,983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389,217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26,608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447,026</w:t>
            </w:r>
          </w:p>
        </w:tc>
        <w:tc>
          <w:tcPr>
            <w:tcW w:w="78" w:type="dxa"/>
            <w:tcBorders/>
            <w:shd w:fill="EEEEEE" w:val="clear"/>
            <w:vAlign w:val="center"/>
          </w:tcPr>
          <w:p>
            <w:pPr>
              <w:pStyle w:val="TableContents"/>
              <w:bidi w:val="0"/>
              <w:spacing w:before="0" w:after="283"/>
              <w:jc w:val="left"/>
              <w:rPr/>
            </w:pPr>
            <w:r>
              <w:rPr/>
              <w:t> </w:t>
            </w:r>
          </w:p>
        </w:tc>
      </w:tr>
      <w:tr>
        <w:trPr/>
        <w:tc>
          <w:tcPr>
            <w:tcW w:w="2966" w:type="dxa"/>
            <w:tcBorders/>
            <w:shd w:fill="FFFFFF" w:val="clear"/>
            <w:vAlign w:val="center"/>
          </w:tcPr>
          <w:p>
            <w:pPr>
              <w:pStyle w:val="TableContents"/>
              <w:bidi w:val="0"/>
              <w:spacing w:before="0" w:after="283"/>
              <w:jc w:val="left"/>
              <w:rPr/>
            </w:pPr>
            <w:r>
              <w:rPr/>
              <w:t>Amount in repossession (3)</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6,296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94,335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6,628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97,733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7,462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111,152</w:t>
            </w:r>
          </w:p>
        </w:tc>
        <w:tc>
          <w:tcPr>
            <w:tcW w:w="78" w:type="dxa"/>
            <w:tcBorders/>
            <w:shd w:fill="FFFFFF" w:val="clear"/>
            <w:vAlign w:val="center"/>
          </w:tcPr>
          <w:p>
            <w:pPr>
              <w:pStyle w:val="TableContents"/>
              <w:bidi w:val="0"/>
              <w:spacing w:before="0" w:after="283"/>
              <w:ind w:left="0" w:right="0" w:hanging="100"/>
              <w:jc w:val="left"/>
              <w:rPr/>
            </w:pPr>
            <w:r>
              <w:rPr/>
              <w:t> </w:t>
            </w:r>
          </w:p>
        </w:tc>
      </w:tr>
      <w:tr>
        <w:trPr/>
        <w:tc>
          <w:tcPr>
            <w:tcW w:w="2966" w:type="dxa"/>
            <w:tcBorders/>
            <w:shd w:fill="EEEEEE" w:val="clear"/>
            <w:vAlign w:val="center"/>
          </w:tcPr>
          <w:p>
            <w:pPr>
              <w:pStyle w:val="TableContents"/>
              <w:bidi w:val="0"/>
              <w:spacing w:before="0" w:after="283"/>
              <w:jc w:val="left"/>
              <w:rPr/>
            </w:pPr>
            <w:r>
              <w:rPr/>
              <w:t>Total delinquencies and amount in repossession (2)</w:t>
            </w:r>
          </w:p>
        </w:tc>
        <w:tc>
          <w:tcPr>
            <w:tcW w:w="60" w:type="dxa"/>
            <w:tcBorders/>
            <w:shd w:fill="EEEEEE" w:val="clear"/>
            <w:vAlign w:val="center"/>
          </w:tcPr>
          <w:p>
            <w:pPr>
              <w:pStyle w:val="TableContents"/>
              <w:bidi w:val="0"/>
              <w:spacing w:before="0" w:after="283"/>
              <w:jc w:val="left"/>
              <w:rPr/>
            </w:pPr>
            <w:r>
              <w:rPr/>
              <w:t> </w:t>
            </w:r>
          </w:p>
        </w:tc>
        <w:tc>
          <w:tcPr>
            <w:tcW w:w="78"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969" w:type="dxa"/>
            <w:tcBorders>
              <w:bottom w:val="double" w:sz="6" w:space="0" w:color="000000"/>
            </w:tcBorders>
            <w:shd w:fill="EEEEEE" w:val="clear"/>
            <w:tcMar>
              <w:bottom w:w="28" w:type="dxa"/>
            </w:tcMar>
            <w:vAlign w:val="center"/>
          </w:tcPr>
          <w:p>
            <w:pPr>
              <w:pStyle w:val="TableContents"/>
              <w:bidi w:val="0"/>
              <w:spacing w:before="0" w:after="283"/>
              <w:jc w:val="right"/>
              <w:rPr/>
            </w:pPr>
            <w:r>
              <w:rPr/>
              <w:t>31,551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523,885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969" w:type="dxa"/>
            <w:tcBorders>
              <w:bottom w:val="double" w:sz="6" w:space="0" w:color="000000"/>
            </w:tcBorders>
            <w:shd w:fill="EEEEEE" w:val="clear"/>
            <w:tcMar>
              <w:bottom w:w="28" w:type="dxa"/>
            </w:tcMar>
            <w:vAlign w:val="center"/>
          </w:tcPr>
          <w:p>
            <w:pPr>
              <w:pStyle w:val="TableContents"/>
              <w:bidi w:val="0"/>
              <w:spacing w:before="0" w:after="283"/>
              <w:jc w:val="right"/>
              <w:rPr/>
            </w:pPr>
            <w:r>
              <w:rPr/>
              <w:t>30,611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486,950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969" w:type="dxa"/>
            <w:tcBorders>
              <w:bottom w:val="double" w:sz="6" w:space="0" w:color="000000"/>
            </w:tcBorders>
            <w:shd w:fill="EEEEEE" w:val="clear"/>
            <w:tcMar>
              <w:bottom w:w="28" w:type="dxa"/>
            </w:tcMar>
            <w:vAlign w:val="center"/>
          </w:tcPr>
          <w:p>
            <w:pPr>
              <w:pStyle w:val="TableContents"/>
              <w:bidi w:val="0"/>
              <w:spacing w:before="0" w:after="283"/>
              <w:jc w:val="right"/>
              <w:rPr/>
            </w:pPr>
            <w:r>
              <w:rPr/>
              <w:t>34,070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558,178</w:t>
            </w:r>
          </w:p>
        </w:tc>
        <w:tc>
          <w:tcPr>
            <w:tcW w:w="78" w:type="dxa"/>
            <w:tcBorders/>
            <w:shd w:fill="EEEEEE" w:val="clear"/>
            <w:vAlign w:val="center"/>
          </w:tcPr>
          <w:p>
            <w:pPr>
              <w:pStyle w:val="TableContents"/>
              <w:bidi w:val="0"/>
              <w:spacing w:before="0" w:after="283"/>
              <w:jc w:val="left"/>
              <w:rPr/>
            </w:pPr>
            <w:r>
              <w:rPr/>
              <w:t> </w:t>
            </w:r>
          </w:p>
        </w:tc>
      </w:tr>
      <w:tr>
        <w:trPr/>
        <w:tc>
          <w:tcPr>
            <w:tcW w:w="29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00"/>
              <w:jc w:val="left"/>
              <w:rPr/>
            </w:pPr>
            <w:r>
              <w:rPr/>
              <w:t> </w:t>
            </w:r>
          </w:p>
        </w:tc>
      </w:tr>
      <w:tr>
        <w:trPr/>
        <w:tc>
          <w:tcPr>
            <w:tcW w:w="2966" w:type="dxa"/>
            <w:tcBorders/>
            <w:shd w:fill="EEEEEE" w:val="clear"/>
            <w:vAlign w:val="center"/>
          </w:tcPr>
          <w:p>
            <w:pPr>
              <w:pStyle w:val="TableContents"/>
              <w:bidi w:val="0"/>
              <w:spacing w:before="0" w:after="283"/>
              <w:jc w:val="left"/>
              <w:rPr/>
            </w:pPr>
            <w:r>
              <w:rPr/>
              <w:t>Delinquencies as a percentage of gross servicing portfolio</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10.71%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9.97%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11.35%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10.50%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12.51%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11.83%</w:t>
            </w:r>
          </w:p>
        </w:tc>
        <w:tc>
          <w:tcPr>
            <w:tcW w:w="78" w:type="dxa"/>
            <w:tcBorders/>
            <w:shd w:fill="EEEEEE" w:val="clear"/>
            <w:vAlign w:val="center"/>
          </w:tcPr>
          <w:p>
            <w:pPr>
              <w:pStyle w:val="TableContents"/>
              <w:bidi w:val="0"/>
              <w:spacing w:before="0" w:after="283"/>
              <w:ind w:left="0" w:right="0" w:hanging="100"/>
              <w:jc w:val="left"/>
              <w:rPr/>
            </w:pPr>
            <w:r>
              <w:rPr/>
              <w:t> </w:t>
            </w:r>
          </w:p>
        </w:tc>
      </w:tr>
      <w:tr>
        <w:trPr/>
        <w:tc>
          <w:tcPr>
            <w:tcW w:w="29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00"/>
              <w:jc w:val="left"/>
              <w:rPr/>
            </w:pPr>
            <w:r>
              <w:rPr/>
              <w:t> </w:t>
            </w:r>
          </w:p>
        </w:tc>
      </w:tr>
      <w:tr>
        <w:trPr/>
        <w:tc>
          <w:tcPr>
            <w:tcW w:w="2966" w:type="dxa"/>
            <w:tcBorders/>
            <w:shd w:fill="EEEEEE" w:val="clear"/>
            <w:vAlign w:val="center"/>
          </w:tcPr>
          <w:p>
            <w:pPr>
              <w:pStyle w:val="TableContents"/>
              <w:bidi w:val="0"/>
              <w:spacing w:before="0" w:after="283"/>
              <w:jc w:val="left"/>
              <w:rPr/>
            </w:pPr>
            <w:r>
              <w:rPr/>
              <w:t>Total delinquencies and amount in repossession as a percentage of gross servicing portfolio</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13.38%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12.16%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14.49%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13.14%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16.02%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14.77%</w:t>
            </w:r>
          </w:p>
        </w:tc>
        <w:tc>
          <w:tcPr>
            <w:tcW w:w="78" w:type="dxa"/>
            <w:tcBorders/>
            <w:shd w:fill="EEEEEE" w:val="clear"/>
            <w:vAlign w:val="center"/>
          </w:tcPr>
          <w:p>
            <w:pPr>
              <w:pStyle w:val="TableContents"/>
              <w:bidi w:val="0"/>
              <w:spacing w:before="0" w:after="283"/>
              <w:jc w:val="left"/>
              <w:rPr/>
            </w:pPr>
            <w:r>
              <w:rPr/>
              <w:t> </w:t>
            </w:r>
          </w:p>
        </w:tc>
      </w:tr>
      <w:tr>
        <w:trPr/>
        <w:tc>
          <w:tcPr>
            <w:tcW w:w="29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966" w:type="dxa"/>
            <w:tcBorders/>
            <w:shd w:fill="EEEEEE" w:val="clear"/>
            <w:vAlign w:val="center"/>
          </w:tcPr>
          <w:p>
            <w:pPr>
              <w:pStyle w:val="TableContents"/>
              <w:bidi w:val="0"/>
              <w:spacing w:before="0" w:after="283"/>
              <w:jc w:val="left"/>
              <w:rPr>
                <w:b/>
                <w:i/>
              </w:rPr>
            </w:pPr>
            <w:r>
              <w:rPr>
                <w:b/>
                <w:i/>
              </w:rPr>
              <w:t>Extension Experience</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2966" w:type="dxa"/>
            <w:tcBorders/>
            <w:shd w:fill="FFFFFF" w:val="clear"/>
            <w:vAlign w:val="center"/>
          </w:tcPr>
          <w:p>
            <w:pPr>
              <w:pStyle w:val="TableContents"/>
              <w:bidi w:val="0"/>
              <w:spacing w:before="0" w:after="283"/>
              <w:jc w:val="left"/>
              <w:rPr/>
            </w:pPr>
            <w:r>
              <w:rPr/>
              <w:t>Contracts with one extension, accruing</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38,002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708,236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35,067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638,069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41,504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759,863</w:t>
            </w:r>
          </w:p>
        </w:tc>
        <w:tc>
          <w:tcPr>
            <w:tcW w:w="78" w:type="dxa"/>
            <w:tcBorders/>
            <w:shd w:fill="FFFFFF" w:val="clear"/>
            <w:vAlign w:val="center"/>
          </w:tcPr>
          <w:p>
            <w:pPr>
              <w:pStyle w:val="TableContents"/>
              <w:bidi w:val="0"/>
              <w:spacing w:before="0" w:after="283"/>
              <w:ind w:left="0" w:right="0" w:hanging="100"/>
              <w:jc w:val="left"/>
              <w:rPr/>
            </w:pPr>
            <w:r>
              <w:rPr/>
              <w:t> </w:t>
            </w:r>
          </w:p>
        </w:tc>
      </w:tr>
      <w:tr>
        <w:trPr/>
        <w:tc>
          <w:tcPr>
            <w:tcW w:w="2966" w:type="dxa"/>
            <w:tcBorders/>
            <w:shd w:fill="EEEEEE" w:val="clear"/>
            <w:vAlign w:val="center"/>
          </w:tcPr>
          <w:p>
            <w:pPr>
              <w:pStyle w:val="TableContents"/>
              <w:bidi w:val="0"/>
              <w:spacing w:before="0" w:after="283"/>
              <w:jc w:val="left"/>
              <w:rPr/>
            </w:pPr>
            <w:r>
              <w:rPr/>
              <w:t>Contracts with two or more extensions, accruing</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EEEEEE" w:val="clear"/>
            <w:tcMar>
              <w:bottom w:w="28" w:type="dxa"/>
            </w:tcMar>
            <w:vAlign w:val="center"/>
          </w:tcPr>
          <w:p>
            <w:pPr>
              <w:pStyle w:val="TableContents"/>
              <w:bidi w:val="0"/>
              <w:spacing w:before="0" w:after="283"/>
              <w:jc w:val="right"/>
              <w:rPr/>
            </w:pPr>
            <w:r>
              <w:rPr/>
              <w:t>58,943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976,965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EEEEEE" w:val="clear"/>
            <w:tcMar>
              <w:bottom w:w="28" w:type="dxa"/>
            </w:tcMar>
            <w:vAlign w:val="center"/>
          </w:tcPr>
          <w:p>
            <w:pPr>
              <w:pStyle w:val="TableContents"/>
              <w:bidi w:val="0"/>
              <w:spacing w:before="0" w:after="283"/>
              <w:jc w:val="right"/>
              <w:rPr/>
            </w:pPr>
            <w:r>
              <w:rPr/>
              <w:t>49,373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760,265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EEEEEE" w:val="clear"/>
            <w:tcMar>
              <w:bottom w:w="28" w:type="dxa"/>
            </w:tcMar>
            <w:vAlign w:val="center"/>
          </w:tcPr>
          <w:p>
            <w:pPr>
              <w:pStyle w:val="TableContents"/>
              <w:bidi w:val="0"/>
              <w:spacing w:before="0" w:after="283"/>
              <w:jc w:val="right"/>
              <w:rPr/>
            </w:pPr>
            <w:r>
              <w:rPr/>
              <w:t>58,326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927,980</w:t>
            </w:r>
          </w:p>
        </w:tc>
        <w:tc>
          <w:tcPr>
            <w:tcW w:w="78" w:type="dxa"/>
            <w:tcBorders/>
            <w:shd w:fill="EEEEEE" w:val="clear"/>
            <w:vAlign w:val="center"/>
          </w:tcPr>
          <w:p>
            <w:pPr>
              <w:pStyle w:val="TableContents"/>
              <w:bidi w:val="0"/>
              <w:spacing w:before="0" w:after="283"/>
              <w:jc w:val="left"/>
              <w:rPr/>
            </w:pPr>
            <w:r>
              <w:rPr/>
              <w:t> </w:t>
            </w:r>
          </w:p>
        </w:tc>
      </w:tr>
      <w:tr>
        <w:trPr/>
        <w:tc>
          <w:tcPr>
            <w:tcW w:w="29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96,945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1,685,201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84,440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1,398,334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99,830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1,687,843</w:t>
            </w:r>
          </w:p>
        </w:tc>
        <w:tc>
          <w:tcPr>
            <w:tcW w:w="78" w:type="dxa"/>
            <w:tcBorders/>
            <w:shd w:fill="FFFFFF" w:val="clear"/>
            <w:vAlign w:val="center"/>
          </w:tcPr>
          <w:p>
            <w:pPr>
              <w:pStyle w:val="TableContents"/>
              <w:bidi w:val="0"/>
              <w:spacing w:before="0" w:after="283"/>
              <w:jc w:val="left"/>
              <w:rPr/>
            </w:pPr>
            <w:r>
              <w:rPr/>
              <w:t> </w:t>
            </w:r>
          </w:p>
        </w:tc>
      </w:tr>
      <w:tr>
        <w:trPr/>
        <w:tc>
          <w:tcPr>
            <w:tcW w:w="2966"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2966" w:type="dxa"/>
            <w:tcBorders/>
            <w:shd w:fill="FFFFFF" w:val="clear"/>
            <w:vAlign w:val="center"/>
          </w:tcPr>
          <w:p>
            <w:pPr>
              <w:pStyle w:val="TableContents"/>
              <w:bidi w:val="0"/>
              <w:spacing w:before="0" w:after="283"/>
              <w:jc w:val="left"/>
              <w:rPr/>
            </w:pPr>
            <w:r>
              <w:rPr/>
              <w:t>Contracts with one extension, non-accrual (4)</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2,084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3,037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3,008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45,848</w:t>
            </w:r>
          </w:p>
        </w:tc>
        <w:tc>
          <w:tcPr>
            <w:tcW w:w="78" w:type="dxa"/>
            <w:tcBorders/>
            <w:shd w:fill="FFFFFF" w:val="clear"/>
            <w:vAlign w:val="center"/>
          </w:tcPr>
          <w:p>
            <w:pPr>
              <w:pStyle w:val="TableContents"/>
              <w:bidi w:val="0"/>
              <w:spacing w:before="0" w:after="283"/>
              <w:ind w:left="0" w:right="0" w:hanging="100"/>
              <w:jc w:val="left"/>
              <w:rPr/>
            </w:pPr>
            <w:r>
              <w:rPr/>
              <w:t> </w:t>
            </w:r>
          </w:p>
        </w:tc>
      </w:tr>
      <w:tr>
        <w:trPr/>
        <w:tc>
          <w:tcPr>
            <w:tcW w:w="2966" w:type="dxa"/>
            <w:tcBorders/>
            <w:shd w:fill="EEEEEE" w:val="clear"/>
            <w:vAlign w:val="center"/>
          </w:tcPr>
          <w:p>
            <w:pPr>
              <w:pStyle w:val="TableContents"/>
              <w:bidi w:val="0"/>
              <w:spacing w:before="0" w:after="283"/>
              <w:jc w:val="left"/>
              <w:rPr/>
            </w:pPr>
            <w:r>
              <w:rPr/>
              <w:t>Contracts with two or more extensions, non-accrual (4)</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EEEEEE" w:val="clear"/>
            <w:tcMar>
              <w:bottom w:w="28" w:type="dxa"/>
            </w:tcMar>
            <w:vAlign w:val="center"/>
          </w:tcPr>
          <w:p>
            <w:pPr>
              <w:pStyle w:val="TableContents"/>
              <w:bidi w:val="0"/>
              <w:spacing w:before="0" w:after="283"/>
              <w:jc w:val="right"/>
              <w:rPr/>
            </w:pPr>
            <w:r>
              <w:rPr/>
              <w:t>5,025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73,328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EEEEEE" w:val="clear"/>
            <w:tcMar>
              <w:bottom w:w="28" w:type="dxa"/>
            </w:tcMar>
            <w:vAlign w:val="center"/>
          </w:tcPr>
          <w:p>
            <w:pPr>
              <w:pStyle w:val="TableContents"/>
              <w:bidi w:val="0"/>
              <w:spacing w:before="0" w:after="283"/>
              <w:jc w:val="right"/>
              <w:rPr/>
            </w:pPr>
            <w:r>
              <w:rPr/>
              <w:t>4,579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67,243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EEEEEE" w:val="clear"/>
            <w:tcMar>
              <w:bottom w:w="28" w:type="dxa"/>
            </w:tcMar>
            <w:vAlign w:val="center"/>
          </w:tcPr>
          <w:p>
            <w:pPr>
              <w:pStyle w:val="TableContents"/>
              <w:bidi w:val="0"/>
              <w:spacing w:before="0" w:after="283"/>
              <w:jc w:val="right"/>
              <w:rPr/>
            </w:pPr>
            <w:r>
              <w:rPr/>
              <w:t>5,285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77,351</w:t>
            </w:r>
          </w:p>
        </w:tc>
        <w:tc>
          <w:tcPr>
            <w:tcW w:w="78" w:type="dxa"/>
            <w:tcBorders/>
            <w:shd w:fill="EEEEEE" w:val="clear"/>
            <w:vAlign w:val="center"/>
          </w:tcPr>
          <w:p>
            <w:pPr>
              <w:pStyle w:val="TableContents"/>
              <w:bidi w:val="0"/>
              <w:spacing w:before="0" w:after="283"/>
              <w:jc w:val="left"/>
              <w:rPr/>
            </w:pPr>
            <w:r>
              <w:rPr/>
              <w:t> </w:t>
            </w:r>
          </w:p>
        </w:tc>
      </w:tr>
      <w:tr>
        <w:trPr/>
        <w:tc>
          <w:tcPr>
            <w:tcW w:w="29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7,109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7,616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112,573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8,293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123,199</w:t>
            </w:r>
          </w:p>
        </w:tc>
        <w:tc>
          <w:tcPr>
            <w:tcW w:w="78" w:type="dxa"/>
            <w:tcBorders/>
            <w:shd w:fill="FFFFFF" w:val="clear"/>
            <w:vAlign w:val="center"/>
          </w:tcPr>
          <w:p>
            <w:pPr>
              <w:pStyle w:val="TableContents"/>
              <w:bidi w:val="0"/>
              <w:spacing w:before="0" w:after="283"/>
              <w:jc w:val="left"/>
              <w:rPr/>
            </w:pPr>
            <w:r>
              <w:rPr/>
              <w:t> </w:t>
            </w:r>
          </w:p>
        </w:tc>
      </w:tr>
      <w:tr>
        <w:trPr/>
        <w:tc>
          <w:tcPr>
            <w:tcW w:w="2966"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6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2966" w:type="dxa"/>
            <w:tcBorders/>
            <w:shd w:fill="FFFFFF" w:val="clear"/>
            <w:vAlign w:val="center"/>
          </w:tcPr>
          <w:p>
            <w:pPr>
              <w:pStyle w:val="TableContents"/>
              <w:bidi w:val="0"/>
              <w:spacing w:before="0" w:after="283"/>
              <w:jc w:val="left"/>
              <w:rPr/>
            </w:pPr>
            <w:r>
              <w:rPr/>
              <w:t>Total contracts with extensions</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pPr>
            <w:r>
              <w:rPr/>
              <w:t>104,054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1,788,917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pPr>
            <w:r>
              <w:rPr/>
              <w:t>92,056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1,510,907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pPr>
            <w:r>
              <w:rPr/>
              <w:t>108,123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1,811,043</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(1) All amounts and percentages are based on the amount remaining to be repaid on each automobile contract.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 Amount in repossession represents financed vehicles that have been repossessed but not yet liquidated.</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 Amount in repossession and accounts past due more than 90 days are on non-accrual.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25"/>
        <w:gridCol w:w="60"/>
        <w:gridCol w:w="140"/>
        <w:gridCol w:w="980"/>
        <w:gridCol w:w="60"/>
        <w:gridCol w:w="60"/>
        <w:gridCol w:w="140"/>
        <w:gridCol w:w="980"/>
        <w:gridCol w:w="60"/>
        <w:gridCol w:w="60"/>
        <w:gridCol w:w="169"/>
        <w:gridCol w:w="1194"/>
        <w:gridCol w:w="77"/>
      </w:tblGrid>
      <w:tr>
        <w:trPr/>
        <w:tc>
          <w:tcPr>
            <w:tcW w:w="10128" w:type="dxa"/>
            <w:gridSpan w:val="12"/>
            <w:tcBorders/>
            <w:vAlign w:val="center"/>
          </w:tcPr>
          <w:p>
            <w:pPr>
              <w:pStyle w:val="TableContents"/>
              <w:bidi w:val="0"/>
              <w:spacing w:before="0" w:after="283"/>
              <w:jc w:val="center"/>
              <w:rPr>
                <w:b/>
              </w:rPr>
            </w:pPr>
            <w:r>
              <w:rPr>
                <w:b/>
              </w:rPr>
              <w:t>Net Charge-Off Experience (1)</w:t>
            </w:r>
          </w:p>
        </w:tc>
        <w:tc>
          <w:tcPr>
            <w:tcW w:w="77" w:type="dxa"/>
            <w:tcBorders/>
            <w:vAlign w:val="center"/>
          </w:tcPr>
          <w:p>
            <w:pPr>
              <w:pStyle w:val="TableContents"/>
              <w:bidi w:val="0"/>
              <w:spacing w:before="0" w:after="283"/>
              <w:jc w:val="left"/>
              <w:rPr/>
            </w:pPr>
            <w:r>
              <w:rPr/>
              <w:t> </w:t>
            </w:r>
          </w:p>
        </w:tc>
      </w:tr>
      <w:tr>
        <w:trPr/>
        <w:tc>
          <w:tcPr>
            <w:tcW w:w="10128" w:type="dxa"/>
            <w:gridSpan w:val="12"/>
            <w:tcBorders/>
            <w:vAlign w:val="center"/>
          </w:tcPr>
          <w:p>
            <w:pPr>
              <w:pStyle w:val="TableContents"/>
              <w:bidi w:val="0"/>
              <w:spacing w:before="0" w:after="283"/>
              <w:jc w:val="center"/>
              <w:rPr>
                <w:b/>
              </w:rPr>
            </w:pPr>
            <w:r>
              <w:rPr>
                <w:b/>
              </w:rPr>
              <w:t>Total Managed Portfolio (Excludes Third Party Portfolio)</w:t>
            </w:r>
          </w:p>
        </w:tc>
        <w:tc>
          <w:tcPr>
            <w:tcW w:w="77" w:type="dxa"/>
            <w:tcBorders/>
            <w:vAlign w:val="center"/>
          </w:tcPr>
          <w:p>
            <w:pPr>
              <w:pStyle w:val="TableContents"/>
              <w:bidi w:val="0"/>
              <w:spacing w:before="0" w:after="283"/>
              <w:jc w:val="left"/>
              <w:rPr/>
            </w:pPr>
            <w:r>
              <w:rPr/>
              <w:t> </w:t>
            </w:r>
          </w:p>
        </w:tc>
      </w:tr>
      <w:tr>
        <w:trPr/>
        <w:tc>
          <w:tcPr>
            <w:tcW w:w="6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6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3" w:type="dxa"/>
            <w:gridSpan w:val="10"/>
            <w:tcBorders/>
            <w:vAlign w:val="center"/>
          </w:tcPr>
          <w:p>
            <w:pPr>
              <w:pStyle w:val="TableContents"/>
              <w:bidi w:val="0"/>
              <w:spacing w:before="0" w:after="283"/>
              <w:jc w:val="center"/>
              <w:rPr>
                <w:b/>
              </w:rPr>
            </w:pPr>
            <w:r>
              <w:rPr>
                <w:b/>
              </w:rPr>
              <w:t>Finance Receivables Portfolio</w:t>
            </w:r>
          </w:p>
        </w:tc>
        <w:tc>
          <w:tcPr>
            <w:tcW w:w="77" w:type="dxa"/>
            <w:tcBorders/>
            <w:vAlign w:val="center"/>
          </w:tcPr>
          <w:p>
            <w:pPr>
              <w:pStyle w:val="TableContents"/>
              <w:bidi w:val="0"/>
              <w:spacing w:before="0" w:after="283"/>
              <w:jc w:val="left"/>
              <w:rPr/>
            </w:pPr>
            <w:r>
              <w:rPr/>
              <w:t> </w:t>
            </w:r>
          </w:p>
        </w:tc>
      </w:tr>
      <w:tr>
        <w:trPr/>
        <w:tc>
          <w:tcPr>
            <w:tcW w:w="6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3" w:type="dxa"/>
            <w:gridSpan w:val="2"/>
            <w:tcBorders/>
            <w:vAlign w:val="center"/>
          </w:tcPr>
          <w:p>
            <w:pPr>
              <w:pStyle w:val="TableContents"/>
              <w:bidi w:val="0"/>
              <w:spacing w:before="0" w:after="283"/>
              <w:jc w:val="center"/>
              <w:rPr>
                <w:b/>
              </w:rPr>
            </w:pPr>
            <w:r>
              <w:rPr>
                <w:b/>
              </w:rPr>
              <w:t>December 31,</w:t>
            </w:r>
          </w:p>
        </w:tc>
        <w:tc>
          <w:tcPr>
            <w:tcW w:w="77" w:type="dxa"/>
            <w:tcBorders/>
            <w:vAlign w:val="center"/>
          </w:tcPr>
          <w:p>
            <w:pPr>
              <w:pStyle w:val="TableContents"/>
              <w:bidi w:val="0"/>
              <w:spacing w:before="0" w:after="283"/>
              <w:jc w:val="left"/>
              <w:rPr/>
            </w:pPr>
            <w:r>
              <w:rPr/>
              <w:t> </w:t>
            </w:r>
          </w:p>
        </w:tc>
      </w:tr>
      <w:tr>
        <w:trPr/>
        <w:tc>
          <w:tcPr>
            <w:tcW w:w="6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left"/>
              <w:rPr/>
            </w:pPr>
            <w:r>
              <w:rPr/>
              <w:t> </w:t>
            </w:r>
          </w:p>
        </w:tc>
      </w:tr>
      <w:tr>
        <w:trPr/>
        <w:tc>
          <w:tcPr>
            <w:tcW w:w="6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3" w:type="dxa"/>
            <w:gridSpan w:val="10"/>
            <w:tcBorders/>
            <w:vAlign w:val="center"/>
          </w:tcPr>
          <w:p>
            <w:pPr>
              <w:pStyle w:val="TableContents"/>
              <w:bidi w:val="0"/>
              <w:spacing w:before="0" w:after="283"/>
              <w:jc w:val="center"/>
              <w:rPr>
                <w:b/>
              </w:rPr>
            </w:pPr>
            <w:r>
              <w:rPr>
                <w:b/>
              </w:rPr>
              <w:t>(Dollars in thousands)</w:t>
            </w:r>
          </w:p>
        </w:tc>
        <w:tc>
          <w:tcPr>
            <w:tcW w:w="77" w:type="dxa"/>
            <w:tcBorders/>
            <w:vAlign w:val="center"/>
          </w:tcPr>
          <w:p>
            <w:pPr>
              <w:pStyle w:val="TableContents"/>
              <w:bidi w:val="0"/>
              <w:spacing w:before="0" w:after="283"/>
              <w:jc w:val="left"/>
              <w:rPr/>
            </w:pPr>
            <w:r>
              <w:rPr/>
              <w:t> </w:t>
            </w:r>
          </w:p>
        </w:tc>
      </w:tr>
      <w:tr>
        <w:trPr/>
        <w:tc>
          <w:tcPr>
            <w:tcW w:w="6225" w:type="dxa"/>
            <w:tcBorders/>
            <w:shd w:fill="EEEEEE" w:val="clear"/>
            <w:vAlign w:val="center"/>
          </w:tcPr>
          <w:p>
            <w:pPr>
              <w:pStyle w:val="TableContents"/>
              <w:bidi w:val="0"/>
              <w:spacing w:before="0" w:after="283"/>
              <w:jc w:val="left"/>
              <w:rPr/>
            </w:pPr>
            <w:r>
              <w:rPr/>
              <w:t>Average servicing portfolio outstanding</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4,185,948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3,682,959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w:t>
            </w:r>
          </w:p>
        </w:tc>
        <w:tc>
          <w:tcPr>
            <w:tcW w:w="1194" w:type="dxa"/>
            <w:tcBorders/>
            <w:shd w:fill="EEEEEE" w:val="clear"/>
            <w:vAlign w:val="center"/>
          </w:tcPr>
          <w:p>
            <w:pPr>
              <w:pStyle w:val="TableContents"/>
              <w:bidi w:val="0"/>
              <w:spacing w:before="0" w:after="283"/>
              <w:jc w:val="right"/>
              <w:rPr/>
            </w:pPr>
            <w:r>
              <w:rPr/>
              <w:t>3,693,796</w:t>
            </w:r>
          </w:p>
        </w:tc>
        <w:tc>
          <w:tcPr>
            <w:tcW w:w="77" w:type="dxa"/>
            <w:tcBorders/>
            <w:shd w:fill="EEEEEE" w:val="clear"/>
            <w:vAlign w:val="center"/>
          </w:tcPr>
          <w:p>
            <w:pPr>
              <w:pStyle w:val="TableContents"/>
              <w:bidi w:val="0"/>
              <w:spacing w:before="0" w:after="283"/>
              <w:ind w:left="0" w:right="0" w:hanging="200"/>
              <w:jc w:val="left"/>
              <w:rPr/>
            </w:pPr>
            <w:r>
              <w:rPr/>
              <w:t> </w:t>
            </w:r>
          </w:p>
        </w:tc>
      </w:tr>
      <w:tr>
        <w:trPr/>
        <w:tc>
          <w:tcPr>
            <w:tcW w:w="6225" w:type="dxa"/>
            <w:tcBorders/>
            <w:shd w:fill="FFFFFF" w:val="clear"/>
            <w:vAlign w:val="center"/>
          </w:tcPr>
          <w:p>
            <w:pPr>
              <w:pStyle w:val="TableContents"/>
              <w:bidi w:val="0"/>
              <w:spacing w:before="0" w:after="283"/>
              <w:jc w:val="left"/>
              <w:rPr/>
            </w:pPr>
            <w:r>
              <w:rPr/>
              <w:t>Annualized net charge-offs as a percentage of average servicing portfolio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7.8%</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_________________________</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(1) All amounts and percentages are based on the principal amount scheduled to be paid on each automobile contract.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2026, and June 30, 2025, percentages represent three months ended June 30, 2026, and June 30, 2025, annualized. December 31, 2025, represents 12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we will grant obligors one-month payment extensions to assist them with temporary cash flow problems. In general, an obligor will not be permitted more than two such extensions in any 12-month period and no more than eight over the life of the contract. The only modification of terms is to advance the obligor’s next due date, generally by one month, though in some cases we may permit a longer extension, and in any case an advance in the maturity date corresponding to the advance of the due date. There are no other concessions such as a reduction in interest rate, forgiveness of principal or of accrued interest. Accordingly, we consider such extensions to be insignificant delays in payments.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During 2020 we incorporated an algorithmic extension score card which provides our staff with an objective and quantitative assessment of whether or not a obligor is a good candidate for an extension, based on the current circumstances of the account. The extension score card was developed by our internal risk management team and is derived from the post-extension performance of accounts in our managed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receiving an extension, an account remains subject to our normal policies and procedures for interest accrual, reporting delinquency and recognizing charge-offs. We believe that a prudent extension program is an integral component to mitigating losses in our portfolio of sub-prime automobile receivables. The table below summarizes the status, as of June 30, 2026, for accounts that received extensions from 2014 through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2"/>
        <w:gridCol w:w="60"/>
        <w:gridCol w:w="86"/>
        <w:gridCol w:w="1159"/>
        <w:gridCol w:w="60"/>
        <w:gridCol w:w="60"/>
        <w:gridCol w:w="62"/>
        <w:gridCol w:w="712"/>
        <w:gridCol w:w="60"/>
        <w:gridCol w:w="60"/>
        <w:gridCol w:w="112"/>
        <w:gridCol w:w="829"/>
        <w:gridCol w:w="60"/>
        <w:gridCol w:w="60"/>
        <w:gridCol w:w="81"/>
        <w:gridCol w:w="923"/>
        <w:gridCol w:w="60"/>
        <w:gridCol w:w="60"/>
        <w:gridCol w:w="135"/>
        <w:gridCol w:w="991"/>
        <w:gridCol w:w="60"/>
        <w:gridCol w:w="60"/>
        <w:gridCol w:w="81"/>
        <w:gridCol w:w="925"/>
        <w:gridCol w:w="60"/>
        <w:gridCol w:w="60"/>
        <w:gridCol w:w="135"/>
        <w:gridCol w:w="993"/>
        <w:gridCol w:w="60"/>
        <w:gridCol w:w="60"/>
        <w:gridCol w:w="187"/>
        <w:gridCol w:w="818"/>
        <w:gridCol w:w="84"/>
      </w:tblGrid>
      <w:tr>
        <w:trPr/>
        <w:tc>
          <w:tcPr>
            <w:tcW w:w="992" w:type="dxa"/>
            <w:tcBorders>
              <w:bottom w:val="single" w:sz="8" w:space="0" w:color="000000"/>
            </w:tcBorders>
            <w:vAlign w:val="center"/>
          </w:tcPr>
          <w:p>
            <w:pPr>
              <w:pStyle w:val="TableContents"/>
              <w:bidi w:val="0"/>
              <w:spacing w:before="0" w:after="283"/>
              <w:jc w:val="center"/>
              <w:rPr/>
            </w:pPr>
            <w:r>
              <w:rPr/>
              <w:t>Period of Extension</w:t>
            </w:r>
          </w:p>
        </w:tc>
        <w:tc>
          <w:tcPr>
            <w:tcW w:w="60" w:type="dxa"/>
            <w:tcBorders/>
            <w:tcMar>
              <w:bottom w:w="0" w:type="dxa"/>
            </w:tcMar>
            <w:vAlign w:val="center"/>
          </w:tcPr>
          <w:p>
            <w:pPr>
              <w:pStyle w:val="TableContents"/>
              <w:bidi w:val="0"/>
              <w:spacing w:before="0" w:after="283"/>
              <w:jc w:val="left"/>
              <w:rPr/>
            </w:pPr>
            <w:r>
              <w:rPr/>
              <w:t> </w:t>
            </w:r>
          </w:p>
        </w:tc>
        <w:tc>
          <w:tcPr>
            <w:tcW w:w="1245" w:type="dxa"/>
            <w:gridSpan w:val="2"/>
            <w:tcBorders>
              <w:bottom w:val="single" w:sz="8" w:space="0" w:color="000000"/>
            </w:tcBorders>
            <w:vAlign w:val="center"/>
          </w:tcPr>
          <w:p>
            <w:pPr>
              <w:pStyle w:val="TableContents"/>
              <w:bidi w:val="0"/>
              <w:spacing w:before="0" w:after="283"/>
              <w:jc w:val="center"/>
              <w:rPr/>
            </w:pPr>
            <w:r>
              <w:rPr/>
              <w:t># Extensions Granted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4" w:type="dxa"/>
            <w:gridSpan w:val="2"/>
            <w:tcBorders>
              <w:bottom w:val="single" w:sz="8" w:space="0" w:color="000000"/>
            </w:tcBorders>
            <w:vAlign w:val="center"/>
          </w:tcPr>
          <w:p>
            <w:pPr>
              <w:pStyle w:val="TableContents"/>
              <w:bidi w:val="0"/>
              <w:spacing w:before="0" w:after="283"/>
              <w:jc w:val="center"/>
              <w:rPr/>
            </w:pPr>
            <w:r>
              <w:rPr/>
              <w:t>Active or Paid Off at 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1" w:type="dxa"/>
            <w:gridSpan w:val="2"/>
            <w:tcBorders>
              <w:bottom w:val="single" w:sz="8" w:space="0" w:color="000000"/>
            </w:tcBorders>
            <w:vAlign w:val="center"/>
          </w:tcPr>
          <w:p>
            <w:pPr>
              <w:pStyle w:val="TableContents"/>
              <w:bidi w:val="0"/>
              <w:spacing w:before="0" w:after="283"/>
              <w:jc w:val="center"/>
              <w:rPr/>
            </w:pPr>
            <w:r>
              <w:rPr/>
              <w:t>% Active or Paid Off at 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4" w:type="dxa"/>
            <w:gridSpan w:val="2"/>
            <w:tcBorders>
              <w:bottom w:val="single" w:sz="8" w:space="0" w:color="000000"/>
            </w:tcBorders>
            <w:vAlign w:val="center"/>
          </w:tcPr>
          <w:p>
            <w:pPr>
              <w:pStyle w:val="TableContents"/>
              <w:bidi w:val="0"/>
              <w:spacing w:before="0" w:after="283"/>
              <w:jc w:val="center"/>
              <w:rPr/>
            </w:pPr>
            <w:r>
              <w:rPr/>
              <w:t>Charged Off &gt; 6 Months After Extension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6" w:type="dxa"/>
            <w:gridSpan w:val="2"/>
            <w:tcBorders>
              <w:bottom w:val="single" w:sz="8" w:space="0" w:color="000000"/>
            </w:tcBorders>
            <w:vAlign w:val="center"/>
          </w:tcPr>
          <w:p>
            <w:pPr>
              <w:pStyle w:val="TableContents"/>
              <w:bidi w:val="0"/>
              <w:spacing w:before="0" w:after="283"/>
              <w:jc w:val="center"/>
              <w:rPr/>
            </w:pPr>
            <w:r>
              <w:rPr/>
              <w:t>% Charged Off &gt; 6 Months After Extension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6" w:type="dxa"/>
            <w:gridSpan w:val="2"/>
            <w:tcBorders>
              <w:bottom w:val="single" w:sz="8" w:space="0" w:color="000000"/>
            </w:tcBorders>
            <w:vAlign w:val="center"/>
          </w:tcPr>
          <w:p>
            <w:pPr>
              <w:pStyle w:val="TableContents"/>
              <w:bidi w:val="0"/>
              <w:spacing w:before="0" w:after="283"/>
              <w:jc w:val="center"/>
              <w:rPr/>
            </w:pPr>
            <w:r>
              <w:rPr/>
              <w:t>Charged Off &lt;= 6 Months After Extension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8" w:type="dxa"/>
            <w:gridSpan w:val="2"/>
            <w:tcBorders>
              <w:bottom w:val="single" w:sz="8" w:space="0" w:color="000000"/>
            </w:tcBorders>
            <w:vAlign w:val="center"/>
          </w:tcPr>
          <w:p>
            <w:pPr>
              <w:pStyle w:val="TableContents"/>
              <w:bidi w:val="0"/>
              <w:spacing w:before="0" w:after="283"/>
              <w:jc w:val="center"/>
              <w:rPr/>
            </w:pPr>
            <w:r>
              <w:rPr/>
              <w:t>% Charged Off &lt;= 6 Months After Extension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5" w:type="dxa"/>
            <w:gridSpan w:val="2"/>
            <w:tcBorders>
              <w:bottom w:val="single" w:sz="8" w:space="0" w:color="000000"/>
            </w:tcBorders>
            <w:vAlign w:val="center"/>
          </w:tcPr>
          <w:p>
            <w:pPr>
              <w:pStyle w:val="TableContents"/>
              <w:bidi w:val="0"/>
              <w:spacing w:before="0" w:after="283"/>
              <w:jc w:val="center"/>
              <w:rPr/>
            </w:pPr>
            <w:r>
              <w:rPr/>
              <w:t>Avg Months to Charge Off Post Extension</w:t>
            </w:r>
          </w:p>
        </w:tc>
        <w:tc>
          <w:tcPr>
            <w:tcW w:w="84" w:type="dxa"/>
            <w:tcBorders/>
            <w:tcMar>
              <w:bottom w:w="0" w:type="dxa"/>
            </w:tcMar>
            <w:vAlign w:val="center"/>
          </w:tcPr>
          <w:p>
            <w:pPr>
              <w:pStyle w:val="TableContents"/>
              <w:bidi w:val="0"/>
              <w:spacing w:before="0" w:after="283"/>
              <w:jc w:val="left"/>
              <w:rPr/>
            </w:pPr>
            <w:r>
              <w:rPr/>
              <w:t> </w:t>
            </w:r>
          </w:p>
        </w:tc>
      </w:tr>
      <w:tr>
        <w:trPr/>
        <w:tc>
          <w:tcPr>
            <w:tcW w:w="99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1"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6"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6"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5" w:type="dxa"/>
            <w:gridSpan w:val="2"/>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r>
      <w:tr>
        <w:trPr/>
        <w:tc>
          <w:tcPr>
            <w:tcW w:w="992" w:type="dxa"/>
            <w:tcBorders/>
            <w:shd w:fill="EEEEEE" w:val="clear"/>
            <w:tcMar>
              <w:bottom w:w="0" w:type="dxa"/>
            </w:tcMar>
            <w:vAlign w:val="center"/>
          </w:tcPr>
          <w:p>
            <w:pPr>
              <w:pStyle w:val="TableContents"/>
              <w:bidi w:val="0"/>
              <w:spacing w:before="0" w:after="283"/>
              <w:jc w:val="center"/>
              <w:rPr/>
            </w:pPr>
            <w:r>
              <w:rPr/>
              <w:t>2014</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59" w:type="dxa"/>
            <w:tcBorders/>
            <w:shd w:fill="EEEEEE" w:val="clear"/>
            <w:tcMar>
              <w:bottom w:w="0" w:type="dxa"/>
            </w:tcMar>
            <w:vAlign w:val="center"/>
          </w:tcPr>
          <w:p>
            <w:pPr>
              <w:pStyle w:val="TableContents"/>
              <w:bidi w:val="0"/>
              <w:spacing w:before="0" w:after="283"/>
              <w:jc w:val="right"/>
              <w:rPr/>
            </w:pPr>
            <w:r>
              <w:rPr/>
              <w:t>25,773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2" w:type="dxa"/>
            <w:tcBorders/>
            <w:shd w:fill="EEEEEE" w:val="clear"/>
            <w:tcMar>
              <w:bottom w:w="0" w:type="dxa"/>
            </w:tcMar>
            <w:vAlign w:val="center"/>
          </w:tcPr>
          <w:p>
            <w:pPr>
              <w:pStyle w:val="TableContents"/>
              <w:bidi w:val="0"/>
              <w:spacing w:before="0" w:after="283"/>
              <w:jc w:val="left"/>
              <w:rPr/>
            </w:pPr>
            <w:r>
              <w:rPr/>
              <w:t> </w:t>
            </w:r>
          </w:p>
        </w:tc>
        <w:tc>
          <w:tcPr>
            <w:tcW w:w="712" w:type="dxa"/>
            <w:tcBorders/>
            <w:shd w:fill="EEEEEE" w:val="clear"/>
            <w:tcMar>
              <w:bottom w:w="0" w:type="dxa"/>
            </w:tcMar>
            <w:vAlign w:val="center"/>
          </w:tcPr>
          <w:p>
            <w:pPr>
              <w:pStyle w:val="TableContents"/>
              <w:bidi w:val="0"/>
              <w:spacing w:before="0" w:after="283"/>
              <w:jc w:val="right"/>
              <w:rPr/>
            </w:pPr>
            <w:r>
              <w:rPr/>
              <w:t>10,417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2" w:type="dxa"/>
            <w:tcBorders/>
            <w:shd w:fill="EEEEEE" w:val="clear"/>
            <w:tcMar>
              <w:bottom w:w="0" w:type="dxa"/>
            </w:tcMar>
            <w:vAlign w:val="center"/>
          </w:tcPr>
          <w:p>
            <w:pPr>
              <w:pStyle w:val="TableContents"/>
              <w:bidi w:val="0"/>
              <w:spacing w:before="0" w:after="283"/>
              <w:jc w:val="left"/>
              <w:rPr/>
            </w:pPr>
            <w:r>
              <w:rPr/>
              <w:t> </w:t>
            </w:r>
          </w:p>
        </w:tc>
        <w:tc>
          <w:tcPr>
            <w:tcW w:w="829" w:type="dxa"/>
            <w:tcBorders/>
            <w:shd w:fill="EEEEEE" w:val="clear"/>
            <w:tcMar>
              <w:bottom w:w="0" w:type="dxa"/>
            </w:tcMar>
            <w:vAlign w:val="center"/>
          </w:tcPr>
          <w:p>
            <w:pPr>
              <w:pStyle w:val="TableContents"/>
              <w:bidi w:val="0"/>
              <w:spacing w:before="0" w:after="283"/>
              <w:jc w:val="right"/>
              <w:rPr/>
            </w:pPr>
            <w:r>
              <w:rPr/>
              <w:t>40.4%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3" w:type="dxa"/>
            <w:tcBorders/>
            <w:shd w:fill="EEEEEE" w:val="clear"/>
            <w:tcMar>
              <w:bottom w:w="0" w:type="dxa"/>
            </w:tcMar>
            <w:vAlign w:val="center"/>
          </w:tcPr>
          <w:p>
            <w:pPr>
              <w:pStyle w:val="TableContents"/>
              <w:bidi w:val="0"/>
              <w:spacing w:before="0" w:after="283"/>
              <w:jc w:val="right"/>
              <w:rPr/>
            </w:pPr>
            <w:r>
              <w:rPr/>
              <w:t>14,486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1" w:type="dxa"/>
            <w:tcBorders/>
            <w:shd w:fill="EEEEEE" w:val="clear"/>
            <w:tcMar>
              <w:bottom w:w="0" w:type="dxa"/>
            </w:tcMar>
            <w:vAlign w:val="center"/>
          </w:tcPr>
          <w:p>
            <w:pPr>
              <w:pStyle w:val="TableContents"/>
              <w:bidi w:val="0"/>
              <w:spacing w:before="0" w:after="283"/>
              <w:jc w:val="right"/>
              <w:rPr/>
            </w:pPr>
            <w:r>
              <w:rPr/>
              <w:t>56.2%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5" w:type="dxa"/>
            <w:tcBorders/>
            <w:shd w:fill="EEEEEE" w:val="clear"/>
            <w:tcMar>
              <w:bottom w:w="0" w:type="dxa"/>
            </w:tcMar>
            <w:vAlign w:val="center"/>
          </w:tcPr>
          <w:p>
            <w:pPr>
              <w:pStyle w:val="TableContents"/>
              <w:bidi w:val="0"/>
              <w:spacing w:before="0" w:after="283"/>
              <w:jc w:val="right"/>
              <w:rPr/>
            </w:pPr>
            <w:r>
              <w:rPr/>
              <w:t>870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3" w:type="dxa"/>
            <w:tcBorders/>
            <w:shd w:fill="EEEEEE" w:val="clear"/>
            <w:tcMar>
              <w:bottom w:w="0" w:type="dxa"/>
            </w:tcMar>
            <w:vAlign w:val="center"/>
          </w:tcPr>
          <w:p>
            <w:pPr>
              <w:pStyle w:val="TableContents"/>
              <w:bidi w:val="0"/>
              <w:spacing w:before="0" w:after="283"/>
              <w:jc w:val="right"/>
              <w:rPr/>
            </w:pPr>
            <w:r>
              <w:rPr/>
              <w:t>3.4%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7" w:type="dxa"/>
            <w:tcBorders/>
            <w:shd w:fill="EEEEEE" w:val="clear"/>
            <w:tcMar>
              <w:bottom w:w="0" w:type="dxa"/>
            </w:tcMar>
            <w:vAlign w:val="center"/>
          </w:tcPr>
          <w:p>
            <w:pPr>
              <w:pStyle w:val="TableContents"/>
              <w:bidi w:val="0"/>
              <w:spacing w:before="0" w:after="283"/>
              <w:jc w:val="left"/>
              <w:rPr/>
            </w:pPr>
            <w:r>
              <w:rPr/>
              <w:t> </w:t>
            </w:r>
          </w:p>
        </w:tc>
        <w:tc>
          <w:tcPr>
            <w:tcW w:w="818" w:type="dxa"/>
            <w:tcBorders/>
            <w:shd w:fill="EEEEEE" w:val="clear"/>
            <w:tcMar>
              <w:bottom w:w="0" w:type="dxa"/>
            </w:tcMar>
            <w:vAlign w:val="center"/>
          </w:tcPr>
          <w:p>
            <w:pPr>
              <w:pStyle w:val="TableContents"/>
              <w:bidi w:val="0"/>
              <w:spacing w:before="0" w:after="283"/>
              <w:jc w:val="right"/>
              <w:rPr/>
            </w:pPr>
            <w:r>
              <w:rPr/>
              <w:t>25</w:t>
            </w:r>
          </w:p>
        </w:tc>
        <w:tc>
          <w:tcPr>
            <w:tcW w:w="84" w:type="dxa"/>
            <w:tcBorders/>
            <w:shd w:fill="EEEEEE" w:val="clear"/>
            <w:tcMar>
              <w:bottom w:w="0" w:type="dxa"/>
            </w:tcMar>
            <w:vAlign w:val="center"/>
          </w:tcPr>
          <w:p>
            <w:pPr>
              <w:pStyle w:val="TableContents"/>
              <w:bidi w:val="0"/>
              <w:spacing w:before="0" w:after="283"/>
              <w:jc w:val="left"/>
              <w:rPr/>
            </w:pPr>
            <w:r>
              <w:rPr/>
              <w:t> </w:t>
            </w:r>
          </w:p>
        </w:tc>
      </w:tr>
      <w:tr>
        <w:trPr/>
        <w:tc>
          <w:tcPr>
            <w:tcW w:w="992" w:type="dxa"/>
            <w:tcBorders/>
            <w:shd w:fill="FFFFFF" w:val="clear"/>
            <w:tcMar>
              <w:bottom w:w="0" w:type="dxa"/>
            </w:tcMar>
            <w:vAlign w:val="center"/>
          </w:tcPr>
          <w:p>
            <w:pPr>
              <w:pStyle w:val="TableContents"/>
              <w:bidi w:val="0"/>
              <w:spacing w:before="0" w:after="283"/>
              <w:jc w:val="center"/>
              <w:rPr/>
            </w:pPr>
            <w:r>
              <w:rPr/>
              <w:t>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59" w:type="dxa"/>
            <w:tcBorders/>
            <w:shd w:fill="FFFFFF" w:val="clear"/>
            <w:tcMar>
              <w:bottom w:w="0" w:type="dxa"/>
            </w:tcMar>
            <w:vAlign w:val="center"/>
          </w:tcPr>
          <w:p>
            <w:pPr>
              <w:pStyle w:val="TableContents"/>
              <w:bidi w:val="0"/>
              <w:spacing w:before="0" w:after="283"/>
              <w:jc w:val="right"/>
              <w:rPr/>
            </w:pPr>
            <w:r>
              <w:rPr/>
              <w:t>53,319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right"/>
              <w:rPr/>
            </w:pPr>
            <w:r>
              <w:rPr/>
              <w:t>21,929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829" w:type="dxa"/>
            <w:tcBorders/>
            <w:shd w:fill="FFFFFF" w:val="clear"/>
            <w:tcMar>
              <w:bottom w:w="0" w:type="dxa"/>
            </w:tcMar>
            <w:vAlign w:val="center"/>
          </w:tcPr>
          <w:p>
            <w:pPr>
              <w:pStyle w:val="TableContents"/>
              <w:bidi w:val="0"/>
              <w:spacing w:before="0" w:after="283"/>
              <w:jc w:val="right"/>
              <w:rPr/>
            </w:pPr>
            <w:r>
              <w:rPr/>
              <w:t>41.1%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30,059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56.4%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r>
              <w:rPr/>
              <w:t>1,331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818" w:type="dxa"/>
            <w:tcBorders/>
            <w:shd w:fill="FFFFFF" w:val="clear"/>
            <w:tcMar>
              <w:bottom w:w="0" w:type="dxa"/>
            </w:tcMar>
            <w:vAlign w:val="center"/>
          </w:tcPr>
          <w:p>
            <w:pPr>
              <w:pStyle w:val="TableContents"/>
              <w:bidi w:val="0"/>
              <w:spacing w:before="0" w:after="283"/>
              <w:jc w:val="right"/>
              <w:rPr/>
            </w:pPr>
            <w:r>
              <w:rPr/>
              <w:t>26</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992" w:type="dxa"/>
            <w:tcBorders/>
            <w:shd w:fill="EEEEEE" w:val="clear"/>
            <w:tcMar>
              <w:bottom w:w="0" w:type="dxa"/>
            </w:tcMar>
            <w:vAlign w:val="center"/>
          </w:tcPr>
          <w:p>
            <w:pPr>
              <w:pStyle w:val="TableContents"/>
              <w:bidi w:val="0"/>
              <w:spacing w:before="0" w:after="283"/>
              <w:jc w:val="center"/>
              <w:rPr/>
            </w:pPr>
            <w:r>
              <w:rPr/>
              <w:t>2016</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59" w:type="dxa"/>
            <w:tcBorders/>
            <w:shd w:fill="EEEEEE" w:val="clear"/>
            <w:tcMar>
              <w:bottom w:w="0" w:type="dxa"/>
            </w:tcMar>
            <w:vAlign w:val="center"/>
          </w:tcPr>
          <w:p>
            <w:pPr>
              <w:pStyle w:val="TableContents"/>
              <w:bidi w:val="0"/>
              <w:spacing w:before="0" w:after="283"/>
              <w:jc w:val="right"/>
              <w:rPr/>
            </w:pPr>
            <w:r>
              <w:rPr/>
              <w:t>80,897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2" w:type="dxa"/>
            <w:tcBorders/>
            <w:shd w:fill="EEEEEE" w:val="clear"/>
            <w:tcMar>
              <w:bottom w:w="0" w:type="dxa"/>
            </w:tcMar>
            <w:vAlign w:val="center"/>
          </w:tcPr>
          <w:p>
            <w:pPr>
              <w:pStyle w:val="TableContents"/>
              <w:bidi w:val="0"/>
              <w:spacing w:before="0" w:after="283"/>
              <w:jc w:val="left"/>
              <w:rPr/>
            </w:pPr>
            <w:r>
              <w:rPr/>
              <w:t> </w:t>
            </w:r>
          </w:p>
        </w:tc>
        <w:tc>
          <w:tcPr>
            <w:tcW w:w="712" w:type="dxa"/>
            <w:tcBorders/>
            <w:shd w:fill="EEEEEE" w:val="clear"/>
            <w:tcMar>
              <w:bottom w:w="0" w:type="dxa"/>
            </w:tcMar>
            <w:vAlign w:val="center"/>
          </w:tcPr>
          <w:p>
            <w:pPr>
              <w:pStyle w:val="TableContents"/>
              <w:bidi w:val="0"/>
              <w:spacing w:before="0" w:after="283"/>
              <w:jc w:val="right"/>
              <w:rPr/>
            </w:pPr>
            <w:r>
              <w:rPr/>
              <w:t>34,901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2" w:type="dxa"/>
            <w:tcBorders/>
            <w:shd w:fill="EEEEEE" w:val="clear"/>
            <w:tcMar>
              <w:bottom w:w="0" w:type="dxa"/>
            </w:tcMar>
            <w:vAlign w:val="center"/>
          </w:tcPr>
          <w:p>
            <w:pPr>
              <w:pStyle w:val="TableContents"/>
              <w:bidi w:val="0"/>
              <w:spacing w:before="0" w:after="283"/>
              <w:jc w:val="left"/>
              <w:rPr/>
            </w:pPr>
            <w:r>
              <w:rPr/>
              <w:t> </w:t>
            </w:r>
          </w:p>
        </w:tc>
        <w:tc>
          <w:tcPr>
            <w:tcW w:w="829" w:type="dxa"/>
            <w:tcBorders/>
            <w:shd w:fill="EEEEEE" w:val="clear"/>
            <w:tcMar>
              <w:bottom w:w="0" w:type="dxa"/>
            </w:tcMar>
            <w:vAlign w:val="center"/>
          </w:tcPr>
          <w:p>
            <w:pPr>
              <w:pStyle w:val="TableContents"/>
              <w:bidi w:val="0"/>
              <w:spacing w:before="0" w:after="283"/>
              <w:jc w:val="right"/>
              <w:rPr/>
            </w:pPr>
            <w:r>
              <w:rPr/>
              <w:t>43.1%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3" w:type="dxa"/>
            <w:tcBorders/>
            <w:shd w:fill="EEEEEE" w:val="clear"/>
            <w:tcMar>
              <w:bottom w:w="0" w:type="dxa"/>
            </w:tcMar>
            <w:vAlign w:val="center"/>
          </w:tcPr>
          <w:p>
            <w:pPr>
              <w:pStyle w:val="TableContents"/>
              <w:bidi w:val="0"/>
              <w:spacing w:before="0" w:after="283"/>
              <w:jc w:val="right"/>
              <w:rPr/>
            </w:pPr>
            <w:r>
              <w:rPr/>
              <w:t>43,019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1" w:type="dxa"/>
            <w:tcBorders/>
            <w:shd w:fill="EEEEEE" w:val="clear"/>
            <w:tcMar>
              <w:bottom w:w="0" w:type="dxa"/>
            </w:tcMar>
            <w:vAlign w:val="center"/>
          </w:tcPr>
          <w:p>
            <w:pPr>
              <w:pStyle w:val="TableContents"/>
              <w:bidi w:val="0"/>
              <w:spacing w:before="0" w:after="283"/>
              <w:jc w:val="right"/>
              <w:rPr/>
            </w:pPr>
            <w:r>
              <w:rPr/>
              <w:t>53.2%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5" w:type="dxa"/>
            <w:tcBorders/>
            <w:shd w:fill="EEEEEE" w:val="clear"/>
            <w:tcMar>
              <w:bottom w:w="0" w:type="dxa"/>
            </w:tcMar>
            <w:vAlign w:val="center"/>
          </w:tcPr>
          <w:p>
            <w:pPr>
              <w:pStyle w:val="TableContents"/>
              <w:bidi w:val="0"/>
              <w:spacing w:before="0" w:after="283"/>
              <w:jc w:val="right"/>
              <w:rPr/>
            </w:pPr>
            <w:r>
              <w:rPr/>
              <w:t>2,977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3" w:type="dxa"/>
            <w:tcBorders/>
            <w:shd w:fill="EEEEEE" w:val="clear"/>
            <w:tcMar>
              <w:bottom w:w="0" w:type="dxa"/>
            </w:tcMar>
            <w:vAlign w:val="center"/>
          </w:tcPr>
          <w:p>
            <w:pPr>
              <w:pStyle w:val="TableContents"/>
              <w:bidi w:val="0"/>
              <w:spacing w:before="0" w:after="283"/>
              <w:jc w:val="right"/>
              <w:rPr/>
            </w:pPr>
            <w:r>
              <w:rPr/>
              <w:t>3.7%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7" w:type="dxa"/>
            <w:tcBorders/>
            <w:shd w:fill="EEEEEE" w:val="clear"/>
            <w:tcMar>
              <w:bottom w:w="0" w:type="dxa"/>
            </w:tcMar>
            <w:vAlign w:val="center"/>
          </w:tcPr>
          <w:p>
            <w:pPr>
              <w:pStyle w:val="TableContents"/>
              <w:bidi w:val="0"/>
              <w:spacing w:before="0" w:after="283"/>
              <w:jc w:val="left"/>
              <w:rPr/>
            </w:pPr>
            <w:r>
              <w:rPr/>
              <w:t> </w:t>
            </w:r>
          </w:p>
        </w:tc>
        <w:tc>
          <w:tcPr>
            <w:tcW w:w="818" w:type="dxa"/>
            <w:tcBorders/>
            <w:shd w:fill="EEEEEE" w:val="clear"/>
            <w:tcMar>
              <w:bottom w:w="0" w:type="dxa"/>
            </w:tcMar>
            <w:vAlign w:val="center"/>
          </w:tcPr>
          <w:p>
            <w:pPr>
              <w:pStyle w:val="TableContents"/>
              <w:bidi w:val="0"/>
              <w:spacing w:before="0" w:after="283"/>
              <w:jc w:val="right"/>
              <w:rPr/>
            </w:pPr>
            <w:r>
              <w:rPr/>
              <w:t>26</w:t>
            </w:r>
          </w:p>
        </w:tc>
        <w:tc>
          <w:tcPr>
            <w:tcW w:w="84" w:type="dxa"/>
            <w:tcBorders/>
            <w:shd w:fill="EEEEEE" w:val="clear"/>
            <w:tcMar>
              <w:bottom w:w="0" w:type="dxa"/>
            </w:tcMar>
            <w:vAlign w:val="center"/>
          </w:tcPr>
          <w:p>
            <w:pPr>
              <w:pStyle w:val="TableContents"/>
              <w:bidi w:val="0"/>
              <w:spacing w:before="0" w:after="283"/>
              <w:jc w:val="left"/>
              <w:rPr/>
            </w:pPr>
            <w:r>
              <w:rPr/>
              <w:t> </w:t>
            </w:r>
          </w:p>
        </w:tc>
      </w:tr>
      <w:tr>
        <w:trPr/>
        <w:tc>
          <w:tcPr>
            <w:tcW w:w="992" w:type="dxa"/>
            <w:tcBorders/>
            <w:shd w:fill="FFFFFF" w:val="clear"/>
            <w:tcMar>
              <w:bottom w:w="0" w:type="dxa"/>
            </w:tcMar>
            <w:vAlign w:val="center"/>
          </w:tcPr>
          <w:p>
            <w:pPr>
              <w:pStyle w:val="TableContents"/>
              <w:bidi w:val="0"/>
              <w:spacing w:before="0" w:after="283"/>
              <w:jc w:val="center"/>
              <w:rPr/>
            </w:pPr>
            <w:r>
              <w:rPr/>
              <w:t>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59" w:type="dxa"/>
            <w:tcBorders/>
            <w:shd w:fill="FFFFFF" w:val="clear"/>
            <w:tcMar>
              <w:bottom w:w="0" w:type="dxa"/>
            </w:tcMar>
            <w:vAlign w:val="center"/>
          </w:tcPr>
          <w:p>
            <w:pPr>
              <w:pStyle w:val="TableContents"/>
              <w:bidi w:val="0"/>
              <w:spacing w:before="0" w:after="283"/>
              <w:jc w:val="right"/>
              <w:rPr/>
            </w:pPr>
            <w:r>
              <w:rPr/>
              <w:t>133,847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right"/>
              <w:rPr/>
            </w:pPr>
            <w:r>
              <w:rPr/>
              <w:t>54,590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829" w:type="dxa"/>
            <w:tcBorders/>
            <w:shd w:fill="FFFFFF" w:val="clear"/>
            <w:tcMar>
              <w:bottom w:w="0" w:type="dxa"/>
            </w:tcMar>
            <w:vAlign w:val="center"/>
          </w:tcPr>
          <w:p>
            <w:pPr>
              <w:pStyle w:val="TableContents"/>
              <w:bidi w:val="0"/>
              <w:spacing w:before="0" w:after="283"/>
              <w:jc w:val="right"/>
              <w:rPr/>
            </w:pPr>
            <w:r>
              <w:rPr/>
              <w:t>40.8%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68,421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51.1%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r>
              <w:rPr/>
              <w:t>10,836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818" w:type="dxa"/>
            <w:tcBorders/>
            <w:shd w:fill="FFFFFF" w:val="clear"/>
            <w:tcMar>
              <w:bottom w:w="0" w:type="dxa"/>
            </w:tcMar>
            <w:vAlign w:val="center"/>
          </w:tcPr>
          <w:p>
            <w:pPr>
              <w:pStyle w:val="TableContents"/>
              <w:bidi w:val="0"/>
              <w:spacing w:before="0" w:after="283"/>
              <w:jc w:val="right"/>
              <w:rPr/>
            </w:pPr>
            <w:r>
              <w:rPr/>
              <w:t>23</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992" w:type="dxa"/>
            <w:tcBorders/>
            <w:shd w:fill="EEEEEE" w:val="clear"/>
            <w:tcMar>
              <w:bottom w:w="0" w:type="dxa"/>
            </w:tcMar>
            <w:vAlign w:val="center"/>
          </w:tcPr>
          <w:p>
            <w:pPr>
              <w:pStyle w:val="TableContents"/>
              <w:bidi w:val="0"/>
              <w:spacing w:before="0" w:after="283"/>
              <w:jc w:val="center"/>
              <w:rPr/>
            </w:pPr>
            <w:r>
              <w:rPr/>
              <w:t>2018</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59" w:type="dxa"/>
            <w:tcBorders/>
            <w:shd w:fill="EEEEEE" w:val="clear"/>
            <w:tcMar>
              <w:bottom w:w="0" w:type="dxa"/>
            </w:tcMar>
            <w:vAlign w:val="center"/>
          </w:tcPr>
          <w:p>
            <w:pPr>
              <w:pStyle w:val="TableContents"/>
              <w:bidi w:val="0"/>
              <w:spacing w:before="0" w:after="283"/>
              <w:jc w:val="right"/>
              <w:rPr/>
            </w:pPr>
            <w:r>
              <w:rPr/>
              <w:t>121,531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2" w:type="dxa"/>
            <w:tcBorders/>
            <w:shd w:fill="EEEEEE" w:val="clear"/>
            <w:tcMar>
              <w:bottom w:w="0" w:type="dxa"/>
            </w:tcMar>
            <w:vAlign w:val="center"/>
          </w:tcPr>
          <w:p>
            <w:pPr>
              <w:pStyle w:val="TableContents"/>
              <w:bidi w:val="0"/>
              <w:spacing w:before="0" w:after="283"/>
              <w:jc w:val="left"/>
              <w:rPr/>
            </w:pPr>
            <w:r>
              <w:rPr/>
              <w:t> </w:t>
            </w:r>
          </w:p>
        </w:tc>
        <w:tc>
          <w:tcPr>
            <w:tcW w:w="712" w:type="dxa"/>
            <w:tcBorders/>
            <w:shd w:fill="EEEEEE" w:val="clear"/>
            <w:tcMar>
              <w:bottom w:w="0" w:type="dxa"/>
            </w:tcMar>
            <w:vAlign w:val="center"/>
          </w:tcPr>
          <w:p>
            <w:pPr>
              <w:pStyle w:val="TableContents"/>
              <w:bidi w:val="0"/>
              <w:spacing w:before="0" w:after="283"/>
              <w:jc w:val="right"/>
              <w:rPr/>
            </w:pPr>
            <w:r>
              <w:rPr/>
              <w:t>55,516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2" w:type="dxa"/>
            <w:tcBorders/>
            <w:shd w:fill="EEEEEE" w:val="clear"/>
            <w:tcMar>
              <w:bottom w:w="0" w:type="dxa"/>
            </w:tcMar>
            <w:vAlign w:val="center"/>
          </w:tcPr>
          <w:p>
            <w:pPr>
              <w:pStyle w:val="TableContents"/>
              <w:bidi w:val="0"/>
              <w:spacing w:before="0" w:after="283"/>
              <w:jc w:val="left"/>
              <w:rPr/>
            </w:pPr>
            <w:r>
              <w:rPr/>
              <w:t> </w:t>
            </w:r>
          </w:p>
        </w:tc>
        <w:tc>
          <w:tcPr>
            <w:tcW w:w="829" w:type="dxa"/>
            <w:tcBorders/>
            <w:shd w:fill="EEEEEE" w:val="clear"/>
            <w:tcMar>
              <w:bottom w:w="0" w:type="dxa"/>
            </w:tcMar>
            <w:vAlign w:val="center"/>
          </w:tcPr>
          <w:p>
            <w:pPr>
              <w:pStyle w:val="TableContents"/>
              <w:bidi w:val="0"/>
              <w:spacing w:before="0" w:after="283"/>
              <w:jc w:val="right"/>
              <w:rPr/>
            </w:pPr>
            <w:r>
              <w:rPr/>
              <w:t>45.7%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3" w:type="dxa"/>
            <w:tcBorders/>
            <w:shd w:fill="EEEEEE" w:val="clear"/>
            <w:tcMar>
              <w:bottom w:w="0" w:type="dxa"/>
            </w:tcMar>
            <w:vAlign w:val="center"/>
          </w:tcPr>
          <w:p>
            <w:pPr>
              <w:pStyle w:val="TableContents"/>
              <w:bidi w:val="0"/>
              <w:spacing w:before="0" w:after="283"/>
              <w:jc w:val="right"/>
              <w:rPr/>
            </w:pPr>
            <w:r>
              <w:rPr/>
              <w:t>53,841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1" w:type="dxa"/>
            <w:tcBorders/>
            <w:shd w:fill="EEEEEE" w:val="clear"/>
            <w:tcMar>
              <w:bottom w:w="0" w:type="dxa"/>
            </w:tcMar>
            <w:vAlign w:val="center"/>
          </w:tcPr>
          <w:p>
            <w:pPr>
              <w:pStyle w:val="TableContents"/>
              <w:bidi w:val="0"/>
              <w:spacing w:before="0" w:after="283"/>
              <w:jc w:val="right"/>
              <w:rPr/>
            </w:pPr>
            <w:r>
              <w:rPr/>
              <w:t>44.3%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5" w:type="dxa"/>
            <w:tcBorders/>
            <w:shd w:fill="EEEEEE" w:val="clear"/>
            <w:tcMar>
              <w:bottom w:w="0" w:type="dxa"/>
            </w:tcMar>
            <w:vAlign w:val="center"/>
          </w:tcPr>
          <w:p>
            <w:pPr>
              <w:pStyle w:val="TableContents"/>
              <w:bidi w:val="0"/>
              <w:spacing w:before="0" w:after="283"/>
              <w:jc w:val="right"/>
              <w:rPr/>
            </w:pPr>
            <w:r>
              <w:rPr/>
              <w:t>12,174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3" w:type="dxa"/>
            <w:tcBorders/>
            <w:shd w:fill="EEEEEE" w:val="clear"/>
            <w:tcMar>
              <w:bottom w:w="0" w:type="dxa"/>
            </w:tcMar>
            <w:vAlign w:val="center"/>
          </w:tcPr>
          <w:p>
            <w:pPr>
              <w:pStyle w:val="TableContents"/>
              <w:bidi w:val="0"/>
              <w:spacing w:before="0" w:after="283"/>
              <w:jc w:val="right"/>
              <w:rPr/>
            </w:pPr>
            <w:r>
              <w:rPr/>
              <w:t>10.0%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7" w:type="dxa"/>
            <w:tcBorders/>
            <w:shd w:fill="EEEEEE" w:val="clear"/>
            <w:tcMar>
              <w:bottom w:w="0" w:type="dxa"/>
            </w:tcMar>
            <w:vAlign w:val="center"/>
          </w:tcPr>
          <w:p>
            <w:pPr>
              <w:pStyle w:val="TableContents"/>
              <w:bidi w:val="0"/>
              <w:spacing w:before="0" w:after="283"/>
              <w:jc w:val="left"/>
              <w:rPr/>
            </w:pPr>
            <w:r>
              <w:rPr/>
              <w:t> </w:t>
            </w:r>
          </w:p>
        </w:tc>
        <w:tc>
          <w:tcPr>
            <w:tcW w:w="818" w:type="dxa"/>
            <w:tcBorders/>
            <w:shd w:fill="EEEEEE" w:val="clear"/>
            <w:tcMar>
              <w:bottom w:w="0" w:type="dxa"/>
            </w:tcMar>
            <w:vAlign w:val="center"/>
          </w:tcPr>
          <w:p>
            <w:pPr>
              <w:pStyle w:val="TableContents"/>
              <w:bidi w:val="0"/>
              <w:spacing w:before="0" w:after="283"/>
              <w:jc w:val="right"/>
              <w:rPr/>
            </w:pPr>
            <w:r>
              <w:rPr/>
              <w:t>21</w:t>
            </w:r>
          </w:p>
        </w:tc>
        <w:tc>
          <w:tcPr>
            <w:tcW w:w="84" w:type="dxa"/>
            <w:tcBorders/>
            <w:shd w:fill="EEEEEE" w:val="clear"/>
            <w:tcMar>
              <w:bottom w:w="0" w:type="dxa"/>
            </w:tcMar>
            <w:vAlign w:val="center"/>
          </w:tcPr>
          <w:p>
            <w:pPr>
              <w:pStyle w:val="TableContents"/>
              <w:bidi w:val="0"/>
              <w:spacing w:before="0" w:after="283"/>
              <w:jc w:val="left"/>
              <w:rPr/>
            </w:pPr>
            <w:r>
              <w:rPr/>
              <w:t> </w:t>
            </w:r>
          </w:p>
        </w:tc>
      </w:tr>
      <w:tr>
        <w:trPr/>
        <w:tc>
          <w:tcPr>
            <w:tcW w:w="992" w:type="dxa"/>
            <w:tcBorders/>
            <w:shd w:fill="FFFFFF" w:val="clear"/>
            <w:tcMar>
              <w:bottom w:w="0" w:type="dxa"/>
            </w:tcMar>
            <w:vAlign w:val="center"/>
          </w:tcPr>
          <w:p>
            <w:pPr>
              <w:pStyle w:val="TableContents"/>
              <w:bidi w:val="0"/>
              <w:spacing w:before="0" w:after="283"/>
              <w:jc w:val="center"/>
              <w:rPr/>
            </w:pPr>
            <w:r>
              <w:rPr/>
              <w:t>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59" w:type="dxa"/>
            <w:tcBorders/>
            <w:shd w:fill="FFFFFF" w:val="clear"/>
            <w:tcMar>
              <w:bottom w:w="0" w:type="dxa"/>
            </w:tcMar>
            <w:vAlign w:val="center"/>
          </w:tcPr>
          <w:p>
            <w:pPr>
              <w:pStyle w:val="TableContents"/>
              <w:bidi w:val="0"/>
              <w:spacing w:before="0" w:after="283"/>
              <w:jc w:val="right"/>
              <w:rPr/>
            </w:pPr>
            <w:r>
              <w:rPr/>
              <w:t>71,548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right"/>
              <w:rPr/>
            </w:pPr>
            <w:r>
              <w:rPr/>
              <w:t>40,338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829" w:type="dxa"/>
            <w:tcBorders/>
            <w:shd w:fill="FFFFFF" w:val="clear"/>
            <w:tcMar>
              <w:bottom w:w="0" w:type="dxa"/>
            </w:tcMar>
            <w:vAlign w:val="center"/>
          </w:tcPr>
          <w:p>
            <w:pPr>
              <w:pStyle w:val="TableContents"/>
              <w:bidi w:val="0"/>
              <w:spacing w:before="0" w:after="283"/>
              <w:jc w:val="right"/>
              <w:rPr/>
            </w:pPr>
            <w:r>
              <w:rPr/>
              <w:t>56.4%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23,304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32.6%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r>
              <w:rPr/>
              <w:t>7,906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11.0%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818" w:type="dxa"/>
            <w:tcBorders/>
            <w:shd w:fill="FFFFFF" w:val="clear"/>
            <w:tcMar>
              <w:bottom w:w="0" w:type="dxa"/>
            </w:tcMar>
            <w:vAlign w:val="center"/>
          </w:tcPr>
          <w:p>
            <w:pPr>
              <w:pStyle w:val="TableContents"/>
              <w:bidi w:val="0"/>
              <w:spacing w:before="0" w:after="283"/>
              <w:jc w:val="right"/>
              <w:rPr/>
            </w:pPr>
            <w:r>
              <w:rPr/>
              <w:t>20</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992" w:type="dxa"/>
            <w:tcBorders/>
            <w:shd w:fill="EEEEEE" w:val="clear"/>
            <w:tcMar>
              <w:bottom w:w="0" w:type="dxa"/>
            </w:tcMar>
            <w:vAlign w:val="center"/>
          </w:tcPr>
          <w:p>
            <w:pPr>
              <w:pStyle w:val="TableContents"/>
              <w:bidi w:val="0"/>
              <w:spacing w:before="0" w:after="283"/>
              <w:jc w:val="center"/>
              <w:rPr/>
            </w:pPr>
            <w:r>
              <w:rPr/>
              <w:t>2020</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59" w:type="dxa"/>
            <w:tcBorders/>
            <w:shd w:fill="EEEEEE" w:val="clear"/>
            <w:tcMar>
              <w:bottom w:w="0" w:type="dxa"/>
            </w:tcMar>
            <w:vAlign w:val="center"/>
          </w:tcPr>
          <w:p>
            <w:pPr>
              <w:pStyle w:val="TableContents"/>
              <w:bidi w:val="0"/>
              <w:spacing w:before="0" w:after="283"/>
              <w:jc w:val="right"/>
              <w:rPr/>
            </w:pPr>
            <w:r>
              <w:rPr/>
              <w:t>83,170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2" w:type="dxa"/>
            <w:tcBorders/>
            <w:shd w:fill="EEEEEE" w:val="clear"/>
            <w:tcMar>
              <w:bottom w:w="0" w:type="dxa"/>
            </w:tcMar>
            <w:vAlign w:val="center"/>
          </w:tcPr>
          <w:p>
            <w:pPr>
              <w:pStyle w:val="TableContents"/>
              <w:bidi w:val="0"/>
              <w:spacing w:before="0" w:after="283"/>
              <w:jc w:val="left"/>
              <w:rPr/>
            </w:pPr>
            <w:r>
              <w:rPr/>
              <w:t> </w:t>
            </w:r>
          </w:p>
        </w:tc>
        <w:tc>
          <w:tcPr>
            <w:tcW w:w="712" w:type="dxa"/>
            <w:tcBorders/>
            <w:shd w:fill="EEEEEE" w:val="clear"/>
            <w:tcMar>
              <w:bottom w:w="0" w:type="dxa"/>
            </w:tcMar>
            <w:vAlign w:val="center"/>
          </w:tcPr>
          <w:p>
            <w:pPr>
              <w:pStyle w:val="TableContents"/>
              <w:bidi w:val="0"/>
              <w:spacing w:before="0" w:after="283"/>
              <w:jc w:val="right"/>
              <w:rPr/>
            </w:pPr>
            <w:r>
              <w:rPr/>
              <w:t>53,527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2" w:type="dxa"/>
            <w:tcBorders/>
            <w:shd w:fill="EEEEEE" w:val="clear"/>
            <w:tcMar>
              <w:bottom w:w="0" w:type="dxa"/>
            </w:tcMar>
            <w:vAlign w:val="center"/>
          </w:tcPr>
          <w:p>
            <w:pPr>
              <w:pStyle w:val="TableContents"/>
              <w:bidi w:val="0"/>
              <w:spacing w:before="0" w:after="283"/>
              <w:jc w:val="left"/>
              <w:rPr/>
            </w:pPr>
            <w:r>
              <w:rPr/>
              <w:t> </w:t>
            </w:r>
          </w:p>
        </w:tc>
        <w:tc>
          <w:tcPr>
            <w:tcW w:w="829" w:type="dxa"/>
            <w:tcBorders/>
            <w:shd w:fill="EEEEEE" w:val="clear"/>
            <w:tcMar>
              <w:bottom w:w="0" w:type="dxa"/>
            </w:tcMar>
            <w:vAlign w:val="center"/>
          </w:tcPr>
          <w:p>
            <w:pPr>
              <w:pStyle w:val="TableContents"/>
              <w:bidi w:val="0"/>
              <w:spacing w:before="0" w:after="283"/>
              <w:jc w:val="right"/>
              <w:rPr/>
            </w:pPr>
            <w:r>
              <w:rPr/>
              <w:t>64.4%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3" w:type="dxa"/>
            <w:tcBorders/>
            <w:shd w:fill="EEEEEE" w:val="clear"/>
            <w:tcMar>
              <w:bottom w:w="0" w:type="dxa"/>
            </w:tcMar>
            <w:vAlign w:val="center"/>
          </w:tcPr>
          <w:p>
            <w:pPr>
              <w:pStyle w:val="TableContents"/>
              <w:bidi w:val="0"/>
              <w:spacing w:before="0" w:after="283"/>
              <w:jc w:val="right"/>
              <w:rPr/>
            </w:pPr>
            <w:r>
              <w:rPr/>
              <w:t>25,393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1" w:type="dxa"/>
            <w:tcBorders/>
            <w:shd w:fill="EEEEEE" w:val="clear"/>
            <w:tcMar>
              <w:bottom w:w="0" w:type="dxa"/>
            </w:tcMar>
            <w:vAlign w:val="center"/>
          </w:tcPr>
          <w:p>
            <w:pPr>
              <w:pStyle w:val="TableContents"/>
              <w:bidi w:val="0"/>
              <w:spacing w:before="0" w:after="283"/>
              <w:jc w:val="right"/>
              <w:rPr/>
            </w:pPr>
            <w:r>
              <w:rPr/>
              <w:t>30.5%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5" w:type="dxa"/>
            <w:tcBorders/>
            <w:shd w:fill="EEEEEE" w:val="clear"/>
            <w:tcMar>
              <w:bottom w:w="0" w:type="dxa"/>
            </w:tcMar>
            <w:vAlign w:val="center"/>
          </w:tcPr>
          <w:p>
            <w:pPr>
              <w:pStyle w:val="TableContents"/>
              <w:bidi w:val="0"/>
              <w:spacing w:before="0" w:after="283"/>
              <w:jc w:val="right"/>
              <w:rPr/>
            </w:pPr>
            <w:r>
              <w:rPr/>
              <w:t>4,250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3" w:type="dxa"/>
            <w:tcBorders/>
            <w:shd w:fill="EEEEEE" w:val="clear"/>
            <w:tcMar>
              <w:bottom w:w="0" w:type="dxa"/>
            </w:tcMar>
            <w:vAlign w:val="center"/>
          </w:tcPr>
          <w:p>
            <w:pPr>
              <w:pStyle w:val="TableContents"/>
              <w:bidi w:val="0"/>
              <w:spacing w:before="0" w:after="283"/>
              <w:jc w:val="right"/>
              <w:rPr/>
            </w:pPr>
            <w:r>
              <w:rPr/>
              <w:t>5.1%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7" w:type="dxa"/>
            <w:tcBorders/>
            <w:shd w:fill="EEEEEE" w:val="clear"/>
            <w:tcMar>
              <w:bottom w:w="0" w:type="dxa"/>
            </w:tcMar>
            <w:vAlign w:val="center"/>
          </w:tcPr>
          <w:p>
            <w:pPr>
              <w:pStyle w:val="TableContents"/>
              <w:bidi w:val="0"/>
              <w:spacing w:before="0" w:after="283"/>
              <w:jc w:val="left"/>
              <w:rPr/>
            </w:pPr>
            <w:r>
              <w:rPr/>
              <w:t> </w:t>
            </w:r>
          </w:p>
        </w:tc>
        <w:tc>
          <w:tcPr>
            <w:tcW w:w="818" w:type="dxa"/>
            <w:tcBorders/>
            <w:shd w:fill="EEEEEE" w:val="clear"/>
            <w:tcMar>
              <w:bottom w:w="0" w:type="dxa"/>
            </w:tcMar>
            <w:vAlign w:val="center"/>
          </w:tcPr>
          <w:p>
            <w:pPr>
              <w:pStyle w:val="TableContents"/>
              <w:bidi w:val="0"/>
              <w:spacing w:before="0" w:after="283"/>
              <w:jc w:val="right"/>
              <w:rPr/>
            </w:pPr>
            <w:r>
              <w:rPr/>
              <w:t>24</w:t>
            </w:r>
          </w:p>
        </w:tc>
        <w:tc>
          <w:tcPr>
            <w:tcW w:w="84" w:type="dxa"/>
            <w:tcBorders/>
            <w:shd w:fill="EEEEEE" w:val="clear"/>
            <w:tcMar>
              <w:bottom w:w="0" w:type="dxa"/>
            </w:tcMar>
            <w:vAlign w:val="center"/>
          </w:tcPr>
          <w:p>
            <w:pPr>
              <w:pStyle w:val="TableContents"/>
              <w:bidi w:val="0"/>
              <w:spacing w:before="0" w:after="283"/>
              <w:jc w:val="left"/>
              <w:rPr/>
            </w:pPr>
            <w:r>
              <w:rPr/>
              <w:t> </w:t>
            </w:r>
          </w:p>
        </w:tc>
      </w:tr>
      <w:tr>
        <w:trPr/>
        <w:tc>
          <w:tcPr>
            <w:tcW w:w="992" w:type="dxa"/>
            <w:tcBorders/>
            <w:shd w:fill="FFFFFF" w:val="clear"/>
            <w:tcMar>
              <w:bottom w:w="0" w:type="dxa"/>
            </w:tcMar>
            <w:vAlign w:val="center"/>
          </w:tcPr>
          <w:p>
            <w:pPr>
              <w:pStyle w:val="TableContents"/>
              <w:bidi w:val="0"/>
              <w:spacing w:before="0" w:after="283"/>
              <w:jc w:val="center"/>
              <w:rPr/>
            </w:pPr>
            <w:r>
              <w:rPr/>
              <w:t>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59" w:type="dxa"/>
            <w:tcBorders/>
            <w:shd w:fill="FFFFFF" w:val="clear"/>
            <w:tcMar>
              <w:bottom w:w="0" w:type="dxa"/>
            </w:tcMar>
            <w:vAlign w:val="center"/>
          </w:tcPr>
          <w:p>
            <w:pPr>
              <w:pStyle w:val="TableContents"/>
              <w:bidi w:val="0"/>
              <w:spacing w:before="0" w:after="283"/>
              <w:jc w:val="right"/>
              <w:rPr/>
            </w:pPr>
            <w:r>
              <w:rPr/>
              <w:t>47,010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right"/>
              <w:rPr/>
            </w:pPr>
            <w:r>
              <w:rPr/>
              <w:t>31,024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829" w:type="dxa"/>
            <w:tcBorders/>
            <w:shd w:fill="FFFFFF" w:val="clear"/>
            <w:tcMar>
              <w:bottom w:w="0" w:type="dxa"/>
            </w:tcMar>
            <w:vAlign w:val="center"/>
          </w:tcPr>
          <w:p>
            <w:pPr>
              <w:pStyle w:val="TableContents"/>
              <w:bidi w:val="0"/>
              <w:spacing w:before="0" w:after="283"/>
              <w:jc w:val="right"/>
              <w:rPr/>
            </w:pPr>
            <w:r>
              <w:rPr/>
              <w:t>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14,750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31.4%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r>
              <w:rPr/>
              <w:t>1,236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818" w:type="dxa"/>
            <w:tcBorders/>
            <w:shd w:fill="FFFFFF" w:val="clear"/>
            <w:tcMar>
              <w:bottom w:w="0" w:type="dxa"/>
            </w:tcMar>
            <w:vAlign w:val="center"/>
          </w:tcPr>
          <w:p>
            <w:pPr>
              <w:pStyle w:val="TableContents"/>
              <w:bidi w:val="0"/>
              <w:spacing w:before="0" w:after="283"/>
              <w:jc w:val="right"/>
              <w:rPr/>
            </w:pPr>
            <w:r>
              <w:rPr/>
              <w:t>24</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992" w:type="dxa"/>
            <w:tcBorders/>
            <w:shd w:fill="EEEEEE" w:val="clear"/>
            <w:tcMar>
              <w:bottom w:w="0" w:type="dxa"/>
            </w:tcMar>
            <w:vAlign w:val="center"/>
          </w:tcPr>
          <w:p>
            <w:pPr>
              <w:pStyle w:val="TableContents"/>
              <w:bidi w:val="0"/>
              <w:spacing w:before="0" w:after="283"/>
              <w:jc w:val="center"/>
              <w:rPr/>
            </w:pPr>
            <w:r>
              <w:rPr/>
              <w:t>2022</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59" w:type="dxa"/>
            <w:tcBorders/>
            <w:shd w:fill="EEEEEE" w:val="clear"/>
            <w:tcMar>
              <w:bottom w:w="0" w:type="dxa"/>
            </w:tcMar>
            <w:vAlign w:val="center"/>
          </w:tcPr>
          <w:p>
            <w:pPr>
              <w:pStyle w:val="TableContents"/>
              <w:bidi w:val="0"/>
              <w:spacing w:before="0" w:after="283"/>
              <w:jc w:val="right"/>
              <w:rPr/>
            </w:pPr>
            <w:r>
              <w:rPr/>
              <w:t>56,142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2" w:type="dxa"/>
            <w:tcBorders/>
            <w:shd w:fill="EEEEEE" w:val="clear"/>
            <w:tcMar>
              <w:bottom w:w="0" w:type="dxa"/>
            </w:tcMar>
            <w:vAlign w:val="center"/>
          </w:tcPr>
          <w:p>
            <w:pPr>
              <w:pStyle w:val="TableContents"/>
              <w:bidi w:val="0"/>
              <w:spacing w:before="0" w:after="283"/>
              <w:jc w:val="left"/>
              <w:rPr/>
            </w:pPr>
            <w:r>
              <w:rPr/>
              <w:t> </w:t>
            </w:r>
          </w:p>
        </w:tc>
        <w:tc>
          <w:tcPr>
            <w:tcW w:w="712" w:type="dxa"/>
            <w:tcBorders/>
            <w:shd w:fill="EEEEEE" w:val="clear"/>
            <w:tcMar>
              <w:bottom w:w="0" w:type="dxa"/>
            </w:tcMar>
            <w:vAlign w:val="center"/>
          </w:tcPr>
          <w:p>
            <w:pPr>
              <w:pStyle w:val="TableContents"/>
              <w:bidi w:val="0"/>
              <w:spacing w:before="0" w:after="283"/>
              <w:jc w:val="right"/>
              <w:rPr/>
            </w:pPr>
            <w:r>
              <w:rPr/>
              <w:t>33,545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2" w:type="dxa"/>
            <w:tcBorders/>
            <w:shd w:fill="EEEEEE" w:val="clear"/>
            <w:tcMar>
              <w:bottom w:w="0" w:type="dxa"/>
            </w:tcMar>
            <w:vAlign w:val="center"/>
          </w:tcPr>
          <w:p>
            <w:pPr>
              <w:pStyle w:val="TableContents"/>
              <w:bidi w:val="0"/>
              <w:spacing w:before="0" w:after="283"/>
              <w:jc w:val="left"/>
              <w:rPr/>
            </w:pPr>
            <w:r>
              <w:rPr/>
              <w:t> </w:t>
            </w:r>
          </w:p>
        </w:tc>
        <w:tc>
          <w:tcPr>
            <w:tcW w:w="829" w:type="dxa"/>
            <w:tcBorders/>
            <w:shd w:fill="EEEEEE" w:val="clear"/>
            <w:tcMar>
              <w:bottom w:w="0" w:type="dxa"/>
            </w:tcMar>
            <w:vAlign w:val="center"/>
          </w:tcPr>
          <w:p>
            <w:pPr>
              <w:pStyle w:val="TableContents"/>
              <w:bidi w:val="0"/>
              <w:spacing w:before="0" w:after="283"/>
              <w:jc w:val="right"/>
              <w:rPr/>
            </w:pPr>
            <w:r>
              <w:rPr/>
              <w:t>59.8%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3" w:type="dxa"/>
            <w:tcBorders/>
            <w:shd w:fill="EEEEEE" w:val="clear"/>
            <w:tcMar>
              <w:bottom w:w="0" w:type="dxa"/>
            </w:tcMar>
            <w:vAlign w:val="center"/>
          </w:tcPr>
          <w:p>
            <w:pPr>
              <w:pStyle w:val="TableContents"/>
              <w:bidi w:val="0"/>
              <w:spacing w:before="0" w:after="283"/>
              <w:jc w:val="right"/>
              <w:rPr/>
            </w:pPr>
            <w:r>
              <w:rPr/>
              <w:t>20,643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1" w:type="dxa"/>
            <w:tcBorders/>
            <w:shd w:fill="EEEEEE" w:val="clear"/>
            <w:tcMar>
              <w:bottom w:w="0" w:type="dxa"/>
            </w:tcMar>
            <w:vAlign w:val="center"/>
          </w:tcPr>
          <w:p>
            <w:pPr>
              <w:pStyle w:val="TableContents"/>
              <w:bidi w:val="0"/>
              <w:spacing w:before="0" w:after="283"/>
              <w:jc w:val="right"/>
              <w:rPr/>
            </w:pPr>
            <w:r>
              <w:rPr/>
              <w:t>36.8%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5" w:type="dxa"/>
            <w:tcBorders/>
            <w:shd w:fill="EEEEEE" w:val="clear"/>
            <w:tcMar>
              <w:bottom w:w="0" w:type="dxa"/>
            </w:tcMar>
            <w:vAlign w:val="center"/>
          </w:tcPr>
          <w:p>
            <w:pPr>
              <w:pStyle w:val="TableContents"/>
              <w:bidi w:val="0"/>
              <w:spacing w:before="0" w:after="283"/>
              <w:jc w:val="right"/>
              <w:rPr/>
            </w:pPr>
            <w:r>
              <w:rPr/>
              <w:t>1,954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3" w:type="dxa"/>
            <w:tcBorders/>
            <w:shd w:fill="EEEEEE" w:val="clear"/>
            <w:tcMar>
              <w:bottom w:w="0" w:type="dxa"/>
            </w:tcMar>
            <w:vAlign w:val="center"/>
          </w:tcPr>
          <w:p>
            <w:pPr>
              <w:pStyle w:val="TableContents"/>
              <w:bidi w:val="0"/>
              <w:spacing w:before="0" w:after="283"/>
              <w:jc w:val="right"/>
              <w:rPr/>
            </w:pPr>
            <w:r>
              <w:rPr/>
              <w:t>3.5%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7" w:type="dxa"/>
            <w:tcBorders/>
            <w:shd w:fill="EEEEEE" w:val="clear"/>
            <w:tcMar>
              <w:bottom w:w="0" w:type="dxa"/>
            </w:tcMar>
            <w:vAlign w:val="center"/>
          </w:tcPr>
          <w:p>
            <w:pPr>
              <w:pStyle w:val="TableContents"/>
              <w:bidi w:val="0"/>
              <w:spacing w:before="0" w:after="283"/>
              <w:jc w:val="left"/>
              <w:rPr/>
            </w:pPr>
            <w:r>
              <w:rPr/>
              <w:t> </w:t>
            </w:r>
          </w:p>
        </w:tc>
        <w:tc>
          <w:tcPr>
            <w:tcW w:w="818" w:type="dxa"/>
            <w:tcBorders/>
            <w:shd w:fill="EEEEEE" w:val="clear"/>
            <w:tcMar>
              <w:bottom w:w="0" w:type="dxa"/>
            </w:tcMar>
            <w:vAlign w:val="center"/>
          </w:tcPr>
          <w:p>
            <w:pPr>
              <w:pStyle w:val="TableContents"/>
              <w:bidi w:val="0"/>
              <w:spacing w:before="0" w:after="283"/>
              <w:jc w:val="right"/>
              <w:rPr/>
            </w:pPr>
            <w:r>
              <w:rPr/>
              <w:t>21</w:t>
            </w:r>
          </w:p>
        </w:tc>
        <w:tc>
          <w:tcPr>
            <w:tcW w:w="84" w:type="dxa"/>
            <w:tcBorders/>
            <w:shd w:fill="EEEEEE" w:val="clear"/>
            <w:tcMar>
              <w:bottom w:w="0" w:type="dxa"/>
            </w:tcMar>
            <w:vAlign w:val="center"/>
          </w:tcPr>
          <w:p>
            <w:pPr>
              <w:pStyle w:val="TableContents"/>
              <w:bidi w:val="0"/>
              <w:spacing w:before="0" w:after="283"/>
              <w:jc w:val="left"/>
              <w:rPr/>
            </w:pPr>
            <w:r>
              <w:rPr/>
              <w:t> </w:t>
            </w:r>
          </w:p>
        </w:tc>
      </w:tr>
      <w:tr>
        <w:trPr/>
        <w:tc>
          <w:tcPr>
            <w:tcW w:w="992"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59" w:type="dxa"/>
            <w:tcBorders/>
            <w:shd w:fill="FFFFFF" w:val="clear"/>
            <w:tcMar>
              <w:bottom w:w="0" w:type="dxa"/>
            </w:tcMar>
            <w:vAlign w:val="center"/>
          </w:tcPr>
          <w:p>
            <w:pPr>
              <w:pStyle w:val="TableContents"/>
              <w:bidi w:val="0"/>
              <w:spacing w:before="0" w:after="283"/>
              <w:jc w:val="right"/>
              <w:rPr/>
            </w:pPr>
            <w:r>
              <w:rPr/>
              <w:t>83,113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right"/>
              <w:rPr/>
            </w:pPr>
            <w:r>
              <w:rPr/>
              <w:t>49,202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829" w:type="dxa"/>
            <w:tcBorders/>
            <w:shd w:fill="FFFFFF" w:val="clear"/>
            <w:tcMar>
              <w:bottom w:w="0" w:type="dxa"/>
            </w:tcMar>
            <w:vAlign w:val="center"/>
          </w:tcPr>
          <w:p>
            <w:pPr>
              <w:pStyle w:val="TableContents"/>
              <w:bidi w:val="0"/>
              <w:spacing w:before="0" w:after="283"/>
              <w:jc w:val="right"/>
              <w:rPr/>
            </w:pPr>
            <w:r>
              <w:rPr/>
              <w:t>59.2%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30,652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r>
              <w:rPr/>
              <w:t>3,259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818" w:type="dxa"/>
            <w:tcBorders/>
            <w:shd w:fill="FFFFFF" w:val="clear"/>
            <w:tcMar>
              <w:bottom w:w="0" w:type="dxa"/>
            </w:tcMar>
            <w:vAlign w:val="center"/>
          </w:tcPr>
          <w:p>
            <w:pPr>
              <w:pStyle w:val="TableContents"/>
              <w:bidi w:val="0"/>
              <w:spacing w:before="0" w:after="283"/>
              <w:jc w:val="right"/>
              <w:rPr/>
            </w:pPr>
            <w:r>
              <w:rPr/>
              <w:t>18</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992" w:type="dxa"/>
            <w:tcBorders/>
            <w:shd w:fill="EEEEEE" w:val="clear"/>
            <w:tcMar>
              <w:bottom w:w="0" w:type="dxa"/>
            </w:tcMar>
            <w:vAlign w:val="center"/>
          </w:tcPr>
          <w:p>
            <w:pPr>
              <w:pStyle w:val="TableContents"/>
              <w:bidi w:val="0"/>
              <w:spacing w:before="0" w:after="283"/>
              <w:jc w:val="center"/>
              <w:rPr/>
            </w:pPr>
            <w:r>
              <w:rPr/>
              <w:t>2024</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59" w:type="dxa"/>
            <w:tcBorders/>
            <w:shd w:fill="EEEEEE" w:val="clear"/>
            <w:tcMar>
              <w:bottom w:w="0" w:type="dxa"/>
            </w:tcMar>
            <w:vAlign w:val="center"/>
          </w:tcPr>
          <w:p>
            <w:pPr>
              <w:pStyle w:val="TableContents"/>
              <w:bidi w:val="0"/>
              <w:spacing w:before="0" w:after="283"/>
              <w:jc w:val="right"/>
              <w:rPr/>
            </w:pPr>
            <w:r>
              <w:rPr/>
              <w:t>90,484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2" w:type="dxa"/>
            <w:tcBorders/>
            <w:shd w:fill="EEEEEE" w:val="clear"/>
            <w:tcMar>
              <w:bottom w:w="0" w:type="dxa"/>
            </w:tcMar>
            <w:vAlign w:val="center"/>
          </w:tcPr>
          <w:p>
            <w:pPr>
              <w:pStyle w:val="TableContents"/>
              <w:bidi w:val="0"/>
              <w:spacing w:before="0" w:after="283"/>
              <w:jc w:val="left"/>
              <w:rPr/>
            </w:pPr>
            <w:r>
              <w:rPr/>
              <w:t> </w:t>
            </w:r>
          </w:p>
        </w:tc>
        <w:tc>
          <w:tcPr>
            <w:tcW w:w="712" w:type="dxa"/>
            <w:tcBorders/>
            <w:shd w:fill="EEEEEE" w:val="clear"/>
            <w:tcMar>
              <w:bottom w:w="0" w:type="dxa"/>
            </w:tcMar>
            <w:vAlign w:val="center"/>
          </w:tcPr>
          <w:p>
            <w:pPr>
              <w:pStyle w:val="TableContents"/>
              <w:bidi w:val="0"/>
              <w:spacing w:before="0" w:after="283"/>
              <w:jc w:val="right"/>
              <w:rPr/>
            </w:pPr>
            <w:r>
              <w:rPr/>
              <w:t>64,441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2" w:type="dxa"/>
            <w:tcBorders/>
            <w:shd w:fill="EEEEEE" w:val="clear"/>
            <w:tcMar>
              <w:bottom w:w="0" w:type="dxa"/>
            </w:tcMar>
            <w:vAlign w:val="center"/>
          </w:tcPr>
          <w:p>
            <w:pPr>
              <w:pStyle w:val="TableContents"/>
              <w:bidi w:val="0"/>
              <w:spacing w:before="0" w:after="283"/>
              <w:jc w:val="left"/>
              <w:rPr/>
            </w:pPr>
            <w:r>
              <w:rPr/>
              <w:t> </w:t>
            </w:r>
          </w:p>
        </w:tc>
        <w:tc>
          <w:tcPr>
            <w:tcW w:w="829" w:type="dxa"/>
            <w:tcBorders/>
            <w:shd w:fill="EEEEEE" w:val="clear"/>
            <w:tcMar>
              <w:bottom w:w="0" w:type="dxa"/>
            </w:tcMar>
            <w:vAlign w:val="center"/>
          </w:tcPr>
          <w:p>
            <w:pPr>
              <w:pStyle w:val="TableContents"/>
              <w:bidi w:val="0"/>
              <w:spacing w:before="0" w:after="283"/>
              <w:jc w:val="right"/>
              <w:rPr/>
            </w:pPr>
            <w:r>
              <w:rPr/>
              <w:t>71.2%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3" w:type="dxa"/>
            <w:tcBorders/>
            <w:shd w:fill="EEEEEE" w:val="clear"/>
            <w:tcMar>
              <w:bottom w:w="0" w:type="dxa"/>
            </w:tcMar>
            <w:vAlign w:val="center"/>
          </w:tcPr>
          <w:p>
            <w:pPr>
              <w:pStyle w:val="TableContents"/>
              <w:bidi w:val="0"/>
              <w:spacing w:before="0" w:after="283"/>
              <w:jc w:val="right"/>
              <w:rPr/>
            </w:pPr>
            <w:r>
              <w:rPr/>
              <w:t>23,402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1" w:type="dxa"/>
            <w:tcBorders/>
            <w:shd w:fill="EEEEEE" w:val="clear"/>
            <w:tcMar>
              <w:bottom w:w="0" w:type="dxa"/>
            </w:tcMar>
            <w:vAlign w:val="center"/>
          </w:tcPr>
          <w:p>
            <w:pPr>
              <w:pStyle w:val="TableContents"/>
              <w:bidi w:val="0"/>
              <w:spacing w:before="0" w:after="283"/>
              <w:jc w:val="right"/>
              <w:rPr/>
            </w:pPr>
            <w:r>
              <w:rPr/>
              <w:t>25.9%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925" w:type="dxa"/>
            <w:tcBorders/>
            <w:shd w:fill="EEEEEE" w:val="clear"/>
            <w:tcMar>
              <w:bottom w:w="0" w:type="dxa"/>
            </w:tcMar>
            <w:vAlign w:val="center"/>
          </w:tcPr>
          <w:p>
            <w:pPr>
              <w:pStyle w:val="TableContents"/>
              <w:bidi w:val="0"/>
              <w:spacing w:before="0" w:after="283"/>
              <w:jc w:val="right"/>
              <w:rPr/>
            </w:pPr>
            <w:r>
              <w:rPr/>
              <w:t>2,641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5" w:type="dxa"/>
            <w:tcBorders/>
            <w:shd w:fill="EEEEEE" w:val="clear"/>
            <w:tcMar>
              <w:bottom w:w="0" w:type="dxa"/>
            </w:tcMar>
            <w:vAlign w:val="center"/>
          </w:tcPr>
          <w:p>
            <w:pPr>
              <w:pStyle w:val="TableContents"/>
              <w:bidi w:val="0"/>
              <w:spacing w:before="0" w:after="283"/>
              <w:jc w:val="left"/>
              <w:rPr/>
            </w:pPr>
            <w:r>
              <w:rPr/>
              <w:t> </w:t>
            </w:r>
          </w:p>
        </w:tc>
        <w:tc>
          <w:tcPr>
            <w:tcW w:w="993" w:type="dxa"/>
            <w:tcBorders/>
            <w:shd w:fill="EEEEEE" w:val="clear"/>
            <w:tcMar>
              <w:bottom w:w="0" w:type="dxa"/>
            </w:tcMar>
            <w:vAlign w:val="center"/>
          </w:tcPr>
          <w:p>
            <w:pPr>
              <w:pStyle w:val="TableContents"/>
              <w:bidi w:val="0"/>
              <w:spacing w:before="0" w:after="283"/>
              <w:jc w:val="right"/>
              <w:rPr/>
            </w:pPr>
            <w:r>
              <w:rPr/>
              <w:t>2.9%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7" w:type="dxa"/>
            <w:tcBorders/>
            <w:shd w:fill="EEEEEE" w:val="clear"/>
            <w:tcMar>
              <w:bottom w:w="0" w:type="dxa"/>
            </w:tcMar>
            <w:vAlign w:val="center"/>
          </w:tcPr>
          <w:p>
            <w:pPr>
              <w:pStyle w:val="TableContents"/>
              <w:bidi w:val="0"/>
              <w:spacing w:before="0" w:after="283"/>
              <w:jc w:val="left"/>
              <w:rPr/>
            </w:pPr>
            <w:r>
              <w:rPr/>
              <w:t> </w:t>
            </w:r>
          </w:p>
        </w:tc>
        <w:tc>
          <w:tcPr>
            <w:tcW w:w="818" w:type="dxa"/>
            <w:tcBorders/>
            <w:shd w:fill="EEEEEE" w:val="clear"/>
            <w:tcMar>
              <w:bottom w:w="0" w:type="dxa"/>
            </w:tcMar>
            <w:vAlign w:val="center"/>
          </w:tcPr>
          <w:p>
            <w:pPr>
              <w:pStyle w:val="TableContents"/>
              <w:bidi w:val="0"/>
              <w:spacing w:before="0" w:after="283"/>
              <w:jc w:val="right"/>
              <w:rPr/>
            </w:pPr>
            <w:r>
              <w:rPr/>
              <w:t>14</w:t>
            </w:r>
          </w:p>
        </w:tc>
        <w:tc>
          <w:tcPr>
            <w:tcW w:w="84" w:type="dxa"/>
            <w:tcBorders/>
            <w:shd w:fill="EEEEEE" w:val="clear"/>
            <w:tcMar>
              <w:bottom w:w="0" w:type="dxa"/>
            </w:tcMar>
            <w:vAlign w:val="center"/>
          </w:tcPr>
          <w:p>
            <w:pPr>
              <w:pStyle w:val="TableContents"/>
              <w:bidi w:val="0"/>
              <w:spacing w:before="0" w:after="283"/>
              <w:jc w:val="left"/>
              <w:rPr/>
            </w:pPr>
            <w:r>
              <w:rPr/>
              <w:t> </w:t>
            </w:r>
          </w:p>
        </w:tc>
      </w:tr>
      <w:tr>
        <w:trPr/>
        <w:tc>
          <w:tcPr>
            <w:tcW w:w="992"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59" w:type="dxa"/>
            <w:tcBorders/>
            <w:shd w:fill="FFFFFF" w:val="clear"/>
            <w:tcMar>
              <w:bottom w:w="0" w:type="dxa"/>
            </w:tcMar>
            <w:vAlign w:val="center"/>
          </w:tcPr>
          <w:p>
            <w:pPr>
              <w:pStyle w:val="TableContents"/>
              <w:bidi w:val="0"/>
              <w:spacing w:before="0" w:after="283"/>
              <w:jc w:val="right"/>
              <w:rPr/>
            </w:pPr>
            <w:r>
              <w:rPr/>
              <w:t>110,200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right"/>
              <w:rPr/>
            </w:pPr>
            <w:r>
              <w:rPr/>
              <w:t>97,485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829" w:type="dxa"/>
            <w:tcBorders/>
            <w:shd w:fill="FFFFFF" w:val="clear"/>
            <w:tcMar>
              <w:bottom w:w="0" w:type="dxa"/>
            </w:tcMar>
            <w:vAlign w:val="center"/>
          </w:tcPr>
          <w:p>
            <w:pPr>
              <w:pStyle w:val="TableContents"/>
              <w:bidi w:val="0"/>
              <w:spacing w:before="0" w:after="283"/>
              <w:jc w:val="right"/>
              <w:rPr/>
            </w:pPr>
            <w:r>
              <w:rPr/>
              <w:t>88.5%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8,939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r>
              <w:rPr/>
              <w:t>3,776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818" w:type="dxa"/>
            <w:tcBorders/>
            <w:shd w:fill="FFFFFF" w:val="clear"/>
            <w:tcMar>
              <w:bottom w:w="0" w:type="dxa"/>
            </w:tcMar>
            <w:vAlign w:val="center"/>
          </w:tcPr>
          <w:p>
            <w:pPr>
              <w:pStyle w:val="TableContents"/>
              <w:bidi w:val="0"/>
              <w:spacing w:before="0" w:after="283"/>
              <w:jc w:val="right"/>
              <w:rPr/>
            </w:pPr>
            <w:r>
              <w:rPr/>
              <w:t>8</w:t>
            </w:r>
          </w:p>
        </w:tc>
        <w:tc>
          <w:tcPr>
            <w:tcW w:w="8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0"/>
        </w:rPr>
      </w:pPr>
      <w:r>
        <w:rPr>
          <w:sz w:val="20"/>
        </w:rPr>
        <w:t>______________________</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Table excludes extensions on portfolios serviced for third parties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these results as a confirmation of the effectiveness of our extension program. We consider accounts that have had extensions and were active or paid off as of June 30, 2026, to be successful. Successful extensions result in continued payments of interest and principal (including payment in full in many cases). Without extension, however, the account may have defaulted, and we would have likely incurred a substantial loss and no additional interest revenue.</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extension accounts that ultimately charged off, we consider accounts that charged off more than six months after the extension to be at least partially successful. In such cases, despite the ultimate loss, we received additional payments of principal and interest that otherwise we would not have received.</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our extensions is provided in the tables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5"/>
        <w:gridCol w:w="60"/>
        <w:gridCol w:w="137"/>
        <w:gridCol w:w="1835"/>
        <w:gridCol w:w="60"/>
        <w:gridCol w:w="60"/>
        <w:gridCol w:w="137"/>
        <w:gridCol w:w="1835"/>
        <w:gridCol w:w="60"/>
        <w:gridCol w:w="60"/>
        <w:gridCol w:w="136"/>
        <w:gridCol w:w="1831"/>
        <w:gridCol w:w="79"/>
      </w:tblGrid>
      <w:tr>
        <w:trPr/>
        <w:tc>
          <w:tcPr>
            <w:tcW w:w="3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pPr>
            <w:r>
              <w:rPr/>
              <w:t>Year Ended December 31,</w:t>
            </w:r>
          </w:p>
        </w:tc>
        <w:tc>
          <w:tcPr>
            <w:tcW w:w="79" w:type="dxa"/>
            <w:tcBorders/>
            <w:vAlign w:val="center"/>
          </w:tcPr>
          <w:p>
            <w:pPr>
              <w:pStyle w:val="TableContents"/>
              <w:bidi w:val="0"/>
              <w:spacing w:before="0" w:after="283"/>
              <w:jc w:val="left"/>
              <w:rPr/>
            </w:pPr>
            <w:r>
              <w:rPr/>
              <w:t> </w:t>
            </w:r>
          </w:p>
        </w:tc>
      </w:tr>
      <w:tr>
        <w:trPr/>
        <w:tc>
          <w:tcPr>
            <w:tcW w:w="3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7" w:type="dxa"/>
            <w:gridSpan w:val="2"/>
            <w:tcBorders/>
            <w:vAlign w:val="center"/>
          </w:tcPr>
          <w:p>
            <w:pPr>
              <w:pStyle w:val="TableContents"/>
              <w:bidi w:val="0"/>
              <w:spacing w:before="0" w:after="283"/>
              <w:jc w:val="center"/>
              <w:rPr/>
            </w:pPr>
            <w:r>
              <w:rPr/>
              <w:t>2025</w:t>
            </w:r>
          </w:p>
        </w:tc>
        <w:tc>
          <w:tcPr>
            <w:tcW w:w="79" w:type="dxa"/>
            <w:tcBorders/>
            <w:vAlign w:val="center"/>
          </w:tcPr>
          <w:p>
            <w:pPr>
              <w:pStyle w:val="TableContents"/>
              <w:bidi w:val="0"/>
              <w:spacing w:before="0" w:after="283"/>
              <w:jc w:val="left"/>
              <w:rPr/>
            </w:pPr>
            <w:r>
              <w:rPr/>
              <w:t> </w:t>
            </w:r>
          </w:p>
        </w:tc>
      </w:tr>
      <w:tr>
        <w:trPr/>
        <w:tc>
          <w:tcPr>
            <w:tcW w:w="3915" w:type="dxa"/>
            <w:tcBorders/>
            <w:shd w:fill="EEEEEE" w:val="clear"/>
            <w:vAlign w:val="center"/>
          </w:tcPr>
          <w:p>
            <w:pPr>
              <w:pStyle w:val="TableContents"/>
              <w:bidi w:val="0"/>
              <w:spacing w:before="0" w:after="283"/>
              <w:jc w:val="left"/>
              <w:rPr/>
            </w:pPr>
            <w:r>
              <w:rPr/>
              <w:t>Average number of extensions granted per month</w:t>
            </w:r>
          </w:p>
        </w:tc>
        <w:tc>
          <w:tcPr>
            <w:tcW w:w="60" w:type="dxa"/>
            <w:tcBorders/>
            <w:shd w:fill="EEEEEE" w:val="clear"/>
            <w:vAlign w:val="center"/>
          </w:tcPr>
          <w:p>
            <w:pPr>
              <w:pStyle w:val="TableContents"/>
              <w:bidi w:val="0"/>
              <w:spacing w:before="0" w:after="283"/>
              <w:jc w:val="left"/>
              <w:rPr/>
            </w:pPr>
            <w:r>
              <w:rPr/>
              <w:t> </w:t>
            </w:r>
          </w:p>
        </w:tc>
        <w:tc>
          <w:tcPr>
            <w:tcW w:w="137" w:type="dxa"/>
            <w:tcBorders/>
            <w:shd w:fill="EEEEEE" w:val="clear"/>
            <w:vAlign w:val="center"/>
          </w:tcPr>
          <w:p>
            <w:pPr>
              <w:pStyle w:val="TableContents"/>
              <w:bidi w:val="0"/>
              <w:spacing w:before="0" w:after="283"/>
              <w:jc w:val="left"/>
              <w:rPr/>
            </w:pPr>
            <w:r>
              <w:rPr/>
              <w:t> </w:t>
            </w:r>
          </w:p>
        </w:tc>
        <w:tc>
          <w:tcPr>
            <w:tcW w:w="1835" w:type="dxa"/>
            <w:tcBorders/>
            <w:shd w:fill="EEEEEE" w:val="clear"/>
            <w:vAlign w:val="center"/>
          </w:tcPr>
          <w:p>
            <w:pPr>
              <w:pStyle w:val="TableContents"/>
              <w:bidi w:val="0"/>
              <w:spacing w:before="0" w:after="283"/>
              <w:jc w:val="right"/>
              <w:rPr/>
            </w:pPr>
            <w:r>
              <w:rPr/>
              <w:t>11,152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7" w:type="dxa"/>
            <w:tcBorders/>
            <w:shd w:fill="EEEEEE" w:val="clear"/>
            <w:vAlign w:val="center"/>
          </w:tcPr>
          <w:p>
            <w:pPr>
              <w:pStyle w:val="TableContents"/>
              <w:bidi w:val="0"/>
              <w:spacing w:before="0" w:after="283"/>
              <w:jc w:val="left"/>
              <w:rPr/>
            </w:pPr>
            <w:r>
              <w:rPr/>
              <w:t> </w:t>
            </w:r>
          </w:p>
        </w:tc>
        <w:tc>
          <w:tcPr>
            <w:tcW w:w="1835" w:type="dxa"/>
            <w:tcBorders/>
            <w:shd w:fill="EEEEEE" w:val="clear"/>
            <w:vAlign w:val="center"/>
          </w:tcPr>
          <w:p>
            <w:pPr>
              <w:pStyle w:val="TableContents"/>
              <w:bidi w:val="0"/>
              <w:spacing w:before="0" w:after="283"/>
              <w:jc w:val="right"/>
              <w:rPr/>
            </w:pPr>
            <w:r>
              <w:rPr/>
              <w:t>9,376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6" w:type="dxa"/>
            <w:tcBorders/>
            <w:shd w:fill="EEEEEE" w:val="clear"/>
            <w:vAlign w:val="center"/>
          </w:tcPr>
          <w:p>
            <w:pPr>
              <w:pStyle w:val="TableContents"/>
              <w:bidi w:val="0"/>
              <w:spacing w:before="0" w:after="283"/>
              <w:jc w:val="left"/>
              <w:rPr/>
            </w:pPr>
            <w:r>
              <w:rPr/>
              <w:t> </w:t>
            </w:r>
          </w:p>
        </w:tc>
        <w:tc>
          <w:tcPr>
            <w:tcW w:w="1831" w:type="dxa"/>
            <w:tcBorders/>
            <w:shd w:fill="EEEEEE" w:val="clear"/>
            <w:vAlign w:val="center"/>
          </w:tcPr>
          <w:p>
            <w:pPr>
              <w:pStyle w:val="TableContents"/>
              <w:bidi w:val="0"/>
              <w:spacing w:before="0" w:after="283"/>
              <w:jc w:val="right"/>
              <w:rPr/>
            </w:pPr>
            <w:r>
              <w:rPr/>
              <w:t>9,183</w:t>
            </w:r>
          </w:p>
        </w:tc>
        <w:tc>
          <w:tcPr>
            <w:tcW w:w="79" w:type="dxa"/>
            <w:tcBorders/>
            <w:shd w:fill="EEEEEE" w:val="clear"/>
            <w:vAlign w:val="center"/>
          </w:tcPr>
          <w:p>
            <w:pPr>
              <w:pStyle w:val="TableContents"/>
              <w:bidi w:val="0"/>
              <w:spacing w:before="0" w:after="283"/>
              <w:jc w:val="left"/>
              <w:rPr/>
            </w:pPr>
            <w:r>
              <w:rPr/>
              <w:t> </w:t>
            </w:r>
          </w:p>
        </w:tc>
      </w:tr>
      <w:tr>
        <w:trPr/>
        <w:tc>
          <w:tcPr>
            <w:tcW w:w="3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83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3915" w:type="dxa"/>
            <w:tcBorders/>
            <w:shd w:fill="EEEEEE" w:val="clear"/>
            <w:vAlign w:val="center"/>
          </w:tcPr>
          <w:p>
            <w:pPr>
              <w:pStyle w:val="TableContents"/>
              <w:bidi w:val="0"/>
              <w:spacing w:before="0" w:after="283"/>
              <w:jc w:val="left"/>
              <w:rPr/>
            </w:pPr>
            <w:r>
              <w:rPr/>
              <w:t>Average number of outstanding accounts</w:t>
            </w:r>
          </w:p>
        </w:tc>
        <w:tc>
          <w:tcPr>
            <w:tcW w:w="60" w:type="dxa"/>
            <w:tcBorders/>
            <w:shd w:fill="EEEEEE" w:val="clear"/>
            <w:vAlign w:val="center"/>
          </w:tcPr>
          <w:p>
            <w:pPr>
              <w:pStyle w:val="TableContents"/>
              <w:bidi w:val="0"/>
              <w:spacing w:before="0" w:after="283"/>
              <w:jc w:val="left"/>
              <w:rPr/>
            </w:pPr>
            <w:r>
              <w:rPr/>
              <w:t> </w:t>
            </w:r>
          </w:p>
        </w:tc>
        <w:tc>
          <w:tcPr>
            <w:tcW w:w="137" w:type="dxa"/>
            <w:tcBorders/>
            <w:shd w:fill="EEEEEE" w:val="clear"/>
            <w:vAlign w:val="center"/>
          </w:tcPr>
          <w:p>
            <w:pPr>
              <w:pStyle w:val="TableContents"/>
              <w:bidi w:val="0"/>
              <w:spacing w:before="0" w:after="283"/>
              <w:jc w:val="left"/>
              <w:rPr/>
            </w:pPr>
            <w:r>
              <w:rPr/>
              <w:t> </w:t>
            </w:r>
          </w:p>
        </w:tc>
        <w:tc>
          <w:tcPr>
            <w:tcW w:w="1835" w:type="dxa"/>
            <w:tcBorders/>
            <w:shd w:fill="EEEEEE" w:val="clear"/>
            <w:vAlign w:val="center"/>
          </w:tcPr>
          <w:p>
            <w:pPr>
              <w:pStyle w:val="TableContents"/>
              <w:bidi w:val="0"/>
              <w:spacing w:before="0" w:after="283"/>
              <w:jc w:val="right"/>
              <w:rPr/>
            </w:pPr>
            <w:r>
              <w:rPr/>
              <w:t>230,772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7" w:type="dxa"/>
            <w:tcBorders/>
            <w:shd w:fill="EEEEEE" w:val="clear"/>
            <w:vAlign w:val="center"/>
          </w:tcPr>
          <w:p>
            <w:pPr>
              <w:pStyle w:val="TableContents"/>
              <w:bidi w:val="0"/>
              <w:spacing w:before="0" w:after="283"/>
              <w:jc w:val="left"/>
              <w:rPr/>
            </w:pPr>
            <w:r>
              <w:rPr/>
              <w:t> </w:t>
            </w:r>
          </w:p>
        </w:tc>
        <w:tc>
          <w:tcPr>
            <w:tcW w:w="1835" w:type="dxa"/>
            <w:tcBorders/>
            <w:shd w:fill="EEEEEE" w:val="clear"/>
            <w:vAlign w:val="center"/>
          </w:tcPr>
          <w:p>
            <w:pPr>
              <w:pStyle w:val="TableContents"/>
              <w:bidi w:val="0"/>
              <w:spacing w:before="0" w:after="283"/>
              <w:jc w:val="right"/>
              <w:rPr/>
            </w:pPr>
            <w:r>
              <w:rPr/>
              <w:t>210,262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6" w:type="dxa"/>
            <w:tcBorders/>
            <w:shd w:fill="EEEEEE" w:val="clear"/>
            <w:vAlign w:val="center"/>
          </w:tcPr>
          <w:p>
            <w:pPr>
              <w:pStyle w:val="TableContents"/>
              <w:bidi w:val="0"/>
              <w:spacing w:before="0" w:after="283"/>
              <w:jc w:val="left"/>
              <w:rPr/>
            </w:pPr>
            <w:r>
              <w:rPr/>
              <w:t> </w:t>
            </w:r>
          </w:p>
        </w:tc>
        <w:tc>
          <w:tcPr>
            <w:tcW w:w="1831" w:type="dxa"/>
            <w:tcBorders/>
            <w:shd w:fill="EEEEEE" w:val="clear"/>
            <w:vAlign w:val="center"/>
          </w:tcPr>
          <w:p>
            <w:pPr>
              <w:pStyle w:val="TableContents"/>
              <w:bidi w:val="0"/>
              <w:spacing w:before="0" w:after="283"/>
              <w:jc w:val="right"/>
              <w:rPr/>
            </w:pPr>
            <w:r>
              <w:rPr/>
              <w:t>210,100</w:t>
            </w:r>
          </w:p>
        </w:tc>
        <w:tc>
          <w:tcPr>
            <w:tcW w:w="79" w:type="dxa"/>
            <w:tcBorders/>
            <w:shd w:fill="EEEEEE" w:val="clear"/>
            <w:vAlign w:val="center"/>
          </w:tcPr>
          <w:p>
            <w:pPr>
              <w:pStyle w:val="TableContents"/>
              <w:bidi w:val="0"/>
              <w:spacing w:before="0" w:after="283"/>
              <w:jc w:val="left"/>
              <w:rPr/>
            </w:pPr>
            <w:r>
              <w:rPr/>
              <w:t> </w:t>
            </w:r>
          </w:p>
        </w:tc>
      </w:tr>
      <w:tr>
        <w:trPr/>
        <w:tc>
          <w:tcPr>
            <w:tcW w:w="3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83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3915" w:type="dxa"/>
            <w:tcBorders/>
            <w:shd w:fill="EEEEEE" w:val="clear"/>
            <w:vAlign w:val="center"/>
          </w:tcPr>
          <w:p>
            <w:pPr>
              <w:pStyle w:val="TableContents"/>
              <w:bidi w:val="0"/>
              <w:spacing w:before="0" w:after="283"/>
              <w:jc w:val="left"/>
              <w:rPr/>
            </w:pPr>
            <w:r>
              <w:rPr/>
              <w:t>Average monthly extensions as % of average outstandings</w:t>
            </w:r>
          </w:p>
        </w:tc>
        <w:tc>
          <w:tcPr>
            <w:tcW w:w="60" w:type="dxa"/>
            <w:tcBorders/>
            <w:shd w:fill="EEEEEE" w:val="clear"/>
            <w:vAlign w:val="center"/>
          </w:tcPr>
          <w:p>
            <w:pPr>
              <w:pStyle w:val="TableContents"/>
              <w:bidi w:val="0"/>
              <w:spacing w:before="0" w:after="283"/>
              <w:jc w:val="left"/>
              <w:rPr/>
            </w:pPr>
            <w:r>
              <w:rPr/>
              <w:t> </w:t>
            </w:r>
          </w:p>
        </w:tc>
        <w:tc>
          <w:tcPr>
            <w:tcW w:w="137" w:type="dxa"/>
            <w:tcBorders/>
            <w:shd w:fill="EEEEEE" w:val="clear"/>
            <w:vAlign w:val="center"/>
          </w:tcPr>
          <w:p>
            <w:pPr>
              <w:pStyle w:val="TableContents"/>
              <w:bidi w:val="0"/>
              <w:spacing w:before="0" w:after="283"/>
              <w:jc w:val="left"/>
              <w:rPr/>
            </w:pPr>
            <w:r>
              <w:rPr/>
              <w:t> </w:t>
            </w:r>
          </w:p>
        </w:tc>
        <w:tc>
          <w:tcPr>
            <w:tcW w:w="1835" w:type="dxa"/>
            <w:tcBorders/>
            <w:shd w:fill="EEEEEE" w:val="clear"/>
            <w:vAlign w:val="center"/>
          </w:tcPr>
          <w:p>
            <w:pPr>
              <w:pStyle w:val="TableContents"/>
              <w:bidi w:val="0"/>
              <w:spacing w:before="0" w:after="283"/>
              <w:jc w:val="right"/>
              <w:rPr/>
            </w:pPr>
            <w:r>
              <w:rPr/>
              <w:t>4.8%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7" w:type="dxa"/>
            <w:tcBorders/>
            <w:shd w:fill="EEEEEE" w:val="clear"/>
            <w:vAlign w:val="center"/>
          </w:tcPr>
          <w:p>
            <w:pPr>
              <w:pStyle w:val="TableContents"/>
              <w:bidi w:val="0"/>
              <w:spacing w:before="0" w:after="283"/>
              <w:jc w:val="left"/>
              <w:rPr/>
            </w:pPr>
            <w:r>
              <w:rPr/>
              <w:t> </w:t>
            </w:r>
          </w:p>
        </w:tc>
        <w:tc>
          <w:tcPr>
            <w:tcW w:w="1835" w:type="dxa"/>
            <w:tcBorders/>
            <w:shd w:fill="EEEEEE" w:val="clear"/>
            <w:vAlign w:val="center"/>
          </w:tcPr>
          <w:p>
            <w:pPr>
              <w:pStyle w:val="TableContents"/>
              <w:bidi w:val="0"/>
              <w:spacing w:before="0" w:after="283"/>
              <w:jc w:val="right"/>
              <w:rPr/>
            </w:pPr>
            <w:r>
              <w:rPr/>
              <w:t>4.5%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6" w:type="dxa"/>
            <w:tcBorders/>
            <w:shd w:fill="EEEEEE" w:val="clear"/>
            <w:vAlign w:val="center"/>
          </w:tcPr>
          <w:p>
            <w:pPr>
              <w:pStyle w:val="TableContents"/>
              <w:bidi w:val="0"/>
              <w:spacing w:before="0" w:after="283"/>
              <w:jc w:val="left"/>
              <w:rPr/>
            </w:pPr>
            <w:r>
              <w:rPr/>
              <w:t> </w:t>
            </w:r>
          </w:p>
        </w:tc>
        <w:tc>
          <w:tcPr>
            <w:tcW w:w="1831" w:type="dxa"/>
            <w:tcBorders/>
            <w:shd w:fill="EEEEEE" w:val="clear"/>
            <w:vAlign w:val="center"/>
          </w:tcPr>
          <w:p>
            <w:pPr>
              <w:pStyle w:val="TableContents"/>
              <w:bidi w:val="0"/>
              <w:spacing w:before="0" w:after="283"/>
              <w:jc w:val="right"/>
              <w:rPr/>
            </w:pPr>
            <w:r>
              <w:rPr/>
              <w:t>4.4%</w:t>
            </w:r>
          </w:p>
        </w:tc>
        <w:tc>
          <w:tcPr>
            <w:tcW w:w="79"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Table excludes portfolios originated and owned by third parties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2"/>
        <w:gridCol w:w="60"/>
        <w:gridCol w:w="84"/>
        <w:gridCol w:w="1128"/>
        <w:gridCol w:w="60"/>
        <w:gridCol w:w="60"/>
        <w:gridCol w:w="140"/>
        <w:gridCol w:w="980"/>
        <w:gridCol w:w="60"/>
        <w:gridCol w:w="60"/>
        <w:gridCol w:w="84"/>
        <w:gridCol w:w="1128"/>
        <w:gridCol w:w="60"/>
        <w:gridCol w:w="60"/>
        <w:gridCol w:w="140"/>
        <w:gridCol w:w="980"/>
        <w:gridCol w:w="60"/>
        <w:gridCol w:w="60"/>
        <w:gridCol w:w="84"/>
        <w:gridCol w:w="1128"/>
        <w:gridCol w:w="60"/>
        <w:gridCol w:w="60"/>
        <w:gridCol w:w="140"/>
        <w:gridCol w:w="980"/>
        <w:gridCol w:w="77"/>
      </w:tblGrid>
      <w:tr>
        <w:trPr/>
        <w:tc>
          <w:tcPr>
            <w:tcW w:w="24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2" w:type="dxa"/>
            <w:gridSpan w:val="6"/>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2" w:type="dxa"/>
            <w:gridSpan w:val="6"/>
            <w:tcBorders>
              <w:bottom w:val="single" w:sz="8" w:space="0" w:color="000000"/>
            </w:tcBorders>
            <w:tcMar>
              <w:bottom w:w="28" w:type="dxa"/>
            </w:tcMar>
            <w:vAlign w:val="center"/>
          </w:tcPr>
          <w:p>
            <w:pPr>
              <w:pStyle w:val="TableContents"/>
              <w:bidi w:val="0"/>
              <w:spacing w:before="0" w:after="283"/>
              <w:jc w:val="center"/>
              <w:rPr/>
            </w:pPr>
            <w:r>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2" w:type="dxa"/>
            <w:gridSpan w:val="6"/>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77" w:type="dxa"/>
            <w:tcBorders/>
            <w:vAlign w:val="center"/>
          </w:tcPr>
          <w:p>
            <w:pPr>
              <w:pStyle w:val="TableContents"/>
              <w:bidi w:val="0"/>
              <w:spacing w:before="0" w:after="283"/>
              <w:jc w:val="left"/>
              <w:rPr/>
            </w:pPr>
            <w:r>
              <w:rPr/>
              <w:t> </w:t>
            </w:r>
          </w:p>
        </w:tc>
      </w:tr>
      <w:tr>
        <w:trPr/>
        <w:tc>
          <w:tcPr>
            <w:tcW w:w="24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pPr>
            <w:r>
              <w:rPr/>
              <w:t>Number of 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pPr>
            <w:r>
              <w:rPr/>
              <w:t>Number of 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pPr>
            <w:r>
              <w:rPr/>
              <w:t>Number of 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77" w:type="dxa"/>
            <w:tcBorders/>
            <w:vAlign w:val="center"/>
          </w:tcPr>
          <w:p>
            <w:pPr>
              <w:pStyle w:val="TableContents"/>
              <w:bidi w:val="0"/>
              <w:spacing w:before="0" w:after="283"/>
              <w:jc w:val="left"/>
              <w:rPr/>
            </w:pPr>
            <w:r>
              <w:rPr/>
              <w:t> </w:t>
            </w:r>
          </w:p>
        </w:tc>
      </w:tr>
      <w:tr>
        <w:trPr/>
        <w:tc>
          <w:tcPr>
            <w:tcW w:w="24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2" w:type="dxa"/>
            <w:gridSpan w:val="6"/>
            <w:tcBorders/>
            <w:vAlign w:val="center"/>
          </w:tcPr>
          <w:p>
            <w:pPr>
              <w:pStyle w:val="TableContents"/>
              <w:bidi w:val="0"/>
              <w:spacing w:before="0" w:after="283"/>
              <w:jc w:val="center"/>
              <w:rPr/>
            </w:pPr>
            <w:r>
              <w:rPr/>
              <w:t>(Dollars 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2472" w:type="dxa"/>
            <w:tcBorders/>
            <w:shd w:fill="EEEEEE" w:val="clear"/>
            <w:vAlign w:val="center"/>
          </w:tcPr>
          <w:p>
            <w:pPr>
              <w:pStyle w:val="TableContents"/>
              <w:bidi w:val="0"/>
              <w:spacing w:before="0" w:after="283"/>
              <w:jc w:val="left"/>
              <w:rPr/>
            </w:pPr>
            <w:r>
              <w:rPr/>
              <w:t>Contracts with one extension</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40,086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738,624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38,104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683,399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41,504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759,863</w:t>
            </w:r>
          </w:p>
        </w:tc>
        <w:tc>
          <w:tcPr>
            <w:tcW w:w="77" w:type="dxa"/>
            <w:tcBorders/>
            <w:shd w:fill="EEEEEE" w:val="clear"/>
            <w:vAlign w:val="center"/>
          </w:tcPr>
          <w:p>
            <w:pPr>
              <w:pStyle w:val="TableContents"/>
              <w:bidi w:val="0"/>
              <w:spacing w:before="0" w:after="283"/>
              <w:jc w:val="left"/>
              <w:rPr/>
            </w:pPr>
            <w:r>
              <w:rPr/>
              <w:t> </w:t>
            </w:r>
          </w:p>
        </w:tc>
      </w:tr>
      <w:tr>
        <w:trPr/>
        <w:tc>
          <w:tcPr>
            <w:tcW w:w="2472" w:type="dxa"/>
            <w:tcBorders/>
            <w:shd w:fill="FFFFFF" w:val="clear"/>
            <w:vAlign w:val="center"/>
          </w:tcPr>
          <w:p>
            <w:pPr>
              <w:pStyle w:val="TableContents"/>
              <w:bidi w:val="0"/>
              <w:spacing w:before="0" w:after="283"/>
              <w:jc w:val="left"/>
              <w:rPr/>
            </w:pPr>
            <w:r>
              <w:rPr/>
              <w:t>Contracts with two extensions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25,441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453,143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23,041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391,605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24,171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421,363</w:t>
            </w:r>
          </w:p>
        </w:tc>
        <w:tc>
          <w:tcPr>
            <w:tcW w:w="77" w:type="dxa"/>
            <w:tcBorders/>
            <w:shd w:fill="FFFFFF" w:val="clear"/>
            <w:vAlign w:val="center"/>
          </w:tcPr>
          <w:p>
            <w:pPr>
              <w:pStyle w:val="TableContents"/>
              <w:bidi w:val="0"/>
              <w:spacing w:before="0" w:after="283"/>
              <w:jc w:val="left"/>
              <w:rPr/>
            </w:pPr>
            <w:r>
              <w:rPr/>
              <w:t> </w:t>
            </w:r>
          </w:p>
        </w:tc>
      </w:tr>
      <w:tr>
        <w:trPr/>
        <w:tc>
          <w:tcPr>
            <w:tcW w:w="2472" w:type="dxa"/>
            <w:tcBorders/>
            <w:shd w:fill="EEEEEE" w:val="clear"/>
            <w:vAlign w:val="center"/>
          </w:tcPr>
          <w:p>
            <w:pPr>
              <w:pStyle w:val="TableContents"/>
              <w:bidi w:val="0"/>
              <w:spacing w:before="0" w:after="283"/>
              <w:jc w:val="left"/>
              <w:rPr/>
            </w:pPr>
            <w:r>
              <w:rPr/>
              <w:t>Contracts with three extensions</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16,131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273,408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14,192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231,630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14,963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246,175</w:t>
            </w:r>
          </w:p>
        </w:tc>
        <w:tc>
          <w:tcPr>
            <w:tcW w:w="77" w:type="dxa"/>
            <w:tcBorders/>
            <w:shd w:fill="EEEEEE" w:val="clear"/>
            <w:vAlign w:val="center"/>
          </w:tcPr>
          <w:p>
            <w:pPr>
              <w:pStyle w:val="TableContents"/>
              <w:bidi w:val="0"/>
              <w:spacing w:before="0" w:after="283"/>
              <w:jc w:val="left"/>
              <w:rPr/>
            </w:pPr>
            <w:r>
              <w:rPr/>
              <w:t> </w:t>
            </w:r>
          </w:p>
        </w:tc>
      </w:tr>
      <w:tr>
        <w:trPr/>
        <w:tc>
          <w:tcPr>
            <w:tcW w:w="2472" w:type="dxa"/>
            <w:tcBorders/>
            <w:shd w:fill="FFFFFF" w:val="clear"/>
            <w:vAlign w:val="center"/>
          </w:tcPr>
          <w:p>
            <w:pPr>
              <w:pStyle w:val="TableContents"/>
              <w:bidi w:val="0"/>
              <w:spacing w:before="0" w:after="283"/>
              <w:jc w:val="left"/>
              <w:rPr/>
            </w:pPr>
            <w:r>
              <w:rPr/>
              <w:t>Contracts with four extensions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10,381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164,401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8,355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122,257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9,490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146,777</w:t>
            </w:r>
          </w:p>
        </w:tc>
        <w:tc>
          <w:tcPr>
            <w:tcW w:w="77" w:type="dxa"/>
            <w:tcBorders/>
            <w:shd w:fill="FFFFFF" w:val="clear"/>
            <w:vAlign w:val="center"/>
          </w:tcPr>
          <w:p>
            <w:pPr>
              <w:pStyle w:val="TableContents"/>
              <w:bidi w:val="0"/>
              <w:spacing w:before="0" w:after="283"/>
              <w:jc w:val="left"/>
              <w:rPr/>
            </w:pPr>
            <w:r>
              <w:rPr/>
              <w:t> </w:t>
            </w:r>
          </w:p>
        </w:tc>
      </w:tr>
      <w:tr>
        <w:trPr/>
        <w:tc>
          <w:tcPr>
            <w:tcW w:w="2472" w:type="dxa"/>
            <w:tcBorders/>
            <w:shd w:fill="EEEEEE" w:val="clear"/>
            <w:vAlign w:val="center"/>
          </w:tcPr>
          <w:p>
            <w:pPr>
              <w:pStyle w:val="TableContents"/>
              <w:bidi w:val="0"/>
              <w:spacing w:before="0" w:after="283"/>
              <w:jc w:val="left"/>
              <w:rPr/>
            </w:pPr>
            <w:r>
              <w:rPr/>
              <w:t>Contracts with five extensions</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6,728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99,266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4,861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55,981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5,754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77,884</w:t>
            </w:r>
          </w:p>
        </w:tc>
        <w:tc>
          <w:tcPr>
            <w:tcW w:w="77" w:type="dxa"/>
            <w:tcBorders/>
            <w:shd w:fill="EEEEEE" w:val="clear"/>
            <w:vAlign w:val="center"/>
          </w:tcPr>
          <w:p>
            <w:pPr>
              <w:pStyle w:val="TableContents"/>
              <w:bidi w:val="0"/>
              <w:spacing w:before="0" w:after="283"/>
              <w:jc w:val="left"/>
              <w:rPr/>
            </w:pPr>
            <w:r>
              <w:rPr/>
              <w:t> </w:t>
            </w:r>
          </w:p>
        </w:tc>
      </w:tr>
      <w:tr>
        <w:trPr/>
        <w:tc>
          <w:tcPr>
            <w:tcW w:w="2472" w:type="dxa"/>
            <w:tcBorders/>
            <w:shd w:fill="FFFFFF" w:val="clear"/>
            <w:vAlign w:val="center"/>
          </w:tcPr>
          <w:p>
            <w:pPr>
              <w:pStyle w:val="TableContents"/>
              <w:bidi w:val="0"/>
              <w:spacing w:before="0" w:after="283"/>
              <w:jc w:val="left"/>
              <w:rPr/>
            </w:pPr>
            <w:r>
              <w:rPr/>
              <w:t>Contracts with six extensions</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5,287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60,075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3,503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26,034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3,948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35,781</w:t>
            </w:r>
          </w:p>
        </w:tc>
        <w:tc>
          <w:tcPr>
            <w:tcW w:w="77" w:type="dxa"/>
            <w:tcBorders/>
            <w:shd w:fill="FFFFFF" w:val="clear"/>
            <w:vAlign w:val="center"/>
          </w:tcPr>
          <w:p>
            <w:pPr>
              <w:pStyle w:val="TableContents"/>
              <w:bidi w:val="0"/>
              <w:spacing w:before="0" w:after="283"/>
              <w:jc w:val="left"/>
              <w:rPr/>
            </w:pPr>
            <w:r>
              <w:rPr/>
              <w:t> </w:t>
            </w:r>
          </w:p>
        </w:tc>
      </w:tr>
      <w:tr>
        <w:trPr/>
        <w:tc>
          <w:tcPr>
            <w:tcW w:w="247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EEEEEE" w:val="clear"/>
            <w:tcMar>
              <w:bottom w:w="28" w:type="dxa"/>
            </w:tcMar>
            <w:vAlign w:val="center"/>
          </w:tcPr>
          <w:p>
            <w:pPr>
              <w:pStyle w:val="TableContents"/>
              <w:bidi w:val="0"/>
              <w:spacing w:before="0" w:after="283"/>
              <w:jc w:val="right"/>
              <w:rPr/>
            </w:pPr>
            <w:r>
              <w:rPr/>
              <w:t>104,054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1,788,917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EEEEEE" w:val="clear"/>
            <w:tcMar>
              <w:bottom w:w="28" w:type="dxa"/>
            </w:tcMar>
            <w:vAlign w:val="center"/>
          </w:tcPr>
          <w:p>
            <w:pPr>
              <w:pStyle w:val="TableContents"/>
              <w:bidi w:val="0"/>
              <w:spacing w:before="0" w:after="283"/>
              <w:jc w:val="right"/>
              <w:rPr/>
            </w:pPr>
            <w:r>
              <w:rPr/>
              <w:t>92,056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1,510,906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EEEEEE" w:val="clear"/>
            <w:tcMar>
              <w:bottom w:w="28" w:type="dxa"/>
            </w:tcMar>
            <w:vAlign w:val="center"/>
          </w:tcPr>
          <w:p>
            <w:pPr>
              <w:pStyle w:val="TableContents"/>
              <w:bidi w:val="0"/>
              <w:spacing w:before="0" w:after="283"/>
              <w:jc w:val="right"/>
              <w:rPr/>
            </w:pPr>
            <w:r>
              <w:rPr/>
              <w:t>99,830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1,687,843</w:t>
            </w:r>
          </w:p>
        </w:tc>
        <w:tc>
          <w:tcPr>
            <w:tcW w:w="77" w:type="dxa"/>
            <w:tcBorders/>
            <w:shd w:fill="EEEEEE" w:val="clear"/>
            <w:vAlign w:val="center"/>
          </w:tcPr>
          <w:p>
            <w:pPr>
              <w:pStyle w:val="TableContents"/>
              <w:bidi w:val="0"/>
              <w:spacing w:before="0" w:after="283"/>
              <w:jc w:val="left"/>
              <w:rPr/>
            </w:pPr>
            <w:r>
              <w:rPr/>
              <w:t> </w:t>
            </w:r>
          </w:p>
        </w:tc>
      </w:tr>
      <w:tr>
        <w:trPr/>
        <w:tc>
          <w:tcPr>
            <w:tcW w:w="2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2472" w:type="dxa"/>
            <w:tcBorders/>
            <w:shd w:fill="EEEEEE" w:val="clear"/>
            <w:vAlign w:val="center"/>
          </w:tcPr>
          <w:p>
            <w:pPr>
              <w:pStyle w:val="TableContents"/>
              <w:bidi w:val="0"/>
              <w:spacing w:before="0" w:after="283"/>
              <w:jc w:val="left"/>
              <w:rPr/>
            </w:pPr>
            <w:r>
              <w:rPr/>
              <w:t>Managed portfolio (excluding originated and owned by 3rd parties)</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235,760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4,306,656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211,246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3,708,381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212,718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3,778,647</w:t>
            </w:r>
          </w:p>
        </w:tc>
        <w:tc>
          <w:tcPr>
            <w:tcW w:w="77"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Table excludes portfolios originated and owned by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Non-Accrual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to avoid losing their vehicle to repossession. Through our experience, we have learned that once a contract becomes greater than 90 days past due, it is more likely than not that the delinquency will not be resolved and will ultimately result in a charge-off. Contracts originated since January 2018 are accounted for at fair value and the economic impact of late payments is incorporated into the estimated net yield on those contracts.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for the six-month period ended June 30, 2026 was $189.9 million, an increase of $61.6 million, compared to net cash provided by operating activities for the six-month period ended June 30, 2025 of $128.3 million. Net cash from operating activities is generally provided by net income from operations adjusted for significant non-cash items such as marks to finance receivables measured at fair value.</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$697.0 million for the six months ended June 30, 2026 compared to $360.8 million in the prior year period. Net cash used in investing activities generally relates to new purchases of automobile contracts net of principal payments and other proceeds received during the period. Purchases of finance receivables excluding acquisition fees were $1,266.6 million and $882.9 million during the first six months of 2026 and 2025, respectively.</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2026 was $515.1 million compared to $255.3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2026, we issued $859.7 million in new securitization trust debt compared to $862.4 million for the same period in 2025. We repaid $715.1 million in securitization trust debt in the six months ended June 30, 2026 compared to repayments of securitization trust debt of $642.7 million in the prior year period. In the six months ended June 30, 2026, we had net advances on warehouse lines of credit of $354.4 million, compared to net repayments from warehouse lines of credit of $16.6 million in the prior year’s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may in the future be limited in our ability to purchase automobile contracts due to limits on our capital. As of June 30, 2026, we had unrestricted cash of $7.5 million and $43.4 million aggregate available borrowings under our two warehouse credit facilities (assuming the availability of sufficient eligible collateral). As of June 30, 2026, we had approximately $20.9 million of such eligible collateral. Our plans to manage our liquidity include maintaining our rate of automobile contract purchases at a level that matches our available capital, and, as appropriate, minimizing our operating costs. During the six-month period ended June 30, 2026, we completed two securitizations aggregating $859.7 million of notes sold.</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events of default were to be accompanied by acceleration of such other indebtedness. As of June 30, 2026, we were in compliance with all such financial covenants.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and will continue to have a substantial amount of outstanding indebtedness. At June 30, 2026, we had approximately $4,008.3 million of debt outstanding. Such debt consisted primarily of $3,131.1 million of securitization trust debt, and also included $679.9 million of warehouse lines of credit, $168.8 million of residual interest financing debt and $28.5 million in subordinated renewable notes.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3" w:name="q2_010"/>
      <w:bookmarkEnd w:id="863"/>
      <w:r>
        <w:rPr>
          <w:rFonts w:ascii="Times New Roman;Times;Serif" w:hAnsi="Times New Roman;Times;Serif"/>
          <w:b/>
          <w:i w:val="false"/>
          <w:caps w:val="false"/>
          <w:smallCaps w:val="false"/>
          <w:sz w:val="20"/>
        </w:rPr>
        <w:t xml:space="preserve">Item 4. </w:t>
      </w:r>
      <w:r>
        <w:rPr>
          <w:rFonts w:ascii="Times New Roman;Times;Serif" w:hAnsi="Times New Roman;Times;Serif"/>
          <w:b/>
          <w:i/>
          <w:caps w:val="false"/>
          <w:smallCaps w:val="false"/>
          <w:sz w:val="20"/>
        </w:rPr>
        <w:t>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64" w:name="q2_011"/>
      <w:bookmarkEnd w:id="864"/>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5" w:name="q2_012"/>
      <w:bookmarkEnd w:id="865"/>
      <w:r>
        <w:rPr>
          <w:rFonts w:ascii="Times New Roman;Times;Serif" w:hAnsi="Times New Roman;Times;Serif"/>
          <w:b/>
          <w:i w:val="false"/>
          <w:caps w:val="false"/>
          <w:smallCaps w:val="false"/>
          <w:sz w:val="20"/>
        </w:rPr>
        <w:t xml:space="preserve">Item 1. </w:t>
      </w:r>
      <w:r>
        <w:rPr>
          <w:rFonts w:ascii="Times New Roman;Times;Serif" w:hAnsi="Times New Roman;Times;Serif"/>
          <w:b/>
          <w:i/>
          <w:caps w:val="false"/>
          <w:smallCaps w:val="false"/>
          <w:sz w:val="20"/>
        </w:rPr>
        <w:t xml:space="preserve">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under the caption “Legal Proceedings,” Note 8 to the Unaudited Condensed Consolidated Financial Statements, included in Part I of this report,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6" w:name="q2_013"/>
      <w:bookmarkEnd w:id="866"/>
      <w:r>
        <w:rPr>
          <w:rFonts w:ascii="Times New Roman;Times;Serif" w:hAnsi="Times New Roman;Times;Serif"/>
          <w:b/>
          <w:i w:val="false"/>
          <w:caps w:val="false"/>
          <w:smallCaps w:val="false"/>
          <w:sz w:val="20"/>
        </w:rPr>
        <w:t xml:space="preserve">Item 1A. </w:t>
      </w:r>
      <w:r>
        <w:rPr>
          <w:rFonts w:ascii="Times New Roman;Times;Serif" w:hAnsi="Times New Roman;Times;Serif"/>
          <w:b/>
          <w:i/>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remind the reader that risk factors are set forth in Item 1A of our report on Form 10-K, filed with the U.S. Securities and Exchange Commission on March 16, 2026. Where we are aware of material changes to such risk factors as previously disclosed, we set forth below an updated discussion of such risks. The reader should note that the other risks identified in our report on Form 10-K remain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have substantial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will continue to have a substantial amount of indebtedness. At June 30, 2026, we had approximately $4,008.3 million debt outstanding. Such debt consisted primarily of $3,131.1 million of securitization trust debt and $679.9 million of debt from warehouse lines of credit. Our securitization trust debt has increased by $144.5 million while our warehouse lines of credit debt has also increased by $355.0 million since December 31, 2025 (each net of deferred financing costs). Since 2005, we have offered renewable subordinated notes to the public on a continuous basis, and such notes have maturities that range from six months to 10 years. We had $28.5 million and $29.0 million in subordinated renewable notes outstanding at June 30, 2026, and December 31, 2025, respectively. In June 2021, March 2024, March 2025, and again in March 2026, we completed a securitization of residual interests from other previously issued securitizations in the amounts of $50 million, $50 million, $65 million, and $50 million, respectively. As of June 30, 2026, $168.8 million of the residual interest debt remains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substantial indebtedness could adversely affect our financial condition by, among other things:</w:t>
      </w:r>
    </w:p>
    <w:p>
      <w:pPr>
        <w:pStyle w:val="TextBody"/>
        <w:bidi w:val="0"/>
        <w:spacing w:before="0" w:after="0"/>
        <w:ind w:left="0" w:right="0" w:hanging="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2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increasing our vulnerability to general adverse economic and industry conditions.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requiring us to dedicate a substantial portion of our cash flow from operations to payments on our indebtedness, thereby reducing the amounts available for working capital, capital expenditures and other general corporate purposes.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limiting our flexibility in planning for, or reacting to, changes in our business and the industry in which we operate.</w:t>
            </w:r>
          </w:p>
        </w:tc>
      </w:tr>
    </w:tbl>
    <w:p>
      <w:pPr>
        <w:pStyle w:val="TextBody"/>
        <w:bidi w:val="0"/>
        <w:spacing w:before="0" w:after="0"/>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125"/>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840" w:type="dxa"/>
            <w:tcBorders/>
            <w:vAlign w:val="center"/>
          </w:tcPr>
          <w:p>
            <w:pPr>
              <w:pStyle w:val="TableContents"/>
              <w:bidi w:val="0"/>
              <w:spacing w:before="0" w:after="283"/>
              <w:jc w:val="both"/>
              <w:rPr/>
            </w:pPr>
            <w:r>
              <w:rPr/>
              <w:t>placing us at a competitive disadvantage compared to our competitors that have less debt; and</w:t>
            </w:r>
          </w:p>
        </w:tc>
      </w:tr>
    </w:tbl>
    <w:p>
      <w:pPr>
        <w:pStyle w:val="TextBody"/>
        <w:bidi w:val="0"/>
        <w:spacing w:before="0" w:after="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25"/>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00" w:type="dxa"/>
            <w:tcBorders/>
            <w:vAlign w:val="center"/>
          </w:tcPr>
          <w:p>
            <w:pPr>
              <w:pStyle w:val="TableContents"/>
              <w:bidi w:val="0"/>
              <w:spacing w:before="0" w:after="283"/>
              <w:jc w:val="both"/>
              <w:rPr/>
            </w:pPr>
            <w:r>
              <w:rPr/>
              <w:t>limiting our ability to borrow additional funds.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we are able to service and repay such debt, there is no assurance that we will be able to do so. If we do not generate sufficient operating profits, our ability to make the required payments on our debt would be impaired. Failure to pay our indebtedness when due could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7" w:name="q2_014"/>
      <w:bookmarkEnd w:id="867"/>
      <w:r>
        <w:rPr>
          <w:rFonts w:ascii="Times New Roman;Times;Serif" w:hAnsi="Times New Roman;Times;Serif"/>
          <w:b/>
          <w:i w:val="false"/>
          <w:caps w:val="false"/>
          <w:smallCaps w:val="false"/>
          <w:sz w:val="20"/>
        </w:rPr>
        <w:t xml:space="preserve">Item 2. </w:t>
      </w:r>
      <w:r>
        <w:rPr>
          <w:rFonts w:ascii="Times New Roman;Times;Serif" w:hAnsi="Times New Roman;Times;Serif"/>
          <w:b/>
          <w:i/>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we repurchased 231,134 shares from existing shareholders, as reflected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Issuer Purchases of Equity Securities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4"/>
        <w:gridCol w:w="60"/>
        <w:gridCol w:w="112"/>
        <w:gridCol w:w="1509"/>
        <w:gridCol w:w="60"/>
        <w:gridCol w:w="60"/>
        <w:gridCol w:w="319"/>
        <w:gridCol w:w="1005"/>
        <w:gridCol w:w="60"/>
        <w:gridCol w:w="60"/>
        <w:gridCol w:w="192"/>
        <w:gridCol w:w="2574"/>
        <w:gridCol w:w="60"/>
        <w:gridCol w:w="60"/>
        <w:gridCol w:w="393"/>
        <w:gridCol w:w="2759"/>
        <w:gridCol w:w="78"/>
      </w:tblGrid>
      <w:tr>
        <w:trPr/>
        <w:tc>
          <w:tcPr>
            <w:tcW w:w="844" w:type="dxa"/>
            <w:tcBorders>
              <w:bottom w:val="single" w:sz="8" w:space="0" w:color="000000"/>
            </w:tcBorders>
            <w:vAlign w:val="center"/>
          </w:tcPr>
          <w:p>
            <w:pPr>
              <w:pStyle w:val="TableContents"/>
              <w:bidi w:val="0"/>
              <w:spacing w:before="0" w:after="283"/>
              <w:jc w:val="center"/>
              <w:rPr>
                <w:b/>
              </w:rPr>
            </w:pPr>
            <w:r>
              <w:rPr>
                <w:b/>
              </w:rPr>
              <w:t>Period(1)</w:t>
            </w:r>
          </w:p>
        </w:tc>
        <w:tc>
          <w:tcPr>
            <w:tcW w:w="60" w:type="dxa"/>
            <w:tcBorders/>
            <w:tcMar>
              <w:bottom w:w="0" w:type="dxa"/>
            </w:tcMar>
            <w:vAlign w:val="center"/>
          </w:tcPr>
          <w:p>
            <w:pPr>
              <w:pStyle w:val="TableContents"/>
              <w:bidi w:val="0"/>
              <w:spacing w:before="0" w:after="283"/>
              <w:jc w:val="left"/>
              <w:rPr/>
            </w:pPr>
            <w:r>
              <w:rPr/>
              <w:t> </w:t>
            </w:r>
          </w:p>
        </w:tc>
        <w:tc>
          <w:tcPr>
            <w:tcW w:w="1621" w:type="dxa"/>
            <w:gridSpan w:val="2"/>
            <w:tcBorders>
              <w:bottom w:val="single" w:sz="8" w:space="0" w:color="000000"/>
            </w:tcBorders>
            <w:vAlign w:val="center"/>
          </w:tcPr>
          <w:p>
            <w:pPr>
              <w:pStyle w:val="TableContents"/>
              <w:bidi w:val="0"/>
              <w:spacing w:before="0" w:after="283"/>
              <w:jc w:val="center"/>
              <w:rPr>
                <w:b/>
              </w:rPr>
            </w:pPr>
            <w:r>
              <w:rPr>
                <w:b/>
              </w:rPr>
              <w:t>Total Number of Shares 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8" w:space="0" w:color="000000"/>
            </w:tcBorders>
            <w:vAlign w:val="center"/>
          </w:tcPr>
          <w:p>
            <w:pPr>
              <w:pStyle w:val="TableContents"/>
              <w:bidi w:val="0"/>
              <w:spacing w:before="0" w:after="283"/>
              <w:jc w:val="center"/>
              <w:rPr>
                <w:b/>
              </w:rPr>
            </w:pPr>
            <w:r>
              <w:rPr>
                <w:b/>
              </w:rPr>
              <w:t>Average Price Paid 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66" w:type="dxa"/>
            <w:gridSpan w:val="2"/>
            <w:tcBorders>
              <w:bottom w:val="single" w:sz="8" w:space="0" w:color="000000"/>
            </w:tcBorders>
            <w:vAlign w:val="center"/>
          </w:tcPr>
          <w:p>
            <w:pPr>
              <w:pStyle w:val="TableContents"/>
              <w:bidi w:val="0"/>
              <w:spacing w:before="0" w:after="283"/>
              <w:jc w:val="center"/>
              <w:rPr>
                <w:b/>
              </w:rPr>
            </w:pPr>
            <w:r>
              <w:rPr>
                <w:b/>
              </w:rPr>
              <w:t>Total Number of Shares Purchased as Part of Publicly Announced Plans or 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52" w:type="dxa"/>
            <w:gridSpan w:val="2"/>
            <w:tcBorders>
              <w:bottom w:val="single" w:sz="8" w:space="0" w:color="000000"/>
            </w:tcBorders>
            <w:vAlign w:val="center"/>
          </w:tcPr>
          <w:p>
            <w:pPr>
              <w:pStyle w:val="TableContents"/>
              <w:bidi w:val="0"/>
              <w:spacing w:before="0" w:after="283"/>
              <w:jc w:val="center"/>
              <w:rPr>
                <w:b/>
              </w:rPr>
            </w:pPr>
            <w:r>
              <w:rPr>
                <w:b/>
              </w:rPr>
              <w:t>Approximate Dollar Value of Shares that May Yet be Purchased Under the Plans or Programs (2)</w:t>
            </w:r>
          </w:p>
        </w:tc>
        <w:tc>
          <w:tcPr>
            <w:tcW w:w="78" w:type="dxa"/>
            <w:tcBorders/>
            <w:tcMar>
              <w:bottom w:w="0" w:type="dxa"/>
            </w:tcMar>
            <w:vAlign w:val="center"/>
          </w:tcPr>
          <w:p>
            <w:pPr>
              <w:pStyle w:val="TableContents"/>
              <w:bidi w:val="0"/>
              <w:spacing w:before="0" w:after="283"/>
              <w:jc w:val="left"/>
              <w:rPr/>
            </w:pPr>
            <w:r>
              <w:rPr/>
              <w:t> </w:t>
            </w:r>
          </w:p>
        </w:tc>
      </w:tr>
      <w:tr>
        <w:trPr/>
        <w:tc>
          <w:tcPr>
            <w:tcW w:w="844" w:type="dxa"/>
            <w:tcBorders/>
            <w:shd w:fill="EEEEEE" w:val="clear"/>
            <w:tcMar>
              <w:bottom w:w="0" w:type="dxa"/>
            </w:tcMar>
            <w:vAlign w:val="center"/>
          </w:tcPr>
          <w:p>
            <w:pPr>
              <w:pStyle w:val="TableContents"/>
              <w:bidi w:val="0"/>
              <w:spacing w:before="0" w:after="283"/>
              <w:jc w:val="left"/>
              <w:rPr/>
            </w:pPr>
            <w:r>
              <w:rPr/>
              <w:t>April 2026</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2" w:type="dxa"/>
            <w:tcBorders/>
            <w:shd w:fill="EEEEEE" w:val="clear"/>
            <w:tcMar>
              <w:bottom w:w="0" w:type="dxa"/>
            </w:tcMar>
            <w:vAlign w:val="center"/>
          </w:tcPr>
          <w:p>
            <w:pPr>
              <w:pStyle w:val="TableContents"/>
              <w:bidi w:val="0"/>
              <w:spacing w:before="0" w:after="283"/>
              <w:jc w:val="left"/>
              <w:rPr/>
            </w:pPr>
            <w:r>
              <w:rPr/>
              <w:t> </w:t>
            </w:r>
          </w:p>
        </w:tc>
        <w:tc>
          <w:tcPr>
            <w:tcW w:w="1509" w:type="dxa"/>
            <w:tcBorders/>
            <w:shd w:fill="EEEEEE" w:val="clear"/>
            <w:tcMar>
              <w:bottom w:w="0" w:type="dxa"/>
            </w:tcMar>
            <w:vAlign w:val="center"/>
          </w:tcPr>
          <w:p>
            <w:pPr>
              <w:pStyle w:val="TableContents"/>
              <w:bidi w:val="0"/>
              <w:spacing w:before="0" w:after="283"/>
              <w:jc w:val="right"/>
              <w:rPr/>
            </w:pPr>
            <w:r>
              <w:rPr/>
              <w:t>38,060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19" w:type="dxa"/>
            <w:tcBorders/>
            <w:shd w:fill="EEEEEE" w:val="clear"/>
            <w:tcMar>
              <w:bottom w:w="0" w:type="dxa"/>
            </w:tcMar>
            <w:vAlign w:val="center"/>
          </w:tcPr>
          <w:p>
            <w:pPr>
              <w:pStyle w:val="TableContents"/>
              <w:bidi w:val="0"/>
              <w:spacing w:before="0" w:after="283"/>
              <w:jc w:val="left"/>
              <w:rPr/>
            </w:pPr>
            <w:r>
              <w:rPr/>
              <w:t>$</w:t>
            </w:r>
          </w:p>
        </w:tc>
        <w:tc>
          <w:tcPr>
            <w:tcW w:w="1005" w:type="dxa"/>
            <w:tcBorders/>
            <w:shd w:fill="EEEEEE" w:val="clear"/>
            <w:tcMar>
              <w:bottom w:w="0" w:type="dxa"/>
            </w:tcMar>
            <w:vAlign w:val="center"/>
          </w:tcPr>
          <w:p>
            <w:pPr>
              <w:pStyle w:val="TableContents"/>
              <w:bidi w:val="0"/>
              <w:spacing w:before="0" w:after="283"/>
              <w:jc w:val="right"/>
              <w:rPr/>
            </w:pPr>
            <w:r>
              <w:rPr/>
              <w:t>8.49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2" w:type="dxa"/>
            <w:tcBorders/>
            <w:shd w:fill="EEEEEE" w:val="clear"/>
            <w:tcMar>
              <w:bottom w:w="0" w:type="dxa"/>
            </w:tcMar>
            <w:vAlign w:val="center"/>
          </w:tcPr>
          <w:p>
            <w:pPr>
              <w:pStyle w:val="TableContents"/>
              <w:bidi w:val="0"/>
              <w:spacing w:before="0" w:after="283"/>
              <w:jc w:val="left"/>
              <w:rPr/>
            </w:pPr>
            <w:r>
              <w:rPr/>
              <w:t> </w:t>
            </w:r>
          </w:p>
        </w:tc>
        <w:tc>
          <w:tcPr>
            <w:tcW w:w="2574" w:type="dxa"/>
            <w:tcBorders/>
            <w:shd w:fill="EEEEEE" w:val="clear"/>
            <w:tcMar>
              <w:bottom w:w="0" w:type="dxa"/>
            </w:tcMar>
            <w:vAlign w:val="center"/>
          </w:tcPr>
          <w:p>
            <w:pPr>
              <w:pStyle w:val="TableContents"/>
              <w:bidi w:val="0"/>
              <w:spacing w:before="0" w:after="283"/>
              <w:jc w:val="right"/>
              <w:rPr/>
            </w:pPr>
            <w:r>
              <w:rPr/>
              <w:t>38,060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93" w:type="dxa"/>
            <w:tcBorders/>
            <w:shd w:fill="EEEEEE" w:val="clear"/>
            <w:tcMar>
              <w:bottom w:w="0" w:type="dxa"/>
            </w:tcMar>
            <w:vAlign w:val="center"/>
          </w:tcPr>
          <w:p>
            <w:pPr>
              <w:pStyle w:val="TableContents"/>
              <w:bidi w:val="0"/>
              <w:spacing w:before="0" w:after="283"/>
              <w:jc w:val="left"/>
              <w:rPr/>
            </w:pPr>
            <w:r>
              <w:rPr/>
              <w:t>$</w:t>
            </w:r>
          </w:p>
        </w:tc>
        <w:tc>
          <w:tcPr>
            <w:tcW w:w="2759" w:type="dxa"/>
            <w:tcBorders/>
            <w:shd w:fill="EEEEEE" w:val="clear"/>
            <w:tcMar>
              <w:bottom w:w="0" w:type="dxa"/>
            </w:tcMar>
            <w:vAlign w:val="center"/>
          </w:tcPr>
          <w:p>
            <w:pPr>
              <w:pStyle w:val="TableContents"/>
              <w:bidi w:val="0"/>
              <w:spacing w:before="0" w:after="283"/>
              <w:jc w:val="right"/>
              <w:rPr/>
            </w:pPr>
            <w:r>
              <w:rPr/>
              <w:t>5,555,411</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844" w:type="dxa"/>
            <w:tcBorders/>
            <w:shd w:fill="FFFFFF" w:val="clear"/>
            <w:tcMar>
              <w:bottom w:w="0" w:type="dxa"/>
            </w:tcMar>
            <w:vAlign w:val="center"/>
          </w:tcPr>
          <w:p>
            <w:pPr>
              <w:pStyle w:val="TableContents"/>
              <w:bidi w:val="0"/>
              <w:spacing w:before="0" w:after="283"/>
              <w:jc w:val="left"/>
              <w:rPr/>
            </w:pPr>
            <w:r>
              <w:rPr/>
              <w:t>May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509" w:type="dxa"/>
            <w:tcBorders/>
            <w:shd w:fill="FFFFFF" w:val="clear"/>
            <w:tcMar>
              <w:bottom w:w="0" w:type="dxa"/>
            </w:tcMar>
            <w:vAlign w:val="center"/>
          </w:tcPr>
          <w:p>
            <w:pPr>
              <w:pStyle w:val="TableContents"/>
              <w:bidi w:val="0"/>
              <w:spacing w:before="0" w:after="283"/>
              <w:jc w:val="right"/>
              <w:rPr/>
            </w:pPr>
            <w:r>
              <w:rPr/>
              <w:t>157,523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9" w:type="dxa"/>
            <w:tcBorders/>
            <w:shd w:fill="FFFFFF" w:val="clear"/>
            <w:tcMar>
              <w:bottom w:w="0" w:type="dxa"/>
            </w:tcMar>
            <w:vAlign w:val="center"/>
          </w:tcPr>
          <w:p>
            <w:pPr>
              <w:pStyle w:val="TableContents"/>
              <w:bidi w:val="0"/>
              <w:spacing w:before="0" w:after="283"/>
              <w:jc w:val="left"/>
              <w:rPr/>
            </w:pPr>
            <w:r>
              <w:rPr/>
              <w:t>$</w:t>
            </w:r>
          </w:p>
        </w:tc>
        <w:tc>
          <w:tcPr>
            <w:tcW w:w="1005" w:type="dxa"/>
            <w:tcBorders/>
            <w:shd w:fill="FFFFFF" w:val="clear"/>
            <w:tcMar>
              <w:bottom w:w="0" w:type="dxa"/>
            </w:tcMar>
            <w:vAlign w:val="center"/>
          </w:tcPr>
          <w:p>
            <w:pPr>
              <w:pStyle w:val="TableContents"/>
              <w:bidi w:val="0"/>
              <w:spacing w:before="0" w:after="283"/>
              <w:jc w:val="right"/>
              <w:rPr/>
            </w:pPr>
            <w:r>
              <w:rPr/>
              <w:t>9.97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2574" w:type="dxa"/>
            <w:tcBorders/>
            <w:shd w:fill="FFFFFF" w:val="clear"/>
            <w:tcMar>
              <w:bottom w:w="0" w:type="dxa"/>
            </w:tcMar>
            <w:vAlign w:val="center"/>
          </w:tcPr>
          <w:p>
            <w:pPr>
              <w:pStyle w:val="TableContents"/>
              <w:bidi w:val="0"/>
              <w:spacing w:before="0" w:after="283"/>
              <w:jc w:val="right"/>
              <w:rPr/>
            </w:pPr>
            <w:r>
              <w:rPr/>
              <w:t>157,523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w:t>
            </w:r>
          </w:p>
        </w:tc>
        <w:tc>
          <w:tcPr>
            <w:tcW w:w="2759" w:type="dxa"/>
            <w:tcBorders/>
            <w:shd w:fill="FFFFFF" w:val="clear"/>
            <w:tcMar>
              <w:bottom w:w="0" w:type="dxa"/>
            </w:tcMar>
            <w:vAlign w:val="center"/>
          </w:tcPr>
          <w:p>
            <w:pPr>
              <w:pStyle w:val="TableContents"/>
              <w:bidi w:val="0"/>
              <w:spacing w:before="0" w:after="283"/>
              <w:jc w:val="right"/>
              <w:rPr/>
            </w:pPr>
            <w:r>
              <w:rPr/>
              <w:t>3,985,367</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844" w:type="dxa"/>
            <w:tcBorders/>
            <w:shd w:fill="EEEEEE" w:val="clear"/>
            <w:tcMar>
              <w:bottom w:w="0" w:type="dxa"/>
            </w:tcMar>
            <w:vAlign w:val="center"/>
          </w:tcPr>
          <w:p>
            <w:pPr>
              <w:pStyle w:val="TableContents"/>
              <w:bidi w:val="0"/>
              <w:spacing w:before="0" w:after="283"/>
              <w:jc w:val="left"/>
              <w:rPr/>
            </w:pPr>
            <w:r>
              <w:rPr/>
              <w:t>June 2026</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2" w:type="dxa"/>
            <w:tcBorders>
              <w:bottom w:val="single" w:sz="8" w:space="0" w:color="000000"/>
            </w:tcBorders>
            <w:shd w:fill="EEEEEE" w:val="clear"/>
            <w:vAlign w:val="center"/>
          </w:tcPr>
          <w:p>
            <w:pPr>
              <w:pStyle w:val="TableContents"/>
              <w:bidi w:val="0"/>
              <w:spacing w:before="0" w:after="283"/>
              <w:jc w:val="left"/>
              <w:rPr/>
            </w:pPr>
            <w:r>
              <w:rPr/>
              <w:t> </w:t>
            </w:r>
          </w:p>
        </w:tc>
        <w:tc>
          <w:tcPr>
            <w:tcW w:w="1509" w:type="dxa"/>
            <w:tcBorders>
              <w:bottom w:val="single" w:sz="8" w:space="0" w:color="000000"/>
            </w:tcBorders>
            <w:shd w:fill="EEEEEE" w:val="clear"/>
            <w:vAlign w:val="center"/>
          </w:tcPr>
          <w:p>
            <w:pPr>
              <w:pStyle w:val="TableContents"/>
              <w:bidi w:val="0"/>
              <w:spacing w:before="0" w:after="283"/>
              <w:jc w:val="right"/>
              <w:rPr/>
            </w:pPr>
            <w:r>
              <w:rPr/>
              <w:t>35,551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19" w:type="dxa"/>
            <w:tcBorders>
              <w:bottom w:val="single" w:sz="8" w:space="0" w:color="000000"/>
            </w:tcBorders>
            <w:shd w:fill="EEEEEE" w:val="clear"/>
            <w:vAlign w:val="center"/>
          </w:tcPr>
          <w:p>
            <w:pPr>
              <w:pStyle w:val="TableContents"/>
              <w:bidi w:val="0"/>
              <w:spacing w:before="0" w:after="283"/>
              <w:jc w:val="left"/>
              <w:rPr/>
            </w:pPr>
            <w:r>
              <w:rPr/>
              <w:t>$</w:t>
            </w:r>
          </w:p>
        </w:tc>
        <w:tc>
          <w:tcPr>
            <w:tcW w:w="1005" w:type="dxa"/>
            <w:tcBorders>
              <w:bottom w:val="single" w:sz="8" w:space="0" w:color="000000"/>
            </w:tcBorders>
            <w:shd w:fill="EEEEEE" w:val="clear"/>
            <w:vAlign w:val="center"/>
          </w:tcPr>
          <w:p>
            <w:pPr>
              <w:pStyle w:val="TableContents"/>
              <w:bidi w:val="0"/>
              <w:spacing w:before="0" w:after="283"/>
              <w:jc w:val="right"/>
              <w:rPr/>
            </w:pPr>
            <w:r>
              <w:rPr/>
              <w:t>9.66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EEEEEE" w:val="clear"/>
            <w:vAlign w:val="center"/>
          </w:tcPr>
          <w:p>
            <w:pPr>
              <w:pStyle w:val="TableContents"/>
              <w:bidi w:val="0"/>
              <w:spacing w:before="0" w:after="283"/>
              <w:jc w:val="left"/>
              <w:rPr/>
            </w:pPr>
            <w:r>
              <w:rPr/>
              <w:t> </w:t>
            </w:r>
          </w:p>
        </w:tc>
        <w:tc>
          <w:tcPr>
            <w:tcW w:w="2574" w:type="dxa"/>
            <w:tcBorders>
              <w:bottom w:val="single" w:sz="8" w:space="0" w:color="000000"/>
            </w:tcBorders>
            <w:shd w:fill="EEEEEE" w:val="clear"/>
            <w:vAlign w:val="center"/>
          </w:tcPr>
          <w:p>
            <w:pPr>
              <w:pStyle w:val="TableContents"/>
              <w:bidi w:val="0"/>
              <w:spacing w:before="0" w:after="283"/>
              <w:jc w:val="right"/>
              <w:rPr/>
            </w:pPr>
            <w:r>
              <w:rPr/>
              <w:t>35,551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93" w:type="dxa"/>
            <w:tcBorders/>
            <w:shd w:fill="EEEEEE" w:val="clear"/>
            <w:tcMar>
              <w:bottom w:w="0" w:type="dxa"/>
            </w:tcMar>
            <w:vAlign w:val="center"/>
          </w:tcPr>
          <w:p>
            <w:pPr>
              <w:pStyle w:val="TableContents"/>
              <w:bidi w:val="0"/>
              <w:spacing w:before="0" w:after="283"/>
              <w:jc w:val="left"/>
              <w:rPr/>
            </w:pPr>
            <w:r>
              <w:rPr/>
              <w:t>$</w:t>
            </w:r>
          </w:p>
        </w:tc>
        <w:tc>
          <w:tcPr>
            <w:tcW w:w="2759" w:type="dxa"/>
            <w:tcBorders/>
            <w:shd w:fill="EEEEEE" w:val="clear"/>
            <w:tcMar>
              <w:bottom w:w="0" w:type="dxa"/>
            </w:tcMar>
            <w:vAlign w:val="center"/>
          </w:tcPr>
          <w:p>
            <w:pPr>
              <w:pStyle w:val="TableContents"/>
              <w:bidi w:val="0"/>
              <w:spacing w:before="0" w:after="283"/>
              <w:jc w:val="right"/>
              <w:rPr/>
            </w:pPr>
            <w:r>
              <w:rPr/>
              <w:t>3,642,032</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844"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bottom w:val="double" w:sz="6" w:space="0" w:color="000000"/>
            </w:tcBorders>
            <w:shd w:fill="FFFFFF" w:val="clear"/>
            <w:vAlign w:val="center"/>
          </w:tcPr>
          <w:p>
            <w:pPr>
              <w:pStyle w:val="TableContents"/>
              <w:bidi w:val="0"/>
              <w:spacing w:before="0" w:after="283"/>
              <w:jc w:val="left"/>
              <w:rPr/>
            </w:pPr>
            <w:r>
              <w:rPr/>
              <w:t> </w:t>
            </w:r>
          </w:p>
        </w:tc>
        <w:tc>
          <w:tcPr>
            <w:tcW w:w="1509" w:type="dxa"/>
            <w:tcBorders>
              <w:bottom w:val="double" w:sz="6" w:space="0" w:color="000000"/>
            </w:tcBorders>
            <w:shd w:fill="FFFFFF" w:val="clear"/>
            <w:vAlign w:val="center"/>
          </w:tcPr>
          <w:p>
            <w:pPr>
              <w:pStyle w:val="TableContents"/>
              <w:bidi w:val="0"/>
              <w:spacing w:before="0" w:after="283"/>
              <w:jc w:val="right"/>
              <w:rPr/>
            </w:pPr>
            <w:r>
              <w:rPr/>
              <w:t>231,134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vAlign w:val="center"/>
          </w:tcPr>
          <w:p>
            <w:pPr>
              <w:pStyle w:val="TableContents"/>
              <w:bidi w:val="0"/>
              <w:spacing w:before="0" w:after="283"/>
              <w:jc w:val="left"/>
              <w:rPr/>
            </w:pPr>
            <w:r>
              <w:rPr/>
              <w:t>$</w:t>
            </w:r>
          </w:p>
        </w:tc>
        <w:tc>
          <w:tcPr>
            <w:tcW w:w="1005" w:type="dxa"/>
            <w:tcBorders>
              <w:bottom w:val="double" w:sz="6" w:space="0" w:color="000000"/>
            </w:tcBorders>
            <w:shd w:fill="FFFFFF" w:val="clear"/>
            <w:vAlign w:val="center"/>
          </w:tcPr>
          <w:p>
            <w:pPr>
              <w:pStyle w:val="TableContents"/>
              <w:bidi w:val="0"/>
              <w:spacing w:before="0" w:after="283"/>
              <w:jc w:val="right"/>
              <w:rPr/>
            </w:pPr>
            <w:r>
              <w:rPr/>
              <w:t>9.68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vAlign w:val="center"/>
          </w:tcPr>
          <w:p>
            <w:pPr>
              <w:pStyle w:val="TableContents"/>
              <w:bidi w:val="0"/>
              <w:spacing w:before="0" w:after="283"/>
              <w:jc w:val="left"/>
              <w:rPr/>
            </w:pPr>
            <w:r>
              <w:rPr/>
              <w:t> </w:t>
            </w:r>
          </w:p>
        </w:tc>
        <w:tc>
          <w:tcPr>
            <w:tcW w:w="2574" w:type="dxa"/>
            <w:tcBorders>
              <w:bottom w:val="double" w:sz="6" w:space="0" w:color="000000"/>
            </w:tcBorders>
            <w:shd w:fill="FFFFFF" w:val="clear"/>
            <w:vAlign w:val="center"/>
          </w:tcPr>
          <w:p>
            <w:pPr>
              <w:pStyle w:val="TableContents"/>
              <w:bidi w:val="0"/>
              <w:spacing w:before="0" w:after="283"/>
              <w:jc w:val="right"/>
              <w:rPr/>
            </w:pPr>
            <w:r>
              <w:rPr/>
              <w:t>231,134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2759"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0"/>
        </w:rPr>
      </w:pPr>
      <w:r>
        <w:rPr>
          <w:sz w:val="20"/>
        </w:rPr>
        <w:t>____________________</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rPr>
            </w:pPr>
            <w:r>
              <w:rPr>
                <w:i/>
              </w:rPr>
              <w:t>(1)</w:t>
            </w:r>
          </w:p>
        </w:tc>
        <w:tc>
          <w:tcPr>
            <w:tcW w:w="9937" w:type="dxa"/>
            <w:tcBorders/>
            <w:vAlign w:val="center"/>
          </w:tcPr>
          <w:p>
            <w:pPr>
              <w:pStyle w:val="TableContents"/>
              <w:bidi w:val="0"/>
              <w:spacing w:before="0" w:after="283"/>
              <w:jc w:val="both"/>
              <w:rPr>
                <w:i/>
              </w:rPr>
            </w:pPr>
            <w:r>
              <w:rPr>
                <w:i/>
              </w:rPr>
              <w:t>Each monthly period is the calendar month.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rPr>
            </w:pPr>
            <w:r>
              <w:rPr>
                <w:i/>
              </w:rPr>
              <w:t>(2)</w:t>
            </w:r>
          </w:p>
        </w:tc>
        <w:tc>
          <w:tcPr>
            <w:tcW w:w="9937" w:type="dxa"/>
            <w:tcBorders/>
            <w:vAlign w:val="center"/>
          </w:tcPr>
          <w:p>
            <w:pPr>
              <w:pStyle w:val="TableContents"/>
              <w:bidi w:val="0"/>
              <w:spacing w:before="0" w:after="283"/>
              <w:jc w:val="both"/>
              <w:rPr>
                <w:i/>
              </w:rPr>
            </w:pPr>
            <w:r>
              <w:rPr>
                <w:i/>
              </w:rPr>
              <w:t xml:space="preserve">In July 2025, our board of directors authorized the purchase of an additional $5 million of our common stock. Through June 30, 2026, our board of directors had authorized the purchase of up to $128.2 million of our outstanding securities, which program was first announced in our annual report for the year 2002, filed on March 26, 2003. All purchases described in the table above were under the plan announced in March 2003, which has no fixed expiration date.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8" w:name="q2_015"/>
      <w:bookmarkEnd w:id="868"/>
      <w:r>
        <w:rPr>
          <w:rFonts w:ascii="Times New Roman;Times;Serif" w:hAnsi="Times New Roman;Times;Serif"/>
          <w:b/>
          <w:i w:val="false"/>
          <w:caps w:val="false"/>
          <w:smallCaps w:val="false"/>
          <w:sz w:val="20"/>
        </w:rPr>
        <w:t xml:space="preserve">Item 5. </w:t>
      </w:r>
      <w:r>
        <w:rPr>
          <w:rFonts w:ascii="Times New Roman;Times;Serif" w:hAnsi="Times New Roman;Times;Serif"/>
          <w:b/>
          <w:i/>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2026, no director or officer </w:t>
      </w:r>
      <w:bookmarkStart w:id="869" w:name="xdx_902_eecd--NonRule10b51ArrAdoptedFlag"/>
      <w:bookmarkStart w:id="870" w:name="xdx_904_eecd--Rule10b51ArrAdoptedFlag_db"/>
      <w:bookmarkEnd w:id="869"/>
      <w:bookmarkEnd w:id="870"/>
      <w:r>
        <w:rPr>
          <w:rFonts w:ascii="Times New Roman;Times;Serif" w:hAnsi="Times New Roman;Times;Serif"/>
          <w:b w:val="false"/>
          <w:i w:val="false"/>
          <w:caps w:val="false"/>
          <w:smallCaps w:val="false"/>
          <w:sz w:val="20"/>
        </w:rPr>
        <w:t xml:space="preserve">adopted or </w:t>
      </w:r>
      <w:bookmarkStart w:id="871" w:name="xdx_908_eecd--NonRule10b51ArrTrmntdFlag_"/>
      <w:bookmarkStart w:id="872" w:name="xdx_901_eecd--Rule10b51ArrTrmntdFlag_dbF"/>
      <w:bookmarkEnd w:id="871"/>
      <w:bookmarkEnd w:id="872"/>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3" w:name="q2_016"/>
      <w:bookmarkEnd w:id="873"/>
      <w:r>
        <w:rPr>
          <w:rFonts w:ascii="Times New Roman;Times;Serif" w:hAnsi="Times New Roman;Times;Serif"/>
          <w:b/>
          <w:i w:val="false"/>
          <w:caps w:val="false"/>
          <w:smallCaps w:val="false"/>
          <w:sz w:val="20"/>
        </w:rPr>
        <w:t xml:space="preserve">Item 6. </w:t>
      </w:r>
      <w:r>
        <w:rPr>
          <w:rFonts w:ascii="Times New Roman;Times;Serif" w:hAnsi="Times New Roman;Times;Serif"/>
          <w:b/>
          <w:i/>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with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7"/>
        <w:gridCol w:w="9528"/>
      </w:tblGrid>
      <w:tr>
        <w:trPr/>
        <w:tc>
          <w:tcPr>
            <w:tcW w:w="67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52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Instruments defining the rights of holders of long-term debt of certain consolidated subsidiaries of the registrant are omitted pursuant to the exclusion set forth in subdivisions (b)(iv)(iii)(A) and (b)(v) of Item 601 of Regulation S-K (17 CFR 229.601). The registrant agrees to provide copies of such instruments to the United States Securities and Exchange Commission upon request.</w:t>
            </w:r>
          </w:p>
        </w:tc>
      </w:tr>
      <w:tr>
        <w:trPr/>
        <w:tc>
          <w:tcPr>
            <w:tcW w:w="677" w:type="dxa"/>
            <w:tcBorders/>
            <w:vAlign w:val="center"/>
          </w:tcPr>
          <w:p>
            <w:pPr>
              <w:pStyle w:val="TableContents"/>
              <w:bidi w:val="0"/>
              <w:spacing w:before="0" w:after="283"/>
              <w:jc w:val="left"/>
              <w:rPr/>
            </w:pPr>
            <w:r>
              <w:rPr/>
              <w:t>10.1.0</w:t>
            </w:r>
          </w:p>
        </w:tc>
        <w:tc>
          <w:tcPr>
            <w:tcW w:w="9528" w:type="dxa"/>
            <w:tcBorders/>
            <w:vAlign w:val="center"/>
          </w:tcPr>
          <w:p>
            <w:pPr>
              <w:pStyle w:val="TableContents"/>
              <w:bidi w:val="0"/>
              <w:spacing w:before="0" w:after="283"/>
              <w:jc w:val="left"/>
              <w:rPr/>
            </w:pPr>
            <w:hyperlink w:anchor="cps_ex100100.htm">
              <w:r>
                <w:rPr>
                  <w:rStyle w:val="InternetLink"/>
                </w:rPr>
                <w:t>Auto Receivables Trust 2026-B Purchase Agreement dated April 1, 2026, between registrant and CPS Receivables Five LLC</w:t>
              </w:r>
            </w:hyperlink>
            <w:r>
              <w:rPr/>
              <w:t>** (filed herewith)</w:t>
            </w:r>
          </w:p>
        </w:tc>
      </w:tr>
      <w:tr>
        <w:trPr/>
        <w:tc>
          <w:tcPr>
            <w:tcW w:w="677" w:type="dxa"/>
            <w:tcBorders/>
            <w:vAlign w:val="center"/>
          </w:tcPr>
          <w:p>
            <w:pPr>
              <w:pStyle w:val="TableContents"/>
              <w:bidi w:val="0"/>
              <w:spacing w:before="0" w:after="283"/>
              <w:jc w:val="both"/>
              <w:rPr>
                <w:sz w:val="20"/>
              </w:rPr>
            </w:pPr>
            <w:r>
              <w:rPr>
                <w:sz w:val="20"/>
              </w:rPr>
              <w:t>10.1.1</w:t>
            </w:r>
          </w:p>
        </w:tc>
        <w:tc>
          <w:tcPr>
            <w:tcW w:w="9528" w:type="dxa"/>
            <w:tcBorders/>
            <w:vAlign w:val="center"/>
          </w:tcPr>
          <w:p>
            <w:pPr>
              <w:pStyle w:val="TableContents"/>
              <w:bidi w:val="0"/>
              <w:spacing w:before="0" w:after="283"/>
              <w:jc w:val="both"/>
              <w:rPr/>
            </w:pPr>
            <w:hyperlink w:anchor="cps_ex100101.htm">
              <w:r>
                <w:rPr>
                  <w:rStyle w:val="InternetLink"/>
                  <w:sz w:val="20"/>
                </w:rPr>
                <w:t>First Amendment to Loan and Security Agreement dated April 3, 2026, amongst registrant, Page Eleven Funding LLC, Computershare Trust Company, N.A., and Capital One, National Association</w:t>
              </w:r>
            </w:hyperlink>
            <w:r>
              <w:rPr>
                <w:sz w:val="20"/>
              </w:rPr>
              <w:t>** (filed herewith)</w:t>
            </w:r>
          </w:p>
        </w:tc>
      </w:tr>
      <w:tr>
        <w:trPr/>
        <w:tc>
          <w:tcPr>
            <w:tcW w:w="677" w:type="dxa"/>
            <w:tcBorders/>
            <w:vAlign w:val="center"/>
          </w:tcPr>
          <w:p>
            <w:pPr>
              <w:pStyle w:val="TableContents"/>
              <w:bidi w:val="0"/>
              <w:spacing w:before="0" w:after="283"/>
              <w:jc w:val="both"/>
              <w:rPr>
                <w:sz w:val="20"/>
              </w:rPr>
            </w:pPr>
            <w:r>
              <w:rPr>
                <w:sz w:val="20"/>
              </w:rPr>
              <w:t>31.1</w:t>
            </w:r>
          </w:p>
        </w:tc>
        <w:tc>
          <w:tcPr>
            <w:tcW w:w="9528" w:type="dxa"/>
            <w:tcBorders/>
            <w:vAlign w:val="center"/>
          </w:tcPr>
          <w:p>
            <w:pPr>
              <w:pStyle w:val="TableContents"/>
              <w:bidi w:val="0"/>
              <w:spacing w:before="0" w:after="283"/>
              <w:jc w:val="both"/>
              <w:rPr/>
            </w:pPr>
            <w:hyperlink w:anchor="cpss_ex3101.htm">
              <w:r>
                <w:rPr>
                  <w:rStyle w:val="InternetLink"/>
                  <w:sz w:val="20"/>
                </w:rPr>
                <w:t>Rule 13a-14(a) Certification of the Chief Executive Officer of the registrant.</w:t>
              </w:r>
            </w:hyperlink>
          </w:p>
        </w:tc>
      </w:tr>
      <w:tr>
        <w:trPr/>
        <w:tc>
          <w:tcPr>
            <w:tcW w:w="677" w:type="dxa"/>
            <w:tcBorders/>
            <w:vAlign w:val="center"/>
          </w:tcPr>
          <w:p>
            <w:pPr>
              <w:pStyle w:val="TableContents"/>
              <w:bidi w:val="0"/>
              <w:spacing w:before="0" w:after="283"/>
              <w:jc w:val="both"/>
              <w:rPr>
                <w:sz w:val="20"/>
              </w:rPr>
            </w:pPr>
            <w:r>
              <w:rPr>
                <w:sz w:val="20"/>
              </w:rPr>
              <w:t>31.2</w:t>
            </w:r>
          </w:p>
        </w:tc>
        <w:tc>
          <w:tcPr>
            <w:tcW w:w="9528" w:type="dxa"/>
            <w:tcBorders/>
            <w:vAlign w:val="center"/>
          </w:tcPr>
          <w:p>
            <w:pPr>
              <w:pStyle w:val="TableContents"/>
              <w:bidi w:val="0"/>
              <w:spacing w:before="0" w:after="283"/>
              <w:jc w:val="both"/>
              <w:rPr/>
            </w:pPr>
            <w:hyperlink w:anchor="cpss_ex3102.htm">
              <w:r>
                <w:rPr>
                  <w:rStyle w:val="InternetLink"/>
                  <w:sz w:val="20"/>
                </w:rPr>
                <w:t>Rule 13a-14(a) Certification of the Chief Financial Officer of the registrant.</w:t>
              </w:r>
            </w:hyperlink>
          </w:p>
        </w:tc>
      </w:tr>
      <w:tr>
        <w:trPr/>
        <w:tc>
          <w:tcPr>
            <w:tcW w:w="677" w:type="dxa"/>
            <w:tcBorders/>
            <w:vAlign w:val="center"/>
          </w:tcPr>
          <w:p>
            <w:pPr>
              <w:pStyle w:val="TableContents"/>
              <w:bidi w:val="0"/>
              <w:spacing w:before="0" w:after="283"/>
              <w:jc w:val="both"/>
              <w:rPr>
                <w:sz w:val="20"/>
              </w:rPr>
            </w:pPr>
            <w:r>
              <w:rPr>
                <w:sz w:val="20"/>
              </w:rPr>
              <w:t>32</w:t>
            </w:r>
          </w:p>
        </w:tc>
        <w:tc>
          <w:tcPr>
            <w:tcW w:w="9528" w:type="dxa"/>
            <w:tcBorders/>
            <w:vAlign w:val="center"/>
          </w:tcPr>
          <w:p>
            <w:pPr>
              <w:pStyle w:val="TableContents"/>
              <w:bidi w:val="0"/>
              <w:spacing w:before="0" w:after="0"/>
              <w:ind w:left="0" w:right="0" w:hanging="0"/>
              <w:jc w:val="both"/>
              <w:rPr/>
            </w:pPr>
            <w:hyperlink w:anchor="cpss_ex3200.htm">
              <w:r>
                <w:rPr>
                  <w:rStyle w:val="InternetLink"/>
                  <w:rFonts w:ascii="Times New Roman;Times;Serif" w:hAnsi="Times New Roman;Times;Serif"/>
                  <w:b w:val="false"/>
                  <w:i w:val="false"/>
                  <w:caps w:val="false"/>
                  <w:smallCaps w:val="false"/>
                  <w:sz w:val="20"/>
                </w:rPr>
                <w:t>Section 1350 Certifications.</w:t>
              </w:r>
            </w:hyperlink>
            <w:r>
              <w:rPr>
                <w:rFonts w:ascii="Times New Roman;Times;Serif" w:hAnsi="Times New Roman;Times;Serif"/>
                <w:b w:val="false"/>
                <w:i w:val="false"/>
                <w:caps w:val="false"/>
                <w:smallCaps w:val="false"/>
                <w:sz w:val="20"/>
              </w:rPr>
              <w:t>*</w:t>
            </w:r>
          </w:p>
        </w:tc>
      </w:tr>
      <w:tr>
        <w:trPr/>
        <w:tc>
          <w:tcPr>
            <w:tcW w:w="677" w:type="dxa"/>
            <w:tcBorders/>
            <w:vAlign w:val="center"/>
          </w:tcPr>
          <w:p>
            <w:pPr>
              <w:pStyle w:val="TableContents"/>
              <w:bidi w:val="0"/>
              <w:spacing w:before="0" w:after="283"/>
              <w:jc w:val="both"/>
              <w:rPr>
                <w:sz w:val="20"/>
              </w:rPr>
            </w:pPr>
            <w:r>
              <w:rPr>
                <w:sz w:val="20"/>
              </w:rPr>
              <w:t>101.INS</w:t>
            </w:r>
          </w:p>
        </w:tc>
        <w:tc>
          <w:tcPr>
            <w:tcW w:w="9528" w:type="dxa"/>
            <w:tcBorders/>
            <w:vAlign w:val="center"/>
          </w:tcPr>
          <w:p>
            <w:pPr>
              <w:pStyle w:val="TableContents"/>
              <w:bidi w:val="0"/>
              <w:spacing w:before="0" w:after="283"/>
              <w:jc w:val="both"/>
              <w:rPr>
                <w:sz w:val="20"/>
              </w:rPr>
            </w:pPr>
            <w:r>
              <w:rPr>
                <w:sz w:val="20"/>
              </w:rPr>
              <w:t>Inline XBRL Instance Document (the instance document does not appear in the Interactive Data File because its XBRL tags are embedded within the Inline XBRL document)</w:t>
            </w:r>
          </w:p>
        </w:tc>
      </w:tr>
      <w:tr>
        <w:trPr/>
        <w:tc>
          <w:tcPr>
            <w:tcW w:w="677" w:type="dxa"/>
            <w:tcBorders/>
            <w:vAlign w:val="center"/>
          </w:tcPr>
          <w:p>
            <w:pPr>
              <w:pStyle w:val="TableContents"/>
              <w:bidi w:val="0"/>
              <w:spacing w:before="0" w:after="283"/>
              <w:jc w:val="both"/>
              <w:rPr>
                <w:sz w:val="20"/>
              </w:rPr>
            </w:pPr>
            <w:r>
              <w:rPr>
                <w:sz w:val="20"/>
              </w:rPr>
              <w:t>101.SCH</w:t>
            </w:r>
          </w:p>
        </w:tc>
        <w:tc>
          <w:tcPr>
            <w:tcW w:w="9528" w:type="dxa"/>
            <w:tcBorders/>
            <w:vAlign w:val="center"/>
          </w:tcPr>
          <w:p>
            <w:pPr>
              <w:pStyle w:val="TableContents"/>
              <w:bidi w:val="0"/>
              <w:spacing w:before="0" w:after="283"/>
              <w:jc w:val="both"/>
              <w:rPr>
                <w:sz w:val="20"/>
              </w:rPr>
            </w:pPr>
            <w:r>
              <w:rPr>
                <w:sz w:val="20"/>
              </w:rPr>
              <w:t>Inline XBRL Taxonomy Extension Schema Document</w:t>
            </w:r>
          </w:p>
        </w:tc>
      </w:tr>
      <w:tr>
        <w:trPr/>
        <w:tc>
          <w:tcPr>
            <w:tcW w:w="677" w:type="dxa"/>
            <w:tcBorders/>
            <w:vAlign w:val="center"/>
          </w:tcPr>
          <w:p>
            <w:pPr>
              <w:pStyle w:val="TableContents"/>
              <w:bidi w:val="0"/>
              <w:spacing w:before="0" w:after="283"/>
              <w:jc w:val="both"/>
              <w:rPr>
                <w:sz w:val="20"/>
              </w:rPr>
            </w:pPr>
            <w:r>
              <w:rPr>
                <w:sz w:val="20"/>
              </w:rPr>
              <w:t>101.CAL</w:t>
            </w:r>
          </w:p>
        </w:tc>
        <w:tc>
          <w:tcPr>
            <w:tcW w:w="9528" w:type="dxa"/>
            <w:tcBorders/>
            <w:vAlign w:val="center"/>
          </w:tcPr>
          <w:p>
            <w:pPr>
              <w:pStyle w:val="TableContents"/>
              <w:bidi w:val="0"/>
              <w:spacing w:before="0" w:after="283"/>
              <w:jc w:val="both"/>
              <w:rPr>
                <w:sz w:val="20"/>
              </w:rPr>
            </w:pPr>
            <w:r>
              <w:rPr>
                <w:sz w:val="20"/>
              </w:rPr>
              <w:t>Inline XBRL Taxonomy Extension Calculation Linkbase Document</w:t>
            </w:r>
          </w:p>
        </w:tc>
      </w:tr>
      <w:tr>
        <w:trPr/>
        <w:tc>
          <w:tcPr>
            <w:tcW w:w="677" w:type="dxa"/>
            <w:tcBorders/>
            <w:vAlign w:val="center"/>
          </w:tcPr>
          <w:p>
            <w:pPr>
              <w:pStyle w:val="TableContents"/>
              <w:bidi w:val="0"/>
              <w:spacing w:before="0" w:after="283"/>
              <w:jc w:val="both"/>
              <w:rPr>
                <w:sz w:val="20"/>
              </w:rPr>
            </w:pPr>
            <w:r>
              <w:rPr>
                <w:sz w:val="20"/>
              </w:rPr>
              <w:t>101.DEF</w:t>
            </w:r>
          </w:p>
        </w:tc>
        <w:tc>
          <w:tcPr>
            <w:tcW w:w="9528" w:type="dxa"/>
            <w:tcBorders/>
            <w:vAlign w:val="center"/>
          </w:tcPr>
          <w:p>
            <w:pPr>
              <w:pStyle w:val="TableContents"/>
              <w:bidi w:val="0"/>
              <w:spacing w:before="0" w:after="283"/>
              <w:jc w:val="both"/>
              <w:rPr>
                <w:sz w:val="20"/>
              </w:rPr>
            </w:pPr>
            <w:r>
              <w:rPr>
                <w:sz w:val="20"/>
              </w:rPr>
              <w:t>Inline XBRL Taxonomy Extension Definition Linkbase Document</w:t>
            </w:r>
          </w:p>
        </w:tc>
      </w:tr>
      <w:tr>
        <w:trPr/>
        <w:tc>
          <w:tcPr>
            <w:tcW w:w="677" w:type="dxa"/>
            <w:tcBorders/>
            <w:vAlign w:val="center"/>
          </w:tcPr>
          <w:p>
            <w:pPr>
              <w:pStyle w:val="TableContents"/>
              <w:bidi w:val="0"/>
              <w:spacing w:before="0" w:after="283"/>
              <w:jc w:val="both"/>
              <w:rPr>
                <w:sz w:val="20"/>
              </w:rPr>
            </w:pPr>
            <w:r>
              <w:rPr>
                <w:sz w:val="20"/>
              </w:rPr>
              <w:t>101.LAB</w:t>
            </w:r>
          </w:p>
        </w:tc>
        <w:tc>
          <w:tcPr>
            <w:tcW w:w="9528" w:type="dxa"/>
            <w:tcBorders/>
            <w:vAlign w:val="center"/>
          </w:tcPr>
          <w:p>
            <w:pPr>
              <w:pStyle w:val="TableContents"/>
              <w:bidi w:val="0"/>
              <w:spacing w:before="0" w:after="283"/>
              <w:jc w:val="both"/>
              <w:rPr>
                <w:sz w:val="20"/>
              </w:rPr>
            </w:pPr>
            <w:r>
              <w:rPr>
                <w:sz w:val="20"/>
              </w:rPr>
              <w:t>Inline XBRL Taxonomy Extension Definition Linkbase Document</w:t>
            </w:r>
          </w:p>
        </w:tc>
      </w:tr>
      <w:tr>
        <w:trPr/>
        <w:tc>
          <w:tcPr>
            <w:tcW w:w="677" w:type="dxa"/>
            <w:tcBorders/>
            <w:vAlign w:val="center"/>
          </w:tcPr>
          <w:p>
            <w:pPr>
              <w:pStyle w:val="TableContents"/>
              <w:bidi w:val="0"/>
              <w:spacing w:before="0" w:after="283"/>
              <w:jc w:val="both"/>
              <w:rPr>
                <w:sz w:val="20"/>
              </w:rPr>
            </w:pPr>
            <w:r>
              <w:rPr>
                <w:sz w:val="20"/>
              </w:rPr>
              <w:t>101.PRE</w:t>
            </w:r>
          </w:p>
        </w:tc>
        <w:tc>
          <w:tcPr>
            <w:tcW w:w="9528" w:type="dxa"/>
            <w:tcBorders/>
            <w:vAlign w:val="center"/>
          </w:tcPr>
          <w:p>
            <w:pPr>
              <w:pStyle w:val="TableContents"/>
              <w:bidi w:val="0"/>
              <w:spacing w:before="0" w:after="283"/>
              <w:jc w:val="both"/>
              <w:rPr>
                <w:sz w:val="20"/>
              </w:rPr>
            </w:pPr>
            <w:r>
              <w:rPr>
                <w:sz w:val="20"/>
              </w:rPr>
              <w:t>Inline XBRL Taxonomy Extension Presentation Linkbase Document</w:t>
            </w:r>
          </w:p>
        </w:tc>
      </w:tr>
      <w:tr>
        <w:trPr/>
        <w:tc>
          <w:tcPr>
            <w:tcW w:w="677" w:type="dxa"/>
            <w:tcBorders/>
            <w:vAlign w:val="center"/>
          </w:tcPr>
          <w:p>
            <w:pPr>
              <w:pStyle w:val="TableContents"/>
              <w:bidi w:val="0"/>
              <w:spacing w:before="0" w:after="283"/>
              <w:jc w:val="both"/>
              <w:rPr>
                <w:sz w:val="20"/>
              </w:rPr>
            </w:pPr>
            <w:r>
              <w:rPr>
                <w:sz w:val="20"/>
              </w:rPr>
              <w:t>104</w:t>
            </w:r>
          </w:p>
        </w:tc>
        <w:tc>
          <w:tcPr>
            <w:tcW w:w="9528" w:type="dxa"/>
            <w:tcBorders/>
            <w:vAlign w:val="center"/>
          </w:tcPr>
          <w:p>
            <w:pPr>
              <w:pStyle w:val="TableContents"/>
              <w:bidi w:val="0"/>
              <w:spacing w:before="0" w:after="283"/>
              <w:jc w:val="both"/>
              <w:rPr>
                <w:sz w:val="20"/>
              </w:rPr>
            </w:pPr>
            <w:r>
              <w:rPr>
                <w:sz w:val="20"/>
              </w:rPr>
              <w:t>Cover Page Interactive Data File (formatted in inline XBRL, and included in exhibit 101).</w:t>
            </w:r>
          </w:p>
        </w:tc>
      </w:tr>
    </w:tbl>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288" w:right="0" w:firstLine="3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288" w:right="0" w:firstLine="3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portions of this exhibit have been omitted pursuant to Item 601(b)(10) of Regulation S-K.</w:t>
      </w:r>
    </w:p>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288" w:right="0" w:firstLine="346"/>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74" w:name="q2_017"/>
      <w:bookmarkEnd w:id="874"/>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duly caused this report to be signed on its behalf by the undersigned thereunto duly authorized.</w:t>
      </w:r>
    </w:p>
    <w:p>
      <w:pPr>
        <w:pStyle w:val="TextBody"/>
        <w:bidi w:val="0"/>
        <w:spacing w:before="0" w:after="0"/>
        <w:ind w:left="0" w:right="0" w:firstLine="288"/>
        <w:jc w:val="both"/>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2180"/>
        <w:gridCol w:w="425"/>
        <w:gridCol w:w="4370"/>
      </w:tblGrid>
      <w:tr>
        <w:trPr/>
        <w:tc>
          <w:tcPr>
            <w:tcW w:w="218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b/>
                <w:sz w:val="20"/>
              </w:rPr>
            </w:pPr>
            <w:r>
              <w:rPr>
                <w:b/>
                <w:sz w:val="20"/>
              </w:rPr>
              <w:t>CONSUMER PORTFOLIO SERVICES, INC.</w:t>
            </w:r>
          </w:p>
        </w:tc>
      </w:tr>
      <w:tr>
        <w:trPr/>
        <w:tc>
          <w:tcPr>
            <w:tcW w:w="218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pPr>
            <w:r>
              <w:rPr/>
              <w:t>(Registrant)</w:t>
            </w:r>
          </w:p>
        </w:tc>
      </w:tr>
      <w:tr>
        <w:trPr/>
        <w:tc>
          <w:tcPr>
            <w:tcW w:w="218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Date: August 07, 2026</w:t>
            </w:r>
          </w:p>
        </w:tc>
        <w:tc>
          <w:tcPr>
            <w:tcW w:w="425" w:type="dxa"/>
            <w:tcBorders/>
            <w:vAlign w:val="center"/>
          </w:tcPr>
          <w:p>
            <w:pPr>
              <w:pStyle w:val="TableContents"/>
              <w:bidi w:val="0"/>
              <w:spacing w:before="0" w:after="283"/>
              <w:jc w:val="left"/>
              <w:rPr/>
            </w:pPr>
            <w:r>
              <w:rPr/>
              <w:t>By:</w:t>
            </w:r>
          </w:p>
        </w:tc>
        <w:tc>
          <w:tcPr>
            <w:tcW w:w="4370" w:type="dxa"/>
            <w:tcBorders>
              <w:bottom w:val="single" w:sz="8" w:space="0" w:color="000000"/>
            </w:tcBorders>
            <w:tcMar>
              <w:bottom w:w="28" w:type="dxa"/>
            </w:tcMar>
            <w:vAlign w:val="center"/>
          </w:tcPr>
          <w:p>
            <w:pPr>
              <w:pStyle w:val="TableContents"/>
              <w:bidi w:val="0"/>
              <w:spacing w:before="0" w:after="283"/>
              <w:jc w:val="left"/>
              <w:rPr/>
            </w:pPr>
            <w:r>
              <w:rPr/>
              <w:t>/s/ CHARLES E. BRADLEY, JR.</w:t>
            </w:r>
          </w:p>
        </w:tc>
      </w:tr>
      <w:tr>
        <w:trPr/>
        <w:tc>
          <w:tcPr>
            <w:tcW w:w="21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Charles E. Bradley, Jr.</w:t>
            </w:r>
          </w:p>
        </w:tc>
      </w:tr>
      <w:tr>
        <w:trPr/>
        <w:tc>
          <w:tcPr>
            <w:tcW w:w="21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i/>
              </w:rPr>
            </w:pPr>
            <w:r>
              <w:rPr>
                <w:i/>
              </w:rPr>
              <w:t>Chief Executive Officer</w:t>
            </w:r>
          </w:p>
        </w:tc>
      </w:tr>
      <w:tr>
        <w:trPr/>
        <w:tc>
          <w:tcPr>
            <w:tcW w:w="21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sz w:val="20"/>
              </w:rPr>
            </w:pPr>
            <w:r>
              <w:rPr>
                <w:sz w:val="20"/>
              </w:rPr>
              <w:t>(Principal Executive Officer)</w:t>
            </w:r>
          </w:p>
        </w:tc>
      </w:tr>
      <w:tr>
        <w:trPr/>
        <w:tc>
          <w:tcPr>
            <w:tcW w:w="21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Date: August 07, 2026</w:t>
            </w:r>
          </w:p>
        </w:tc>
        <w:tc>
          <w:tcPr>
            <w:tcW w:w="425" w:type="dxa"/>
            <w:tcBorders/>
            <w:vAlign w:val="center"/>
          </w:tcPr>
          <w:p>
            <w:pPr>
              <w:pStyle w:val="TableContents"/>
              <w:bidi w:val="0"/>
              <w:spacing w:before="0" w:after="283"/>
              <w:jc w:val="left"/>
              <w:rPr/>
            </w:pPr>
            <w:r>
              <w:rPr/>
              <w:t xml:space="preserve">By: </w:t>
            </w:r>
          </w:p>
        </w:tc>
        <w:tc>
          <w:tcPr>
            <w:tcW w:w="4370" w:type="dxa"/>
            <w:tcBorders>
              <w:bottom w:val="single" w:sz="8" w:space="0" w:color="000000"/>
            </w:tcBorders>
            <w:tcMar>
              <w:bottom w:w="28" w:type="dxa"/>
            </w:tcMar>
            <w:vAlign w:val="center"/>
          </w:tcPr>
          <w:p>
            <w:pPr>
              <w:pStyle w:val="TableContents"/>
              <w:bidi w:val="0"/>
              <w:spacing w:before="0" w:after="283"/>
              <w:jc w:val="left"/>
              <w:rPr/>
            </w:pPr>
            <w:r>
              <w:rPr/>
              <w:t>/s/ DENESH BHARWANI</w:t>
            </w:r>
          </w:p>
        </w:tc>
      </w:tr>
      <w:tr>
        <w:trPr/>
        <w:tc>
          <w:tcPr>
            <w:tcW w:w="21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Denesh Bharwani</w:t>
            </w:r>
          </w:p>
        </w:tc>
      </w:tr>
      <w:tr>
        <w:trPr/>
        <w:tc>
          <w:tcPr>
            <w:tcW w:w="21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i/>
                <w:sz w:val="20"/>
              </w:rPr>
            </w:pPr>
            <w:r>
              <w:rPr>
                <w:i/>
                <w:sz w:val="20"/>
              </w:rPr>
              <w:t>Executive Vice President and Chief Financial Officer</w:t>
            </w:r>
          </w:p>
        </w:tc>
      </w:tr>
      <w:tr>
        <w:trPr/>
        <w:tc>
          <w:tcPr>
            <w:tcW w:w="21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(Principal Financial Officer)</w:t>
            </w:r>
          </w:p>
        </w:tc>
      </w:tr>
    </w:tbl>
    <w:p>
      <w:pPr>
        <w:pStyle w:val="TextBody"/>
        <w:bidi w:val="0"/>
        <w:spacing w:before="0" w:after="12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875" w:name="cps_ex100100.htm"/>
      <w:bookmarkStart w:id="876" w:name="kscps_ex100100"/>
      <w:bookmarkEnd w:id="875"/>
      <w:bookmarkEnd w:id="876"/>
      <w:r>
        <w:rPr>
          <w:b/>
        </w:rPr>
        <w:t>Exhibit 10.1.0</w:t>
      </w:r>
      <w:r>
        <w:br w:type="page"/>
      </w:r>
    </w:p>
    <w:p>
      <w:pPr>
        <w:pStyle w:val="TextBody"/>
        <w:bidi w:val="0"/>
        <w:jc w:val="left"/>
        <w:rPr/>
      </w:pPr>
      <w:r>
        <w:rPr/>
        <w:t> </w:t>
      </w:r>
    </w:p>
    <w:p>
      <w:pPr>
        <w:pStyle w:val="TextBody"/>
        <w:bidi w:val="0"/>
        <w:spacing w:before="0" w:after="0"/>
        <w:ind w:left="360" w:right="36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IDENTIFIED INFORMATION HAS BEEN EXCLUDED FROM THE EXHIBIT BECAUSE IT BOTH (I) IS NOT MATERIAL AND (II) WOULD BE COMPETITIVELY HARMFUL IF PUBLICLY DISCLOSED. SUCH EXCLUDED INFORMATION HAS BEEN MARKED WITH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81" w:right="273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RECEIVABLES PURCHASE AGREEMENT</w:t>
      </w:r>
    </w:p>
    <w:p>
      <w:pPr>
        <w:pStyle w:val="TextBody"/>
        <w:bidi w:val="0"/>
        <w:spacing w:before="0" w:after="0"/>
        <w:ind w:left="2384" w:right="273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among</w:t>
      </w:r>
    </w:p>
    <w:p>
      <w:pPr>
        <w:pStyle w:val="TextBody"/>
        <w:bidi w:val="0"/>
        <w:spacing w:before="0" w:after="0"/>
        <w:ind w:left="360" w:right="36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4059" w:right="44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Seller, and</w:t>
      </w:r>
    </w:p>
    <w:p>
      <w:pPr>
        <w:pStyle w:val="TextBody"/>
        <w:bidi w:val="0"/>
        <w:spacing w:before="0" w:after="0"/>
        <w:ind w:left="2381" w:right="273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CPS RECEIVABLES FIVE LLC, as</w:t>
      </w:r>
    </w:p>
    <w:p>
      <w:pPr>
        <w:pStyle w:val="TextBody"/>
        <w:bidi w:val="0"/>
        <w:spacing w:before="0" w:after="0"/>
        <w:ind w:left="2381" w:right="274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April 1,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7065" w:type="dxa"/>
        <w:jc w:val="left"/>
        <w:tblInd w:w="0" w:type="dxa"/>
        <w:tblLayout w:type="fixed"/>
        <w:tblCellMar>
          <w:top w:w="0" w:type="dxa"/>
          <w:left w:w="0" w:type="dxa"/>
          <w:bottom w:w="0" w:type="dxa"/>
          <w:right w:w="0" w:type="dxa"/>
        </w:tblCellMar>
      </w:tblPr>
      <w:tblGrid>
        <w:gridCol w:w="1220"/>
        <w:gridCol w:w="5315"/>
        <w:gridCol w:w="530"/>
      </w:tblGrid>
      <w:tr>
        <w:trPr/>
        <w:tc>
          <w:tcPr>
            <w:tcW w:w="122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6535" w:type="dxa"/>
            <w:gridSpan w:val="2"/>
            <w:tcBorders/>
            <w:shd w:fill="EEEEEE" w:val="clear"/>
            <w:vAlign w:val="center"/>
          </w:tcPr>
          <w:p>
            <w:pPr>
              <w:pStyle w:val="TableContents"/>
              <w:bidi w:val="0"/>
              <w:spacing w:before="0" w:after="283"/>
              <w:jc w:val="left"/>
              <w:rPr/>
            </w:pPr>
            <w:r>
              <w:rPr/>
              <w:t xml:space="preserve">ARTICLE 1 CERTAIN DEFINITIONS </w:t>
            </w:r>
          </w:p>
        </w:tc>
        <w:tc>
          <w:tcPr>
            <w:tcW w:w="530" w:type="dxa"/>
            <w:tcBorders/>
            <w:shd w:fill="EEEEEE" w:val="clear"/>
            <w:vAlign w:val="center"/>
          </w:tcPr>
          <w:p>
            <w:pPr>
              <w:pStyle w:val="TableContents"/>
              <w:bidi w:val="0"/>
              <w:spacing w:before="0" w:after="283"/>
              <w:jc w:val="center"/>
              <w:rPr/>
            </w:pPr>
            <w:r>
              <w:rPr/>
              <w:t>1</w:t>
            </w:r>
          </w:p>
        </w:tc>
      </w:tr>
      <w:tr>
        <w:trPr/>
        <w:tc>
          <w:tcPr>
            <w:tcW w:w="1220" w:type="dxa"/>
            <w:tcBorders/>
            <w:shd w:fill="FFFFFF" w:val="clear"/>
            <w:vAlign w:val="center"/>
          </w:tcPr>
          <w:p>
            <w:pPr>
              <w:pStyle w:val="TableContents"/>
              <w:bidi w:val="0"/>
              <w:spacing w:before="0" w:after="283"/>
              <w:jc w:val="left"/>
              <w:rPr/>
            </w:pPr>
            <w:r>
              <w:rPr/>
              <w:t>Section 1.1</w:t>
            </w:r>
          </w:p>
        </w:tc>
        <w:tc>
          <w:tcPr>
            <w:tcW w:w="5315" w:type="dxa"/>
            <w:tcBorders/>
            <w:shd w:fill="FFFFFF" w:val="clear"/>
            <w:vAlign w:val="center"/>
          </w:tcPr>
          <w:p>
            <w:pPr>
              <w:pStyle w:val="TableContents"/>
              <w:bidi w:val="0"/>
              <w:spacing w:before="0" w:after="283"/>
              <w:jc w:val="left"/>
              <w:rPr/>
            </w:pPr>
            <w:r>
              <w:rPr/>
              <w:t>Definitions</w:t>
            </w:r>
          </w:p>
        </w:tc>
        <w:tc>
          <w:tcPr>
            <w:tcW w:w="530" w:type="dxa"/>
            <w:tcBorders/>
            <w:shd w:fill="FFFFFF" w:val="clear"/>
            <w:vAlign w:val="center"/>
          </w:tcPr>
          <w:p>
            <w:pPr>
              <w:pStyle w:val="TableContents"/>
              <w:bidi w:val="0"/>
              <w:spacing w:before="0" w:after="283"/>
              <w:jc w:val="center"/>
              <w:rPr/>
            </w:pPr>
            <w:r>
              <w:rPr/>
              <w:t>1</w:t>
            </w:r>
          </w:p>
        </w:tc>
      </w:tr>
      <w:tr>
        <w:trPr/>
        <w:tc>
          <w:tcPr>
            <w:tcW w:w="1220" w:type="dxa"/>
            <w:tcBorders/>
            <w:shd w:fill="EEEEEE" w:val="clear"/>
            <w:vAlign w:val="center"/>
          </w:tcPr>
          <w:p>
            <w:pPr>
              <w:pStyle w:val="TableContents"/>
              <w:bidi w:val="0"/>
              <w:spacing w:before="0" w:after="283"/>
              <w:jc w:val="left"/>
              <w:rPr/>
            </w:pPr>
            <w:r>
              <w:rPr/>
              <w:t>Section 1.2</w:t>
            </w:r>
          </w:p>
        </w:tc>
        <w:tc>
          <w:tcPr>
            <w:tcW w:w="5315" w:type="dxa"/>
            <w:tcBorders/>
            <w:shd w:fill="EEEEEE" w:val="clear"/>
            <w:vAlign w:val="center"/>
          </w:tcPr>
          <w:p>
            <w:pPr>
              <w:pStyle w:val="TableContents"/>
              <w:bidi w:val="0"/>
              <w:spacing w:before="0" w:after="283"/>
              <w:jc w:val="left"/>
              <w:rPr/>
            </w:pPr>
            <w:r>
              <w:rPr/>
              <w:t>Other Definitional Provisions</w:t>
            </w:r>
          </w:p>
        </w:tc>
        <w:tc>
          <w:tcPr>
            <w:tcW w:w="530" w:type="dxa"/>
            <w:tcBorders/>
            <w:shd w:fill="EEEEEE" w:val="clear"/>
            <w:vAlign w:val="center"/>
          </w:tcPr>
          <w:p>
            <w:pPr>
              <w:pStyle w:val="TableContents"/>
              <w:bidi w:val="0"/>
              <w:spacing w:before="0" w:after="283"/>
              <w:jc w:val="center"/>
              <w:rPr/>
            </w:pPr>
            <w:r>
              <w:rPr/>
              <w:t>4</w:t>
            </w:r>
          </w:p>
        </w:tc>
      </w:tr>
      <w:tr>
        <w:trPr/>
        <w:tc>
          <w:tcPr>
            <w:tcW w:w="1220" w:type="dxa"/>
            <w:tcBorders/>
            <w:shd w:fill="FFFFFF" w:val="clear"/>
            <w:vAlign w:val="center"/>
          </w:tcPr>
          <w:p>
            <w:pPr>
              <w:pStyle w:val="TableContents"/>
              <w:bidi w:val="0"/>
              <w:spacing w:before="0" w:after="283"/>
              <w:jc w:val="left"/>
              <w:rPr/>
            </w:pPr>
            <w:r>
              <w:rPr/>
              <w:t>Section 1.3</w:t>
            </w:r>
          </w:p>
        </w:tc>
        <w:tc>
          <w:tcPr>
            <w:tcW w:w="5315" w:type="dxa"/>
            <w:tcBorders/>
            <w:shd w:fill="FFFFFF" w:val="clear"/>
            <w:vAlign w:val="center"/>
          </w:tcPr>
          <w:p>
            <w:pPr>
              <w:pStyle w:val="TableContents"/>
              <w:bidi w:val="0"/>
              <w:spacing w:before="0" w:after="283"/>
              <w:jc w:val="left"/>
              <w:rPr/>
            </w:pPr>
            <w:r>
              <w:rPr/>
              <w:t>Action by or Consent of Noteholders or Securityholders</w:t>
            </w:r>
          </w:p>
        </w:tc>
        <w:tc>
          <w:tcPr>
            <w:tcW w:w="530" w:type="dxa"/>
            <w:tcBorders/>
            <w:shd w:fill="FFFFFF" w:val="clear"/>
            <w:vAlign w:val="center"/>
          </w:tcPr>
          <w:p>
            <w:pPr>
              <w:pStyle w:val="TableContents"/>
              <w:bidi w:val="0"/>
              <w:spacing w:before="0" w:after="283"/>
              <w:jc w:val="center"/>
              <w:rPr/>
            </w:pPr>
            <w:r>
              <w:rPr/>
              <w:t>5</w:t>
            </w:r>
          </w:p>
        </w:tc>
      </w:tr>
      <w:tr>
        <w:trPr/>
        <w:tc>
          <w:tcPr>
            <w:tcW w:w="1220" w:type="dxa"/>
            <w:tcBorders/>
            <w:shd w:fill="EEEEEE" w:val="clear"/>
            <w:vAlign w:val="center"/>
          </w:tcPr>
          <w:p>
            <w:pPr>
              <w:pStyle w:val="TableContents"/>
              <w:bidi w:val="0"/>
              <w:spacing w:before="0" w:after="283"/>
              <w:jc w:val="left"/>
              <w:rPr/>
            </w:pPr>
            <w:r>
              <w:rPr/>
              <w:t> </w:t>
            </w:r>
          </w:p>
        </w:tc>
        <w:tc>
          <w:tcPr>
            <w:tcW w:w="5315" w:type="dxa"/>
            <w:tcBorders/>
            <w:shd w:fill="EEEEEE" w:val="clear"/>
            <w:vAlign w:val="center"/>
          </w:tcPr>
          <w:p>
            <w:pPr>
              <w:pStyle w:val="TableContents"/>
              <w:bidi w:val="0"/>
              <w:spacing w:before="0" w:after="283"/>
              <w:jc w:val="left"/>
              <w:rPr/>
            </w:pPr>
            <w:r>
              <w:rPr/>
              <w:t> </w:t>
            </w:r>
          </w:p>
        </w:tc>
        <w:tc>
          <w:tcPr>
            <w:tcW w:w="530" w:type="dxa"/>
            <w:tcBorders/>
            <w:shd w:fill="EEEEEE" w:val="clear"/>
            <w:vAlign w:val="center"/>
          </w:tcPr>
          <w:p>
            <w:pPr>
              <w:pStyle w:val="TableContents"/>
              <w:bidi w:val="0"/>
              <w:spacing w:before="0" w:after="283"/>
              <w:jc w:val="center"/>
              <w:rPr/>
            </w:pPr>
            <w:r>
              <w:rPr/>
              <w:t> </w:t>
            </w:r>
          </w:p>
        </w:tc>
      </w:tr>
      <w:tr>
        <w:trPr/>
        <w:tc>
          <w:tcPr>
            <w:tcW w:w="6535" w:type="dxa"/>
            <w:gridSpan w:val="2"/>
            <w:tcBorders/>
            <w:shd w:fill="FFFFFF" w:val="clear"/>
            <w:vAlign w:val="center"/>
          </w:tcPr>
          <w:p>
            <w:pPr>
              <w:pStyle w:val="TableContents"/>
              <w:bidi w:val="0"/>
              <w:spacing w:before="0" w:after="283"/>
              <w:jc w:val="left"/>
              <w:rPr/>
            </w:pPr>
            <w:r>
              <w:rPr/>
              <w:t xml:space="preserve">ARTICLE 2 PURCHASE AND SALE OF RECEIVABLES </w:t>
            </w:r>
          </w:p>
        </w:tc>
        <w:tc>
          <w:tcPr>
            <w:tcW w:w="530" w:type="dxa"/>
            <w:tcBorders/>
            <w:shd w:fill="FFFFFF" w:val="clear"/>
            <w:vAlign w:val="center"/>
          </w:tcPr>
          <w:p>
            <w:pPr>
              <w:pStyle w:val="TableContents"/>
              <w:bidi w:val="0"/>
              <w:spacing w:before="0" w:after="283"/>
              <w:jc w:val="center"/>
              <w:rPr/>
            </w:pPr>
            <w:r>
              <w:rPr/>
              <w:t>5</w:t>
            </w:r>
          </w:p>
        </w:tc>
      </w:tr>
      <w:tr>
        <w:trPr/>
        <w:tc>
          <w:tcPr>
            <w:tcW w:w="1220" w:type="dxa"/>
            <w:tcBorders/>
            <w:shd w:fill="EEEEEE" w:val="clear"/>
            <w:vAlign w:val="center"/>
          </w:tcPr>
          <w:p>
            <w:pPr>
              <w:pStyle w:val="TableContents"/>
              <w:bidi w:val="0"/>
              <w:spacing w:before="0" w:after="283"/>
              <w:jc w:val="left"/>
              <w:rPr/>
            </w:pPr>
            <w:r>
              <w:rPr/>
              <w:t>Section 2.1</w:t>
            </w:r>
          </w:p>
        </w:tc>
        <w:tc>
          <w:tcPr>
            <w:tcW w:w="5315" w:type="dxa"/>
            <w:tcBorders/>
            <w:shd w:fill="EEEEEE" w:val="clear"/>
            <w:vAlign w:val="center"/>
          </w:tcPr>
          <w:p>
            <w:pPr>
              <w:pStyle w:val="TableContents"/>
              <w:bidi w:val="0"/>
              <w:spacing w:before="0" w:after="283"/>
              <w:jc w:val="left"/>
              <w:rPr/>
            </w:pPr>
            <w:r>
              <w:rPr/>
              <w:t>Purchase and Sale of Receivables</w:t>
            </w:r>
          </w:p>
        </w:tc>
        <w:tc>
          <w:tcPr>
            <w:tcW w:w="530" w:type="dxa"/>
            <w:tcBorders/>
            <w:shd w:fill="EEEEEE" w:val="clear"/>
            <w:vAlign w:val="center"/>
          </w:tcPr>
          <w:p>
            <w:pPr>
              <w:pStyle w:val="TableContents"/>
              <w:bidi w:val="0"/>
              <w:spacing w:before="0" w:after="283"/>
              <w:jc w:val="center"/>
              <w:rPr/>
            </w:pPr>
            <w:r>
              <w:rPr/>
              <w:t>5</w:t>
            </w:r>
          </w:p>
        </w:tc>
      </w:tr>
      <w:tr>
        <w:trPr/>
        <w:tc>
          <w:tcPr>
            <w:tcW w:w="1220" w:type="dxa"/>
            <w:tcBorders/>
            <w:shd w:fill="FFFFFF" w:val="clear"/>
            <w:vAlign w:val="center"/>
          </w:tcPr>
          <w:p>
            <w:pPr>
              <w:pStyle w:val="TableContents"/>
              <w:bidi w:val="0"/>
              <w:spacing w:before="0" w:after="283"/>
              <w:jc w:val="left"/>
              <w:rPr/>
            </w:pPr>
            <w:r>
              <w:rPr/>
              <w:t>Section 2.2</w:t>
            </w:r>
          </w:p>
        </w:tc>
        <w:tc>
          <w:tcPr>
            <w:tcW w:w="5315" w:type="dxa"/>
            <w:tcBorders/>
            <w:shd w:fill="FFFFFF" w:val="clear"/>
            <w:vAlign w:val="center"/>
          </w:tcPr>
          <w:p>
            <w:pPr>
              <w:pStyle w:val="TableContents"/>
              <w:bidi w:val="0"/>
              <w:spacing w:before="0" w:after="283"/>
              <w:jc w:val="left"/>
              <w:rPr/>
            </w:pPr>
            <w:r>
              <w:rPr/>
              <w:t>Reserved</w:t>
            </w:r>
          </w:p>
        </w:tc>
        <w:tc>
          <w:tcPr>
            <w:tcW w:w="530" w:type="dxa"/>
            <w:tcBorders/>
            <w:shd w:fill="FFFFFF" w:val="clear"/>
            <w:vAlign w:val="center"/>
          </w:tcPr>
          <w:p>
            <w:pPr>
              <w:pStyle w:val="TableContents"/>
              <w:bidi w:val="0"/>
              <w:spacing w:before="0" w:after="283"/>
              <w:jc w:val="center"/>
              <w:rPr/>
            </w:pPr>
            <w:r>
              <w:rPr/>
              <w:t>7</w:t>
            </w:r>
          </w:p>
        </w:tc>
      </w:tr>
      <w:tr>
        <w:trPr/>
        <w:tc>
          <w:tcPr>
            <w:tcW w:w="1220" w:type="dxa"/>
            <w:tcBorders/>
            <w:shd w:fill="EEEEEE" w:val="clear"/>
            <w:vAlign w:val="center"/>
          </w:tcPr>
          <w:p>
            <w:pPr>
              <w:pStyle w:val="TableContents"/>
              <w:bidi w:val="0"/>
              <w:spacing w:before="0" w:after="283"/>
              <w:jc w:val="left"/>
              <w:rPr/>
            </w:pPr>
            <w:r>
              <w:rPr/>
              <w:t>Section 2.3</w:t>
            </w:r>
          </w:p>
        </w:tc>
        <w:tc>
          <w:tcPr>
            <w:tcW w:w="5315" w:type="dxa"/>
            <w:tcBorders/>
            <w:shd w:fill="EEEEEE" w:val="clear"/>
            <w:vAlign w:val="center"/>
          </w:tcPr>
          <w:p>
            <w:pPr>
              <w:pStyle w:val="TableContents"/>
              <w:bidi w:val="0"/>
              <w:spacing w:before="0" w:after="283"/>
              <w:jc w:val="left"/>
              <w:rPr/>
            </w:pPr>
            <w:r>
              <w:rPr/>
              <w:t>The Closing</w:t>
            </w:r>
          </w:p>
        </w:tc>
        <w:tc>
          <w:tcPr>
            <w:tcW w:w="530" w:type="dxa"/>
            <w:tcBorders/>
            <w:shd w:fill="EEEEEE" w:val="clear"/>
            <w:vAlign w:val="center"/>
          </w:tcPr>
          <w:p>
            <w:pPr>
              <w:pStyle w:val="TableContents"/>
              <w:bidi w:val="0"/>
              <w:spacing w:before="0" w:after="283"/>
              <w:jc w:val="center"/>
              <w:rPr/>
            </w:pPr>
            <w:r>
              <w:rPr/>
              <w:t>7</w:t>
            </w:r>
          </w:p>
        </w:tc>
      </w:tr>
      <w:tr>
        <w:trPr/>
        <w:tc>
          <w:tcPr>
            <w:tcW w:w="1220" w:type="dxa"/>
            <w:tcBorders/>
            <w:shd w:fill="FFFFFF" w:val="clear"/>
            <w:vAlign w:val="center"/>
          </w:tcPr>
          <w:p>
            <w:pPr>
              <w:pStyle w:val="TableContents"/>
              <w:bidi w:val="0"/>
              <w:spacing w:before="0" w:after="283"/>
              <w:jc w:val="left"/>
              <w:rPr/>
            </w:pPr>
            <w:r>
              <w:rPr/>
              <w:t> </w:t>
            </w:r>
          </w:p>
        </w:tc>
        <w:tc>
          <w:tcPr>
            <w:tcW w:w="53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535" w:type="dxa"/>
            <w:gridSpan w:val="2"/>
            <w:tcBorders/>
            <w:shd w:fill="EEEEEE" w:val="clear"/>
            <w:vAlign w:val="center"/>
          </w:tcPr>
          <w:p>
            <w:pPr>
              <w:pStyle w:val="TableContents"/>
              <w:bidi w:val="0"/>
              <w:spacing w:before="0" w:after="283"/>
              <w:jc w:val="left"/>
              <w:rPr/>
            </w:pPr>
            <w:r>
              <w:rPr/>
              <w:t xml:space="preserve">ARTICLE 3 REPRESENTATIONS AND WARRANTIES </w:t>
            </w:r>
          </w:p>
        </w:tc>
        <w:tc>
          <w:tcPr>
            <w:tcW w:w="530" w:type="dxa"/>
            <w:tcBorders/>
            <w:shd w:fill="EEEEEE" w:val="clear"/>
            <w:vAlign w:val="center"/>
          </w:tcPr>
          <w:p>
            <w:pPr>
              <w:pStyle w:val="TableContents"/>
              <w:bidi w:val="0"/>
              <w:spacing w:before="0" w:after="283"/>
              <w:jc w:val="center"/>
              <w:rPr/>
            </w:pPr>
            <w:r>
              <w:rPr/>
              <w:t>7</w:t>
            </w:r>
          </w:p>
        </w:tc>
      </w:tr>
      <w:tr>
        <w:trPr/>
        <w:tc>
          <w:tcPr>
            <w:tcW w:w="1220" w:type="dxa"/>
            <w:tcBorders/>
            <w:shd w:fill="FFFFFF" w:val="clear"/>
            <w:vAlign w:val="center"/>
          </w:tcPr>
          <w:p>
            <w:pPr>
              <w:pStyle w:val="TableContents"/>
              <w:bidi w:val="0"/>
              <w:spacing w:before="0" w:after="283"/>
              <w:jc w:val="left"/>
              <w:rPr/>
            </w:pPr>
            <w:r>
              <w:rPr/>
              <w:t>Section 3.1</w:t>
            </w:r>
          </w:p>
        </w:tc>
        <w:tc>
          <w:tcPr>
            <w:tcW w:w="5315" w:type="dxa"/>
            <w:tcBorders/>
            <w:shd w:fill="FFFFFF" w:val="clear"/>
            <w:vAlign w:val="center"/>
          </w:tcPr>
          <w:p>
            <w:pPr>
              <w:pStyle w:val="TableContents"/>
              <w:bidi w:val="0"/>
              <w:spacing w:before="0" w:after="283"/>
              <w:jc w:val="left"/>
              <w:rPr/>
            </w:pPr>
            <w:r>
              <w:rPr/>
              <w:t>Representations and Warranties of the Purchaser</w:t>
            </w:r>
          </w:p>
        </w:tc>
        <w:tc>
          <w:tcPr>
            <w:tcW w:w="530" w:type="dxa"/>
            <w:tcBorders/>
            <w:shd w:fill="FFFFFF" w:val="clear"/>
            <w:vAlign w:val="center"/>
          </w:tcPr>
          <w:p>
            <w:pPr>
              <w:pStyle w:val="TableContents"/>
              <w:bidi w:val="0"/>
              <w:spacing w:before="0" w:after="283"/>
              <w:jc w:val="center"/>
              <w:rPr/>
            </w:pPr>
            <w:r>
              <w:rPr/>
              <w:t>7</w:t>
            </w:r>
          </w:p>
        </w:tc>
      </w:tr>
      <w:tr>
        <w:trPr/>
        <w:tc>
          <w:tcPr>
            <w:tcW w:w="1220" w:type="dxa"/>
            <w:tcBorders/>
            <w:shd w:fill="EEEEEE" w:val="clear"/>
            <w:vAlign w:val="center"/>
          </w:tcPr>
          <w:p>
            <w:pPr>
              <w:pStyle w:val="TableContents"/>
              <w:bidi w:val="0"/>
              <w:spacing w:before="0" w:after="283"/>
              <w:jc w:val="left"/>
              <w:rPr/>
            </w:pPr>
            <w:r>
              <w:rPr/>
              <w:t>Section 3.2</w:t>
            </w:r>
          </w:p>
        </w:tc>
        <w:tc>
          <w:tcPr>
            <w:tcW w:w="5315" w:type="dxa"/>
            <w:tcBorders/>
            <w:shd w:fill="EEEEEE" w:val="clear"/>
            <w:vAlign w:val="center"/>
          </w:tcPr>
          <w:p>
            <w:pPr>
              <w:pStyle w:val="TableContents"/>
              <w:bidi w:val="0"/>
              <w:spacing w:before="0" w:after="283"/>
              <w:jc w:val="left"/>
              <w:rPr/>
            </w:pPr>
            <w:r>
              <w:rPr/>
              <w:t>Representations and Warranties of the Seller</w:t>
            </w:r>
          </w:p>
        </w:tc>
        <w:tc>
          <w:tcPr>
            <w:tcW w:w="530" w:type="dxa"/>
            <w:tcBorders/>
            <w:shd w:fill="EEEEEE" w:val="clear"/>
            <w:vAlign w:val="center"/>
          </w:tcPr>
          <w:p>
            <w:pPr>
              <w:pStyle w:val="TableContents"/>
              <w:bidi w:val="0"/>
              <w:spacing w:before="0" w:after="283"/>
              <w:jc w:val="center"/>
              <w:rPr/>
            </w:pPr>
            <w:r>
              <w:rPr/>
              <w:t>8</w:t>
            </w:r>
          </w:p>
        </w:tc>
      </w:tr>
      <w:tr>
        <w:trPr/>
        <w:tc>
          <w:tcPr>
            <w:tcW w:w="1220" w:type="dxa"/>
            <w:tcBorders/>
            <w:shd w:fill="FFFFFF" w:val="clear"/>
            <w:vAlign w:val="center"/>
          </w:tcPr>
          <w:p>
            <w:pPr>
              <w:pStyle w:val="TableContents"/>
              <w:bidi w:val="0"/>
              <w:spacing w:before="0" w:after="283"/>
              <w:jc w:val="left"/>
              <w:rPr/>
            </w:pPr>
            <w:r>
              <w:rPr/>
              <w:t> </w:t>
            </w:r>
          </w:p>
        </w:tc>
        <w:tc>
          <w:tcPr>
            <w:tcW w:w="53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535" w:type="dxa"/>
            <w:gridSpan w:val="2"/>
            <w:tcBorders/>
            <w:shd w:fill="EEEEEE" w:val="clear"/>
            <w:vAlign w:val="center"/>
          </w:tcPr>
          <w:p>
            <w:pPr>
              <w:pStyle w:val="TableContents"/>
              <w:bidi w:val="0"/>
              <w:spacing w:before="0" w:after="283"/>
              <w:jc w:val="left"/>
              <w:rPr/>
            </w:pPr>
            <w:r>
              <w:rPr/>
              <w:t xml:space="preserve">ARTICLE 4 CONDITIONS </w:t>
            </w:r>
          </w:p>
        </w:tc>
        <w:tc>
          <w:tcPr>
            <w:tcW w:w="530" w:type="dxa"/>
            <w:tcBorders/>
            <w:shd w:fill="EEEEEE" w:val="clear"/>
            <w:vAlign w:val="center"/>
          </w:tcPr>
          <w:p>
            <w:pPr>
              <w:pStyle w:val="TableContents"/>
              <w:bidi w:val="0"/>
              <w:spacing w:before="0" w:after="283"/>
              <w:jc w:val="center"/>
              <w:rPr/>
            </w:pPr>
            <w:r>
              <w:rPr/>
              <w:t>19</w:t>
            </w:r>
          </w:p>
        </w:tc>
      </w:tr>
      <w:tr>
        <w:trPr/>
        <w:tc>
          <w:tcPr>
            <w:tcW w:w="1220" w:type="dxa"/>
            <w:tcBorders/>
            <w:shd w:fill="FFFFFF" w:val="clear"/>
            <w:vAlign w:val="center"/>
          </w:tcPr>
          <w:p>
            <w:pPr>
              <w:pStyle w:val="TableContents"/>
              <w:bidi w:val="0"/>
              <w:spacing w:before="0" w:after="283"/>
              <w:jc w:val="left"/>
              <w:rPr/>
            </w:pPr>
            <w:r>
              <w:rPr/>
              <w:t>Section 4.1</w:t>
            </w:r>
          </w:p>
        </w:tc>
        <w:tc>
          <w:tcPr>
            <w:tcW w:w="5315" w:type="dxa"/>
            <w:tcBorders/>
            <w:shd w:fill="FFFFFF" w:val="clear"/>
            <w:vAlign w:val="center"/>
          </w:tcPr>
          <w:p>
            <w:pPr>
              <w:pStyle w:val="TableContents"/>
              <w:bidi w:val="0"/>
              <w:spacing w:before="0" w:after="283"/>
              <w:jc w:val="left"/>
              <w:rPr/>
            </w:pPr>
            <w:r>
              <w:rPr/>
              <w:t>Conditions to Obligation of the Purchaser</w:t>
            </w:r>
          </w:p>
        </w:tc>
        <w:tc>
          <w:tcPr>
            <w:tcW w:w="530" w:type="dxa"/>
            <w:tcBorders/>
            <w:shd w:fill="FFFFFF" w:val="clear"/>
            <w:vAlign w:val="center"/>
          </w:tcPr>
          <w:p>
            <w:pPr>
              <w:pStyle w:val="TableContents"/>
              <w:bidi w:val="0"/>
              <w:spacing w:before="0" w:after="283"/>
              <w:jc w:val="center"/>
              <w:rPr/>
            </w:pPr>
            <w:r>
              <w:rPr/>
              <w:t>19</w:t>
            </w:r>
          </w:p>
        </w:tc>
      </w:tr>
      <w:tr>
        <w:trPr/>
        <w:tc>
          <w:tcPr>
            <w:tcW w:w="1220" w:type="dxa"/>
            <w:tcBorders/>
            <w:shd w:fill="EEEEEE" w:val="clear"/>
            <w:vAlign w:val="center"/>
          </w:tcPr>
          <w:p>
            <w:pPr>
              <w:pStyle w:val="TableContents"/>
              <w:bidi w:val="0"/>
              <w:spacing w:before="0" w:after="283"/>
              <w:jc w:val="left"/>
              <w:rPr/>
            </w:pPr>
            <w:r>
              <w:rPr/>
              <w:t>Section 4.2</w:t>
            </w:r>
          </w:p>
        </w:tc>
        <w:tc>
          <w:tcPr>
            <w:tcW w:w="5315" w:type="dxa"/>
            <w:tcBorders/>
            <w:shd w:fill="EEEEEE" w:val="clear"/>
            <w:vAlign w:val="center"/>
          </w:tcPr>
          <w:p>
            <w:pPr>
              <w:pStyle w:val="TableContents"/>
              <w:bidi w:val="0"/>
              <w:spacing w:before="0" w:after="283"/>
              <w:jc w:val="left"/>
              <w:rPr/>
            </w:pPr>
            <w:r>
              <w:rPr/>
              <w:t>Conditions to Obligation of the Seller</w:t>
            </w:r>
          </w:p>
        </w:tc>
        <w:tc>
          <w:tcPr>
            <w:tcW w:w="530" w:type="dxa"/>
            <w:tcBorders/>
            <w:shd w:fill="EEEEEE" w:val="clear"/>
            <w:vAlign w:val="center"/>
          </w:tcPr>
          <w:p>
            <w:pPr>
              <w:pStyle w:val="TableContents"/>
              <w:bidi w:val="0"/>
              <w:spacing w:before="0" w:after="283"/>
              <w:jc w:val="center"/>
              <w:rPr/>
            </w:pPr>
            <w:r>
              <w:rPr/>
              <w:t>20</w:t>
            </w:r>
          </w:p>
        </w:tc>
      </w:tr>
      <w:tr>
        <w:trPr/>
        <w:tc>
          <w:tcPr>
            <w:tcW w:w="1220" w:type="dxa"/>
            <w:tcBorders/>
            <w:shd w:fill="FFFFFF" w:val="clear"/>
            <w:vAlign w:val="center"/>
          </w:tcPr>
          <w:p>
            <w:pPr>
              <w:pStyle w:val="TableContents"/>
              <w:bidi w:val="0"/>
              <w:spacing w:before="0" w:after="283"/>
              <w:jc w:val="left"/>
              <w:rPr/>
            </w:pPr>
            <w:r>
              <w:rPr/>
              <w:t> </w:t>
            </w:r>
          </w:p>
        </w:tc>
        <w:tc>
          <w:tcPr>
            <w:tcW w:w="53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535" w:type="dxa"/>
            <w:gridSpan w:val="2"/>
            <w:tcBorders/>
            <w:shd w:fill="EEEEEE" w:val="clear"/>
            <w:vAlign w:val="center"/>
          </w:tcPr>
          <w:p>
            <w:pPr>
              <w:pStyle w:val="TableContents"/>
              <w:bidi w:val="0"/>
              <w:spacing w:before="0" w:after="283"/>
              <w:jc w:val="left"/>
              <w:rPr/>
            </w:pPr>
            <w:r>
              <w:rPr/>
              <w:t xml:space="preserve">ARTICLE 5 COVENANTS OF THE SELLER </w:t>
            </w:r>
          </w:p>
        </w:tc>
        <w:tc>
          <w:tcPr>
            <w:tcW w:w="530" w:type="dxa"/>
            <w:tcBorders/>
            <w:shd w:fill="EEEEEE" w:val="clear"/>
            <w:vAlign w:val="center"/>
          </w:tcPr>
          <w:p>
            <w:pPr>
              <w:pStyle w:val="TableContents"/>
              <w:bidi w:val="0"/>
              <w:spacing w:before="0" w:after="283"/>
              <w:jc w:val="center"/>
              <w:rPr/>
            </w:pPr>
            <w:r>
              <w:rPr/>
              <w:t>20</w:t>
            </w:r>
          </w:p>
        </w:tc>
      </w:tr>
      <w:tr>
        <w:trPr/>
        <w:tc>
          <w:tcPr>
            <w:tcW w:w="1220" w:type="dxa"/>
            <w:tcBorders/>
            <w:shd w:fill="FFFFFF" w:val="clear"/>
            <w:vAlign w:val="center"/>
          </w:tcPr>
          <w:p>
            <w:pPr>
              <w:pStyle w:val="TableContents"/>
              <w:bidi w:val="0"/>
              <w:spacing w:before="0" w:after="283"/>
              <w:jc w:val="left"/>
              <w:rPr/>
            </w:pPr>
            <w:r>
              <w:rPr/>
              <w:t>Section 5.1</w:t>
            </w:r>
          </w:p>
        </w:tc>
        <w:tc>
          <w:tcPr>
            <w:tcW w:w="5315" w:type="dxa"/>
            <w:tcBorders/>
            <w:shd w:fill="FFFFFF" w:val="clear"/>
            <w:vAlign w:val="center"/>
          </w:tcPr>
          <w:p>
            <w:pPr>
              <w:pStyle w:val="TableContents"/>
              <w:bidi w:val="0"/>
              <w:spacing w:before="0" w:after="283"/>
              <w:jc w:val="left"/>
              <w:rPr/>
            </w:pPr>
            <w:r>
              <w:rPr/>
              <w:t>Protection of Right, Title and Interest</w:t>
            </w:r>
          </w:p>
        </w:tc>
        <w:tc>
          <w:tcPr>
            <w:tcW w:w="530" w:type="dxa"/>
            <w:tcBorders/>
            <w:shd w:fill="FFFFFF" w:val="clear"/>
            <w:vAlign w:val="center"/>
          </w:tcPr>
          <w:p>
            <w:pPr>
              <w:pStyle w:val="TableContents"/>
              <w:bidi w:val="0"/>
              <w:spacing w:before="0" w:after="283"/>
              <w:jc w:val="center"/>
              <w:rPr/>
            </w:pPr>
            <w:r>
              <w:rPr/>
              <w:t>20</w:t>
            </w:r>
          </w:p>
        </w:tc>
      </w:tr>
      <w:tr>
        <w:trPr/>
        <w:tc>
          <w:tcPr>
            <w:tcW w:w="1220" w:type="dxa"/>
            <w:tcBorders/>
            <w:shd w:fill="EEEEEE" w:val="clear"/>
            <w:vAlign w:val="center"/>
          </w:tcPr>
          <w:p>
            <w:pPr>
              <w:pStyle w:val="TableContents"/>
              <w:bidi w:val="0"/>
              <w:spacing w:before="0" w:after="283"/>
              <w:jc w:val="left"/>
              <w:rPr/>
            </w:pPr>
            <w:r>
              <w:rPr/>
              <w:t>Section 5.2</w:t>
            </w:r>
          </w:p>
        </w:tc>
        <w:tc>
          <w:tcPr>
            <w:tcW w:w="5315" w:type="dxa"/>
            <w:tcBorders/>
            <w:shd w:fill="EEEEEE" w:val="clear"/>
            <w:vAlign w:val="center"/>
          </w:tcPr>
          <w:p>
            <w:pPr>
              <w:pStyle w:val="TableContents"/>
              <w:bidi w:val="0"/>
              <w:spacing w:before="0" w:after="283"/>
              <w:jc w:val="left"/>
              <w:rPr/>
            </w:pPr>
            <w:r>
              <w:rPr/>
              <w:t>Other Liens or Interests</w:t>
            </w:r>
          </w:p>
        </w:tc>
        <w:tc>
          <w:tcPr>
            <w:tcW w:w="530" w:type="dxa"/>
            <w:tcBorders/>
            <w:shd w:fill="EEEEEE" w:val="clear"/>
            <w:vAlign w:val="center"/>
          </w:tcPr>
          <w:p>
            <w:pPr>
              <w:pStyle w:val="TableContents"/>
              <w:bidi w:val="0"/>
              <w:spacing w:before="0" w:after="283"/>
              <w:jc w:val="center"/>
              <w:rPr/>
            </w:pPr>
            <w:r>
              <w:rPr/>
              <w:t>22</w:t>
            </w:r>
          </w:p>
        </w:tc>
      </w:tr>
      <w:tr>
        <w:trPr/>
        <w:tc>
          <w:tcPr>
            <w:tcW w:w="1220" w:type="dxa"/>
            <w:tcBorders/>
            <w:shd w:fill="FFFFFF" w:val="clear"/>
            <w:vAlign w:val="center"/>
          </w:tcPr>
          <w:p>
            <w:pPr>
              <w:pStyle w:val="TableContents"/>
              <w:bidi w:val="0"/>
              <w:spacing w:before="0" w:after="283"/>
              <w:jc w:val="left"/>
              <w:rPr/>
            </w:pPr>
            <w:r>
              <w:rPr/>
              <w:t>Section 5.3</w:t>
            </w:r>
          </w:p>
        </w:tc>
        <w:tc>
          <w:tcPr>
            <w:tcW w:w="5315" w:type="dxa"/>
            <w:tcBorders/>
            <w:shd w:fill="FFFFFF" w:val="clear"/>
            <w:vAlign w:val="center"/>
          </w:tcPr>
          <w:p>
            <w:pPr>
              <w:pStyle w:val="TableContents"/>
              <w:bidi w:val="0"/>
              <w:spacing w:before="0" w:after="283"/>
              <w:jc w:val="left"/>
              <w:rPr/>
            </w:pPr>
            <w:r>
              <w:rPr/>
              <w:t>Chief Executive Office</w:t>
            </w:r>
          </w:p>
        </w:tc>
        <w:tc>
          <w:tcPr>
            <w:tcW w:w="530" w:type="dxa"/>
            <w:tcBorders/>
            <w:shd w:fill="FFFFFF" w:val="clear"/>
            <w:vAlign w:val="center"/>
          </w:tcPr>
          <w:p>
            <w:pPr>
              <w:pStyle w:val="TableContents"/>
              <w:bidi w:val="0"/>
              <w:spacing w:before="0" w:after="283"/>
              <w:jc w:val="center"/>
              <w:rPr/>
            </w:pPr>
            <w:r>
              <w:rPr/>
              <w:t>22</w:t>
            </w:r>
          </w:p>
        </w:tc>
      </w:tr>
      <w:tr>
        <w:trPr/>
        <w:tc>
          <w:tcPr>
            <w:tcW w:w="1220" w:type="dxa"/>
            <w:tcBorders/>
            <w:shd w:fill="EEEEEE" w:val="clear"/>
            <w:vAlign w:val="center"/>
          </w:tcPr>
          <w:p>
            <w:pPr>
              <w:pStyle w:val="TableContents"/>
              <w:bidi w:val="0"/>
              <w:spacing w:before="0" w:after="283"/>
              <w:jc w:val="left"/>
              <w:rPr/>
            </w:pPr>
            <w:r>
              <w:rPr/>
              <w:t>Section 5.4</w:t>
            </w:r>
          </w:p>
        </w:tc>
        <w:tc>
          <w:tcPr>
            <w:tcW w:w="5315" w:type="dxa"/>
            <w:tcBorders/>
            <w:shd w:fill="EEEEEE" w:val="clear"/>
            <w:vAlign w:val="center"/>
          </w:tcPr>
          <w:p>
            <w:pPr>
              <w:pStyle w:val="TableContents"/>
              <w:bidi w:val="0"/>
              <w:spacing w:before="0" w:after="283"/>
              <w:jc w:val="left"/>
              <w:rPr/>
            </w:pPr>
            <w:r>
              <w:rPr/>
              <w:t>Costs and Expenses</w:t>
            </w:r>
          </w:p>
        </w:tc>
        <w:tc>
          <w:tcPr>
            <w:tcW w:w="530" w:type="dxa"/>
            <w:tcBorders/>
            <w:shd w:fill="EEEEEE" w:val="clear"/>
            <w:vAlign w:val="center"/>
          </w:tcPr>
          <w:p>
            <w:pPr>
              <w:pStyle w:val="TableContents"/>
              <w:bidi w:val="0"/>
              <w:spacing w:before="0" w:after="283"/>
              <w:jc w:val="center"/>
              <w:rPr/>
            </w:pPr>
            <w:r>
              <w:rPr/>
              <w:t>22</w:t>
            </w:r>
          </w:p>
        </w:tc>
      </w:tr>
      <w:tr>
        <w:trPr/>
        <w:tc>
          <w:tcPr>
            <w:tcW w:w="1220" w:type="dxa"/>
            <w:tcBorders/>
            <w:shd w:fill="FFFFFF" w:val="clear"/>
            <w:vAlign w:val="center"/>
          </w:tcPr>
          <w:p>
            <w:pPr>
              <w:pStyle w:val="TableContents"/>
              <w:bidi w:val="0"/>
              <w:spacing w:before="0" w:after="283"/>
              <w:jc w:val="left"/>
              <w:rPr/>
            </w:pPr>
            <w:r>
              <w:rPr/>
              <w:t>Section 5.5</w:t>
            </w:r>
          </w:p>
        </w:tc>
        <w:tc>
          <w:tcPr>
            <w:tcW w:w="5315" w:type="dxa"/>
            <w:tcBorders/>
            <w:shd w:fill="FFFFFF" w:val="clear"/>
            <w:vAlign w:val="center"/>
          </w:tcPr>
          <w:p>
            <w:pPr>
              <w:pStyle w:val="TableContents"/>
              <w:bidi w:val="0"/>
              <w:spacing w:before="0" w:after="283"/>
              <w:jc w:val="left"/>
              <w:rPr/>
            </w:pPr>
            <w:r>
              <w:rPr/>
              <w:t>Delivery of Receivable Files</w:t>
            </w:r>
          </w:p>
        </w:tc>
        <w:tc>
          <w:tcPr>
            <w:tcW w:w="530" w:type="dxa"/>
            <w:tcBorders/>
            <w:shd w:fill="FFFFFF" w:val="clear"/>
            <w:vAlign w:val="center"/>
          </w:tcPr>
          <w:p>
            <w:pPr>
              <w:pStyle w:val="TableContents"/>
              <w:bidi w:val="0"/>
              <w:spacing w:before="0" w:after="283"/>
              <w:jc w:val="center"/>
              <w:rPr/>
            </w:pPr>
            <w:r>
              <w:rPr/>
              <w:t>22</w:t>
            </w:r>
          </w:p>
        </w:tc>
      </w:tr>
      <w:tr>
        <w:trPr/>
        <w:tc>
          <w:tcPr>
            <w:tcW w:w="1220" w:type="dxa"/>
            <w:tcBorders/>
            <w:shd w:fill="EEEEEE" w:val="clear"/>
            <w:vAlign w:val="center"/>
          </w:tcPr>
          <w:p>
            <w:pPr>
              <w:pStyle w:val="TableContents"/>
              <w:bidi w:val="0"/>
              <w:spacing w:before="0" w:after="283"/>
              <w:jc w:val="left"/>
              <w:rPr/>
            </w:pPr>
            <w:r>
              <w:rPr/>
              <w:t>Section 5.6</w:t>
            </w:r>
          </w:p>
        </w:tc>
        <w:tc>
          <w:tcPr>
            <w:tcW w:w="5315" w:type="dxa"/>
            <w:tcBorders/>
            <w:shd w:fill="EEEEEE" w:val="clear"/>
            <w:vAlign w:val="center"/>
          </w:tcPr>
          <w:p>
            <w:pPr>
              <w:pStyle w:val="TableContents"/>
              <w:bidi w:val="0"/>
              <w:spacing w:before="0" w:after="283"/>
              <w:jc w:val="left"/>
              <w:rPr/>
            </w:pPr>
            <w:r>
              <w:rPr/>
              <w:t>Indemnification</w:t>
            </w:r>
          </w:p>
        </w:tc>
        <w:tc>
          <w:tcPr>
            <w:tcW w:w="530" w:type="dxa"/>
            <w:tcBorders/>
            <w:shd w:fill="EEEEEE" w:val="clear"/>
            <w:vAlign w:val="center"/>
          </w:tcPr>
          <w:p>
            <w:pPr>
              <w:pStyle w:val="TableContents"/>
              <w:bidi w:val="0"/>
              <w:spacing w:before="0" w:after="283"/>
              <w:jc w:val="center"/>
              <w:rPr/>
            </w:pPr>
            <w:r>
              <w:rPr/>
              <w:t>23</w:t>
            </w:r>
          </w:p>
        </w:tc>
      </w:tr>
      <w:tr>
        <w:trPr/>
        <w:tc>
          <w:tcPr>
            <w:tcW w:w="1220" w:type="dxa"/>
            <w:tcBorders/>
            <w:shd w:fill="FFFFFF" w:val="clear"/>
            <w:vAlign w:val="center"/>
          </w:tcPr>
          <w:p>
            <w:pPr>
              <w:pStyle w:val="TableContents"/>
              <w:bidi w:val="0"/>
              <w:spacing w:before="0" w:after="283"/>
              <w:jc w:val="left"/>
              <w:rPr/>
            </w:pPr>
            <w:r>
              <w:rPr/>
              <w:t>Section 5.7</w:t>
            </w:r>
          </w:p>
        </w:tc>
        <w:tc>
          <w:tcPr>
            <w:tcW w:w="5315" w:type="dxa"/>
            <w:tcBorders/>
            <w:shd w:fill="FFFFFF" w:val="clear"/>
            <w:vAlign w:val="center"/>
          </w:tcPr>
          <w:p>
            <w:pPr>
              <w:pStyle w:val="TableContents"/>
              <w:bidi w:val="0"/>
              <w:spacing w:before="0" w:after="283"/>
              <w:jc w:val="left"/>
              <w:rPr/>
            </w:pPr>
            <w:r>
              <w:rPr/>
              <w:t>Sale</w:t>
            </w:r>
          </w:p>
        </w:tc>
        <w:tc>
          <w:tcPr>
            <w:tcW w:w="530" w:type="dxa"/>
            <w:tcBorders/>
            <w:shd w:fill="FFFFFF" w:val="clear"/>
            <w:vAlign w:val="center"/>
          </w:tcPr>
          <w:p>
            <w:pPr>
              <w:pStyle w:val="TableContents"/>
              <w:bidi w:val="0"/>
              <w:spacing w:before="0" w:after="283"/>
              <w:jc w:val="center"/>
              <w:rPr/>
            </w:pPr>
            <w:r>
              <w:rPr/>
              <w:t>24</w:t>
            </w:r>
          </w:p>
        </w:tc>
      </w:tr>
      <w:tr>
        <w:trPr/>
        <w:tc>
          <w:tcPr>
            <w:tcW w:w="1220" w:type="dxa"/>
            <w:tcBorders/>
            <w:shd w:fill="EEEEEE" w:val="clear"/>
            <w:vAlign w:val="center"/>
          </w:tcPr>
          <w:p>
            <w:pPr>
              <w:pStyle w:val="TableContents"/>
              <w:bidi w:val="0"/>
              <w:spacing w:before="0" w:after="283"/>
              <w:jc w:val="left"/>
              <w:rPr/>
            </w:pPr>
            <w:r>
              <w:rPr/>
              <w:t>Section 5.8</w:t>
            </w:r>
          </w:p>
        </w:tc>
        <w:tc>
          <w:tcPr>
            <w:tcW w:w="5315" w:type="dxa"/>
            <w:tcBorders/>
            <w:shd w:fill="EEEEEE" w:val="clear"/>
            <w:vAlign w:val="center"/>
          </w:tcPr>
          <w:p>
            <w:pPr>
              <w:pStyle w:val="TableContents"/>
              <w:bidi w:val="0"/>
              <w:spacing w:before="0" w:after="283"/>
              <w:jc w:val="left"/>
              <w:rPr/>
            </w:pPr>
            <w:r>
              <w:rPr/>
              <w:t>Non-Petition</w:t>
            </w:r>
          </w:p>
        </w:tc>
        <w:tc>
          <w:tcPr>
            <w:tcW w:w="530" w:type="dxa"/>
            <w:tcBorders/>
            <w:shd w:fill="EEEEEE" w:val="clear"/>
            <w:vAlign w:val="center"/>
          </w:tcPr>
          <w:p>
            <w:pPr>
              <w:pStyle w:val="TableContents"/>
              <w:bidi w:val="0"/>
              <w:spacing w:before="0" w:after="283"/>
              <w:jc w:val="center"/>
              <w:rPr/>
            </w:pPr>
            <w:r>
              <w:rPr/>
              <w:t>24</w:t>
            </w:r>
          </w:p>
        </w:tc>
      </w:tr>
      <w:tr>
        <w:trPr/>
        <w:tc>
          <w:tcPr>
            <w:tcW w:w="1220" w:type="dxa"/>
            <w:tcBorders/>
            <w:shd w:fill="FFFFFF" w:val="clear"/>
            <w:vAlign w:val="center"/>
          </w:tcPr>
          <w:p>
            <w:pPr>
              <w:pStyle w:val="TableContents"/>
              <w:bidi w:val="0"/>
              <w:spacing w:before="0" w:after="283"/>
              <w:jc w:val="left"/>
              <w:rPr/>
            </w:pPr>
            <w:r>
              <w:rPr/>
              <w:t> </w:t>
            </w:r>
          </w:p>
        </w:tc>
        <w:tc>
          <w:tcPr>
            <w:tcW w:w="53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535" w:type="dxa"/>
            <w:gridSpan w:val="2"/>
            <w:tcBorders/>
            <w:shd w:fill="EEEEEE" w:val="clear"/>
            <w:vAlign w:val="center"/>
          </w:tcPr>
          <w:p>
            <w:pPr>
              <w:pStyle w:val="TableContents"/>
              <w:bidi w:val="0"/>
              <w:spacing w:before="0" w:after="283"/>
              <w:jc w:val="left"/>
              <w:rPr/>
            </w:pPr>
            <w:r>
              <w:rPr/>
              <w:t xml:space="preserve">ARTICLE 6 MISCELLANEOUS PROVISIONS </w:t>
            </w:r>
          </w:p>
        </w:tc>
        <w:tc>
          <w:tcPr>
            <w:tcW w:w="530" w:type="dxa"/>
            <w:tcBorders/>
            <w:shd w:fill="EEEEEE" w:val="clear"/>
            <w:vAlign w:val="center"/>
          </w:tcPr>
          <w:p>
            <w:pPr>
              <w:pStyle w:val="TableContents"/>
              <w:bidi w:val="0"/>
              <w:spacing w:before="0" w:after="283"/>
              <w:jc w:val="center"/>
              <w:rPr/>
            </w:pPr>
            <w:r>
              <w:rPr/>
              <w:t>24</w:t>
            </w:r>
          </w:p>
        </w:tc>
      </w:tr>
      <w:tr>
        <w:trPr/>
        <w:tc>
          <w:tcPr>
            <w:tcW w:w="1220" w:type="dxa"/>
            <w:tcBorders/>
            <w:shd w:fill="FFFFFF" w:val="clear"/>
            <w:vAlign w:val="center"/>
          </w:tcPr>
          <w:p>
            <w:pPr>
              <w:pStyle w:val="TableContents"/>
              <w:bidi w:val="0"/>
              <w:spacing w:before="0" w:after="283"/>
              <w:jc w:val="left"/>
              <w:rPr/>
            </w:pPr>
            <w:r>
              <w:rPr/>
              <w:t>Section 6.1</w:t>
            </w:r>
          </w:p>
        </w:tc>
        <w:tc>
          <w:tcPr>
            <w:tcW w:w="5315" w:type="dxa"/>
            <w:tcBorders/>
            <w:shd w:fill="FFFFFF" w:val="clear"/>
            <w:vAlign w:val="center"/>
          </w:tcPr>
          <w:p>
            <w:pPr>
              <w:pStyle w:val="TableContents"/>
              <w:bidi w:val="0"/>
              <w:spacing w:before="0" w:after="283"/>
              <w:jc w:val="left"/>
              <w:rPr/>
            </w:pPr>
            <w:r>
              <w:rPr/>
              <w:t>Obligations of Seller</w:t>
            </w:r>
          </w:p>
        </w:tc>
        <w:tc>
          <w:tcPr>
            <w:tcW w:w="530" w:type="dxa"/>
            <w:tcBorders/>
            <w:shd w:fill="FFFFFF" w:val="clear"/>
            <w:vAlign w:val="center"/>
          </w:tcPr>
          <w:p>
            <w:pPr>
              <w:pStyle w:val="TableContents"/>
              <w:bidi w:val="0"/>
              <w:spacing w:before="0" w:after="283"/>
              <w:jc w:val="center"/>
              <w:rPr/>
            </w:pPr>
            <w:r>
              <w:rPr/>
              <w:t>24</w:t>
            </w:r>
          </w:p>
        </w:tc>
      </w:tr>
      <w:tr>
        <w:trPr/>
        <w:tc>
          <w:tcPr>
            <w:tcW w:w="1220" w:type="dxa"/>
            <w:tcBorders/>
            <w:shd w:fill="EEEEEE" w:val="clear"/>
            <w:vAlign w:val="center"/>
          </w:tcPr>
          <w:p>
            <w:pPr>
              <w:pStyle w:val="TableContents"/>
              <w:bidi w:val="0"/>
              <w:spacing w:before="0" w:after="283"/>
              <w:jc w:val="left"/>
              <w:rPr/>
            </w:pPr>
            <w:r>
              <w:rPr/>
              <w:t>Section 6.2</w:t>
            </w:r>
          </w:p>
        </w:tc>
        <w:tc>
          <w:tcPr>
            <w:tcW w:w="5315" w:type="dxa"/>
            <w:tcBorders/>
            <w:shd w:fill="EEEEEE" w:val="clear"/>
            <w:vAlign w:val="center"/>
          </w:tcPr>
          <w:p>
            <w:pPr>
              <w:pStyle w:val="TableContents"/>
              <w:bidi w:val="0"/>
              <w:spacing w:before="0" w:after="283"/>
              <w:jc w:val="left"/>
              <w:rPr/>
            </w:pPr>
            <w:r>
              <w:rPr/>
              <w:t>Repurchase Events</w:t>
            </w:r>
          </w:p>
        </w:tc>
        <w:tc>
          <w:tcPr>
            <w:tcW w:w="530" w:type="dxa"/>
            <w:tcBorders/>
            <w:shd w:fill="EEEEEE" w:val="clear"/>
            <w:vAlign w:val="center"/>
          </w:tcPr>
          <w:p>
            <w:pPr>
              <w:pStyle w:val="TableContents"/>
              <w:bidi w:val="0"/>
              <w:spacing w:before="0" w:after="283"/>
              <w:jc w:val="center"/>
              <w:rPr/>
            </w:pPr>
            <w:r>
              <w:rPr/>
              <w:t>24</w:t>
            </w:r>
          </w:p>
        </w:tc>
      </w:tr>
      <w:tr>
        <w:trPr/>
        <w:tc>
          <w:tcPr>
            <w:tcW w:w="1220" w:type="dxa"/>
            <w:tcBorders/>
            <w:shd w:fill="FFFFFF" w:val="clear"/>
            <w:vAlign w:val="center"/>
          </w:tcPr>
          <w:p>
            <w:pPr>
              <w:pStyle w:val="TableContents"/>
              <w:bidi w:val="0"/>
              <w:spacing w:before="0" w:after="283"/>
              <w:jc w:val="left"/>
              <w:rPr/>
            </w:pPr>
            <w:r>
              <w:rPr/>
              <w:t>Section 6.3</w:t>
            </w:r>
          </w:p>
        </w:tc>
        <w:tc>
          <w:tcPr>
            <w:tcW w:w="5315" w:type="dxa"/>
            <w:tcBorders/>
            <w:shd w:fill="FFFFFF" w:val="clear"/>
            <w:vAlign w:val="center"/>
          </w:tcPr>
          <w:p>
            <w:pPr>
              <w:pStyle w:val="TableContents"/>
              <w:bidi w:val="0"/>
              <w:spacing w:before="0" w:after="283"/>
              <w:jc w:val="left"/>
              <w:rPr/>
            </w:pPr>
            <w:r>
              <w:rPr/>
              <w:t>Seller’s Assignment of Purchased Receivables</w:t>
            </w:r>
          </w:p>
        </w:tc>
        <w:tc>
          <w:tcPr>
            <w:tcW w:w="530" w:type="dxa"/>
            <w:tcBorders/>
            <w:shd w:fill="FFFFFF" w:val="clear"/>
            <w:vAlign w:val="center"/>
          </w:tcPr>
          <w:p>
            <w:pPr>
              <w:pStyle w:val="TableContents"/>
              <w:bidi w:val="0"/>
              <w:spacing w:before="0" w:after="283"/>
              <w:jc w:val="center"/>
              <w:rPr/>
            </w:pPr>
            <w:r>
              <w:rPr/>
              <w:t>25</w:t>
            </w:r>
          </w:p>
        </w:tc>
      </w:tr>
      <w:tr>
        <w:trPr/>
        <w:tc>
          <w:tcPr>
            <w:tcW w:w="1220" w:type="dxa"/>
            <w:tcBorders/>
            <w:shd w:fill="EEEEEE" w:val="clear"/>
            <w:vAlign w:val="center"/>
          </w:tcPr>
          <w:p>
            <w:pPr>
              <w:pStyle w:val="TableContents"/>
              <w:bidi w:val="0"/>
              <w:spacing w:before="0" w:after="283"/>
              <w:jc w:val="left"/>
              <w:rPr/>
            </w:pPr>
            <w:r>
              <w:rPr/>
              <w:t>Section 6.4</w:t>
            </w:r>
          </w:p>
        </w:tc>
        <w:tc>
          <w:tcPr>
            <w:tcW w:w="5315" w:type="dxa"/>
            <w:tcBorders/>
            <w:shd w:fill="EEEEEE" w:val="clear"/>
            <w:vAlign w:val="center"/>
          </w:tcPr>
          <w:p>
            <w:pPr>
              <w:pStyle w:val="TableContents"/>
              <w:bidi w:val="0"/>
              <w:spacing w:before="0" w:after="283"/>
              <w:jc w:val="left"/>
              <w:rPr/>
            </w:pPr>
            <w:r>
              <w:rPr/>
              <w:t>Conveyance as Sale of Receivables Not Financing</w:t>
            </w:r>
          </w:p>
        </w:tc>
        <w:tc>
          <w:tcPr>
            <w:tcW w:w="530" w:type="dxa"/>
            <w:tcBorders/>
            <w:shd w:fill="EEEEEE" w:val="clear"/>
            <w:vAlign w:val="center"/>
          </w:tcPr>
          <w:p>
            <w:pPr>
              <w:pStyle w:val="TableContents"/>
              <w:bidi w:val="0"/>
              <w:spacing w:before="0" w:after="283"/>
              <w:jc w:val="center"/>
              <w:rPr/>
            </w:pPr>
            <w:r>
              <w:rPr/>
              <w:t>25</w:t>
            </w:r>
          </w:p>
        </w:tc>
      </w:tr>
      <w:tr>
        <w:trPr/>
        <w:tc>
          <w:tcPr>
            <w:tcW w:w="1220" w:type="dxa"/>
            <w:tcBorders/>
            <w:shd w:fill="FFFFFF" w:val="clear"/>
            <w:vAlign w:val="center"/>
          </w:tcPr>
          <w:p>
            <w:pPr>
              <w:pStyle w:val="TableContents"/>
              <w:bidi w:val="0"/>
              <w:spacing w:before="0" w:after="283"/>
              <w:jc w:val="left"/>
              <w:rPr/>
            </w:pPr>
            <w:r>
              <w:rPr/>
              <w:t>Section 6.5</w:t>
            </w:r>
          </w:p>
        </w:tc>
        <w:tc>
          <w:tcPr>
            <w:tcW w:w="5315" w:type="dxa"/>
            <w:tcBorders/>
            <w:shd w:fill="FFFFFF" w:val="clear"/>
            <w:vAlign w:val="center"/>
          </w:tcPr>
          <w:p>
            <w:pPr>
              <w:pStyle w:val="TableContents"/>
              <w:bidi w:val="0"/>
              <w:spacing w:before="0" w:after="283"/>
              <w:jc w:val="left"/>
              <w:rPr/>
            </w:pPr>
            <w:r>
              <w:rPr/>
              <w:t>Trust</w:t>
            </w:r>
          </w:p>
        </w:tc>
        <w:tc>
          <w:tcPr>
            <w:tcW w:w="530" w:type="dxa"/>
            <w:tcBorders/>
            <w:shd w:fill="FFFFFF" w:val="clear"/>
            <w:vAlign w:val="center"/>
          </w:tcPr>
          <w:p>
            <w:pPr>
              <w:pStyle w:val="TableContents"/>
              <w:bidi w:val="0"/>
              <w:spacing w:before="0" w:after="283"/>
              <w:jc w:val="center"/>
              <w:rPr/>
            </w:pPr>
            <w:r>
              <w:rPr/>
              <w:t>25</w:t>
            </w:r>
          </w:p>
        </w:tc>
      </w:tr>
      <w:tr>
        <w:trPr/>
        <w:tc>
          <w:tcPr>
            <w:tcW w:w="1220" w:type="dxa"/>
            <w:tcBorders/>
            <w:shd w:fill="EEEEEE" w:val="clear"/>
            <w:vAlign w:val="center"/>
          </w:tcPr>
          <w:p>
            <w:pPr>
              <w:pStyle w:val="TableContents"/>
              <w:bidi w:val="0"/>
              <w:spacing w:before="0" w:after="283"/>
              <w:jc w:val="left"/>
              <w:rPr/>
            </w:pPr>
            <w:r>
              <w:rPr/>
              <w:t>Section 6.6</w:t>
            </w:r>
          </w:p>
        </w:tc>
        <w:tc>
          <w:tcPr>
            <w:tcW w:w="5315" w:type="dxa"/>
            <w:tcBorders/>
            <w:shd w:fill="EEEEEE" w:val="clear"/>
            <w:vAlign w:val="center"/>
          </w:tcPr>
          <w:p>
            <w:pPr>
              <w:pStyle w:val="TableContents"/>
              <w:bidi w:val="0"/>
              <w:spacing w:before="0" w:after="283"/>
              <w:jc w:val="left"/>
              <w:rPr/>
            </w:pPr>
            <w:r>
              <w:rPr/>
              <w:t>Amendment</w:t>
            </w:r>
          </w:p>
        </w:tc>
        <w:tc>
          <w:tcPr>
            <w:tcW w:w="530" w:type="dxa"/>
            <w:tcBorders/>
            <w:shd w:fill="EEEEEE" w:val="clear"/>
            <w:vAlign w:val="center"/>
          </w:tcPr>
          <w:p>
            <w:pPr>
              <w:pStyle w:val="TableContents"/>
              <w:bidi w:val="0"/>
              <w:spacing w:before="0" w:after="283"/>
              <w:jc w:val="center"/>
              <w:rPr/>
            </w:pPr>
            <w:r>
              <w:rPr/>
              <w:t>26</w:t>
            </w:r>
          </w:p>
        </w:tc>
      </w:tr>
      <w:tr>
        <w:trPr/>
        <w:tc>
          <w:tcPr>
            <w:tcW w:w="1220" w:type="dxa"/>
            <w:tcBorders/>
            <w:shd w:fill="FFFFFF" w:val="clear"/>
            <w:vAlign w:val="center"/>
          </w:tcPr>
          <w:p>
            <w:pPr>
              <w:pStyle w:val="TableContents"/>
              <w:bidi w:val="0"/>
              <w:spacing w:before="0" w:after="283"/>
              <w:jc w:val="left"/>
              <w:rPr/>
            </w:pPr>
            <w:r>
              <w:rPr/>
              <w:t>Section 6.7</w:t>
            </w:r>
          </w:p>
        </w:tc>
        <w:tc>
          <w:tcPr>
            <w:tcW w:w="5315" w:type="dxa"/>
            <w:tcBorders/>
            <w:shd w:fill="FFFFFF" w:val="clear"/>
            <w:vAlign w:val="center"/>
          </w:tcPr>
          <w:p>
            <w:pPr>
              <w:pStyle w:val="TableContents"/>
              <w:bidi w:val="0"/>
              <w:spacing w:before="0" w:after="283"/>
              <w:jc w:val="left"/>
              <w:rPr/>
            </w:pPr>
            <w:r>
              <w:rPr/>
              <w:t>Accountants’ Letters</w:t>
            </w:r>
          </w:p>
        </w:tc>
        <w:tc>
          <w:tcPr>
            <w:tcW w:w="530" w:type="dxa"/>
            <w:tcBorders/>
            <w:shd w:fill="FFFFFF" w:val="clear"/>
            <w:vAlign w:val="center"/>
          </w:tcPr>
          <w:p>
            <w:pPr>
              <w:pStyle w:val="TableContents"/>
              <w:bidi w:val="0"/>
              <w:spacing w:before="0" w:after="283"/>
              <w:jc w:val="center"/>
              <w:rPr/>
            </w:pPr>
            <w:r>
              <w:rPr/>
              <w:t>27</w:t>
            </w:r>
          </w:p>
        </w:tc>
      </w:tr>
      <w:tr>
        <w:trPr/>
        <w:tc>
          <w:tcPr>
            <w:tcW w:w="1220" w:type="dxa"/>
            <w:tcBorders/>
            <w:shd w:fill="EEEEEE" w:val="clear"/>
            <w:vAlign w:val="center"/>
          </w:tcPr>
          <w:p>
            <w:pPr>
              <w:pStyle w:val="TableContents"/>
              <w:bidi w:val="0"/>
              <w:spacing w:before="0" w:after="283"/>
              <w:jc w:val="left"/>
              <w:rPr/>
            </w:pPr>
            <w:r>
              <w:rPr/>
              <w:t>Section 6.8</w:t>
            </w:r>
          </w:p>
        </w:tc>
        <w:tc>
          <w:tcPr>
            <w:tcW w:w="5315" w:type="dxa"/>
            <w:tcBorders/>
            <w:shd w:fill="EEEEEE" w:val="clear"/>
            <w:vAlign w:val="center"/>
          </w:tcPr>
          <w:p>
            <w:pPr>
              <w:pStyle w:val="TableContents"/>
              <w:bidi w:val="0"/>
              <w:spacing w:before="0" w:after="283"/>
              <w:jc w:val="left"/>
              <w:rPr/>
            </w:pPr>
            <w:r>
              <w:rPr/>
              <w:t>Waivers</w:t>
            </w:r>
          </w:p>
        </w:tc>
        <w:tc>
          <w:tcPr>
            <w:tcW w:w="530" w:type="dxa"/>
            <w:tcBorders/>
            <w:shd w:fill="EEEEEE" w:val="clear"/>
            <w:vAlign w:val="center"/>
          </w:tcPr>
          <w:p>
            <w:pPr>
              <w:pStyle w:val="TableContents"/>
              <w:bidi w:val="0"/>
              <w:spacing w:before="0" w:after="283"/>
              <w:jc w:val="center"/>
              <w:rPr/>
            </w:pPr>
            <w:r>
              <w:rPr/>
              <w:t>27</w:t>
            </w:r>
          </w:p>
        </w:tc>
      </w:tr>
      <w:tr>
        <w:trPr/>
        <w:tc>
          <w:tcPr>
            <w:tcW w:w="1220" w:type="dxa"/>
            <w:tcBorders/>
            <w:shd w:fill="FFFFFF" w:val="clear"/>
            <w:vAlign w:val="center"/>
          </w:tcPr>
          <w:p>
            <w:pPr>
              <w:pStyle w:val="TableContents"/>
              <w:bidi w:val="0"/>
              <w:spacing w:before="0" w:after="283"/>
              <w:jc w:val="left"/>
              <w:rPr/>
            </w:pPr>
            <w:r>
              <w:rPr/>
              <w:t>Section 6.9</w:t>
            </w:r>
          </w:p>
        </w:tc>
        <w:tc>
          <w:tcPr>
            <w:tcW w:w="5315" w:type="dxa"/>
            <w:tcBorders/>
            <w:shd w:fill="FFFFFF" w:val="clear"/>
            <w:vAlign w:val="center"/>
          </w:tcPr>
          <w:p>
            <w:pPr>
              <w:pStyle w:val="TableContents"/>
              <w:bidi w:val="0"/>
              <w:spacing w:before="0" w:after="283"/>
              <w:jc w:val="left"/>
              <w:rPr/>
            </w:pPr>
            <w:r>
              <w:rPr/>
              <w:t>Notices</w:t>
            </w:r>
          </w:p>
        </w:tc>
        <w:tc>
          <w:tcPr>
            <w:tcW w:w="530" w:type="dxa"/>
            <w:tcBorders/>
            <w:shd w:fill="FFFFFF" w:val="clear"/>
            <w:vAlign w:val="center"/>
          </w:tcPr>
          <w:p>
            <w:pPr>
              <w:pStyle w:val="TableContents"/>
              <w:bidi w:val="0"/>
              <w:spacing w:before="0" w:after="283"/>
              <w:jc w:val="center"/>
              <w:rPr/>
            </w:pPr>
            <w:r>
              <w:rPr/>
              <w:t>27</w:t>
            </w:r>
          </w:p>
        </w:tc>
      </w:tr>
      <w:tr>
        <w:trPr/>
        <w:tc>
          <w:tcPr>
            <w:tcW w:w="1220" w:type="dxa"/>
            <w:tcBorders/>
            <w:shd w:fill="EEEEEE" w:val="clear"/>
            <w:vAlign w:val="center"/>
          </w:tcPr>
          <w:p>
            <w:pPr>
              <w:pStyle w:val="TableContents"/>
              <w:bidi w:val="0"/>
              <w:spacing w:before="0" w:after="283"/>
              <w:jc w:val="left"/>
              <w:rPr/>
            </w:pPr>
            <w:r>
              <w:rPr/>
              <w:t>Section 6.10</w:t>
            </w:r>
          </w:p>
        </w:tc>
        <w:tc>
          <w:tcPr>
            <w:tcW w:w="5315" w:type="dxa"/>
            <w:tcBorders/>
            <w:shd w:fill="EEEEEE" w:val="clear"/>
            <w:vAlign w:val="center"/>
          </w:tcPr>
          <w:p>
            <w:pPr>
              <w:pStyle w:val="TableContents"/>
              <w:bidi w:val="0"/>
              <w:spacing w:before="0" w:after="283"/>
              <w:jc w:val="left"/>
              <w:rPr/>
            </w:pPr>
            <w:r>
              <w:rPr/>
              <w:t>Costs and Expenses</w:t>
            </w:r>
          </w:p>
        </w:tc>
        <w:tc>
          <w:tcPr>
            <w:tcW w:w="530" w:type="dxa"/>
            <w:tcBorders/>
            <w:shd w:fill="EEEEEE" w:val="clear"/>
            <w:vAlign w:val="center"/>
          </w:tcPr>
          <w:p>
            <w:pPr>
              <w:pStyle w:val="TableContents"/>
              <w:bidi w:val="0"/>
              <w:spacing w:before="0" w:after="283"/>
              <w:jc w:val="center"/>
              <w:rPr/>
            </w:pPr>
            <w:r>
              <w:rPr/>
              <w:t>27</w:t>
            </w:r>
          </w:p>
        </w:tc>
      </w:tr>
      <w:tr>
        <w:trPr/>
        <w:tc>
          <w:tcPr>
            <w:tcW w:w="1220" w:type="dxa"/>
            <w:tcBorders/>
            <w:shd w:fill="FFFFFF" w:val="clear"/>
            <w:vAlign w:val="center"/>
          </w:tcPr>
          <w:p>
            <w:pPr>
              <w:pStyle w:val="TableContents"/>
              <w:bidi w:val="0"/>
              <w:spacing w:before="0" w:after="283"/>
              <w:jc w:val="left"/>
              <w:rPr/>
            </w:pPr>
            <w:r>
              <w:rPr/>
              <w:t>Section 6.11</w:t>
            </w:r>
          </w:p>
        </w:tc>
        <w:tc>
          <w:tcPr>
            <w:tcW w:w="5315" w:type="dxa"/>
            <w:tcBorders/>
            <w:shd w:fill="FFFFFF" w:val="clear"/>
            <w:vAlign w:val="center"/>
          </w:tcPr>
          <w:p>
            <w:pPr>
              <w:pStyle w:val="TableContents"/>
              <w:bidi w:val="0"/>
              <w:spacing w:before="0" w:after="283"/>
              <w:jc w:val="left"/>
              <w:rPr/>
            </w:pPr>
            <w:r>
              <w:rPr/>
              <w:t>Representations of the Seller and the Purchaser</w:t>
            </w:r>
          </w:p>
        </w:tc>
        <w:tc>
          <w:tcPr>
            <w:tcW w:w="530" w:type="dxa"/>
            <w:tcBorders/>
            <w:shd w:fill="FFFFFF" w:val="clear"/>
            <w:vAlign w:val="center"/>
          </w:tcPr>
          <w:p>
            <w:pPr>
              <w:pStyle w:val="TableContents"/>
              <w:bidi w:val="0"/>
              <w:spacing w:before="0" w:after="283"/>
              <w:jc w:val="center"/>
              <w:rPr/>
            </w:pPr>
            <w:r>
              <w:rPr/>
              <w:t>27</w:t>
            </w:r>
          </w:p>
        </w:tc>
      </w:tr>
      <w:tr>
        <w:trPr/>
        <w:tc>
          <w:tcPr>
            <w:tcW w:w="1220" w:type="dxa"/>
            <w:tcBorders/>
            <w:shd w:fill="EEEEEE" w:val="clear"/>
            <w:vAlign w:val="center"/>
          </w:tcPr>
          <w:p>
            <w:pPr>
              <w:pStyle w:val="TableContents"/>
              <w:bidi w:val="0"/>
              <w:spacing w:before="0" w:after="283"/>
              <w:jc w:val="left"/>
              <w:rPr/>
            </w:pPr>
            <w:r>
              <w:rPr/>
              <w:t>Section 6.12</w:t>
            </w:r>
          </w:p>
        </w:tc>
        <w:tc>
          <w:tcPr>
            <w:tcW w:w="5315" w:type="dxa"/>
            <w:tcBorders/>
            <w:shd w:fill="EEEEEE" w:val="clear"/>
            <w:vAlign w:val="center"/>
          </w:tcPr>
          <w:p>
            <w:pPr>
              <w:pStyle w:val="TableContents"/>
              <w:bidi w:val="0"/>
              <w:spacing w:before="0" w:after="283"/>
              <w:jc w:val="left"/>
              <w:rPr/>
            </w:pPr>
            <w:r>
              <w:rPr/>
              <w:t>Confidential Information</w:t>
            </w:r>
          </w:p>
        </w:tc>
        <w:tc>
          <w:tcPr>
            <w:tcW w:w="530" w:type="dxa"/>
            <w:tcBorders/>
            <w:shd w:fill="EEEEEE" w:val="clear"/>
            <w:vAlign w:val="center"/>
          </w:tcPr>
          <w:p>
            <w:pPr>
              <w:pStyle w:val="TableContents"/>
              <w:bidi w:val="0"/>
              <w:spacing w:before="0" w:after="283"/>
              <w:jc w:val="center"/>
              <w:rPr/>
            </w:pPr>
            <w:r>
              <w:rPr/>
              <w:t>28</w:t>
            </w:r>
          </w:p>
        </w:tc>
      </w:tr>
      <w:tr>
        <w:trPr/>
        <w:tc>
          <w:tcPr>
            <w:tcW w:w="1220" w:type="dxa"/>
            <w:tcBorders/>
            <w:shd w:fill="FFFFFF" w:val="clear"/>
            <w:vAlign w:val="center"/>
          </w:tcPr>
          <w:p>
            <w:pPr>
              <w:pStyle w:val="TableContents"/>
              <w:bidi w:val="0"/>
              <w:spacing w:before="0" w:after="283"/>
              <w:jc w:val="left"/>
              <w:rPr/>
            </w:pPr>
            <w:r>
              <w:rPr/>
              <w:t>Section 6.13</w:t>
            </w:r>
          </w:p>
        </w:tc>
        <w:tc>
          <w:tcPr>
            <w:tcW w:w="5315" w:type="dxa"/>
            <w:tcBorders/>
            <w:shd w:fill="FFFFFF" w:val="clear"/>
            <w:vAlign w:val="center"/>
          </w:tcPr>
          <w:p>
            <w:pPr>
              <w:pStyle w:val="TableContents"/>
              <w:bidi w:val="0"/>
              <w:spacing w:before="0" w:after="283"/>
              <w:jc w:val="left"/>
              <w:rPr/>
            </w:pPr>
            <w:r>
              <w:rPr/>
              <w:t>Headings and Cross-References</w:t>
            </w:r>
          </w:p>
        </w:tc>
        <w:tc>
          <w:tcPr>
            <w:tcW w:w="530" w:type="dxa"/>
            <w:tcBorders/>
            <w:shd w:fill="FFFFFF" w:val="clear"/>
            <w:vAlign w:val="center"/>
          </w:tcPr>
          <w:p>
            <w:pPr>
              <w:pStyle w:val="TableContents"/>
              <w:bidi w:val="0"/>
              <w:spacing w:before="0" w:after="283"/>
              <w:jc w:val="center"/>
              <w:rPr/>
            </w:pPr>
            <w:r>
              <w:rPr/>
              <w:t>28</w:t>
            </w:r>
          </w:p>
        </w:tc>
      </w:tr>
      <w:tr>
        <w:trPr/>
        <w:tc>
          <w:tcPr>
            <w:tcW w:w="1220" w:type="dxa"/>
            <w:tcBorders/>
            <w:shd w:fill="EEEEEE" w:val="clear"/>
            <w:vAlign w:val="center"/>
          </w:tcPr>
          <w:p>
            <w:pPr>
              <w:pStyle w:val="TableContents"/>
              <w:bidi w:val="0"/>
              <w:spacing w:before="0" w:after="283"/>
              <w:jc w:val="left"/>
              <w:rPr/>
            </w:pPr>
            <w:r>
              <w:rPr/>
              <w:t>Section 6.14</w:t>
            </w:r>
          </w:p>
        </w:tc>
        <w:tc>
          <w:tcPr>
            <w:tcW w:w="5315" w:type="dxa"/>
            <w:tcBorders/>
            <w:shd w:fill="EEEEEE" w:val="clear"/>
            <w:vAlign w:val="center"/>
          </w:tcPr>
          <w:p>
            <w:pPr>
              <w:pStyle w:val="TableContents"/>
              <w:bidi w:val="0"/>
              <w:spacing w:before="0" w:after="283"/>
              <w:jc w:val="left"/>
              <w:rPr/>
            </w:pPr>
            <w:r>
              <w:rPr/>
              <w:t>Third-Party Beneficiaries</w:t>
            </w:r>
          </w:p>
        </w:tc>
        <w:tc>
          <w:tcPr>
            <w:tcW w:w="530" w:type="dxa"/>
            <w:tcBorders/>
            <w:shd w:fill="EEEEEE" w:val="clear"/>
            <w:vAlign w:val="center"/>
          </w:tcPr>
          <w:p>
            <w:pPr>
              <w:pStyle w:val="TableContents"/>
              <w:bidi w:val="0"/>
              <w:spacing w:before="0" w:after="283"/>
              <w:jc w:val="center"/>
              <w:rPr/>
            </w:pPr>
            <w:r>
              <w:rPr/>
              <w:t>28</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tbl>
      <w:tblPr>
        <w:tblW w:w="7080" w:type="dxa"/>
        <w:jc w:val="left"/>
        <w:tblInd w:w="0" w:type="dxa"/>
        <w:tblLayout w:type="fixed"/>
        <w:tblCellMar>
          <w:top w:w="0" w:type="dxa"/>
          <w:left w:w="0" w:type="dxa"/>
          <w:bottom w:w="0" w:type="dxa"/>
          <w:right w:w="0" w:type="dxa"/>
        </w:tblCellMar>
      </w:tblPr>
      <w:tblGrid>
        <w:gridCol w:w="1220"/>
        <w:gridCol w:w="5585"/>
        <w:gridCol w:w="275"/>
      </w:tblGrid>
      <w:tr>
        <w:trPr/>
        <w:tc>
          <w:tcPr>
            <w:tcW w:w="12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 </w:t>
            </w:r>
          </w:p>
        </w:tc>
      </w:tr>
      <w:tr>
        <w:trPr/>
        <w:tc>
          <w:tcPr>
            <w:tcW w:w="1220" w:type="dxa"/>
            <w:tcBorders/>
            <w:shd w:fill="EEEEEE" w:val="clear"/>
            <w:vAlign w:val="center"/>
          </w:tcPr>
          <w:p>
            <w:pPr>
              <w:pStyle w:val="TableContents"/>
              <w:bidi w:val="0"/>
              <w:spacing w:before="0" w:after="283"/>
              <w:jc w:val="left"/>
              <w:rPr/>
            </w:pPr>
            <w:r>
              <w:rPr/>
              <w:t>Section 6.15</w:t>
            </w:r>
          </w:p>
        </w:tc>
        <w:tc>
          <w:tcPr>
            <w:tcW w:w="5585" w:type="dxa"/>
            <w:tcBorders/>
            <w:shd w:fill="EEEEEE" w:val="clear"/>
            <w:vAlign w:val="center"/>
          </w:tcPr>
          <w:p>
            <w:pPr>
              <w:pStyle w:val="TableContents"/>
              <w:bidi w:val="0"/>
              <w:spacing w:before="0" w:after="283"/>
              <w:jc w:val="left"/>
              <w:rPr/>
            </w:pPr>
            <w:r>
              <w:rPr/>
              <w:t>Governing Law; Waiver of Jury Trial; Jurisdiction</w:t>
            </w:r>
          </w:p>
        </w:tc>
        <w:tc>
          <w:tcPr>
            <w:tcW w:w="275" w:type="dxa"/>
            <w:tcBorders/>
            <w:shd w:fill="EEEEEE" w:val="clear"/>
            <w:vAlign w:val="center"/>
          </w:tcPr>
          <w:p>
            <w:pPr>
              <w:pStyle w:val="TableContents"/>
              <w:bidi w:val="0"/>
              <w:spacing w:before="0" w:after="283"/>
              <w:jc w:val="center"/>
              <w:rPr/>
            </w:pPr>
            <w:r>
              <w:rPr/>
              <w:t>28</w:t>
            </w:r>
          </w:p>
        </w:tc>
      </w:tr>
      <w:tr>
        <w:trPr/>
        <w:tc>
          <w:tcPr>
            <w:tcW w:w="1220" w:type="dxa"/>
            <w:tcBorders/>
            <w:shd w:fill="FFFFFF" w:val="clear"/>
            <w:vAlign w:val="center"/>
          </w:tcPr>
          <w:p>
            <w:pPr>
              <w:pStyle w:val="TableContents"/>
              <w:bidi w:val="0"/>
              <w:spacing w:before="0" w:after="283"/>
              <w:jc w:val="left"/>
              <w:rPr/>
            </w:pPr>
            <w:r>
              <w:rPr/>
              <w:t>Section 6.16</w:t>
            </w:r>
          </w:p>
        </w:tc>
        <w:tc>
          <w:tcPr>
            <w:tcW w:w="5585" w:type="dxa"/>
            <w:tcBorders/>
            <w:shd w:fill="FFFFFF" w:val="clear"/>
            <w:vAlign w:val="center"/>
          </w:tcPr>
          <w:p>
            <w:pPr>
              <w:pStyle w:val="TableContents"/>
              <w:bidi w:val="0"/>
              <w:spacing w:before="0" w:after="283"/>
              <w:jc w:val="left"/>
              <w:rPr/>
            </w:pPr>
            <w:r>
              <w:rPr/>
              <w:t>Counterparts</w:t>
            </w:r>
          </w:p>
        </w:tc>
        <w:tc>
          <w:tcPr>
            <w:tcW w:w="275" w:type="dxa"/>
            <w:tcBorders/>
            <w:shd w:fill="FFFFFF" w:val="clear"/>
            <w:vAlign w:val="center"/>
          </w:tcPr>
          <w:p>
            <w:pPr>
              <w:pStyle w:val="TableContents"/>
              <w:bidi w:val="0"/>
              <w:spacing w:before="0" w:after="283"/>
              <w:jc w:val="center"/>
              <w:rPr/>
            </w:pPr>
            <w:r>
              <w:rPr/>
              <w:t>29</w:t>
            </w:r>
          </w:p>
        </w:tc>
      </w:tr>
      <w:tr>
        <w:trPr/>
        <w:tc>
          <w:tcPr>
            <w:tcW w:w="1220" w:type="dxa"/>
            <w:tcBorders/>
            <w:shd w:fill="EEEEEE" w:val="clear"/>
            <w:vAlign w:val="center"/>
          </w:tcPr>
          <w:p>
            <w:pPr>
              <w:pStyle w:val="TableContents"/>
              <w:bidi w:val="0"/>
              <w:spacing w:before="0" w:after="283"/>
              <w:jc w:val="left"/>
              <w:rPr/>
            </w:pPr>
            <w:r>
              <w:rPr/>
              <w:t>Section 6.17</w:t>
            </w:r>
          </w:p>
        </w:tc>
        <w:tc>
          <w:tcPr>
            <w:tcW w:w="5585" w:type="dxa"/>
            <w:tcBorders/>
            <w:shd w:fill="EEEEEE" w:val="clear"/>
            <w:vAlign w:val="center"/>
          </w:tcPr>
          <w:p>
            <w:pPr>
              <w:pStyle w:val="TableContents"/>
              <w:bidi w:val="0"/>
              <w:spacing w:before="0" w:after="283"/>
              <w:jc w:val="left"/>
              <w:rPr/>
            </w:pPr>
            <w:r>
              <w:rPr/>
              <w:t>Intention of Parties Regarding Delaware Securitization Act</w:t>
            </w:r>
          </w:p>
        </w:tc>
        <w:tc>
          <w:tcPr>
            <w:tcW w:w="275" w:type="dxa"/>
            <w:tcBorders/>
            <w:shd w:fill="EEEEEE" w:val="clear"/>
            <w:vAlign w:val="center"/>
          </w:tcPr>
          <w:p>
            <w:pPr>
              <w:pStyle w:val="TableContents"/>
              <w:bidi w:val="0"/>
              <w:spacing w:before="0" w:after="283"/>
              <w:jc w:val="center"/>
              <w:rPr/>
            </w:pPr>
            <w:r>
              <w:rPr/>
              <w:t>29</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p>
      <w:pPr>
        <w:pStyle w:val="TextBody"/>
        <w:bidi w:val="0"/>
        <w:spacing w:before="0" w:after="0"/>
        <w:ind w:left="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Form of Assignment</w:t>
      </w:r>
    </w:p>
    <w:p>
      <w:pPr>
        <w:pStyle w:val="TextBody"/>
        <w:bidi w:val="0"/>
        <w:spacing w:before="0" w:after="0"/>
        <w:ind w:left="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Schedule of Receivable</w:t>
      </w:r>
    </w:p>
    <w:p>
      <w:pPr>
        <w:pStyle w:val="TextBody"/>
        <w:bidi w:val="0"/>
        <w:spacing w:before="0" w:after="0"/>
        <w:ind w:left="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Reserved</w:t>
      </w:r>
    </w:p>
    <w:p>
      <w:pPr>
        <w:pStyle w:val="TextBody"/>
        <w:bidi w:val="0"/>
        <w:spacing w:before="0" w:after="0"/>
        <w:ind w:left="80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57"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PURCHASE AGREEMENT dated as of April 1, 2026 by and between CONSUMER PORTFOLIO SERVICES, INC., a California corporation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having its principal executive office at 3800 Howard Hughes Pkwy., Suite 1400, Las Vegas, NV 89169, and CPS RECEIVABLES FIVE LLC, a Delaware limited liability company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having its principal executive office at 3800 Howard Hughes Pkwy., Suite 1400, Las Vegas, NV 89169.</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the regular course of its business, the Seller purchases and services through its auto loan programs certain motor vehicle retail installment sale contracts and promissory notes and security agreements secured by new and used automobiles, light trucks, vans and minivans acquired by it from motor vehicle dealers and independent finance companies, or originates loans to purchasers of such vehicles evidenced by promissory notes and security agreements; and</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Seller and the Purchaser wish to set forth the terms pursuant to which the Receivables (as hereinafter defined), are to be sold by the Seller to the Purchaser, which Receivables will be transferred by the Purchaser to CPS Auto Receivables Trust 2026-B (the “</w:t>
      </w:r>
      <w:r>
        <w:rPr>
          <w:rFonts w:ascii="Times New Roman;Times;Serif" w:hAnsi="Times New Roman;Times;Serif"/>
          <w:b w:val="false"/>
          <w:i w:val="false"/>
          <w:caps w:val="false"/>
          <w:smallCaps w:val="false"/>
          <w:sz w:val="20"/>
          <w:u w:val="single"/>
        </w:rPr>
        <w:t>Trust</w:t>
      </w:r>
      <w:r>
        <w:rPr>
          <w:rFonts w:ascii="Times New Roman;Times;Serif" w:hAnsi="Times New Roman;Times;Serif"/>
          <w:b w:val="false"/>
          <w:i w:val="false"/>
          <w:caps w:val="false"/>
          <w:smallCaps w:val="false"/>
          <w:sz w:val="20"/>
        </w:rPr>
        <w:t>”) pursuant to the Sale and Servicing Agreement (as hereinafter defined), which will transfer the Receivables to the Grantor Trust (as hereinafter defined) pursuant to the Grantor Trust Agreement (as hereinafter defined), which will issue a certificate of beneficial ownership in the Grantor Trust to the Trust (the “</w:t>
      </w:r>
      <w:r>
        <w:rPr>
          <w:rFonts w:ascii="Times New Roman;Times;Serif" w:hAnsi="Times New Roman;Times;Serif"/>
          <w:b w:val="false"/>
          <w:i w:val="false"/>
          <w:caps w:val="false"/>
          <w:smallCaps w:val="false"/>
          <w:sz w:val="20"/>
          <w:u w:val="single"/>
        </w:rPr>
        <w:t>Grantor Trust Certificate</w:t>
      </w:r>
      <w:r>
        <w:rPr>
          <w:rFonts w:ascii="Times New Roman;Times;Serif" w:hAnsi="Times New Roman;Times;Serif"/>
          <w:b w:val="false"/>
          <w:i w:val="false"/>
          <w:caps w:val="false"/>
          <w:smallCaps w:val="false"/>
          <w:sz w:val="20"/>
        </w:rPr>
        <w:t>”), which will be transferred pursuant to the Sale and Servicing Agreement (as hereinafter defined) to the Trust, which will issue notes under the Indenture (as hereinafter defined) representing indebtedness of the Trust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and certificates under the Trust Agreement (as hereinafter defined) representing beneficial interests in the Trust (the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and, together with the Notes,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7"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other good and valuable consideration, and the mutual terms and covenants contained herein, the parties hereto agree as follows:</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DEFINITIONS</w:t>
      </w:r>
    </w:p>
    <w:p>
      <w:pPr>
        <w:pStyle w:val="TextBody"/>
        <w:bidi w:val="0"/>
        <w:spacing w:before="0" w:after="0"/>
        <w:ind w:left="3381" w:right="3740" w:firstLine="700"/>
        <w:jc w:val="left"/>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Terms not defined in this Receivables Purchase Agreement shall have the meaning set forth in the Sale and Servicing Agreement and if not defined therein, shall have the meanings set forth in the Indenture. As used in this Receivables Purchase Agreement, the following terms shall, unless the context otherwise requires, have the following meanings (such meanings to be equally applicable to the singular and plural forms of the terms defined):</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354" w:right="354"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 means, collectively, this Receivables Purchase Agreement and the Assignment.</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6" w:right="356"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means the Assignment dated the Closing Date, by the Seller to the Purchaser, relating to the purchase of the Receivables and certain other property related thereto by the Purchaser from the Seller pursuant to this Receivables Purchase Agreement, which shall be in substantially the form attached hereto as Exhibit 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96" w:right="396"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Authoritative Copy</w:t>
      </w:r>
      <w:r>
        <w:rPr>
          <w:rFonts w:ascii="Times New Roman;Times;Serif" w:hAnsi="Times New Roman;Times;Serif"/>
          <w:b w:val="false"/>
          <w:i w:val="false"/>
          <w:caps w:val="false"/>
          <w:smallCaps w:val="false"/>
          <w:sz w:val="20"/>
        </w:rPr>
        <w:t>” means, with respect to any Electronic Contract that constitutes Electronic Chattel Paper, a copy of such Electronic Contract that is unique, identifiable and, except as otherwise provided in Section 9-105 of the UCC, unalterable, any perceivable rendering of which is marked “View of Authoritative Copy” and has no watermark or other marking that would indicate that it is a “copy” or “duplicate” or not an original or not an “authoritative” copy.</w:t>
      </w:r>
    </w:p>
    <w:p>
      <w:pPr>
        <w:pStyle w:val="TextBody"/>
        <w:bidi w:val="0"/>
        <w:spacing w:before="0" w:after="0"/>
        <w:ind w:left="396" w:right="396" w:firstLine="72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April 22, 2026.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CPS</w:t>
      </w:r>
      <w:r>
        <w:rPr>
          <w:rFonts w:ascii="Times New Roman;Times;Serif" w:hAnsi="Times New Roman;Times;Serif"/>
          <w:b w:val="false"/>
          <w:i w:val="false"/>
          <w:caps w:val="false"/>
          <w:smallCaps w:val="false"/>
          <w:sz w:val="20"/>
        </w:rPr>
        <w:t>” means Consumer Portfolio Services, Inc., a California corporation and its successors and assigns.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Cutoff Date</w:t>
      </w:r>
      <w:r>
        <w:rPr>
          <w:rFonts w:ascii="Times New Roman;Times;Serif" w:hAnsi="Times New Roman;Times;Serif"/>
          <w:b w:val="false"/>
          <w:i w:val="false"/>
          <w:caps w:val="false"/>
          <w:smallCaps w:val="false"/>
          <w:sz w:val="20"/>
        </w:rPr>
        <w:t>” means the close of business on March 31, 2026.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62" w:right="362" w:firstLine="811"/>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Chattel Paper</w:t>
      </w:r>
      <w:r>
        <w:rPr>
          <w:rFonts w:ascii="Times New Roman;Times;Serif" w:hAnsi="Times New Roman;Times;Serif"/>
          <w:b w:val="false"/>
          <w:i w:val="false"/>
          <w:caps w:val="false"/>
          <w:smallCaps w:val="false"/>
          <w:sz w:val="20"/>
        </w:rPr>
        <w:t>” means, as applicable (a) “electronic chattel paper” as defined in Section 9-102(a)(31) of the UCC of a Pre-2022 UCC Jurisdiction, or (b) an electronic copy of a record evidencing chattel paper within the meaning of Section 9-314A of the UCC of a Revised UCC Jurisdiction.</w:t>
      </w:r>
    </w:p>
    <w:p>
      <w:pPr>
        <w:pStyle w:val="TextBody"/>
        <w:bidi w:val="0"/>
        <w:spacing w:before="0" w:after="0"/>
        <w:ind w:left="362" w:right="362" w:firstLine="811"/>
        <w:jc w:val="left"/>
        <w:rPr>
          <w:caps w:val="false"/>
          <w:smallCaps w:val="false"/>
        </w:rPr>
      </w:pPr>
      <w:r>
        <w:rPr>
          <w:caps w:val="false"/>
          <w:smallCaps w:val="false"/>
        </w:rPr>
        <w:t> </w:t>
      </w:r>
    </w:p>
    <w:p>
      <w:pPr>
        <w:pStyle w:val="TextBody"/>
        <w:bidi w:val="0"/>
        <w:spacing w:before="0" w:after="0"/>
        <w:ind w:left="374" w:right="374"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Chattel Paper Condition</w:t>
      </w:r>
      <w:r>
        <w:rPr>
          <w:rFonts w:ascii="Times New Roman;Times;Serif" w:hAnsi="Times New Roman;Times;Serif"/>
          <w:b w:val="false"/>
          <w:i w:val="false"/>
          <w:caps w:val="false"/>
          <w:smallCaps w:val="false"/>
          <w:sz w:val="20"/>
        </w:rPr>
        <w:t xml:space="preserve">” (i) the delivery to the Indenture Trustee and the Placement Agents of a legal opinion from a nationally recognized law firm to the effect that the Grantor Trust’s security interest in any Receivables that constitute electronic chattel paper under the UCC has been perfected by control pursuant to Section 9-105 of the UCC and (ii) the delivery by the Issuer or the Indenture Trustee of an executed MECCA Joinder pursuant to the Master Electronic Collateral Control Agreement, substantially in the form of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to the Sale and Servicing Agreement, by the Grantor Trust, as contract owner, the Issuer and the Indenture Trustee as secured party.</w:t>
      </w:r>
    </w:p>
    <w:p>
      <w:pPr>
        <w:pStyle w:val="TextBody"/>
        <w:bidi w:val="0"/>
        <w:spacing w:before="0" w:after="0"/>
        <w:ind w:left="374" w:right="374" w:firstLine="720"/>
        <w:jc w:val="left"/>
        <w:rPr>
          <w:caps w:val="false"/>
          <w:smallCaps w:val="false"/>
        </w:rPr>
      </w:pPr>
      <w:r>
        <w:rPr>
          <w:caps w:val="false"/>
          <w:smallCaps w:val="false"/>
        </w:rPr>
        <w:t> </w:t>
      </w:r>
    </w:p>
    <w:p>
      <w:pPr>
        <w:pStyle w:val="TextBody"/>
        <w:bidi w:val="0"/>
        <w:spacing w:before="0" w:after="0"/>
        <w:ind w:left="476" w:right="476" w:firstLine="811"/>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Contract</w:t>
      </w:r>
      <w:r>
        <w:rPr>
          <w:rFonts w:ascii="Times New Roman;Times;Serif" w:hAnsi="Times New Roman;Times;Serif"/>
          <w:b w:val="false"/>
          <w:i w:val="false"/>
          <w:caps w:val="false"/>
          <w:smallCaps w:val="false"/>
          <w:sz w:val="20"/>
        </w:rPr>
        <w:t>” means a Contract that was electronically executed and authenticated; provided, that an Electronic Contract that has been Exported shall not constitute an Electronic Contract.</w:t>
      </w:r>
    </w:p>
    <w:p>
      <w:pPr>
        <w:pStyle w:val="TextBody"/>
        <w:bidi w:val="0"/>
        <w:spacing w:before="0" w:after="0"/>
        <w:ind w:left="476" w:right="476" w:firstLine="811"/>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Vault Provider</w:t>
      </w:r>
      <w:r>
        <w:rPr>
          <w:rFonts w:ascii="Times New Roman;Times;Serif" w:hAnsi="Times New Roman;Times;Serif"/>
          <w:b w:val="false"/>
          <w:i w:val="false"/>
          <w:caps w:val="false"/>
          <w:smallCaps w:val="false"/>
          <w:sz w:val="20"/>
        </w:rPr>
        <w:t>” means eOriginal, Inc.</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9" w:right="359"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PPM</w:t>
      </w:r>
      <w:r>
        <w:rPr>
          <w:rFonts w:ascii="Times New Roman;Times;Serif" w:hAnsi="Times New Roman;Times;Serif"/>
          <w:b w:val="false"/>
          <w:i w:val="false"/>
          <w:caps w:val="false"/>
          <w:smallCaps w:val="false"/>
          <w:sz w:val="20"/>
        </w:rPr>
        <w:t>” means the Confidential Private Placement Memorandum dated April 16, 2026, relating to the private placement of the Notes and any amendment or supplement thereto.</w:t>
      </w:r>
    </w:p>
    <w:p>
      <w:pPr>
        <w:pStyle w:val="TextBody"/>
        <w:bidi w:val="0"/>
        <w:spacing w:before="0" w:after="0"/>
        <w:ind w:left="359" w:right="359"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Grantor Trust</w:t>
      </w:r>
      <w:r>
        <w:rPr>
          <w:rFonts w:ascii="Times New Roman;Times;Serif" w:hAnsi="Times New Roman;Times;Serif"/>
          <w:b w:val="false"/>
          <w:i w:val="false"/>
          <w:caps w:val="false"/>
          <w:smallCaps w:val="false"/>
          <w:sz w:val="20"/>
        </w:rPr>
        <w:t>” means CPS Auto Receivables Grantor Trust 2026-B, governed by the Grantor Trust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56" w:right="356" w:firstLine="7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Grantor Trust Agreement</w:t>
      </w:r>
      <w:r>
        <w:rPr>
          <w:rFonts w:ascii="Times New Roman;Times;Serif" w:hAnsi="Times New Roman;Times;Serif"/>
          <w:b w:val="false"/>
          <w:i w:val="false"/>
          <w:caps w:val="false"/>
          <w:smallCaps w:val="false"/>
          <w:sz w:val="20"/>
        </w:rPr>
        <w:t>” means the Amended and Restated Trust Agreement dated as of April 22, 2026, by and between the Trust, as depositor, Computershare Trust Company, N.A., as grantor trust trustee, paying agent and certificate registrar, and Wilmington Trust, National Association, as Delaware trustee, as such agreement may be further amended, supplemented or otherwise modified from time to time in accordance with the terms thereof.</w:t>
      </w:r>
    </w:p>
    <w:p>
      <w:pPr>
        <w:pStyle w:val="TextBody"/>
        <w:bidi w:val="0"/>
        <w:spacing w:before="0" w:after="0"/>
        <w:ind w:left="356" w:right="356" w:firstLine="780"/>
        <w:jc w:val="both"/>
        <w:rPr>
          <w:caps w:val="false"/>
          <w:smallCaps w:val="false"/>
        </w:rPr>
      </w:pPr>
      <w:r>
        <w:rPr>
          <w:caps w:val="false"/>
          <w:smallCaps w:val="false"/>
        </w:rPr>
        <w:t> </w:t>
      </w:r>
    </w:p>
    <w:p>
      <w:pPr>
        <w:pStyle w:val="TextBody"/>
        <w:bidi w:val="0"/>
        <w:spacing w:before="0" w:after="0"/>
        <w:ind w:left="359" w:right="359"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the Indenture dated as of April 1, 2026, between CPS Auto Receivables Trust 2026-B, as issuer, and Computershare Trust Company, National Association, as indenture trustee, as the same may be amended, supplemented or otherwise modified from time to time in accordance with the terms thereof.</w:t>
      </w:r>
    </w:p>
    <w:p>
      <w:pPr>
        <w:pStyle w:val="TextBody"/>
        <w:bidi w:val="0"/>
        <w:spacing w:before="0" w:after="0"/>
        <w:ind w:left="355" w:right="355" w:hanging="0"/>
        <w:jc w:val="both"/>
        <w:rPr>
          <w:caps w:val="false"/>
          <w:smallCaps w:val="false"/>
        </w:rPr>
      </w:pPr>
      <w:r>
        <w:rPr>
          <w:caps w:val="false"/>
          <w:smallCaps w:val="false"/>
        </w:rPr>
        <w:t> </w:t>
      </w:r>
    </w:p>
    <w:p>
      <w:pPr>
        <w:pStyle w:val="TextBody"/>
        <w:bidi w:val="0"/>
        <w:spacing w:before="0" w:after="0"/>
        <w:ind w:left="355" w:right="355" w:hanging="0"/>
        <w:jc w:val="both"/>
        <w:rPr>
          <w:caps w:val="false"/>
          <w:smallCaps w:val="false"/>
        </w:rPr>
      </w:pPr>
      <w:r>
        <w:rPr>
          <w:caps w:val="false"/>
          <w:smallCaps w:val="false"/>
        </w:rPr>
        <w:t> </w:t>
      </w:r>
    </w:p>
    <w:p>
      <w:pPr>
        <w:pStyle w:val="TextBody"/>
        <w:bidi w:val="0"/>
        <w:spacing w:before="0" w:after="0"/>
        <w:ind w:left="355" w:right="355"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355" w:right="355" w:hanging="0"/>
        <w:jc w:val="both"/>
        <w:rPr>
          <w:caps w:val="false"/>
          <w:smallCaps w:val="false"/>
        </w:rPr>
      </w:pPr>
      <w:r>
        <w:rPr>
          <w:caps w:val="false"/>
          <w:smallCaps w:val="false"/>
        </w:rPr>
        <w:t> </w:t>
      </w:r>
    </w:p>
    <w:p>
      <w:pPr>
        <w:pStyle w:val="TextBody"/>
        <w:bidi w:val="0"/>
        <w:spacing w:before="0" w:after="0"/>
        <w:ind w:left="354" w:right="354"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 Certificate</w:t>
      </w:r>
      <w:r>
        <w:rPr>
          <w:rFonts w:ascii="Times New Roman;Times;Serif" w:hAnsi="Times New Roman;Times;Serif"/>
          <w:b w:val="false"/>
          <w:i w:val="false"/>
          <w:caps w:val="false"/>
          <w:smallCaps w:val="false"/>
          <w:sz w:val="20"/>
        </w:rPr>
        <w:t>” means, with respect to a Financed Vehicle, an original certificate of title, certificate of lien or other notification (paper or electronic) issued by the Registrar of Titles of the applicable state (or by a third-party service provider authorized by the Registrar of Titles) to a secured party that indicates that the lien of the secured party on the Financed Vehicle is recorded with the State for purposes of establishing the existence and priority of a secured party’s Lien on the Financed Vehicle. In any jurisdiction in which the original certificate of title is required to be given to the registered owner of the Financed Vehicle, the term “Lien Certificate” shall mean only a certificate or notification, paper or electronic, issued to a secured party.</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720" w:right="357"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Memorandum</w:t>
      </w:r>
      <w:r>
        <w:rPr>
          <w:rFonts w:ascii="Times New Roman;Times;Serif" w:hAnsi="Times New Roman;Times;Serif"/>
          <w:b w:val="false"/>
          <w:i w:val="false"/>
          <w:caps w:val="false"/>
          <w:smallCaps w:val="false"/>
          <w:sz w:val="20"/>
        </w:rPr>
        <w:t>” means the Final PPM and the Preliminary PPM, collectively. “</w:t>
      </w:r>
      <w:r>
        <w:rPr>
          <w:rFonts w:ascii="Times New Roman;Times;Serif" w:hAnsi="Times New Roman;Times;Serif"/>
          <w:b w:val="false"/>
          <w:i w:val="false"/>
          <w:caps w:val="false"/>
          <w:smallCaps w:val="false"/>
          <w:sz w:val="20"/>
          <w:u w:val="single"/>
        </w:rPr>
        <w:t>Obligor(s)</w:t>
      </w:r>
      <w:r>
        <w:rPr>
          <w:rFonts w:ascii="Times New Roman;Times;Serif" w:hAnsi="Times New Roman;Times;Serif"/>
          <w:b w:val="false"/>
          <w:i w:val="false"/>
          <w:caps w:val="false"/>
          <w:smallCaps w:val="false"/>
          <w:sz w:val="20"/>
        </w:rPr>
        <w:t>” means the purchaser or co-purchasers of a Financed Vehicle or any other</w:t>
      </w:r>
    </w:p>
    <w:p>
      <w:pPr>
        <w:pStyle w:val="TextBody"/>
        <w:bidi w:val="0"/>
        <w:spacing w:before="0" w:after="0"/>
        <w:ind w:left="720" w:right="357"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who owes or may be liable for payments under a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54" w:right="354"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by the chairman of the board, the president, any vice chairman of the board, any vice president, the treasurer, the controller or assistant treasurer or any assistant controller, secretary or assistant secretary of CPS, the Seller or the Servicer, as appropriate.</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7" w:right="357"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Post-Petition Receivable</w:t>
      </w:r>
      <w:r>
        <w:rPr>
          <w:rFonts w:ascii="Times New Roman;Times;Serif" w:hAnsi="Times New Roman;Times;Serif"/>
          <w:b w:val="false"/>
          <w:i w:val="false"/>
          <w:caps w:val="false"/>
          <w:smallCaps w:val="false"/>
          <w:sz w:val="20"/>
        </w:rPr>
        <w:t>” means a Receivable, the Obligor of which at the time of application is the debtor in a Federal, State or other bankruptcy, insolvency or similar proceeding, provided that a Receivable shall no longer be considered a Post-Petition Receivable upon the related Obligor receiving a discharge in the related proceeding.</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358" w:right="358"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Preliminary PPM</w:t>
      </w:r>
      <w:r>
        <w:rPr>
          <w:rFonts w:ascii="Times New Roman;Times;Serif" w:hAnsi="Times New Roman;Times;Serif"/>
          <w:b w:val="false"/>
          <w:i w:val="false"/>
          <w:caps w:val="false"/>
          <w:smallCaps w:val="false"/>
          <w:sz w:val="20"/>
        </w:rPr>
        <w:t>” means the Confidential Preliminary Private Placement Memorandum dated April 13, 2026, relating to the private placement of the Notes and any amendment or supplement thereto.</w:t>
      </w:r>
    </w:p>
    <w:p>
      <w:pPr>
        <w:pStyle w:val="TextBody"/>
        <w:bidi w:val="0"/>
        <w:spacing w:before="0" w:after="0"/>
        <w:ind w:left="358" w:right="358" w:firstLine="720"/>
        <w:jc w:val="both"/>
        <w:rPr>
          <w:caps w:val="false"/>
          <w:smallCaps w:val="false"/>
        </w:rPr>
      </w:pPr>
      <w:r>
        <w:rPr>
          <w:caps w:val="false"/>
          <w:smallCaps w:val="false"/>
        </w:rPr>
        <w:t> </w:t>
      </w:r>
    </w:p>
    <w:p>
      <w:pPr>
        <w:pStyle w:val="TextBody"/>
        <w:bidi w:val="0"/>
        <w:spacing w:before="0" w:after="0"/>
        <w:ind w:left="357" w:right="357"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Pre-2022 UCC Jurisdiction</w:t>
      </w:r>
      <w:r>
        <w:rPr>
          <w:rFonts w:ascii="Times New Roman;Times;Serif" w:hAnsi="Times New Roman;Times;Serif"/>
          <w:b w:val="false"/>
          <w:i w:val="false"/>
          <w:caps w:val="false"/>
          <w:smallCaps w:val="false"/>
          <w:sz w:val="20"/>
        </w:rPr>
        <w:t>” means (i) a jurisdiction that has not enacted the 2022 Amendments, or (ii) a jurisdiction that has enacted the 2022 Amendments, but which amendments are not fully in effect.</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358" w:right="358"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means CPS Receivables Five LLC, a Delaware limited liability company, and its successors and assigns.</w:t>
      </w:r>
    </w:p>
    <w:p>
      <w:pPr>
        <w:pStyle w:val="TextBody"/>
        <w:bidi w:val="0"/>
        <w:spacing w:before="0" w:after="0"/>
        <w:ind w:left="358" w:right="358" w:firstLine="720"/>
        <w:jc w:val="both"/>
        <w:rPr>
          <w:caps w:val="false"/>
          <w:smallCaps w:val="false"/>
        </w:rPr>
      </w:pPr>
      <w:r>
        <w:rPr>
          <w:caps w:val="false"/>
          <w:smallCaps w:val="false"/>
        </w:rPr>
        <w:t> </w:t>
      </w:r>
    </w:p>
    <w:p>
      <w:pPr>
        <w:pStyle w:val="TextBody"/>
        <w:bidi w:val="0"/>
        <w:spacing w:before="0" w:after="0"/>
        <w:ind w:left="360" w:right="36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w:t>
      </w:r>
      <w:r>
        <w:rPr>
          <w:rFonts w:ascii="Times New Roman;Times;Serif" w:hAnsi="Times New Roman;Times;Serif"/>
          <w:b w:val="false"/>
          <w:i w:val="false"/>
          <w:caps w:val="false"/>
          <w:smallCaps w:val="false"/>
          <w:sz w:val="20"/>
        </w:rPr>
        <w:t>” means each retail installment sale contract or promissory note and security agreement for a Financed Vehicle transferred to the Purchaser pursuant to the Assignment, which shall be listed on the Schedule of Receivables, and all rights thereunder.</w:t>
      </w:r>
    </w:p>
    <w:p>
      <w:pPr>
        <w:pStyle w:val="TextBody"/>
        <w:bidi w:val="0"/>
        <w:spacing w:before="0" w:after="0"/>
        <w:ind w:left="360" w:right="360" w:firstLine="720"/>
        <w:jc w:val="both"/>
        <w:rPr>
          <w:caps w:val="false"/>
          <w:smallCaps w:val="false"/>
        </w:rPr>
      </w:pPr>
      <w:r>
        <w:rPr>
          <w:caps w:val="false"/>
          <w:smallCaps w:val="false"/>
        </w:rPr>
        <w:t> </w:t>
      </w:r>
    </w:p>
    <w:p>
      <w:pPr>
        <w:pStyle w:val="TextBody"/>
        <w:bidi w:val="0"/>
        <w:spacing w:before="0" w:after="0"/>
        <w:ind w:left="359" w:right="359"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Purchase Agreement</w:t>
      </w:r>
      <w:r>
        <w:rPr>
          <w:rFonts w:ascii="Times New Roman;Times;Serif" w:hAnsi="Times New Roman;Times;Serif"/>
          <w:b w:val="false"/>
          <w:i w:val="false"/>
          <w:caps w:val="false"/>
          <w:smallCaps w:val="false"/>
          <w:sz w:val="20"/>
        </w:rPr>
        <w:t>” means this Receivables Purchase Agreement, as this agreement may be amended, supplemented or otherwise modified from time to time in accordance with the terms hereof.</w:t>
      </w:r>
    </w:p>
    <w:p>
      <w:pPr>
        <w:pStyle w:val="TextBody"/>
        <w:bidi w:val="0"/>
        <w:spacing w:before="0" w:after="0"/>
        <w:ind w:left="359" w:right="359" w:firstLine="720"/>
        <w:jc w:val="both"/>
        <w:rPr>
          <w:caps w:val="false"/>
          <w:smallCaps w:val="false"/>
        </w:rPr>
      </w:pPr>
      <w:r>
        <w:rPr>
          <w:caps w:val="false"/>
          <w:smallCaps w:val="false"/>
        </w:rPr>
        <w:t> </w:t>
      </w:r>
    </w:p>
    <w:p>
      <w:pPr>
        <w:pStyle w:val="TextBody"/>
        <w:bidi w:val="0"/>
        <w:spacing w:before="0" w:after="0"/>
        <w:ind w:left="719"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Purchase Price</w:t>
      </w:r>
      <w:r>
        <w:rPr>
          <w:rFonts w:ascii="Times New Roman;Times;Serif" w:hAnsi="Times New Roman;Times;Serif"/>
          <w:b w:val="false"/>
          <w:i w:val="false"/>
          <w:caps w:val="false"/>
          <w:smallCaps w:val="false"/>
          <w:sz w:val="20"/>
        </w:rPr>
        <w:t>” means $526,171,014.98.</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59" w:right="359"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Repurchase Event</w:t>
      </w:r>
      <w:r>
        <w:rPr>
          <w:rFonts w:ascii="Times New Roman;Times;Serif" w:hAnsi="Times New Roman;Times;Serif"/>
          <w:b w:val="false"/>
          <w:i w:val="false"/>
          <w:caps w:val="false"/>
          <w:smallCaps w:val="false"/>
          <w:sz w:val="20"/>
        </w:rPr>
        <w:t xml:space="preserve">” shall mean any event that obligates the Seller to repurchase a Receivable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359" w:right="359" w:firstLine="720"/>
        <w:jc w:val="both"/>
        <w:rPr>
          <w:caps w:val="false"/>
          <w:smallCaps w:val="false"/>
        </w:rPr>
      </w:pPr>
      <w:r>
        <w:rPr>
          <w:caps w:val="false"/>
          <w:smallCaps w:val="false"/>
        </w:rPr>
        <w:t> </w:t>
      </w:r>
    </w:p>
    <w:p>
      <w:pPr>
        <w:pStyle w:val="TextBody"/>
        <w:bidi w:val="0"/>
        <w:spacing w:before="0" w:after="0"/>
        <w:ind w:left="357" w:right="357"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Revised UCC Jurisdiction</w:t>
      </w:r>
      <w:r>
        <w:rPr>
          <w:rFonts w:ascii="Times New Roman;Times;Serif" w:hAnsi="Times New Roman;Times;Serif"/>
          <w:b w:val="false"/>
          <w:i w:val="false"/>
          <w:caps w:val="false"/>
          <w:smallCaps w:val="false"/>
          <w:sz w:val="20"/>
        </w:rPr>
        <w:t>” means a jurisdiction that has enacted the 2022 Amendments, which amendments are fully in effect.</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357" w:right="357"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Servicing Agreement</w:t>
      </w:r>
      <w:r>
        <w:rPr>
          <w:rFonts w:ascii="Times New Roman;Times;Serif" w:hAnsi="Times New Roman;Times;Serif"/>
          <w:b w:val="false"/>
          <w:i w:val="false"/>
          <w:caps w:val="false"/>
          <w:smallCaps w:val="false"/>
          <w:sz w:val="20"/>
        </w:rPr>
        <w:t>” means the Sale and Servicing Agreement dated as of April 1, 2026, among the Trust as issuer, CPS Receivables Five LLC, as seller, Consumer Portfolio Services, Inc., individually and as servicer, the Grantor Trust and Computershare Trust Company, National Association, as indenture trustee, custodian and backup servicer, as such agreement may be amended, supplemented or otherwise modified from time to time in accordance with the terms thereof.</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358" w:right="358"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 of Receivables</w:t>
      </w:r>
      <w:r>
        <w:rPr>
          <w:rFonts w:ascii="Times New Roman;Times;Serif" w:hAnsi="Times New Roman;Times;Serif"/>
          <w:b w:val="false"/>
          <w:i w:val="false"/>
          <w:caps w:val="false"/>
          <w:smallCaps w:val="false"/>
          <w:sz w:val="20"/>
        </w:rPr>
        <w:t xml:space="preserve">” means the schedule of Receivables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(which Schedule of Receivables may be in electronic format), as amended or supplemented from time to time in accordance with the terms hereof.</w:t>
      </w:r>
    </w:p>
    <w:p>
      <w:pPr>
        <w:pStyle w:val="TextBody"/>
        <w:bidi w:val="0"/>
        <w:spacing w:before="0" w:after="0"/>
        <w:ind w:left="358" w:right="358" w:firstLine="720"/>
        <w:jc w:val="both"/>
        <w:rPr>
          <w:caps w:val="false"/>
          <w:smallCaps w:val="false"/>
        </w:rPr>
      </w:pPr>
      <w:r>
        <w:rPr>
          <w:caps w:val="false"/>
          <w:smallCaps w:val="false"/>
        </w:rPr>
        <w:t> </w:t>
      </w:r>
    </w:p>
    <w:p>
      <w:pPr>
        <w:pStyle w:val="TextBody"/>
        <w:bidi w:val="0"/>
        <w:spacing w:before="0" w:after="0"/>
        <w:ind w:left="359" w:right="359"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means CPS, in its capacity as seller of the Receivables and the other Transferred Property relating thereto, and its successors and assigns.</w:t>
      </w:r>
    </w:p>
    <w:p>
      <w:pPr>
        <w:pStyle w:val="TextBody"/>
        <w:bidi w:val="0"/>
        <w:spacing w:before="0" w:after="0"/>
        <w:ind w:left="359" w:right="359" w:firstLine="720"/>
        <w:jc w:val="both"/>
        <w:rPr>
          <w:caps w:val="false"/>
          <w:smallCaps w:val="false"/>
        </w:rPr>
      </w:pPr>
      <w:r>
        <w:rPr>
          <w:caps w:val="false"/>
          <w:smallCaps w:val="false"/>
        </w:rPr>
        <w:t> </w:t>
      </w:r>
    </w:p>
    <w:p>
      <w:pPr>
        <w:pStyle w:val="TextBody"/>
        <w:bidi w:val="0"/>
        <w:spacing w:before="0" w:after="0"/>
        <w:ind w:left="356" w:right="356"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w:t>
      </w:r>
      <w:r>
        <w:rPr>
          <w:rFonts w:ascii="Times New Roman;Times;Serif" w:hAnsi="Times New Roman;Times;Serif"/>
          <w:b w:val="false"/>
          <w:i w:val="false"/>
          <w:caps w:val="false"/>
          <w:smallCaps w:val="false"/>
          <w:sz w:val="20"/>
        </w:rPr>
        <w:t>” means CPS, in its capacity as Servicer of the Receivables, and its successors and assigns.</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Skip Receivable</w:t>
      </w:r>
      <w:r>
        <w:rPr>
          <w:rFonts w:ascii="Times New Roman;Times;Serif" w:hAnsi="Times New Roman;Times;Serif"/>
          <w:b w:val="false"/>
          <w:i w:val="false"/>
          <w:caps w:val="false"/>
          <w:smallCaps w:val="false"/>
          <w:sz w:val="20"/>
        </w:rPr>
        <w:t>” means a Receivable (i) that is delinquent as of the Closing Date;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55" w:right="35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which CPS (a) has concluded that the address or telephone number of the related Obligor maintained by CPS as of the Closing Date is incorrect and CPS has not been able to obtain revised contact information for such Obligor and (b) has designated the status of the Receivable as “A07” or “F07” in accordance with its servicing procedures.</w:t>
      </w:r>
    </w:p>
    <w:p>
      <w:pPr>
        <w:pStyle w:val="TextBody"/>
        <w:bidi w:val="0"/>
        <w:spacing w:before="0" w:after="0"/>
        <w:ind w:left="355" w:right="355"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Property</w:t>
      </w:r>
      <w:r>
        <w:rPr>
          <w:rFonts w:ascii="Times New Roman;Times;Serif" w:hAnsi="Times New Roman;Times;Serif"/>
          <w:b w:val="false"/>
          <w:i w:val="false"/>
          <w:caps w:val="false"/>
          <w:smallCaps w:val="false"/>
          <w:sz w:val="20"/>
        </w:rPr>
        <w:t>” shall have the meaning specified in Section 2.1(a).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58" w:right="358"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Tangible Chattel Paper</w:t>
      </w:r>
      <w:r>
        <w:rPr>
          <w:rFonts w:ascii="Times New Roman;Times;Serif" w:hAnsi="Times New Roman;Times;Serif"/>
          <w:b w:val="false"/>
          <w:i w:val="false"/>
          <w:caps w:val="false"/>
          <w:smallCaps w:val="false"/>
          <w:sz w:val="20"/>
        </w:rPr>
        <w:t>” means, as applicable, (a) “tangible chattel paper” under and as defined in Section 9-102(a)(79) of the UCC of a Pre-2022 UCC Jurisdiction or (b) a tangible copy of a record evidencing chattel paper within the meaning of 9-314A of the UCC of a Revised UCC Jurisdiction. For the avoidance of doubt, any Electronic Chattel Paper which was been Exported, the printed copy of the Contract shall constitute Tangible Chattel Paper.</w:t>
      </w:r>
    </w:p>
    <w:p>
      <w:pPr>
        <w:pStyle w:val="TextBody"/>
        <w:bidi w:val="0"/>
        <w:spacing w:before="0" w:after="0"/>
        <w:ind w:left="358" w:right="358" w:firstLine="720"/>
        <w:jc w:val="both"/>
        <w:rPr>
          <w:caps w:val="false"/>
          <w:smallCaps w:val="false"/>
        </w:rPr>
      </w:pPr>
      <w:r>
        <w:rPr>
          <w:caps w:val="false"/>
          <w:smallCaps w:val="false"/>
        </w:rPr>
        <w:t> </w:t>
      </w:r>
    </w:p>
    <w:p>
      <w:pPr>
        <w:pStyle w:val="TextBody"/>
        <w:bidi w:val="0"/>
        <w:spacing w:before="0" w:after="0"/>
        <w:ind w:left="720" w:right="361"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w:t>
      </w:r>
      <w:r>
        <w:rPr>
          <w:rFonts w:ascii="Times New Roman;Times;Serif" w:hAnsi="Times New Roman;Times;Serif"/>
          <w:b w:val="false"/>
          <w:i w:val="false"/>
          <w:caps w:val="false"/>
          <w:smallCaps w:val="false"/>
          <w:sz w:val="20"/>
        </w:rPr>
        <w:t>” means CPS Auto Receivables Trust 2026-B, governed by the Trust Agreement. “</w:t>
      </w:r>
      <w:r>
        <w:rPr>
          <w:rFonts w:ascii="Times New Roman;Times;Serif" w:hAnsi="Times New Roman;Times;Serif"/>
          <w:b w:val="false"/>
          <w:i w:val="false"/>
          <w:caps w:val="false"/>
          <w:smallCaps w:val="false"/>
          <w:sz w:val="20"/>
          <w:u w:val="single"/>
        </w:rPr>
        <w:t>Trust Agreement</w:t>
      </w:r>
      <w:r>
        <w:rPr>
          <w:rFonts w:ascii="Times New Roman;Times;Serif" w:hAnsi="Times New Roman;Times;Serif"/>
          <w:b w:val="false"/>
          <w:i w:val="false"/>
          <w:caps w:val="false"/>
          <w:smallCaps w:val="false"/>
          <w:sz w:val="20"/>
        </w:rPr>
        <w:t>” means the Amended and Restated Trust Agreement dated as of April</w:t>
      </w:r>
    </w:p>
    <w:p>
      <w:pPr>
        <w:pStyle w:val="TextBody"/>
        <w:bidi w:val="0"/>
        <w:spacing w:before="0" w:after="0"/>
        <w:ind w:left="720" w:right="361" w:hanging="0"/>
        <w:jc w:val="both"/>
        <w:rPr>
          <w:caps w:val="false"/>
          <w:smallCaps w:val="false"/>
        </w:rPr>
      </w:pPr>
      <w:r>
        <w:rPr>
          <w:caps w:val="false"/>
          <w:smallCaps w:val="false"/>
        </w:rPr>
        <w:t> </w:t>
      </w:r>
    </w:p>
    <w:p>
      <w:pPr>
        <w:pStyle w:val="TextBody"/>
        <w:bidi w:val="0"/>
        <w:spacing w:before="0" w:after="0"/>
        <w:ind w:left="357" w:right="35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2026, by and between CPS Receivables Five LLC, as depositor, and Wilmington Trust, National Association, as owner trustee, as such agreement may be further amended, supplemented or otherwise modified from time to time in accordance with the terms thereof.</w:t>
      </w:r>
    </w:p>
    <w:p>
      <w:pPr>
        <w:pStyle w:val="TextBody"/>
        <w:bidi w:val="0"/>
        <w:spacing w:before="0" w:after="0"/>
        <w:ind w:left="357" w:right="357" w:hanging="0"/>
        <w:jc w:val="both"/>
        <w:rPr>
          <w:caps w:val="false"/>
          <w:smallCaps w:val="false"/>
        </w:rPr>
      </w:pPr>
      <w:r>
        <w:rPr>
          <w:caps w:val="false"/>
          <w:smallCaps w:val="false"/>
        </w:rPr>
        <w:t> </w:t>
      </w:r>
    </w:p>
    <w:p>
      <w:pPr>
        <w:pStyle w:val="TextBody"/>
        <w:bidi w:val="0"/>
        <w:spacing w:before="0" w:after="0"/>
        <w:ind w:left="361" w:right="361"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from time to time in the relevant jurisdictions.</w:t>
      </w:r>
    </w:p>
    <w:p>
      <w:pPr>
        <w:pStyle w:val="TextBody"/>
        <w:bidi w:val="0"/>
        <w:spacing w:before="0" w:after="0"/>
        <w:ind w:left="361" w:right="361"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Other Definitional Provisions</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references herein to designated “Articles,” “Sections,” “Subsections” and other subdivisions are to the designated Articles, Sections, Subsections and other subdivisions of this instrument as originally executed.</w:t>
      </w:r>
    </w:p>
    <w:p>
      <w:pPr>
        <w:pStyle w:val="TextBody"/>
        <w:bidi w:val="0"/>
        <w:spacing w:before="0" w:after="0"/>
        <w:ind w:left="720" w:right="357" w:firstLine="720"/>
        <w:jc w:val="both"/>
        <w:rPr>
          <w:caps w:val="false"/>
          <w:smallCaps w:val="false"/>
        </w:rPr>
      </w:pPr>
      <w:r>
        <w:rPr>
          <w:caps w:val="false"/>
          <w:smallCaps w:val="false"/>
        </w:rPr>
        <w:t> </w:t>
      </w:r>
    </w:p>
    <w:p>
      <w:pPr>
        <w:pStyle w:val="TextBody"/>
        <w:bidi w:val="0"/>
        <w:spacing w:before="0" w:after="0"/>
        <w:ind w:left="720" w:right="361"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words “herein,” “hereof,” “hereunder” and other words of similar import refer to this Receivables Purchase Agreement as a whole and not to any particular Article, Section, Subsection or other subdivision.</w:t>
      </w:r>
    </w:p>
    <w:p>
      <w:pPr>
        <w:pStyle w:val="TextBody"/>
        <w:bidi w:val="0"/>
        <w:spacing w:before="0" w:after="0"/>
        <w:ind w:left="720" w:right="361" w:firstLine="720"/>
        <w:jc w:val="both"/>
        <w:rPr>
          <w:caps w:val="false"/>
          <w:smallCaps w:val="false"/>
        </w:rPr>
      </w:pPr>
      <w:r>
        <w:rPr>
          <w:caps w:val="false"/>
          <w:smallCaps w:val="false"/>
        </w:rPr>
        <w:t> </w:t>
      </w:r>
    </w:p>
    <w:p>
      <w:pPr>
        <w:pStyle w:val="TextBody"/>
        <w:bidi w:val="0"/>
        <w:spacing w:before="0" w:after="0"/>
        <w:ind w:left="720" w:right="3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accounting term not otherwise defined herein has the meaning assigned to it in accordance with generally accepted accounting principles as in effect from time to time;</w:t>
      </w:r>
    </w:p>
    <w:p>
      <w:pPr>
        <w:pStyle w:val="TextBody"/>
        <w:bidi w:val="0"/>
        <w:spacing w:before="0" w:after="0"/>
        <w:ind w:left="720" w:right="358"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76"/>
        <w:gridCol w:w="8988"/>
      </w:tblGrid>
      <w:tr>
        <w:trPr/>
        <w:tc>
          <w:tcPr>
            <w:tcW w:w="14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pPr>
            <w:r>
              <w:rPr/>
              <w:t>(d)</w:t>
            </w:r>
          </w:p>
        </w:tc>
        <w:tc>
          <w:tcPr>
            <w:tcW w:w="8988" w:type="dxa"/>
            <w:tcBorders/>
            <w:vAlign w:val="center"/>
          </w:tcPr>
          <w:p>
            <w:pPr>
              <w:pStyle w:val="TableContents"/>
              <w:bidi w:val="0"/>
              <w:spacing w:before="0" w:after="283"/>
              <w:jc w:val="both"/>
              <w:rPr/>
            </w:pPr>
            <w:r>
              <w:rPr/>
              <w:t>“</w:t>
            </w:r>
            <w:r>
              <w:rPr/>
              <w:t>or” is not exclusive;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0"/>
        <w:gridCol w:w="9545"/>
      </w:tblGrid>
      <w:tr>
        <w:trPr/>
        <w:tc>
          <w:tcPr>
            <w:tcW w:w="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pPr>
            <w:r>
              <w:rPr/>
              <w:t>(e)</w:t>
            </w:r>
          </w:p>
        </w:tc>
        <w:tc>
          <w:tcPr>
            <w:tcW w:w="9545" w:type="dxa"/>
            <w:tcBorders/>
            <w:vAlign w:val="center"/>
          </w:tcPr>
          <w:p>
            <w:pPr>
              <w:pStyle w:val="TableContents"/>
              <w:bidi w:val="0"/>
              <w:spacing w:before="0" w:after="283"/>
              <w:jc w:val="both"/>
              <w:rPr/>
            </w:pPr>
            <w:r>
              <w:rPr/>
              <w:t>“</w:t>
            </w:r>
            <w:r>
              <w:rPr/>
              <w:t>including” means including without limitation.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Action by or Consent of Noteholders or Securityholders</w:t>
      </w:r>
      <w:r>
        <w:rPr>
          <w:rFonts w:ascii="Times New Roman;Times;Serif" w:hAnsi="Times New Roman;Times;Serif"/>
          <w:b w:val="false"/>
          <w:i w:val="false"/>
          <w:caps w:val="false"/>
          <w:smallCaps w:val="false"/>
          <w:sz w:val="20"/>
        </w:rPr>
        <w:t>. Whenever any provision of this Receivables Purchase Agreement refers to action to be taken, or consented to, by Noteholders or Securityholders, such provision shall be deemed to refer to Noteholders or, as the case may be, Securityholders of record as of the Record Date immediately preceding the date on which such action is to be taken, or consented to, by Noteholders, or as the case may be, Securityholders. Any Note owned by the Seller or any Affiliate thereof, during the time such Note is so owned by them, shall be without voting or consent rights with respect to such Note for any purpose set forth in this Agreement.</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2381" w:right="2743"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r>
    </w:p>
    <w:p>
      <w:pPr>
        <w:pStyle w:val="TextBody"/>
        <w:bidi w:val="0"/>
        <w:spacing w:before="0" w:after="0"/>
        <w:ind w:left="2381" w:right="27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 OF RECEIVABLES</w:t>
      </w:r>
    </w:p>
    <w:p>
      <w:pPr>
        <w:pStyle w:val="TextBody"/>
        <w:bidi w:val="0"/>
        <w:spacing w:before="0" w:after="0"/>
        <w:ind w:left="2381" w:right="2744" w:hanging="0"/>
        <w:jc w:val="center"/>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Purchase and Sale of Receivables</w:t>
      </w:r>
      <w:r>
        <w:rPr>
          <w:rFonts w:ascii="Times New Roman;Times;Serif" w:hAnsi="Times New Roman;Times;Serif"/>
          <w:b w:val="false"/>
          <w:i w:val="false"/>
          <w:caps w:val="false"/>
          <w:smallCaps w:val="false"/>
          <w:sz w:val="20"/>
        </w:rPr>
        <w:t>. On the Closing Date, subject to the terms and conditions of this Receivables Purchase Agreement, the Seller agrees to sell to the Purchaser, and the Purchaser agrees to purchase from the Seller, without recourse (subject to the obligations in this Receivables Purchase Agreement and the Sale and Servicing Agreement), all of the Seller’s right, title and interest in, to and under the Receivables and the other Transferred Property relating thereto. The conveyance to the Purchaser of the Receivables and other Transferred Property relating thereto is intended as a sale free and clear of all Liens and it is intended that the Initial Transferred Property and other property of the Purchaser shall be an absolute conveyance and shall not be part of the Seller’s estate in the event of the filing of a bankruptcy petition by or against the Seller under any bankruptcy law.</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72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of Receivables</w:t>
      </w:r>
      <w:r>
        <w:rPr>
          <w:rFonts w:ascii="Times New Roman;Times;Serif" w:hAnsi="Times New Roman;Times;Serif"/>
          <w:b w:val="false"/>
          <w:i w:val="false"/>
          <w:caps w:val="false"/>
          <w:smallCaps w:val="false"/>
          <w:sz w:val="20"/>
        </w:rPr>
        <w:t>. On the Closing Date and simultaneously with the transactions to be consummated pursuant to the Trust Agreement, the Indenture and the Sale and Servicing Agreement, the Seller shall sell, transfer, assign, grant, set over and otherwise convey to the Purchaser, without recourse (subject to the obligations herein and in the Sale and Servicing Agreement), all right, title and interest of the Seller in, to and 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Receivables listed in the Schedule of Receivables and all monies received thereunder after the Cutoff Date and all Net Liquidation Proceeds and Recoveries received with respect to such Receivables after the Cutoff Date;</w:t>
      </w:r>
    </w:p>
    <w:p>
      <w:pPr>
        <w:pStyle w:val="TextBody"/>
        <w:bidi w:val="0"/>
        <w:spacing w:before="0" w:after="0"/>
        <w:ind w:left="1440" w:right="357" w:firstLine="720"/>
        <w:jc w:val="both"/>
        <w:rPr>
          <w:caps w:val="false"/>
          <w:smallCaps w:val="false"/>
        </w:rPr>
      </w:pPr>
      <w:r>
        <w:rPr>
          <w:caps w:val="false"/>
          <w:smallCaps w:val="false"/>
        </w:rPr>
        <w:t> </w:t>
      </w:r>
    </w:p>
    <w:p>
      <w:pPr>
        <w:pStyle w:val="TextBody"/>
        <w:bidi w:val="0"/>
        <w:spacing w:before="0" w:after="0"/>
        <w:ind w:left="1440" w:right="35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security interests in the Financed Vehicles granted by the related Obligors pursuant to the Receivables and any other interest of the Seller in such Financed Vehicles, including, without limitation, the Lien Certificates with respect to Financed Vehicles;</w:t>
      </w:r>
    </w:p>
    <w:p>
      <w:pPr>
        <w:pStyle w:val="TextBody"/>
        <w:bidi w:val="0"/>
        <w:spacing w:before="0" w:after="0"/>
        <w:ind w:left="1440" w:right="359" w:firstLine="720"/>
        <w:jc w:val="both"/>
        <w:rPr>
          <w:caps w:val="false"/>
          <w:smallCaps w:val="false"/>
        </w:rPr>
      </w:pPr>
      <w:r>
        <w:rPr>
          <w:caps w:val="false"/>
          <w:smallCaps w:val="false"/>
        </w:rPr>
        <w:t> </w:t>
      </w:r>
    </w:p>
    <w:p>
      <w:pPr>
        <w:pStyle w:val="TextBody"/>
        <w:bidi w:val="0"/>
        <w:spacing w:before="0" w:after="0"/>
        <w:ind w:left="144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proceeds from claims on any physical damage, credit life and credit accident and health insurance policies or certificates relating to the Financed Vehicles securing the Receivables or the Obligors thereunder;</w:t>
      </w:r>
    </w:p>
    <w:p>
      <w:pPr>
        <w:pStyle w:val="TextBody"/>
        <w:bidi w:val="0"/>
        <w:spacing w:before="0" w:after="0"/>
        <w:ind w:left="1440" w:right="357" w:firstLine="720"/>
        <w:jc w:val="both"/>
        <w:rPr>
          <w:caps w:val="false"/>
          <w:smallCaps w:val="false"/>
        </w:rPr>
      </w:pPr>
      <w:r>
        <w:rPr>
          <w:caps w:val="false"/>
          <w:smallCaps w:val="false"/>
        </w:rPr>
        <w:t> </w:t>
      </w:r>
    </w:p>
    <w:p>
      <w:pPr>
        <w:pStyle w:val="TextBody"/>
        <w:bidi w:val="0"/>
        <w:spacing w:before="0" w:after="0"/>
        <w:ind w:left="1440" w:right="35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proceeds from recourse against Dealers with respect to the Receivables;</w:t>
      </w:r>
    </w:p>
    <w:p>
      <w:pPr>
        <w:pStyle w:val="TextBody"/>
        <w:bidi w:val="0"/>
        <w:spacing w:before="0" w:after="0"/>
        <w:ind w:left="1440" w:right="359"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refunds for the costs of extended service contracts with respect to Financed Vehicles securing the Receivables, refunds of unearned premiums with respect to credit life and credit accident and health insurance policies or certificates covering an Obligor or Financed Vehicle or an Obligor’s obligations with respect to a Receivable or a Financed Vehicle and any recourse to Dealers for any of the foregoing;</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Receivable File related to each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property (including the right to receive future Net Liquidation Proceeds) that secures a Receivable that has been acquired by or on behalf of the Seller, pursuant to a liquidation of such Receivable; and</w:t>
      </w:r>
    </w:p>
    <w:p>
      <w:pPr>
        <w:pStyle w:val="TextBody"/>
        <w:bidi w:val="0"/>
        <w:spacing w:before="0" w:after="0"/>
        <w:ind w:left="1440" w:right="357"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present and future claims, demands, causes and choses in action in respect of any or all of the foregoing and all payments on or under and all proceeds of every kind and nature whatsoever in respect of any or all of the foregoing, including all proceeds of the conversion, voluntary or involuntary, into cash or other liquid property, all cash proceeds, accounts, accounts receivable, notes, drafts, acceptances, chattel paper, checks, insurance proceeds, condemnation awards, rights to payment of any and every kind and other forms of obligations and receivables, instruments and other property which at any time constitute all or part of or are included in the proceeds of any of the foregoing (collectively, the “</w:t>
      </w:r>
      <w:r>
        <w:rPr>
          <w:rFonts w:ascii="Times New Roman;Times;Serif" w:hAnsi="Times New Roman;Times;Serif"/>
          <w:b w:val="false"/>
          <w:i w:val="false"/>
          <w:caps w:val="false"/>
          <w:smallCaps w:val="false"/>
          <w:sz w:val="20"/>
          <w:u w:val="single"/>
        </w:rPr>
        <w:t>Initial Transferred Property</w:t>
      </w:r>
      <w:r>
        <w:rPr>
          <w:rFonts w:ascii="Times New Roman;Times;Serif" w:hAnsi="Times New Roman;Times;Serif"/>
          <w:b w:val="false"/>
          <w:i w:val="false"/>
          <w:caps w:val="false"/>
          <w:smallCaps w:val="false"/>
          <w:sz w:val="20"/>
        </w:rPr>
        <w:t>”).</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72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Receivables Purchase Price</w:t>
      </w:r>
      <w:r>
        <w:rPr>
          <w:rFonts w:ascii="Times New Roman;Times;Serif" w:hAnsi="Times New Roman;Times;Serif"/>
          <w:b w:val="false"/>
          <w:i w:val="false"/>
          <w:caps w:val="false"/>
          <w:smallCaps w:val="false"/>
          <w:sz w:val="20"/>
        </w:rPr>
        <w:t xml:space="preserve">. In consideration for the Receivables and other Transferred Property described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the Purchaser shall, on the Closing Date, pay to the Seller the Receivables Purchase Price. An amount equal to [***] of the Receivables Purchase Price shall be paid to the Seller in cash. The remaining [***] of the Receivables Purchase Price shall be deemed paid and returned to the Purchaser and be considered a contribution to the Purchaser’s capital. The portion of the Receivables Purchase Price to be paid in cash shall be by federal wire transfer (same day) funds.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The Closing</w:t>
      </w:r>
      <w:r>
        <w:rPr>
          <w:rFonts w:ascii="Times New Roman;Times;Serif" w:hAnsi="Times New Roman;Times;Serif"/>
          <w:b w:val="false"/>
          <w:i w:val="false"/>
          <w:caps w:val="false"/>
          <w:smallCaps w:val="false"/>
          <w:sz w:val="20"/>
        </w:rPr>
        <w:t>. The sale and purchase of the Initial Receivables shall take place at a closing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at the offices of Alston &amp; Bird LLP, 2200 Ross Avenue, 23rd Floor, Dallas, Texas 75201 on the Closing Date, simultaneously with the closings under: (a) the Grantor Trust Agreement pursuant to which the Purchaser will convey all of its right, title and interest in, to and under the Initial Receivables and the Initial Transferred Property to the Grantor Trust in exchange for the Grantor Trust Certificate representing the beneficial interest in the Grantor Trust Estate, (b) the Sale and Servicing Agreement pursuant to which the Purchaser will convey all of its right, title and interest in, to and under in the Grantor Trust Certificate and its rights under the Grantor Trust Agreement to the Trust for the benefit of the Securityholders, (C) the Trust Agreement pursuant to which the Trust shall be formed and the Certificates will be issued, and (d) the Indenture pursuant to which the Trust will issue the Notes.</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0"/>
        <w:ind w:left="2460" w:right="2238" w:firstLine="1622"/>
        <w:jc w:val="left"/>
        <w:rPr>
          <w:caps w:val="false"/>
          <w:smallCaps w:val="false"/>
        </w:rPr>
      </w:pPr>
      <w:r>
        <w:rPr>
          <w:caps w:val="false"/>
          <w:smallCaps w:val="false"/>
        </w:rPr>
        <w:t> </w:t>
      </w:r>
    </w:p>
    <w:p>
      <w:pPr>
        <w:pStyle w:val="TextBody"/>
        <w:bidi w:val="0"/>
        <w:spacing w:before="0" w:after="0"/>
        <w:ind w:left="357"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hereby represents and warrants to the Seller as of the date hereof and as of the Closing Date (which representations and warranties shall survive the Closing Date):</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72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Good Standing</w:t>
      </w:r>
      <w:r>
        <w:rPr>
          <w:rFonts w:ascii="Times New Roman;Times;Serif" w:hAnsi="Times New Roman;Times;Serif"/>
          <w:b w:val="false"/>
          <w:i w:val="false"/>
          <w:caps w:val="false"/>
          <w:smallCaps w:val="false"/>
          <w:sz w:val="20"/>
        </w:rPr>
        <w:t>. The Purchaser has been duly formed and is validly existing as a limited liability company solely under the laws of the State of Delaware, in good standing thereunder, with power and authority to own its properties and to conduct its business as such properties shall be currently owned and such business is presently conducted, and had at all relevant times, and shall have, power, authority and legal right to acquire and own the Receivables.</w:t>
      </w:r>
    </w:p>
    <w:p>
      <w:pPr>
        <w:pStyle w:val="TextBody"/>
        <w:bidi w:val="0"/>
        <w:spacing w:before="0" w:after="0"/>
        <w:ind w:left="720" w:right="357"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Due Qualification</w:t>
      </w:r>
      <w:r>
        <w:rPr>
          <w:rFonts w:ascii="Times New Roman;Times;Serif" w:hAnsi="Times New Roman;Times;Serif"/>
          <w:b w:val="false"/>
          <w:i w:val="false"/>
          <w:caps w:val="false"/>
          <w:smallCaps w:val="false"/>
          <w:sz w:val="20"/>
        </w:rPr>
        <w:t>. The Purchaser is duly qualified to do business as a foreign limited liability company in good standing, and has obtained all necessary licenses and approvals in all jurisdictions in which the ownership or lease of property or the conduct of its business or the consummation of any of the transactions contemplated by the Basic Documents shall require such qualifications.</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Power and Authority</w:t>
      </w:r>
      <w:r>
        <w:rPr>
          <w:rFonts w:ascii="Times New Roman;Times;Serif" w:hAnsi="Times New Roman;Times;Serif"/>
          <w:b w:val="false"/>
          <w:i w:val="false"/>
          <w:caps w:val="false"/>
          <w:smallCaps w:val="false"/>
          <w:sz w:val="20"/>
        </w:rPr>
        <w:t>. The Purchaser has the power and authority to execute and deliver the Agreements and to carry out their respective terms and the execution, delivery and performance of the Agreements have been duly authorized by the Purchaser by all necessary entity action.</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72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Binding Obligation</w:t>
      </w:r>
      <w:r>
        <w:rPr>
          <w:rFonts w:ascii="Times New Roman;Times;Serif" w:hAnsi="Times New Roman;Times;Serif"/>
          <w:b w:val="false"/>
          <w:i w:val="false"/>
          <w:caps w:val="false"/>
          <w:smallCaps w:val="false"/>
          <w:sz w:val="20"/>
        </w:rPr>
        <w:t>. The Agreements shall constitute a legal, valid and binding obligations of the Purchaser enforceable in accordance with their respective terms.</w:t>
      </w:r>
    </w:p>
    <w:p>
      <w:pPr>
        <w:pStyle w:val="TextBody"/>
        <w:bidi w:val="0"/>
        <w:spacing w:before="0" w:after="0"/>
        <w:ind w:left="720" w:right="357" w:firstLine="720"/>
        <w:jc w:val="both"/>
        <w:rPr>
          <w:caps w:val="false"/>
          <w:smallCaps w:val="false"/>
        </w:rPr>
      </w:pPr>
      <w:r>
        <w:rPr>
          <w:caps w:val="false"/>
          <w:smallCaps w:val="false"/>
        </w:rPr>
        <w:t> </w:t>
      </w:r>
    </w:p>
    <w:p>
      <w:pPr>
        <w:pStyle w:val="TextBody"/>
        <w:bidi w:val="0"/>
        <w:spacing w:before="0" w:after="0"/>
        <w:ind w:left="72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The execution, delivery and performance by the Purchaser of the Agreements and the consummation of the transactions contemplated hereby and thereby and the fulfillment of the terms hereof and thereof do not conflict with, result in a breach of any of the terms and provisions of, nor constitute (with or without notice or lapse of time or both) a default under, the certificate of formation or limited liability company agreement of the Purchaser, or any indenture, agreement, mortgage, deed of trust, or other instrument to which the Purchaser is a party or by which it is bound or to which any of its properties are subject; nor result in the creation or imposition of any lien upon any of its properties pursuant to the terms of any indenture, agreement, mortgage, deed of trust, or other instrument (other than the Basic Documents); nor violate any law, order, rule or regulation applicable to the Purchaser of any court or of any Federal or State regulatory body, administrative agency or other governmental instrumentality having jurisdiction over the Purchaser or its properties.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19"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Proceedings</w:t>
      </w:r>
      <w:r>
        <w:rPr>
          <w:rFonts w:ascii="Times New Roman;Times;Serif" w:hAnsi="Times New Roman;Times;Serif"/>
          <w:b w:val="false"/>
          <w:i w:val="false"/>
          <w:caps w:val="false"/>
          <w:smallCaps w:val="false"/>
          <w:sz w:val="20"/>
        </w:rPr>
        <w:t>. There are no proceedings or investigations pending, or to the Purchaser’s best knowledge, threatened, before any court, regulatory body, administrative agency or other governmental instrumentality having jurisdiction over the Purchaser or its properties: (A) asserting the invalidity of the Agreements, any other Basic Document or the Securities; (B) seeking to prevent the issuance of the Securities or the consummation of any of the transactions contemplated by the Agreements or the other Basic Documents; (C) seeking any determination or ruling that might materially and adversely affect the performance by the Purchaser of its obligations under, or the validity or enforceability of, the Agreements, the other Basic Documents or the Securities; or (D) relating to the Purchaser and which might adversely affect the Federal or State income, excise, franchise or similar tax attributes of the Securities.</w:t>
      </w:r>
    </w:p>
    <w:p>
      <w:pPr>
        <w:pStyle w:val="TextBody"/>
        <w:bidi w:val="0"/>
        <w:spacing w:before="0" w:after="0"/>
        <w:ind w:left="719" w:right="355" w:firstLine="720"/>
        <w:jc w:val="both"/>
        <w:rPr>
          <w:caps w:val="false"/>
          <w:smallCaps w:val="false"/>
        </w:rPr>
      </w:pPr>
      <w:r>
        <w:rPr>
          <w:caps w:val="false"/>
          <w:smallCaps w:val="false"/>
        </w:rPr>
        <w:t> </w:t>
      </w:r>
    </w:p>
    <w:p>
      <w:pPr>
        <w:pStyle w:val="TextBody"/>
        <w:bidi w:val="0"/>
        <w:spacing w:before="0" w:after="0"/>
        <w:ind w:left="719"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Consents</w:t>
      </w:r>
      <w:r>
        <w:rPr>
          <w:rFonts w:ascii="Times New Roman;Times;Serif" w:hAnsi="Times New Roman;Times;Serif"/>
          <w:b w:val="false"/>
          <w:i w:val="false"/>
          <w:caps w:val="false"/>
          <w:smallCaps w:val="false"/>
          <w:sz w:val="20"/>
        </w:rPr>
        <w:t>. No consent, approval, authorization or order of or declaration or filing with any governmental authority is required to be obtained by the Purchaser for the issuance or sale of the Securities or the consummation of the other transactions contemplated by the Agreements, the Trust Agreement, the Indenture or the Sale and Servicing Agreement or any other Basic Document, except such as have been duly made or obtained.</w:t>
      </w:r>
    </w:p>
    <w:p>
      <w:pPr>
        <w:pStyle w:val="TextBody"/>
        <w:bidi w:val="0"/>
        <w:spacing w:before="0" w:after="0"/>
        <w:ind w:left="719" w:right="356"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Valid Assignment</w:t>
      </w:r>
      <w:r>
        <w:rPr>
          <w:rFonts w:ascii="Times New Roman;Times;Serif" w:hAnsi="Times New Roman;Times;Serif"/>
          <w:b w:val="false"/>
          <w:i w:val="false"/>
          <w:caps w:val="false"/>
          <w:smallCaps w:val="false"/>
          <w:sz w:val="20"/>
        </w:rPr>
        <w:t>. Each Receivable has been validly assigned by the Purchaser to the Issuer on the Closing Date pursuant to the Sale and Servicing Agreement; and no Receivable has or will have been sold, transferred, assigned or pledged by the Purchaser to any Person other than the Issuer.</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Representations and Warranties of the Seller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Seller hereby represents and warrants to the Purchaser as of the date hereof and as of the Closing Date (which representations and warranties shall survive the Closing Date):</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1440" w:right="35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Organization and Good Standing</w:t>
      </w:r>
      <w:r>
        <w:rPr>
          <w:rFonts w:ascii="Times New Roman;Times;Serif" w:hAnsi="Times New Roman;Times;Serif"/>
          <w:b w:val="false"/>
          <w:i w:val="false"/>
          <w:caps w:val="false"/>
          <w:smallCaps w:val="false"/>
          <w:sz w:val="20"/>
        </w:rPr>
        <w:t>. The Seller has been duly incorporated and is validly existing as a corporation in good standing under the laws of the State of California, with power and authority to own its properties and to conduct its business as such properties shall be currently owned and such business is presently conducted and had at all relevant times, and shall have, power, authority and legal right to acquire, own and service the Receivables.</w:t>
      </w:r>
    </w:p>
    <w:p>
      <w:pPr>
        <w:pStyle w:val="TextBody"/>
        <w:bidi w:val="0"/>
        <w:spacing w:before="0" w:after="0"/>
        <w:ind w:left="1440" w:right="359"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Due Qualification</w:t>
      </w:r>
      <w:r>
        <w:rPr>
          <w:rFonts w:ascii="Times New Roman;Times;Serif" w:hAnsi="Times New Roman;Times;Serif"/>
          <w:b w:val="false"/>
          <w:i w:val="false"/>
          <w:caps w:val="false"/>
          <w:smallCaps w:val="false"/>
          <w:sz w:val="20"/>
        </w:rPr>
        <w:t>. The Seller is duly qualified to do business as a foreign corporation in good standing, and has obtained all necessary licenses and approvals in all jurisdictions in which the ownership or lease of property or the conduct of its business or the consummation of any of the transactions contemplated by the Basic Documents (including the origination and the servicing of the Receivables as required by the Sale and Servicing Agreement) shall require such qualifications, except where such failure would not have a material adverse effect on the Seller, or impair in any material respect any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Power and Authority</w:t>
      </w:r>
      <w:r>
        <w:rPr>
          <w:rFonts w:ascii="Times New Roman;Times;Serif" w:hAnsi="Times New Roman;Times;Serif"/>
          <w:b w:val="false"/>
          <w:i w:val="false"/>
          <w:caps w:val="false"/>
          <w:smallCaps w:val="false"/>
          <w:sz w:val="20"/>
        </w:rPr>
        <w:t>. The Seller has the power and authority to execute and deliver the Agreements and to carry out their terms; the Seller has full power and authority to sell and assign the property sold and assigned to the Purchaser and has duly authorized such sale and assignment to the Purchaser by all necessary corporate action; and the execution, delivery and performance of the Agreements have been duly authorized by the Seller by all necessary corporate action.</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Valid Sale; Binding Obligation</w:t>
      </w:r>
      <w:r>
        <w:rPr>
          <w:rFonts w:ascii="Times New Roman;Times;Serif" w:hAnsi="Times New Roman;Times;Serif"/>
          <w:b w:val="false"/>
          <w:i w:val="false"/>
          <w:caps w:val="false"/>
          <w:smallCaps w:val="false"/>
          <w:sz w:val="20"/>
        </w:rPr>
        <w:t xml:space="preserve">. This Receivables Purchase Agreement effects a valid sale, transfer and assignment of the Receivables and the other Transferred Property conveyed to the Purchaser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enforceable against creditors of and purchasers from the Seller; and this Agreement shall constitute a legal, valid and binding obligation of the Seller enforceable in accordance with its terms.</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The execution, delivery and performance by the Seller of the Agreements and the consummation of the transactions contemplated hereby and thereby and the fulfillment of the terms hereof and thereof do not conflict with, result in any breach of any of the terms and provisions of, nor constitute (with or without notice or lapse of time or both) a default under, the articles of incorporation, as amended, or by-laws of the Seller, or any indenture, agreement, mortgage, deed of trust, or other instrument to which the Seller is a party or by which it is bound or to which any of its properties are subject; nor result in the creation or imposition of any lien upon any of its properties pursuant to the terms of any such indenture, agreement, mortgage, deed of trust, or other instrument (other than the Basic Documents); nor violate any law, order, rule or regulation applicable to the Seller of any court or of any Federal or State regulatory body, administrative agency or other governmental instrumentality having jurisdiction over the Seller or its properties.</w:t>
      </w:r>
    </w:p>
    <w:p>
      <w:pPr>
        <w:pStyle w:val="TextBody"/>
        <w:bidi w:val="0"/>
        <w:spacing w:before="0" w:after="0"/>
        <w:ind w:left="1440" w:right="354"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No Proceedings</w:t>
      </w:r>
      <w:r>
        <w:rPr>
          <w:rFonts w:ascii="Times New Roman;Times;Serif" w:hAnsi="Times New Roman;Times;Serif"/>
          <w:b w:val="false"/>
          <w:i w:val="false"/>
          <w:caps w:val="false"/>
          <w:smallCaps w:val="false"/>
          <w:sz w:val="20"/>
        </w:rPr>
        <w:t>. There are no proceedings or investigations pending, or to the Seller’s best knowledge, threatened, before any court, regulatory body, administrative agency, or other governmental instrumentality having jurisdiction over the Seller or its properties: (A) asserting the invalidity of the Agreements, the other Basic Documents or the Securities; (B) seeking to prevent the issuance of the Securities or the consummation of any of the transactions contemplated by the Agreements or the other Basic Documents; (C) seeking any determination or ruling that might materially and adversely affect the performance by the Seller of its obligations under, or the validity or enforceability of, the Agreements, the other Basic Documents or the Securities; or (D) relating to the Seller and which might adversely affect the Federal or State income, excise, franchise or similar tax attributes of the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No Consents</w:t>
      </w:r>
      <w:r>
        <w:rPr>
          <w:rFonts w:ascii="Times New Roman;Times;Serif" w:hAnsi="Times New Roman;Times;Serif"/>
          <w:b w:val="false"/>
          <w:i w:val="false"/>
          <w:caps w:val="false"/>
          <w:smallCaps w:val="false"/>
          <w:sz w:val="20"/>
        </w:rPr>
        <w:t>. No consent, approval, authorization or order of or declaration or filing with any governmental authority is required for the issuance or sale of the Securities or the consummation of the other transactions contemplated by this Receivables Purchase Agreement, the Trust Agreement, the Grantor Trust Agreement, the Indenture, the Sale and Servicing Agreement or any other Basic Document, except such as have been duly made or obtained.</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Financial Condition</w:t>
      </w:r>
      <w:r>
        <w:rPr>
          <w:rFonts w:ascii="Times New Roman;Times;Serif" w:hAnsi="Times New Roman;Times;Serif"/>
          <w:b w:val="false"/>
          <w:i w:val="false"/>
          <w:caps w:val="false"/>
          <w:smallCaps w:val="false"/>
          <w:sz w:val="20"/>
        </w:rPr>
        <w:t>. The Seller is able to and does pay its liabilities as they mature. The Seller is not in default under any obligation to pay money to any Person except for matters being disputed in good faith which do not involve an obligation of the Seller on a promissory note. The Seller will not use the proceeds from the transactions contemplated by the Agreements to give any preference to any creditor or class of creditors, and this transaction will not leave the Seller with remaining assets that are unreasonably small compared to its ongoing operations.</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u w:val="single"/>
        </w:rPr>
        <w:t>Fraudulent Conveyance</w:t>
      </w:r>
      <w:r>
        <w:rPr>
          <w:rFonts w:ascii="Times New Roman;Times;Serif" w:hAnsi="Times New Roman;Times;Serif"/>
          <w:b w:val="false"/>
          <w:i w:val="false"/>
          <w:caps w:val="false"/>
          <w:smallCaps w:val="false"/>
          <w:sz w:val="20"/>
        </w:rPr>
        <w:t>. The Seller is not selling the Receivables to the Purchaser with any intent to hinder, delay or defraud any of its creditors; the Seller will not be rendered insolvent as a result of the sale of the Receivables to the Purchaser.</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Certificate, Statements and Reports</w:t>
      </w:r>
      <w:r>
        <w:rPr>
          <w:rFonts w:ascii="Times New Roman;Times;Serif" w:hAnsi="Times New Roman;Times;Serif"/>
          <w:b w:val="false"/>
          <w:i w:val="false"/>
          <w:caps w:val="false"/>
          <w:smallCaps w:val="false"/>
          <w:sz w:val="20"/>
        </w:rPr>
        <w:t>. The officer’s certificates, statements, reports and other documents prepared by the Seller and furnished by the Seller to the Purchaser, the Indenture Trustee or the Placement Agents pursuant to this Receivables Purchase Agreement or any other Basic Document to which it is a party, and in connection with the transactions contemplated hereby and thereby, when taken as a whole, do not contain any untrue statement of material fact or omit to state a material fact necessary to make the statements contained herein or therein not misleading.</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val="false"/>
          <w:i w:val="false"/>
          <w:caps w:val="false"/>
          <w:smallCaps w:val="false"/>
          <w:sz w:val="20"/>
          <w:u w:val="single"/>
        </w:rPr>
        <w:t>Seller’s Intention</w:t>
      </w:r>
      <w:r>
        <w:rPr>
          <w:rFonts w:ascii="Times New Roman;Times;Serif" w:hAnsi="Times New Roman;Times;Serif"/>
          <w:b w:val="false"/>
          <w:i w:val="false"/>
          <w:caps w:val="false"/>
          <w:smallCaps w:val="false"/>
          <w:sz w:val="20"/>
        </w:rPr>
        <w:t>. The Receivables and the other Transferred Property are being transferred with the intention of removing them from Seller’s estate pursuant to Section 541 of the United States Bankruptcy Code, as the same may be amended from time to time.</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72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makes the following representations and warranties as to the Receivables and the other Transferred Property relating thereto on which the Purchaser relies in accepting the Receivables and the other Transferred Property relating thereto. Such representations and warranties speak as of the Closing Date, but shall survive the sale, transfer, and assignment of the Receivables and the other Transferred Property relating thereto to the Purchaser and the subsequent assignments and transfers pursuant to the Sale and Servicing Agreement and Grantor Trust Agreement, and the pledge of the Grantor Trust Certificate to the Indenture Trustee:</w:t>
      </w:r>
    </w:p>
    <w:p>
      <w:pPr>
        <w:pStyle w:val="TextBody"/>
        <w:bidi w:val="0"/>
        <w:spacing w:before="0" w:after="0"/>
        <w:ind w:left="720" w:right="354"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734"/>
        <w:gridCol w:w="9350"/>
      </w:tblGrid>
      <w:tr>
        <w:trPr/>
        <w:tc>
          <w:tcPr>
            <w:tcW w:w="12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pPr>
            <w:r>
              <w:rPr/>
              <w:t>(i)</w:t>
            </w:r>
          </w:p>
        </w:tc>
        <w:tc>
          <w:tcPr>
            <w:tcW w:w="9350" w:type="dxa"/>
            <w:tcBorders/>
            <w:vAlign w:val="center"/>
          </w:tcPr>
          <w:p>
            <w:pPr>
              <w:pStyle w:val="TableContents"/>
              <w:bidi w:val="0"/>
              <w:spacing w:before="0" w:after="283"/>
              <w:jc w:val="both"/>
              <w:rPr/>
            </w:pPr>
            <w:r>
              <w:rPr>
                <w:u w:val="single"/>
              </w:rPr>
              <w:t>Characteristics of Receivables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59"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Receivable (1) has been originated in the United States of America by CPS or a Dealer for the retail sale of a Financed Vehicle in the ordinary course of CPS’s or such Dealer’s business (and CPS or such Dealer had all necessary licenses and permits to originate such Receivable in the state where such Dealer was located or where the Receivable was originated), has been fully and properly executed by the parties thereto, has been purchased or originated by the Seller in connection with the related Obligor’s purchase of the related Financed Vehicle and has been validly assigned by such Dealer to the Seller, if not originated by CPS, and has been validly assigned from the Seller to the Purchaser in accordance with its terms, (2) has created a valid, subsisting, and enforceable first priority perfected security interest in favor of the Seller in the Financed Vehicle, which security interest has been assigned by the Seller to the Purchaser pursuant to this Receivables Purchase Agreement, which in turn has assigned such security interest to the Grantor Trust, (3) contains customary and enforceable provisions such that the rights and remedies of the holder or assignee thereof shall be adequate for realization against the collateral of the benefits of the security including, without limitation, a right of repossession following a default, (4) provides for level monthly scheduled payments in U.S. dollars that fully amortize the Amount Financed over the original term (except for the last scheduled payment, which may be different from the level monthly payment) and yield interest at the Annual Percentage Rate, (5) has an Annual Percentage Rate of not less than [***] and not greater than [***], (6) is a Simple Interest Receivable, (7) if originated by a Dealer, was sold by such Dealer without any fraud or misrepresentation on the part of such Dealer, (8) is denominated in U.S. dollars and (9) provides, in the case of a prepayment, for the full payment of the Principal Balance thereof plus accrued interest through the date of prepayment based on the Annual Percentage Rate of the Receivable.</w:t>
      </w:r>
    </w:p>
    <w:p>
      <w:pPr>
        <w:pStyle w:val="TextBody"/>
        <w:bidi w:val="0"/>
        <w:spacing w:before="0" w:after="0"/>
        <w:ind w:left="2159" w:right="355" w:firstLine="720"/>
        <w:jc w:val="both"/>
        <w:rPr>
          <w:caps w:val="false"/>
          <w:smallCaps w:val="false"/>
        </w:rPr>
      </w:pPr>
      <w:r>
        <w:rPr>
          <w:caps w:val="false"/>
          <w:smallCaps w:val="false"/>
        </w:rPr>
        <w:t> </w:t>
      </w:r>
    </w:p>
    <w:p>
      <w:pPr>
        <w:pStyle w:val="TextBody"/>
        <w:bidi w:val="0"/>
        <w:spacing w:before="0" w:after="0"/>
        <w:ind w:left="2159"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Approximately [***] of the aggregate Principal Balance of the Receivables as of the Cutoff Date represents financing of used automobiles, light trucks, vans or minivans; the remainder of the Receivables represent financing of new vehicles; approximately [***] of the aggregate Principal Balance of the Receivables as of the Cutoff Date were originated under the CPS Preferred Program; approximately [***] of the aggregate Principal Balance of the Receivables as of the Cutoff Date were originated under the CPS Alpha Program; approximately [***] of the aggregate Principal Balance of the Receivables as of the Cutoff Date were originated under the CPS Delta Program; approximately [***] of the Receivables as of the Cutoff Date were originated under the CPS First-Time Buyer Program; approximately [***] of the aggregate Principal Balance of the Receivables as of the Cutoff Date were originated under the CPS Standard Program; approximately [***] of the aggregate Principal Balance of the Receivables as of the Cutoff Date were originated under the CPS Super Alpha Program; approximately [***] of the aggregate Principal Balance of the Receivables as of the Cutoff Date were originated under the CPS Alpha Plus Program; all of the Receivables were acquired by the Seller; approximately [***] of the aggregate Principal Balance of the Receivables as of the Cutoff Date were Post-Petition Receivables; each Receivable has a final scheduled payment due no later than [***] and each Receivable was originated on or before the Cutoff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Additional Receivables Characteristics</w:t>
      </w:r>
      <w:r>
        <w:rPr>
          <w:rFonts w:ascii="Times New Roman;Times;Serif" w:hAnsi="Times New Roman;Times;Serif"/>
          <w:b w:val="false"/>
          <w:i w:val="false"/>
          <w:caps w:val="false"/>
          <w:smallCaps w:val="false"/>
          <w:sz w:val="20"/>
        </w:rPr>
        <w:t>. (A) As of the Cutoff Date, no Receivable is more than [***] [***] contractually past due with respect to any Scheduled Receivable Payment, and no extensions were granted by the Servicer to satisfy such representation; and (B) as of the Closing Date, (I) no Receivable is a Skip Receivable and (II) no Receivable is more than [***] [***] contractually past due with respect to any Scheduled Receivable Payment.</w:t>
      </w:r>
    </w:p>
    <w:p>
      <w:pPr>
        <w:pStyle w:val="TextBody"/>
        <w:bidi w:val="0"/>
        <w:spacing w:before="0" w:after="0"/>
        <w:ind w:left="1440" w:right="354"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Schedule of Receivables; Selection Procedures</w:t>
      </w:r>
      <w:r>
        <w:rPr>
          <w:rFonts w:ascii="Times New Roman;Times;Serif" w:hAnsi="Times New Roman;Times;Serif"/>
          <w:b w:val="false"/>
          <w:i w:val="false"/>
          <w:caps w:val="false"/>
          <w:smallCaps w:val="false"/>
          <w:sz w:val="20"/>
        </w:rPr>
        <w:t xml:space="preserve">. The information with respect to the Receivables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 is true and correct in all material respects as of the close of business on the Cutoff Date; and no selection procedures adverse to the Securityholders have been utilized in selecting the Receivables.</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Each Receivable, the sale of the Financed Vehicle and the sale of any physical damage, credit life, credit accident and health insurance and extended warranties or service contracts (A) complied at the time the related Receivable was originated or made and at the Closing Date complies in all material respects with all requirements of applicable Federal, State, and local laws, and regulations thereunder including, without limitation, usury laws, the Federal Truth-in-Lending Act, the Equal Credit Opportunity Act, the Fair Credit Reporting Act, the Fair Debt Collection Practices Act, the Federal Trade Commission Act, the Magnuson-Moss Warranty Act, the Federal Reserve Board’s Regulations B and Z, the Servicemembers Civil Relief Act, the Military Reservist Relief Act, the Texas Consumer Credit Code, the California Automobile Sales Finance Act and State adaptations of the National Consumer Act and of the Uniform Consumer Credit Code, and all other applicable consumer credit laws and equal credit opportunity and disclosure laws, and (B) without limiting the generality of the foregoing, is not subject to liabilities or is not rendered unenforceable based on general theories of contract limitation or relief including, without limitation, theories based on unconscionable, deceptive, unfair, or predatory sales or financing practices.</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Government Obligor</w:t>
      </w:r>
      <w:r>
        <w:rPr>
          <w:rFonts w:ascii="Times New Roman;Times;Serif" w:hAnsi="Times New Roman;Times;Serif"/>
          <w:b w:val="false"/>
          <w:i w:val="false"/>
          <w:caps w:val="false"/>
          <w:smallCaps w:val="false"/>
          <w:sz w:val="20"/>
        </w:rPr>
        <w:t>. None of the Receivables are due from the United States of America or any State or from any agency, department, or instrumentality of the United States of America or any State.</w:t>
      </w:r>
    </w:p>
    <w:p>
      <w:pPr>
        <w:pStyle w:val="TextBody"/>
        <w:bidi w:val="0"/>
        <w:spacing w:before="0" w:after="0"/>
        <w:ind w:left="1440" w:right="359"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Security Interest in Financed Vehicle</w:t>
      </w:r>
      <w:r>
        <w:rPr>
          <w:rFonts w:ascii="Times New Roman;Times;Serif" w:hAnsi="Times New Roman;Times;Serif"/>
          <w:b w:val="false"/>
          <w:i w:val="false"/>
          <w:caps w:val="false"/>
          <w:smallCaps w:val="false"/>
          <w:sz w:val="20"/>
        </w:rPr>
        <w:t>. Immediately subsequent to the sale, assignment and transfer thereof to the Purchaser, each Receivable shall be secured by a validly perfected first priority security interest in the Financed Vehicle in favor of the Seller as secured party, which security interest has been validly assigned by the Seller to the Purchaser and by the Purchaser to the Grantor Trust, and such assigned security interest is prior to all other liens upon and security interests in such Financed Vehicle that now exist or may hereafter arise or be created (except, as to priority, for any tax liens or mechanics’ liens that may arise after the Cutoff Date).</w:t>
      </w:r>
    </w:p>
    <w:p>
      <w:pPr>
        <w:pStyle w:val="TextBody"/>
        <w:bidi w:val="0"/>
        <w:spacing w:before="0" w:after="0"/>
        <w:ind w:left="1440" w:right="357" w:hanging="0"/>
        <w:jc w:val="both"/>
        <w:rPr>
          <w:caps w:val="false"/>
          <w:smallCaps w:val="false"/>
        </w:rPr>
      </w:pPr>
      <w:r>
        <w:rPr>
          <w:caps w:val="false"/>
          <w:smallCaps w:val="false"/>
        </w:rPr>
        <w:t> </w:t>
      </w:r>
    </w:p>
    <w:p>
      <w:pPr>
        <w:pStyle w:val="TextBody"/>
        <w:bidi w:val="0"/>
        <w:spacing w:before="0" w:after="0"/>
        <w:ind w:left="1440" w:right="357" w:hanging="0"/>
        <w:jc w:val="both"/>
        <w:rPr>
          <w:caps w:val="false"/>
          <w:smallCaps w:val="false"/>
        </w:rPr>
      </w:pPr>
      <w:r>
        <w:rPr>
          <w:caps w:val="false"/>
          <w:smallCaps w:val="false"/>
        </w:rPr>
        <w:t> </w:t>
      </w:r>
    </w:p>
    <w:p>
      <w:pPr>
        <w:pStyle w:val="TextBody"/>
        <w:bidi w:val="0"/>
        <w:spacing w:before="0" w:after="0"/>
        <w:ind w:left="1440" w:right="357"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1440" w:right="357" w:hanging="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Receivables in Force</w:t>
      </w:r>
      <w:r>
        <w:rPr>
          <w:rFonts w:ascii="Times New Roman;Times;Serif" w:hAnsi="Times New Roman;Times;Serif"/>
          <w:b w:val="false"/>
          <w:i w:val="false"/>
          <w:caps w:val="false"/>
          <w:smallCaps w:val="false"/>
          <w:sz w:val="20"/>
        </w:rPr>
        <w:t>. No Receivable has been satisfied, subordinated or rescinded, nor has any Financed Vehicle been released from the lien granted by the related Receivable in whole or in part.</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40" w:right="36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Except as permitted under Section 4.2 of the Sale and Servicing Agreement and clause (ix) below, no provision of a Receivable has been waived.</w:t>
      </w:r>
    </w:p>
    <w:p>
      <w:pPr>
        <w:pStyle w:val="TextBody"/>
        <w:bidi w:val="0"/>
        <w:spacing w:before="0" w:after="0"/>
        <w:ind w:left="1440" w:right="360"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u w:val="single"/>
        </w:rPr>
        <w:t>No Amendments</w:t>
      </w:r>
      <w:r>
        <w:rPr>
          <w:rFonts w:ascii="Times New Roman;Times;Serif" w:hAnsi="Times New Roman;Times;Serif"/>
          <w:b w:val="false"/>
          <w:i w:val="false"/>
          <w:caps w:val="false"/>
          <w:smallCaps w:val="false"/>
          <w:sz w:val="20"/>
        </w:rPr>
        <w:t>. The terms of the related Contract have not been waived, altered, amended or modified (including, without limitation, extensions) in any respect, except by instruments or documents identified in the Receivable File with respect thereto, and no such waiver, alteration, amendment or modification has caused such Receivable to fail to meet all of the representations, warranties, and conditions set forth herein with respect thereto. Such Contract constitutes the entire agreement between the Seller and the related Obligor.</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39" w:right="3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No Defenses</w:t>
      </w:r>
      <w:r>
        <w:rPr>
          <w:rFonts w:ascii="Times New Roman;Times;Serif" w:hAnsi="Times New Roman;Times;Serif"/>
          <w:b w:val="false"/>
          <w:i w:val="false"/>
          <w:caps w:val="false"/>
          <w:smallCaps w:val="false"/>
          <w:sz w:val="20"/>
        </w:rPr>
        <w:t>. No right of rescission, setoff, counterclaim or defense exists or has been asserted or threatened with respect to any Receivable. The operation of the terms of any Receivable or the exercise of any right thereunder will not render such Receivable unenforceable in whole or in part and such Receivable is not subject to any such right of rescission, setoff, counterclaim, or defense.</w:t>
      </w:r>
    </w:p>
    <w:p>
      <w:pPr>
        <w:pStyle w:val="TextBody"/>
        <w:bidi w:val="0"/>
        <w:spacing w:before="0" w:after="0"/>
        <w:ind w:left="1439" w:right="358" w:firstLine="720"/>
        <w:jc w:val="both"/>
        <w:rPr>
          <w:caps w:val="false"/>
          <w:smallCaps w:val="false"/>
        </w:rPr>
      </w:pPr>
      <w:r>
        <w:rPr>
          <w:caps w:val="false"/>
          <w:smallCaps w:val="false"/>
        </w:rPr>
        <w:t> </w:t>
      </w:r>
    </w:p>
    <w:p>
      <w:pPr>
        <w:pStyle w:val="TextBody"/>
        <w:bidi w:val="0"/>
        <w:spacing w:before="0" w:after="0"/>
        <w:ind w:left="1439"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val="false"/>
          <w:i w:val="false"/>
          <w:caps w:val="false"/>
          <w:smallCaps w:val="false"/>
          <w:sz w:val="20"/>
          <w:u w:val="single"/>
        </w:rPr>
        <w:t>No Liens</w:t>
      </w:r>
      <w:r>
        <w:rPr>
          <w:rFonts w:ascii="Times New Roman;Times;Serif" w:hAnsi="Times New Roman;Times;Serif"/>
          <w:b w:val="false"/>
          <w:i w:val="false"/>
          <w:caps w:val="false"/>
          <w:smallCaps w:val="false"/>
          <w:sz w:val="20"/>
        </w:rPr>
        <w:t>. As of the Cutoff Date, (a) there are no liens or claims existing or that have been filed for work, labor, storage or materials relating to a Financed Vehicle that are prior to, or equal or coordinate with, the security interest in the Financed Vehicle granted by the Receivable and (b) there is no lien against the related Financed Vehicle for delinquent taxes.</w:t>
      </w:r>
    </w:p>
    <w:p>
      <w:pPr>
        <w:pStyle w:val="TextBody"/>
        <w:bidi w:val="0"/>
        <w:spacing w:before="0" w:after="0"/>
        <w:ind w:left="1439" w:right="354"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w:t>
      </w:r>
      <w:r>
        <w:rPr>
          <w:rFonts w:ascii="Times New Roman;Times;Serif" w:hAnsi="Times New Roman;Times;Serif"/>
          <w:b w:val="false"/>
          <w:i w:val="false"/>
          <w:caps w:val="false"/>
          <w:smallCaps w:val="false"/>
          <w:sz w:val="20"/>
          <w:u w:val="single"/>
        </w:rPr>
        <w:t>No Default; Repossession</w:t>
      </w:r>
      <w:r>
        <w:rPr>
          <w:rFonts w:ascii="Times New Roman;Times;Serif" w:hAnsi="Times New Roman;Times;Serif"/>
          <w:b w:val="false"/>
          <w:i w:val="false"/>
          <w:caps w:val="false"/>
          <w:smallCaps w:val="false"/>
          <w:sz w:val="20"/>
        </w:rPr>
        <w:t>. Except for payment delinquencies continuing for a period of not more than thirty days as of the Cutoff Date, no default, breach, violation or event permitting acceleration under the terms of any Receivable has occurred; and no continuing condition that with notice or the lapse of time, or both, would constitute a default, breach, violation or event permitting acceleration under the terms of any Receivable has arisen; and the Seller shall not waive and has not waived any of the foregoing (except in a manner consistent with Section 4.2 of the Sale and Servicing Agreement and clause (ix) above); and no Financed Vehicle shall have been repossessed or assigned for repossession as of the Cutoff Date.</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w:t>
      </w:r>
      <w:r>
        <w:rPr>
          <w:rFonts w:ascii="Times New Roman;Times;Serif" w:hAnsi="Times New Roman;Times;Serif"/>
          <w:b w:val="false"/>
          <w:i w:val="false"/>
          <w:caps w:val="false"/>
          <w:smallCaps w:val="false"/>
          <w:sz w:val="20"/>
          <w:u w:val="single"/>
        </w:rPr>
        <w:t>Insurance; Other</w:t>
      </w:r>
      <w:r>
        <w:rPr>
          <w:rFonts w:ascii="Times New Roman;Times;Serif" w:hAnsi="Times New Roman;Times;Serif"/>
          <w:b w:val="false"/>
          <w:i w:val="false"/>
          <w:caps w:val="false"/>
          <w:smallCaps w:val="false"/>
          <w:sz w:val="20"/>
        </w:rPr>
        <w:t>. (A) Each Obligor has obtained insurance covering the Financed Vehicle as of the execution of the Receivable insuring against loss and damage due to fire, theft, transportation, collision and other risks generally covered by comprehensive and collision coverage, and each Receivable requires the Obligor to obtain and maintain such insurance naming the Seller and its successors and assigns as loss payee or an additional insured, (B) each Receivable that finances the cost of premiums for credit life and credit accident and health insurance is covered by an insurance policy or certificate of insurance naming the Seller as policyholder (creditor) under each such insurance policy and certificate of insurance and (C) as to each Receivable that finances the cost of an extended service contract, the respective Financed Vehicle which secures the Receivable is covered by an extended service contract.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It is the intention of the Seller that the transfer and assignment herein contemplated constitute a sale of the Receivables and the Transferred Property from the Seller to the Purchaser and that the beneficial interest in and title to such Receivables and the Transferred Property not be part of the Seller’s estate in the event of the filing of a bankruptcy petition by or against the Seller under any bankruptcy law. No Receivable or other Transferred Property has been sold, transferred, assigned, or pledged by the Seller to any Person other than the Purchaser. Immediately prior to the transfer and assignment herein contemplated, the Seller had good and marketable title to each Receivable and the Transferred Property and was the sole owner thereof, free and clear of all liens, claims, encumbrances, security interests, and rights of others, and, immediately upon the transfer thereof, the Purchaser for the benefit of the Securityholders shall have good and marketable title to each such Receivable and will be the sole owner thereof, free and clear of all liens, encumbrances, security interests, and rights of others, and the transfer has been perfected under the UCC.</w:t>
      </w:r>
    </w:p>
    <w:p>
      <w:pPr>
        <w:pStyle w:val="TextBody"/>
        <w:bidi w:val="0"/>
        <w:spacing w:before="0" w:after="0"/>
        <w:ind w:left="1440" w:right="354" w:firstLine="720"/>
        <w:jc w:val="both"/>
        <w:rPr>
          <w:caps w:val="false"/>
          <w:smallCaps w:val="false"/>
        </w:rPr>
      </w:pPr>
      <w:r>
        <w:rPr>
          <w:caps w:val="false"/>
          <w:smallCaps w:val="false"/>
        </w:rPr>
        <w:t> </w:t>
      </w:r>
    </w:p>
    <w:p>
      <w:pPr>
        <w:pStyle w:val="TextBody"/>
        <w:bidi w:val="0"/>
        <w:spacing w:before="0" w:after="0"/>
        <w:ind w:left="144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w:t>
      </w:r>
      <w:r>
        <w:rPr>
          <w:rFonts w:ascii="Times New Roman;Times;Serif" w:hAnsi="Times New Roman;Times;Serif"/>
          <w:b w:val="false"/>
          <w:i w:val="false"/>
          <w:caps w:val="false"/>
          <w:smallCaps w:val="false"/>
          <w:sz w:val="20"/>
          <w:u w:val="single"/>
        </w:rPr>
        <w:t>Lawful Assignment</w:t>
      </w:r>
      <w:r>
        <w:rPr>
          <w:rFonts w:ascii="Times New Roman;Times;Serif" w:hAnsi="Times New Roman;Times;Serif"/>
          <w:b w:val="false"/>
          <w:i w:val="false"/>
          <w:caps w:val="false"/>
          <w:smallCaps w:val="false"/>
          <w:sz w:val="20"/>
        </w:rPr>
        <w:t>. No Receivable has been originated in, or is subject to the laws of, any jurisdiction under which the sale, transfer, and assignment of such Receivable under any of the Agreements would be unlawful, void, or voidable. The Seller has not entered into any agreement with any account debtor that prohibits, restricts or conditions the assignment of any portion of the Receivables.</w:t>
      </w:r>
    </w:p>
    <w:p>
      <w:pPr>
        <w:pStyle w:val="TextBody"/>
        <w:bidi w:val="0"/>
        <w:spacing w:before="0" w:after="0"/>
        <w:ind w:left="1440" w:right="354"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w:t>
      </w:r>
      <w:r>
        <w:rPr>
          <w:rFonts w:ascii="Times New Roman;Times;Serif" w:hAnsi="Times New Roman;Times;Serif"/>
          <w:b w:val="false"/>
          <w:i w:val="false"/>
          <w:caps w:val="false"/>
          <w:smallCaps w:val="false"/>
          <w:sz w:val="20"/>
          <w:u w:val="single"/>
        </w:rPr>
        <w:t>All Filings Made</w:t>
      </w:r>
      <w:r>
        <w:rPr>
          <w:rFonts w:ascii="Times New Roman;Times;Serif" w:hAnsi="Times New Roman;Times;Serif"/>
          <w:b w:val="false"/>
          <w:i w:val="false"/>
          <w:caps w:val="false"/>
          <w:smallCaps w:val="false"/>
          <w:sz w:val="20"/>
        </w:rPr>
        <w:t>. As of the Closing Date or within ten (10) days thereafter, all filings (including, without limitation, UCC filings) necessary in any jurisdiction to give (a) the Purchaser a first priority perfected security interest in the Receivables and the other Transferred Property, (b) the Trust a first priority perfected security interest in the Trust Property and (c) the Indenture Trustee a first priority perfected security interest in the Collateral have been made, taken or performed.</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w:t>
      </w:r>
      <w:r>
        <w:rPr>
          <w:rFonts w:ascii="Times New Roman;Times;Serif" w:hAnsi="Times New Roman;Times;Serif"/>
          <w:b w:val="false"/>
          <w:i w:val="false"/>
          <w:caps w:val="false"/>
          <w:smallCaps w:val="false"/>
          <w:sz w:val="20"/>
          <w:u w:val="single"/>
        </w:rPr>
        <w:t>Receivable File; One Original</w:t>
      </w:r>
      <w:r>
        <w:rPr>
          <w:rFonts w:ascii="Times New Roman;Times;Serif" w:hAnsi="Times New Roman;Times;Serif"/>
          <w:b w:val="false"/>
          <w:i w:val="false"/>
          <w:caps w:val="false"/>
          <w:smallCaps w:val="false"/>
          <w:sz w:val="20"/>
        </w:rPr>
        <w:t>. The Seller has delivered to Purchaser a complete Receivable File with respect to each Receivable. There is only one original executed copy of each Receivable, or, in the case of Receivables constituting Electronic Chattel Paper a single Authoritative Copy of each electronic record constituting or forming a part of such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3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w:t>
      </w:r>
      <w:r>
        <w:rPr>
          <w:rFonts w:ascii="Times New Roman;Times;Serif" w:hAnsi="Times New Roman;Times;Serif"/>
          <w:b w:val="false"/>
          <w:i w:val="false"/>
          <w:caps w:val="false"/>
          <w:smallCaps w:val="false"/>
          <w:sz w:val="20"/>
          <w:u w:val="single"/>
        </w:rPr>
        <w:t>Chattel Paper</w:t>
      </w:r>
      <w:r>
        <w:rPr>
          <w:rFonts w:ascii="Times New Roman;Times;Serif" w:hAnsi="Times New Roman;Times;Serif"/>
          <w:b w:val="false"/>
          <w:i w:val="false"/>
          <w:caps w:val="false"/>
          <w:smallCaps w:val="false"/>
          <w:sz w:val="20"/>
        </w:rPr>
        <w:t>. Each Contract constitutes Tangible Chattel Paper or, subject to the satisfaction of the Electronic Chattel Paper Condition, Electronic Chattel Paper.</w:t>
      </w:r>
    </w:p>
    <w:p>
      <w:pPr>
        <w:pStyle w:val="TextBody"/>
        <w:bidi w:val="0"/>
        <w:spacing w:before="0" w:after="0"/>
        <w:ind w:left="1440" w:right="358" w:firstLine="720"/>
        <w:jc w:val="both"/>
        <w:rPr>
          <w:caps w:val="false"/>
          <w:smallCaps w:val="false"/>
        </w:rPr>
      </w:pPr>
      <w:r>
        <w:rPr>
          <w:caps w:val="false"/>
          <w:smallCaps w:val="false"/>
        </w:rPr>
        <w:t> </w:t>
      </w:r>
    </w:p>
    <w:p>
      <w:pPr>
        <w:pStyle w:val="TextBody"/>
        <w:bidi w:val="0"/>
        <w:spacing w:before="0" w:after="0"/>
        <w:ind w:left="1439"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(xix)       </w:t>
      </w:r>
      <w:r>
        <w:rPr>
          <w:rFonts w:ascii="Times New Roman;Times;Serif" w:hAnsi="Times New Roman;Times;Serif"/>
          <w:b w:val="false"/>
          <w:i w:val="false"/>
          <w:caps w:val="false"/>
          <w:smallCaps w:val="false"/>
          <w:sz w:val="20"/>
          <w:u w:val="single"/>
        </w:rPr>
        <w:t>Title Documents</w:t>
      </w:r>
      <w:r>
        <w:rPr>
          <w:rFonts w:ascii="Times New Roman;Times;Serif" w:hAnsi="Times New Roman;Times;Serif"/>
          <w:b w:val="false"/>
          <w:i w:val="false"/>
          <w:caps w:val="false"/>
          <w:smallCaps w:val="false"/>
          <w:sz w:val="20"/>
        </w:rPr>
        <w:t>. The Lien Certificate with respect to each Financed Vehicle shows, or if a new or replacement Lien Certificate is being applied for with respect to such Financed Vehicle, the Lien Certificate will be received within [***] [***] and will show, the Seller named as the original secured party under the related Receivable as the holder of a first priority security interest in such Financed Vehicle; provided that Lien Certificates related to up to [***] of the Receivables (by Principal Balance) may be received within [***] [***]. The Trust has the same rights as such secured party has or would have (if such secured party were still the owner of the Receivable) against all parties claiming an interest in such Financed Vehicle, and such rights have been validly pledged to the Indenture Trustee pursuant to the Indenture. With respect to each Receivable for which the Lien Certificate has not yet been returned from the Registrar of Titles, the Seller has, or has received written evidence from the related Dealer that the related Dealer has, applied for such Lien Certificate showing the Seller as first lienholder.</w:t>
      </w:r>
    </w:p>
    <w:p>
      <w:pPr>
        <w:pStyle w:val="TextBody"/>
        <w:bidi w:val="0"/>
        <w:spacing w:before="0" w:after="0"/>
        <w:ind w:left="1439" w:right="355" w:firstLine="720"/>
        <w:jc w:val="both"/>
        <w:rPr>
          <w:caps w:val="false"/>
          <w:smallCaps w:val="false"/>
        </w:rPr>
      </w:pPr>
      <w:r>
        <w:rPr>
          <w:caps w:val="false"/>
          <w:smallCaps w:val="false"/>
        </w:rPr>
        <w:t> </w:t>
      </w:r>
    </w:p>
    <w:p>
      <w:pPr>
        <w:pStyle w:val="TextBody"/>
        <w:bidi w:val="0"/>
        <w:spacing w:before="0" w:after="0"/>
        <w:ind w:left="144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w:t>
      </w:r>
      <w:r>
        <w:rPr>
          <w:rFonts w:ascii="Times New Roman;Times;Serif" w:hAnsi="Times New Roman;Times;Serif"/>
          <w:b w:val="false"/>
          <w:i w:val="false"/>
          <w:caps w:val="false"/>
          <w:smallCaps w:val="false"/>
          <w:sz w:val="20"/>
          <w:u w:val="single"/>
        </w:rPr>
        <w:t>Valid and Binding Obligation of Obligor</w:t>
      </w:r>
      <w:r>
        <w:rPr>
          <w:rFonts w:ascii="Times New Roman;Times;Serif" w:hAnsi="Times New Roman;Times;Serif"/>
          <w:b w:val="false"/>
          <w:i w:val="false"/>
          <w:caps w:val="false"/>
          <w:smallCaps w:val="false"/>
          <w:sz w:val="20"/>
        </w:rPr>
        <w:t>. Each Receivable is the legal, valid and binding obligation in writing of the Obligor thereunder and is enforceable in accordance with its terms, except only as such enforcement may be limited by bankruptcy, insolvency or similar laws affecting the enforcement of creditors’ rights generally or by general equitable principles, and all parties to such contract had full legal capacity to execute and deliver such contract and all other documents related thereto and to grant the security interest purported to be granted thereby.</w:t>
      </w:r>
    </w:p>
    <w:p>
      <w:pPr>
        <w:pStyle w:val="TextBody"/>
        <w:bidi w:val="0"/>
        <w:spacing w:before="0" w:after="0"/>
        <w:ind w:left="1440" w:right="357" w:firstLine="720"/>
        <w:jc w:val="both"/>
        <w:rPr>
          <w:caps w:val="false"/>
          <w:smallCaps w:val="false"/>
        </w:rPr>
      </w:pPr>
      <w:r>
        <w:rPr>
          <w:caps w:val="false"/>
          <w:smallCaps w:val="false"/>
        </w:rPr>
        <w:t> </w:t>
      </w:r>
    </w:p>
    <w:p>
      <w:pPr>
        <w:pStyle w:val="TextBody"/>
        <w:bidi w:val="0"/>
        <w:spacing w:before="0" w:after="0"/>
        <w:ind w:left="144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w:t>
      </w:r>
      <w:r>
        <w:rPr>
          <w:rFonts w:ascii="Times New Roman;Times;Serif" w:hAnsi="Times New Roman;Times;Serif"/>
          <w:b w:val="false"/>
          <w:i w:val="false"/>
          <w:caps w:val="false"/>
          <w:smallCaps w:val="false"/>
          <w:sz w:val="20"/>
          <w:u w:val="single"/>
        </w:rPr>
        <w:t>Characteristics of Obligors</w:t>
      </w:r>
      <w:r>
        <w:rPr>
          <w:rFonts w:ascii="Times New Roman;Times;Serif" w:hAnsi="Times New Roman;Times;Serif"/>
          <w:b w:val="false"/>
          <w:i w:val="false"/>
          <w:caps w:val="false"/>
          <w:smallCaps w:val="false"/>
          <w:sz w:val="20"/>
        </w:rPr>
        <w:t>. As of the date of each Obligor’s application for financing of the vehicle purchase from which the related Receivable arises, such Obligor was domiciled in the United States. As of the Closing Date, no Obligor is or will be, to the knowledge of CPS, the subject of any Federal, State or other bankruptcy, insolvency or similar proceeding other than an Obligor related to a Post-Petition Receivable.</w:t>
      </w:r>
    </w:p>
    <w:p>
      <w:pPr>
        <w:pStyle w:val="TextBody"/>
        <w:bidi w:val="0"/>
        <w:spacing w:before="0" w:after="0"/>
        <w:ind w:left="1440" w:right="354" w:firstLine="720"/>
        <w:jc w:val="both"/>
        <w:rPr>
          <w:caps w:val="false"/>
          <w:smallCaps w:val="false"/>
        </w:rPr>
      </w:pPr>
      <w:r>
        <w:rPr>
          <w:caps w:val="false"/>
          <w:smallCaps w:val="false"/>
        </w:rPr>
        <w:t> </w:t>
      </w:r>
    </w:p>
    <w:p>
      <w:pPr>
        <w:pStyle w:val="TextBody"/>
        <w:bidi w:val="0"/>
        <w:spacing w:before="0" w:after="0"/>
        <w:ind w:left="144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      </w:t>
      </w:r>
      <w:r>
        <w:rPr>
          <w:rFonts w:ascii="Times New Roman;Times;Serif" w:hAnsi="Times New Roman;Times;Serif"/>
          <w:b w:val="false"/>
          <w:i w:val="false"/>
          <w:caps w:val="false"/>
          <w:smallCaps w:val="false"/>
          <w:sz w:val="20"/>
          <w:u w:val="single"/>
        </w:rPr>
        <w:t>Origination Date</w:t>
      </w:r>
      <w:r>
        <w:rPr>
          <w:rFonts w:ascii="Times New Roman;Times;Serif" w:hAnsi="Times New Roman;Times;Serif"/>
          <w:b w:val="false"/>
          <w:i w:val="false"/>
          <w:caps w:val="false"/>
          <w:smallCaps w:val="false"/>
          <w:sz w:val="20"/>
        </w:rPr>
        <w:t>. Each Called Receivable has an origination date on or after January 12, 2021, and each Receivable that is not a Called Receivable has an origination date on or after October 16, 2024.</w:t>
      </w:r>
    </w:p>
    <w:p>
      <w:pPr>
        <w:pStyle w:val="TextBody"/>
        <w:bidi w:val="0"/>
        <w:spacing w:before="0" w:after="0"/>
        <w:ind w:left="1440" w:right="357" w:firstLine="720"/>
        <w:jc w:val="both"/>
        <w:rPr>
          <w:caps w:val="false"/>
          <w:smallCaps w:val="false"/>
        </w:rPr>
      </w:pPr>
      <w:r>
        <w:rPr>
          <w:caps w:val="false"/>
          <w:smallCaps w:val="false"/>
        </w:rPr>
        <w:t> </w:t>
      </w:r>
    </w:p>
    <w:p>
      <w:pPr>
        <w:pStyle w:val="TextBody"/>
        <w:bidi w:val="0"/>
        <w:spacing w:before="0" w:after="0"/>
        <w:ind w:left="144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(xxiii)    </w:t>
      </w:r>
      <w:r>
        <w:rPr>
          <w:rFonts w:ascii="Times New Roman;Times;Serif" w:hAnsi="Times New Roman;Times;Serif"/>
          <w:b w:val="false"/>
          <w:i w:val="false"/>
          <w:caps w:val="false"/>
          <w:smallCaps w:val="false"/>
          <w:sz w:val="20"/>
          <w:u w:val="single"/>
        </w:rPr>
        <w:t>Maturity of Receivables</w:t>
      </w:r>
      <w:r>
        <w:rPr>
          <w:rFonts w:ascii="Times New Roman;Times;Serif" w:hAnsi="Times New Roman;Times;Serif"/>
          <w:b w:val="false"/>
          <w:i w:val="false"/>
          <w:caps w:val="false"/>
          <w:smallCaps w:val="false"/>
          <w:sz w:val="20"/>
        </w:rPr>
        <w:t>. Each Receivable has an original term to maturity of not more than [***] [***]; the weighted average original term to maturity of the Initial Receivables was [***] [***] as of the Cutoff Date; the remaining term to maturity of each Receivable was [***] [***] or less as of the applicable Cutoff Date; the weighted average remaining term to maturity of the Initial Receivables was [***] [***] as of the Cutoff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36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(xxiv)    </w:t>
      </w:r>
      <w:r>
        <w:rPr>
          <w:rFonts w:ascii="Times New Roman;Times;Serif" w:hAnsi="Times New Roman;Times;Serif"/>
          <w:b w:val="false"/>
          <w:i w:val="false"/>
          <w:caps w:val="false"/>
          <w:smallCaps w:val="false"/>
          <w:sz w:val="20"/>
          <w:u w:val="single"/>
        </w:rPr>
        <w:t>Scheduled Receivable Payments</w:t>
      </w:r>
      <w:r>
        <w:rPr>
          <w:rFonts w:ascii="Times New Roman;Times;Serif" w:hAnsi="Times New Roman;Times;Serif"/>
          <w:b w:val="false"/>
          <w:i w:val="false"/>
          <w:caps w:val="false"/>
          <w:smallCaps w:val="false"/>
          <w:sz w:val="20"/>
        </w:rPr>
        <w:t>. Each Receivable has an original Principal Balance of not more than [***].</w:t>
      </w:r>
    </w:p>
    <w:p>
      <w:pPr>
        <w:pStyle w:val="TextBody"/>
        <w:bidi w:val="0"/>
        <w:spacing w:before="0" w:after="0"/>
        <w:ind w:left="1440" w:right="362"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      </w:t>
      </w:r>
      <w:r>
        <w:rPr>
          <w:rFonts w:ascii="Times New Roman;Times;Serif" w:hAnsi="Times New Roman;Times;Serif"/>
          <w:b w:val="false"/>
          <w:i w:val="false"/>
          <w:caps w:val="false"/>
          <w:smallCaps w:val="false"/>
          <w:sz w:val="20"/>
          <w:u w:val="single"/>
        </w:rPr>
        <w:t>Origination of Receivables</w:t>
      </w:r>
      <w:r>
        <w:rPr>
          <w:rFonts w:ascii="Times New Roman;Times;Serif" w:hAnsi="Times New Roman;Times;Serif"/>
          <w:b w:val="false"/>
          <w:i w:val="false"/>
          <w:caps w:val="false"/>
          <w:smallCaps w:val="false"/>
          <w:sz w:val="20"/>
        </w:rPr>
        <w:t>. Based on the billing address of the Obligors and the Principal Balances as of the Cutoff Date, [***], [***] and [***] of the Receivables (by Principal Balance) had Obligors residing in the States of [***], [***] and [***] respectively. As of the Cutoff Date, no other state represented more than [***] of the Receivables (by Principal Balance).</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    </w:t>
      </w:r>
      <w:r>
        <w:rPr>
          <w:rFonts w:ascii="Times New Roman;Times;Serif" w:hAnsi="Times New Roman;Times;Serif"/>
          <w:b w:val="false"/>
          <w:i w:val="false"/>
          <w:caps w:val="false"/>
          <w:smallCaps w:val="false"/>
          <w:sz w:val="20"/>
          <w:u w:val="single"/>
        </w:rPr>
        <w:t>Post-Office Box</w:t>
      </w:r>
      <w:r>
        <w:rPr>
          <w:rFonts w:ascii="Times New Roman;Times;Serif" w:hAnsi="Times New Roman;Times;Serif"/>
          <w:b w:val="false"/>
          <w:i w:val="false"/>
          <w:caps w:val="false"/>
          <w:smallCaps w:val="false"/>
          <w:sz w:val="20"/>
        </w:rPr>
        <w:t>. On or prior to the next billing period after the applicable Cutoff Date, the Seller will notify each Obligor to make payments with respect to its respective Receivable after the applicable Cutoff Date directly to the Post Office Box or to a Servicer-controlled account as provided for in the Sale and Servicing Agreement, and will provide each Obligor with a monthly statement in order to enable such Obligor to make payments in such manner.</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(xxvii)  </w:t>
      </w:r>
      <w:r>
        <w:rPr>
          <w:rFonts w:ascii="Times New Roman;Times;Serif" w:hAnsi="Times New Roman;Times;Serif"/>
          <w:b w:val="false"/>
          <w:i w:val="false"/>
          <w:caps w:val="false"/>
          <w:smallCaps w:val="false"/>
          <w:sz w:val="20"/>
          <w:u w:val="single"/>
        </w:rPr>
        <w:t>Location of Receivable Files</w:t>
      </w:r>
      <w:r>
        <w:rPr>
          <w:rFonts w:ascii="Times New Roman;Times;Serif" w:hAnsi="Times New Roman;Times;Serif"/>
          <w:b w:val="false"/>
          <w:i w:val="false"/>
          <w:caps w:val="false"/>
          <w:smallCaps w:val="false"/>
          <w:sz w:val="20"/>
        </w:rPr>
        <w:t>. A complete Receivable File with respect to each Receivable has been or prior to the Closing Date, will be delivered to the Custodian at the location listed in Schedule B to the Sale and Servicing Agreement.</w:t>
      </w:r>
    </w:p>
    <w:p>
      <w:pPr>
        <w:pStyle w:val="TextBody"/>
        <w:bidi w:val="0"/>
        <w:spacing w:before="0" w:after="0"/>
        <w:ind w:left="1440" w:right="357" w:firstLine="720"/>
        <w:jc w:val="both"/>
        <w:rPr>
          <w:caps w:val="false"/>
          <w:smallCaps w:val="false"/>
        </w:rPr>
      </w:pPr>
      <w:r>
        <w:rPr>
          <w:caps w:val="false"/>
          <w:smallCaps w:val="false"/>
        </w:rPr>
        <w:t> </w:t>
      </w:r>
    </w:p>
    <w:p>
      <w:pPr>
        <w:pStyle w:val="TextBody"/>
        <w:bidi w:val="0"/>
        <w:spacing w:before="0" w:after="0"/>
        <w:ind w:left="1440" w:right="35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(xxviii)  </w:t>
      </w:r>
      <w:r>
        <w:rPr>
          <w:rFonts w:ascii="Times New Roman;Times;Serif" w:hAnsi="Times New Roman;Times;Serif"/>
          <w:b w:val="false"/>
          <w:i w:val="false"/>
          <w:caps w:val="false"/>
          <w:smallCaps w:val="false"/>
          <w:sz w:val="20"/>
          <w:u w:val="single"/>
        </w:rPr>
        <w:t>Casualty and Impounding</w:t>
      </w:r>
      <w:r>
        <w:rPr>
          <w:rFonts w:ascii="Times New Roman;Times;Serif" w:hAnsi="Times New Roman;Times;Serif"/>
          <w:b w:val="false"/>
          <w:i w:val="false"/>
          <w:caps w:val="false"/>
          <w:smallCaps w:val="false"/>
          <w:sz w:val="20"/>
        </w:rPr>
        <w:t>. No Financed Vehicle has suffered a Casualty and CPS has not received notice that any Financed Vehicle has been impounded.</w:t>
      </w:r>
    </w:p>
    <w:p>
      <w:pPr>
        <w:pStyle w:val="TextBody"/>
        <w:bidi w:val="0"/>
        <w:spacing w:before="0" w:after="0"/>
        <w:ind w:left="1440" w:right="359"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(xxix)    </w:t>
      </w:r>
      <w:r>
        <w:rPr>
          <w:rFonts w:ascii="Times New Roman;Times;Serif" w:hAnsi="Times New Roman;Times;Serif"/>
          <w:b w:val="false"/>
          <w:i w:val="false"/>
          <w:caps w:val="false"/>
          <w:smallCaps w:val="false"/>
          <w:sz w:val="20"/>
          <w:u w:val="single"/>
        </w:rPr>
        <w:t>Principal Balance/Number of Contracts</w:t>
      </w:r>
      <w:r>
        <w:rPr>
          <w:rFonts w:ascii="Times New Roman;Times;Serif" w:hAnsi="Times New Roman;Times;Serif"/>
          <w:b w:val="false"/>
          <w:i w:val="false"/>
          <w:caps w:val="false"/>
          <w:smallCaps w:val="false"/>
          <w:sz w:val="20"/>
        </w:rPr>
        <w:t>. As of the Cutoff Date, the aggregate Principal Balance of the Receivables was [***]. As of the Cutoff Date, the Receivables are evidenced by [***] Contracts.</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      </w:t>
      </w:r>
      <w:r>
        <w:rPr>
          <w:rFonts w:ascii="Times New Roman;Times;Serif" w:hAnsi="Times New Roman;Times;Serif"/>
          <w:b w:val="false"/>
          <w:i w:val="false"/>
          <w:caps w:val="false"/>
          <w:smallCaps w:val="false"/>
          <w:sz w:val="20"/>
          <w:u w:val="single"/>
        </w:rPr>
        <w:t>Full Amount Advanced</w:t>
      </w:r>
      <w:r>
        <w:rPr>
          <w:rFonts w:ascii="Times New Roman;Times;Serif" w:hAnsi="Times New Roman;Times;Serif"/>
          <w:b w:val="false"/>
          <w:i w:val="false"/>
          <w:caps w:val="false"/>
          <w:smallCaps w:val="false"/>
          <w:sz w:val="20"/>
        </w:rPr>
        <w:t>. The full amount of each Receivable has been advanced to each Obligor, and there are no requirements for future advances thereunder. The Obligor with respect to each Receivable does not have any option under the terms of the related Contract to borrow from any person additional funds secured by the Financed Vehicle.</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(xxxi)    </w:t>
      </w:r>
      <w:r>
        <w:rPr>
          <w:rFonts w:ascii="Times New Roman;Times;Serif" w:hAnsi="Times New Roman;Times;Serif"/>
          <w:b w:val="false"/>
          <w:i w:val="false"/>
          <w:caps w:val="false"/>
          <w:smallCaps w:val="false"/>
          <w:sz w:val="20"/>
          <w:u w:val="single"/>
        </w:rPr>
        <w:t>No Impairment</w:t>
      </w:r>
      <w:r>
        <w:rPr>
          <w:rFonts w:ascii="Times New Roman;Times;Serif" w:hAnsi="Times New Roman;Times;Serif"/>
          <w:b w:val="false"/>
          <w:i w:val="false"/>
          <w:caps w:val="false"/>
          <w:smallCaps w:val="false"/>
          <w:sz w:val="20"/>
        </w:rPr>
        <w:t>. Neither the Seller nor the Purchaser has done anything to convey any right to any Person that would result in such Person having a right to payments due under any Receivables or otherwise to impair the rights of the Purchaser, the Issuer or the Securityholders in any Receivable or the proceeds hereof.</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(xxxii)  </w:t>
      </w:r>
      <w:r>
        <w:rPr>
          <w:rFonts w:ascii="Times New Roman;Times;Serif" w:hAnsi="Times New Roman;Times;Serif"/>
          <w:b w:val="false"/>
          <w:i w:val="false"/>
          <w:caps w:val="false"/>
          <w:smallCaps w:val="false"/>
          <w:sz w:val="20"/>
          <w:u w:val="single"/>
        </w:rPr>
        <w:t>Receivables Not Assumable</w:t>
      </w:r>
      <w:r>
        <w:rPr>
          <w:rFonts w:ascii="Times New Roman;Times;Serif" w:hAnsi="Times New Roman;Times;Serif"/>
          <w:b w:val="false"/>
          <w:i w:val="false"/>
          <w:caps w:val="false"/>
          <w:smallCaps w:val="false"/>
          <w:sz w:val="20"/>
        </w:rPr>
        <w:t>. No Receivable is assumable by another Person in a manner that would release the Obligor thereof from such Obligor’s obligations to the Seller or the Purchaser with respect to such Receivable.</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(xxxiii)  </w:t>
      </w:r>
      <w:r>
        <w:rPr>
          <w:rFonts w:ascii="Times New Roman;Times;Serif" w:hAnsi="Times New Roman;Times;Serif"/>
          <w:b w:val="false"/>
          <w:i w:val="false"/>
          <w:caps w:val="false"/>
          <w:smallCaps w:val="false"/>
          <w:sz w:val="20"/>
          <w:u w:val="single"/>
        </w:rPr>
        <w:t>Servicing</w:t>
      </w:r>
      <w:r>
        <w:rPr>
          <w:rFonts w:ascii="Times New Roman;Times;Serif" w:hAnsi="Times New Roman;Times;Serif"/>
          <w:b w:val="false"/>
          <w:i w:val="false"/>
          <w:caps w:val="false"/>
          <w:smallCaps w:val="false"/>
          <w:sz w:val="20"/>
        </w:rPr>
        <w:t>. The servicing of each Receivable and the collection practices relating thereto have been lawful and in accordance with the standards set forth in the Sale and Servicing Agreement; other than the Servicer and the Backup Servicer under the Sale and Servicing Agreement, no other Person has the right to service the Receivables.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39"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(xxxiv)   </w:t>
      </w:r>
      <w:r>
        <w:rPr>
          <w:rFonts w:ascii="Times New Roman;Times;Serif" w:hAnsi="Times New Roman;Times;Serif"/>
          <w:b w:val="false"/>
          <w:i w:val="false"/>
          <w:caps w:val="false"/>
          <w:smallCaps w:val="false"/>
          <w:sz w:val="20"/>
          <w:u w:val="single"/>
        </w:rPr>
        <w:t>Illinois Receivables</w:t>
      </w:r>
      <w:r>
        <w:rPr>
          <w:rFonts w:ascii="Times New Roman;Times;Serif" w:hAnsi="Times New Roman;Times;Serif"/>
          <w:b w:val="false"/>
          <w:i w:val="false"/>
          <w:caps w:val="false"/>
          <w:smallCaps w:val="false"/>
          <w:sz w:val="20"/>
        </w:rPr>
        <w:t>. (a) The Seller does not own a substantial interest in the business of a Dealer within the meaning of Illinois Sales Finance Agency Act Rules and Regulations, Section 160.230(1) and (b) with respect to each Receivable originated in the State of Illinois, (i) the printed or typed portion of the related form of Receivable complies with the requirements of 815 ILCS 375/3(b) and (ii) the Seller has not, and for so long as such Receivable is outstanding shall not, place or cause to be placed on the related Financed Vehicle any collateral protection insurance in violation of 815 ILCS 180/10.</w:t>
      </w:r>
    </w:p>
    <w:p>
      <w:pPr>
        <w:pStyle w:val="TextBody"/>
        <w:bidi w:val="0"/>
        <w:spacing w:before="0" w:after="0"/>
        <w:ind w:left="1439" w:right="355" w:firstLine="720"/>
        <w:jc w:val="both"/>
        <w:rPr>
          <w:caps w:val="false"/>
          <w:smallCaps w:val="false"/>
        </w:rPr>
      </w:pPr>
      <w:r>
        <w:rPr>
          <w:caps w:val="false"/>
          <w:smallCaps w:val="false"/>
        </w:rPr>
        <w:t> </w:t>
      </w:r>
    </w:p>
    <w:p>
      <w:pPr>
        <w:pStyle w:val="TextBody"/>
        <w:bidi w:val="0"/>
        <w:spacing w:before="0" w:after="0"/>
        <w:ind w:left="144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(xxxv)   </w:t>
      </w:r>
      <w:r>
        <w:rPr>
          <w:rFonts w:ascii="Times New Roman;Times;Serif" w:hAnsi="Times New Roman;Times;Serif"/>
          <w:b w:val="false"/>
          <w:i w:val="false"/>
          <w:caps w:val="false"/>
          <w:smallCaps w:val="false"/>
          <w:sz w:val="20"/>
          <w:u w:val="single"/>
        </w:rPr>
        <w:t>California Receivables</w:t>
      </w:r>
      <w:r>
        <w:rPr>
          <w:rFonts w:ascii="Times New Roman;Times;Serif" w:hAnsi="Times New Roman;Times;Serif"/>
          <w:b w:val="false"/>
          <w:i w:val="false"/>
          <w:caps w:val="false"/>
          <w:smallCaps w:val="false"/>
          <w:sz w:val="20"/>
        </w:rPr>
        <w:t>. Each Receivable originated in the State of California has been, and at all times during the term of the Sale and Servicing Agreement will be, serviced by the Servicer in compliance with Cal. Civil Code § 2981, et seq.</w:t>
      </w:r>
    </w:p>
    <w:p>
      <w:pPr>
        <w:pStyle w:val="TextBody"/>
        <w:bidi w:val="0"/>
        <w:spacing w:before="0" w:after="0"/>
        <w:ind w:left="1440" w:right="357"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(xxxvi)   </w:t>
      </w:r>
      <w:r>
        <w:rPr>
          <w:rFonts w:ascii="Times New Roman;Times;Serif" w:hAnsi="Times New Roman;Times;Serif"/>
          <w:b w:val="false"/>
          <w:i w:val="false"/>
          <w:caps w:val="false"/>
          <w:smallCaps w:val="false"/>
          <w:sz w:val="20"/>
          <w:u w:val="single"/>
        </w:rPr>
        <w:t>Creation of Security Interest</w:t>
      </w:r>
      <w:r>
        <w:rPr>
          <w:rFonts w:ascii="Times New Roman;Times;Serif" w:hAnsi="Times New Roman;Times;Serif"/>
          <w:b w:val="false"/>
          <w:i w:val="false"/>
          <w:caps w:val="false"/>
          <w:smallCaps w:val="false"/>
          <w:sz w:val="20"/>
        </w:rPr>
        <w:t>. The Agreements create a valid and continuing security interest (as defined in the UCC) in the Transferred Property in favor of the Purchaser, which security interest is prior to all other Liens and is enforceable as such as against creditors of and purchasers from the Seller.</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(xxxvii)                  </w:t>
      </w:r>
      <w:r>
        <w:rPr>
          <w:rFonts w:ascii="Times New Roman;Times;Serif" w:hAnsi="Times New Roman;Times;Serif"/>
          <w:b w:val="false"/>
          <w:i w:val="false"/>
          <w:caps w:val="false"/>
          <w:smallCaps w:val="false"/>
          <w:sz w:val="20"/>
          <w:u w:val="single"/>
        </w:rPr>
        <w:t>Perfection of Security Interest in Financed Vehicles</w:t>
      </w:r>
      <w:r>
        <w:rPr>
          <w:rFonts w:ascii="Times New Roman;Times;Serif" w:hAnsi="Times New Roman;Times;Serif"/>
          <w:b w:val="false"/>
          <w:i w:val="false"/>
          <w:caps w:val="false"/>
          <w:smallCaps w:val="false"/>
          <w:sz w:val="20"/>
        </w:rPr>
        <w:t>. The Seller has taken all steps necessary to perfect its security interest against the Obligors in the Financed Vehicles securing the Contracts.</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1439"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(xxxviii)                </w:t>
      </w:r>
      <w:r>
        <w:rPr>
          <w:rFonts w:ascii="Times New Roman;Times;Serif" w:hAnsi="Times New Roman;Times;Serif"/>
          <w:b w:val="false"/>
          <w:i w:val="false"/>
          <w:caps w:val="false"/>
          <w:smallCaps w:val="false"/>
          <w:sz w:val="20"/>
          <w:u w:val="single"/>
        </w:rPr>
        <w:t>Perfection of Security Interest in Trust Property</w:t>
      </w:r>
      <w:r>
        <w:rPr>
          <w:rFonts w:ascii="Times New Roman;Times;Serif" w:hAnsi="Times New Roman;Times;Serif"/>
          <w:b w:val="false"/>
          <w:i w:val="false"/>
          <w:caps w:val="false"/>
          <w:smallCaps w:val="false"/>
          <w:sz w:val="20"/>
        </w:rPr>
        <w:t xml:space="preserve">. The Seller has caused, or will cause within ten (10) days after the Closing Date, the filing of all appropriate financing statements in the proper filing office in the appropriate jurisdictions under applicable law in order to perfect the security interest in the Trust Property granted to the Purchaser for the benefit of the Securityholders hereunder pursuant to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w:t>
      </w:r>
    </w:p>
    <w:p>
      <w:pPr>
        <w:pStyle w:val="TextBody"/>
        <w:bidi w:val="0"/>
        <w:spacing w:before="0" w:after="0"/>
        <w:ind w:left="1439" w:right="355"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(xxxix)   </w:t>
      </w:r>
      <w:r>
        <w:rPr>
          <w:rFonts w:ascii="Times New Roman;Times;Serif" w:hAnsi="Times New Roman;Times;Serif"/>
          <w:b w:val="false"/>
          <w:i w:val="false"/>
          <w:caps w:val="false"/>
          <w:smallCaps w:val="false"/>
          <w:sz w:val="20"/>
          <w:u w:val="single"/>
        </w:rPr>
        <w:t>No Other Security Interests</w:t>
      </w:r>
      <w:r>
        <w:rPr>
          <w:rFonts w:ascii="Times New Roman;Times;Serif" w:hAnsi="Times New Roman;Times;Serif"/>
          <w:b w:val="false"/>
          <w:i w:val="false"/>
          <w:caps w:val="false"/>
          <w:smallCaps w:val="false"/>
          <w:sz w:val="20"/>
        </w:rPr>
        <w:t xml:space="preserve">. Other than the security interest granted to the Purchaser pursuant to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 the Seller has not pledged, assigned, sold, granted a security interest in, or otherwise conveyed any of the Trust Property. The Seller has not authorized the filing of and is not aware of any financing statements filed against the Seller that include a description of collateral covering the Trust Property other than any financing statement relating to the security interest granted to the Purchaser hereunder or that has been terminated. The Seller is not aware of any judgment or tax lien filings against the Seller.</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(xl) </w:t>
      </w:r>
      <w:r>
        <w:rPr>
          <w:rFonts w:ascii="Times New Roman;Times;Serif" w:hAnsi="Times New Roman;Times;Serif"/>
          <w:b w:val="false"/>
          <w:i w:val="false"/>
          <w:caps w:val="false"/>
          <w:smallCaps w:val="false"/>
          <w:sz w:val="20"/>
          <w:u w:val="single"/>
        </w:rPr>
        <w:t>Notations on Contracts; Financing Statement Disclosure</w:t>
      </w:r>
      <w:r>
        <w:rPr>
          <w:rFonts w:ascii="Times New Roman;Times;Serif" w:hAnsi="Times New Roman;Times;Serif"/>
          <w:b w:val="false"/>
          <w:i w:val="false"/>
          <w:caps w:val="false"/>
          <w:smallCaps w:val="false"/>
          <w:sz w:val="20"/>
        </w:rPr>
        <w:t>. The Custodian has in its possession copies of all Contracts that constitute or evidence the Receivables. The Contracts that constitute or evidence the Receivables do not have any marks or notations indicating that they have been pledged, assigned or otherwise conveyed to any Person other than the Purchaser and/or Grantor Trust.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35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financing statements filed or to be filed against the Seller in favor of the Purchaser in connection herewith describing the Transferred Property contain a statement to the following effect: “A purchase of or security interest in any collateral described in this financing statement will violate the rights of the secured party.”</w:t>
      </w:r>
    </w:p>
    <w:p>
      <w:pPr>
        <w:pStyle w:val="TextBody"/>
        <w:bidi w:val="0"/>
        <w:spacing w:before="0" w:after="0"/>
        <w:ind w:left="1440" w:right="356" w:hanging="0"/>
        <w:jc w:val="both"/>
        <w:rPr>
          <w:caps w:val="false"/>
          <w:smallCaps w:val="false"/>
        </w:rPr>
      </w:pPr>
      <w:r>
        <w:rPr>
          <w:caps w:val="false"/>
          <w:smallCaps w:val="false"/>
        </w:rPr>
        <w:t> </w:t>
      </w:r>
    </w:p>
    <w:p>
      <w:pPr>
        <w:pStyle w:val="TextBody"/>
        <w:bidi w:val="0"/>
        <w:spacing w:before="0" w:after="0"/>
        <w:ind w:left="1439"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(xli) </w:t>
      </w:r>
      <w:r>
        <w:rPr>
          <w:rFonts w:ascii="Times New Roman;Times;Serif" w:hAnsi="Times New Roman;Times;Serif"/>
          <w:b w:val="false"/>
          <w:i w:val="false"/>
          <w:caps w:val="false"/>
          <w:smallCaps w:val="false"/>
          <w:sz w:val="20"/>
          <w:u w:val="single"/>
        </w:rPr>
        <w:t>Electronic Chattel Paper.</w:t>
      </w:r>
      <w:r>
        <w:rPr>
          <w:rFonts w:ascii="Times New Roman;Times;Serif" w:hAnsi="Times New Roman;Times;Serif"/>
          <w:b w:val="false"/>
          <w:i w:val="false"/>
          <w:caps w:val="false"/>
          <w:smallCaps w:val="false"/>
          <w:sz w:val="20"/>
        </w:rPr>
        <w:t xml:space="preserve"> Subject to the satisfaction of the Electronic Chattel Paper Condition, to the extent an Electronic Contract constitutes Electronic Chattel Paper, there is only one single Authoritative Copy of each electronic “record” constituting or forming a part of such Electronic Contract that is Electronic Chattel Paper, the record or records composing the Electronic Chattel Paper are created, stored and assigned in such a manner that (A) a single Authoritative Copy of the record or records exists which is unique, identifiable and unalterable (other than a revision that is readily identifiable as an authorized or unauthorized revision), (B) each copy of the Authoritative Copy and any copy of a copy is readily identifiable as a copy that is not the Authoritative Copy, (C) the Authoritative Copy has been communicated to and is maintained by the Custodian with an Electronic Vault Provider, (D) the Authoritative Copy does not have any stamps, marks or notations indicating that such Electronic Contract has been pledged, assigned or otherwise conveyed to any Person other than the Seller, the Custodian or the Indenture Trustee other than any such stamps, marks or notations that relate to a pledge, assignment, conveyance or other interest that has been that has been cancelled, terminated or voided, and (E) none of the Seller, the Servicer, the Electronic Vault Provider or any other Person has communicated an Authoritative Copy of any such Electronic Contract to any Person other than the Custodian or the Indenture Trustee.</w:t>
      </w:r>
    </w:p>
    <w:p>
      <w:pPr>
        <w:pStyle w:val="TextBody"/>
        <w:bidi w:val="0"/>
        <w:spacing w:before="0" w:after="0"/>
        <w:ind w:left="1439" w:right="354"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(xlii) </w:t>
      </w:r>
      <w:r>
        <w:rPr>
          <w:rFonts w:ascii="Times New Roman;Times;Serif" w:hAnsi="Times New Roman;Times;Serif"/>
          <w:b w:val="false"/>
          <w:i w:val="false"/>
          <w:caps w:val="false"/>
          <w:smallCaps w:val="false"/>
          <w:sz w:val="20"/>
          <w:u w:val="single"/>
        </w:rPr>
        <w:t>Licenses and Approvals</w:t>
      </w:r>
      <w:r>
        <w:rPr>
          <w:rFonts w:ascii="Times New Roman;Times;Serif" w:hAnsi="Times New Roman;Times;Serif"/>
          <w:b w:val="false"/>
          <w:i w:val="false"/>
          <w:caps w:val="false"/>
          <w:smallCaps w:val="false"/>
          <w:sz w:val="20"/>
        </w:rPr>
        <w:t>. CPS has obtained all necessary licenses and approvals in all jurisdictions in which the origination and purchase of installment promissory notes and security agreements and the sale thereof requires or shall require such licenses or approvals, except where the failure to obtain such licenses or approvals would not result in a material adverse effect on the value or marketability of any Receivable (including, without limitation, the enforceability or collectability of any Receivable).</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357"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set forth above in paragraphs (xiv), (xvi) and (xviii) and in paragraphs (xxxvi) through (xlii) shall survive the termination of this Receivables Purchase Agreement and may not be waived in whole or in part.</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72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contained in this Receivables Purchase Agreement shall not be construed as a warranty or guaranty by the Seller as to the future payments by any Obligor. The sale of the Receivables pursuant to this Receivables Purchase Agreement shall be “without recourse” except for the representations, warranties and covenants made by the Seller in this Receivables Purchase Agreement or the Sale and Servicing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w:t>
      </w:r>
    </w:p>
    <w:p>
      <w:pPr>
        <w:pStyle w:val="TextBody"/>
        <w:bidi w:val="0"/>
        <w:spacing w:before="0" w:after="0"/>
        <w:ind w:left="3945" w:right="4307" w:hanging="1"/>
        <w:jc w:val="center"/>
        <w:rPr>
          <w:caps w:val="false"/>
          <w:smallCaps w:val="false"/>
        </w:rPr>
      </w:pPr>
      <w:r>
        <w:rPr>
          <w:caps w:val="false"/>
          <w:smallCaps w:val="false"/>
        </w:rPr>
        <w:t> </w:t>
      </w:r>
    </w:p>
    <w:p>
      <w:pPr>
        <w:pStyle w:val="TextBody"/>
        <w:bidi w:val="0"/>
        <w:spacing w:before="0" w:after="0"/>
        <w:ind w:left="357"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Conditions to Obligation of the Purchaser</w:t>
      </w:r>
      <w:r>
        <w:rPr>
          <w:rFonts w:ascii="Times New Roman;Times;Serif" w:hAnsi="Times New Roman;Times;Serif"/>
          <w:b w:val="false"/>
          <w:i w:val="false"/>
          <w:caps w:val="false"/>
          <w:smallCaps w:val="false"/>
          <w:sz w:val="20"/>
        </w:rPr>
        <w:t>. On the Closing Date, the obligation of the Purchaser to purchase the related Receivables is subject to the satisfaction of the following conditions:</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720" w:right="3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True</w:t>
      </w:r>
      <w:r>
        <w:rPr>
          <w:rFonts w:ascii="Times New Roman;Times;Serif" w:hAnsi="Times New Roman;Times;Serif"/>
          <w:b w:val="false"/>
          <w:i w:val="false"/>
          <w:caps w:val="false"/>
          <w:smallCaps w:val="false"/>
          <w:sz w:val="20"/>
        </w:rPr>
        <w:t>. The representations and warranties of the Seller hereunder shall be true and correct on the Closing Date, with the same effect as if then made, and the Seller shall have performed all obligations to be performed by it hereunder on or prior to the Closing Date.</w:t>
      </w:r>
    </w:p>
    <w:p>
      <w:pPr>
        <w:pStyle w:val="TextBody"/>
        <w:bidi w:val="0"/>
        <w:spacing w:before="0" w:after="0"/>
        <w:ind w:left="720" w:right="358" w:firstLine="720"/>
        <w:jc w:val="both"/>
        <w:rPr>
          <w:caps w:val="false"/>
          <w:smallCaps w:val="false"/>
        </w:rPr>
      </w:pPr>
      <w:r>
        <w:rPr>
          <w:caps w:val="false"/>
          <w:smallCaps w:val="false"/>
        </w:rPr>
        <w:t> </w:t>
      </w:r>
    </w:p>
    <w:p>
      <w:pPr>
        <w:pStyle w:val="TextBody"/>
        <w:bidi w:val="0"/>
        <w:spacing w:before="0" w:after="0"/>
        <w:ind w:left="719"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Computer Files Marked</w:t>
      </w:r>
      <w:r>
        <w:rPr>
          <w:rFonts w:ascii="Times New Roman;Times;Serif" w:hAnsi="Times New Roman;Times;Serif"/>
          <w:b w:val="false"/>
          <w:i w:val="false"/>
          <w:caps w:val="false"/>
          <w:smallCaps w:val="false"/>
          <w:sz w:val="20"/>
        </w:rPr>
        <w:t>. The Seller shall, at its own expense, on or prior to the Closing Date, indicate in its computer files that the related Receivables have been sold to the Purchaser pursuant to this Receivables Purchase Agreement and shall deliver to the Purchaser the Schedule of Receivables certified by the Chairman, the President, the Vice President or the Treasurer of the Seller to be true, correct and complete as of, and after giving effect to all transfers of Receivables on, the Closing Date.</w:t>
      </w:r>
    </w:p>
    <w:p>
      <w:pPr>
        <w:pStyle w:val="TextBody"/>
        <w:bidi w:val="0"/>
        <w:spacing w:before="0" w:after="0"/>
        <w:ind w:left="719" w:right="357"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Receivable Files Delivered</w:t>
      </w:r>
      <w:r>
        <w:rPr>
          <w:rFonts w:ascii="Times New Roman;Times;Serif" w:hAnsi="Times New Roman;Times;Serif"/>
          <w:b w:val="false"/>
          <w:i w:val="false"/>
          <w:caps w:val="false"/>
          <w:smallCaps w:val="false"/>
          <w:sz w:val="20"/>
        </w:rPr>
        <w:t>. The Seller shall, at its own expense, deliver the related Receivable Files to the Custodian at the offices specified in Schedule B to the Sale and Servicing Agreement on or prior to the Closing Date.</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Documents to be Delivered at Closing</w:t>
      </w:r>
      <w:r>
        <w:rPr>
          <w:rFonts w:ascii="Times New Roman;Times;Serif" w:hAnsi="Times New Roman;Times;Serif"/>
          <w:b w:val="false"/>
          <w:i w:val="false"/>
          <w:caps w:val="false"/>
          <w:smallCaps w:val="false"/>
          <w:sz w:val="20"/>
        </w:rPr>
        <w:t>. Documents to be delivered by the Seller at the Closing, except as set forth below:</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1440" w:right="36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The Assignment</w:t>
      </w:r>
      <w:r>
        <w:rPr>
          <w:rFonts w:ascii="Times New Roman;Times;Serif" w:hAnsi="Times New Roman;Times;Serif"/>
          <w:b w:val="false"/>
          <w:i w:val="false"/>
          <w:caps w:val="false"/>
          <w:smallCaps w:val="false"/>
          <w:sz w:val="20"/>
        </w:rPr>
        <w:t>. On the Closing Date, the Seller will execute and deliver the Assignment.</w:t>
      </w:r>
    </w:p>
    <w:p>
      <w:pPr>
        <w:pStyle w:val="TextBody"/>
        <w:bidi w:val="0"/>
        <w:spacing w:before="0" w:after="0"/>
        <w:ind w:left="1440" w:right="360" w:firstLine="720"/>
        <w:jc w:val="both"/>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Evidence of UCC-1 Filing</w:t>
      </w:r>
      <w:r>
        <w:rPr>
          <w:rFonts w:ascii="Times New Roman;Times;Serif" w:hAnsi="Times New Roman;Times;Serif"/>
          <w:b w:val="false"/>
          <w:i w:val="false"/>
          <w:caps w:val="false"/>
          <w:smallCaps w:val="false"/>
          <w:sz w:val="20"/>
        </w:rPr>
        <w:t>. Within two (2) Business Days of the Closing Date, the Seller shall record and file, at its own expense, a UCC-1 financing statement in each jurisdiction in which required by applicable law, naming the Seller, as seller or debtor, and the Purchaser, as purchaser or secured party, and naming the Receivables and the other Transferred Property conveyed hereafter as collateral, meeting the requirements of the laws of each such jurisdiction and in such manner as is necessary to perfect the sale, transfer, assignment and conveyance of such Receivables and other Transferred Property to the Purchaser. The Seller shall deliver a file-stamped copy, or other evidence satisfactory to the Purchaser of such filing, to the Purchaser within 10 days of the Closing Date.</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40"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Evidence of UCC-2 Filing</w:t>
      </w:r>
      <w:r>
        <w:rPr>
          <w:rFonts w:ascii="Times New Roman;Times;Serif" w:hAnsi="Times New Roman;Times;Serif"/>
          <w:b w:val="false"/>
          <w:i w:val="false"/>
          <w:caps w:val="false"/>
          <w:smallCaps w:val="false"/>
          <w:sz w:val="20"/>
        </w:rPr>
        <w:t>. After the Closing Date, the Seller shall cause to be recorded and filed, at its own expense, appropriate UCC-2 termination statements (or UCC-3 termination statements, as applicable in the relevant UCC jurisdiction) in each jurisdiction in which required by applicable law, meeting the requirements of the laws of each such jurisdiction and in such manner as is necessary to release the interest of any other Person in the related Receivables, including without limitation, the security interests in the Financed Vehicles securing the Receivables and any proceeds of such security interests or the Receivables. The Seller shall deliver a file-stamped copy, or other evidence satisfactory to the Purchaser of such filing, to the Purchaser at the Purchaser’s request.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The Seller shall have delivered to the Purchaser and the Placement Agent the legal opinions of Alston &amp; Bird LLP and a legal opinion of the Seller’s General Counsel with respect to bankruptcy (including true sale and nonconsolidation), corporate, tax and such other matters as the Placement Agent shall request, in each case, dated the Closing Date and satisfactory in form and substance to the Placement Agent.</w:t>
      </w:r>
    </w:p>
    <w:p>
      <w:pPr>
        <w:pStyle w:val="TextBody"/>
        <w:bidi w:val="0"/>
        <w:spacing w:before="0" w:after="0"/>
        <w:ind w:left="1440" w:right="356" w:firstLine="720"/>
        <w:jc w:val="both"/>
        <w:rPr>
          <w:caps w:val="false"/>
          <w:smallCaps w:val="false"/>
        </w:rPr>
      </w:pPr>
      <w:r>
        <w:rPr>
          <w:caps w:val="false"/>
          <w:smallCaps w:val="false"/>
        </w:rPr>
        <w:t> </w:t>
      </w:r>
    </w:p>
    <w:p>
      <w:pPr>
        <w:pStyle w:val="TextBody"/>
        <w:bidi w:val="0"/>
        <w:spacing w:before="0" w:after="0"/>
        <w:ind w:left="1440" w:right="36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Other Documents</w:t>
      </w:r>
      <w:r>
        <w:rPr>
          <w:rFonts w:ascii="Times New Roman;Times;Serif" w:hAnsi="Times New Roman;Times;Serif"/>
          <w:b w:val="false"/>
          <w:i w:val="false"/>
          <w:caps w:val="false"/>
          <w:smallCaps w:val="false"/>
          <w:sz w:val="20"/>
        </w:rPr>
        <w:t>. On or prior to the Closing Date, the Seller shall deliver such other documents as the Purchaser may reasonably request.</w:t>
      </w:r>
    </w:p>
    <w:p>
      <w:pPr>
        <w:pStyle w:val="TextBody"/>
        <w:bidi w:val="0"/>
        <w:spacing w:before="0" w:after="0"/>
        <w:ind w:left="1440" w:right="360" w:firstLine="720"/>
        <w:jc w:val="both"/>
        <w:rPr>
          <w:caps w:val="false"/>
          <w:smallCaps w:val="false"/>
        </w:rPr>
      </w:pPr>
      <w:r>
        <w:rPr>
          <w:caps w:val="false"/>
          <w:smallCaps w:val="false"/>
        </w:rPr>
        <w:t> </w:t>
      </w:r>
    </w:p>
    <w:p>
      <w:pPr>
        <w:pStyle w:val="TextBody"/>
        <w:bidi w:val="0"/>
        <w:spacing w:before="0" w:after="0"/>
        <w:ind w:left="720" w:right="3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Transactions</w:t>
      </w:r>
      <w:r>
        <w:rPr>
          <w:rFonts w:ascii="Times New Roman;Times;Serif" w:hAnsi="Times New Roman;Times;Serif"/>
          <w:b w:val="false"/>
          <w:i w:val="false"/>
          <w:caps w:val="false"/>
          <w:smallCaps w:val="false"/>
          <w:sz w:val="20"/>
        </w:rPr>
        <w:t>. The transactions contemplated by the Trust Agreement, the Indenture, the Grantor Trust Agreement, the Sale and Servicing Agreement and the Placement Agency Agreement shall be consummated on the Closing Date.</w:t>
      </w:r>
    </w:p>
    <w:p>
      <w:pPr>
        <w:pStyle w:val="TextBody"/>
        <w:bidi w:val="0"/>
        <w:spacing w:before="0" w:after="0"/>
        <w:ind w:left="720" w:right="358" w:firstLine="720"/>
        <w:jc w:val="both"/>
        <w:rPr>
          <w:caps w:val="false"/>
          <w:smallCaps w:val="false"/>
        </w:rPr>
      </w:pPr>
      <w:r>
        <w:rPr>
          <w:caps w:val="false"/>
          <w:smallCaps w:val="false"/>
        </w:rPr>
        <w:t> </w:t>
      </w:r>
    </w:p>
    <w:p>
      <w:pPr>
        <w:pStyle w:val="TextBody"/>
        <w:bidi w:val="0"/>
        <w:spacing w:before="0" w:after="0"/>
        <w:ind w:left="358" w:right="3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Conditions to Obligation of the Seller</w:t>
      </w:r>
      <w:r>
        <w:rPr>
          <w:rFonts w:ascii="Times New Roman;Times;Serif" w:hAnsi="Times New Roman;Times;Serif"/>
          <w:b w:val="false"/>
          <w:i w:val="false"/>
          <w:caps w:val="false"/>
          <w:smallCaps w:val="false"/>
          <w:sz w:val="20"/>
        </w:rPr>
        <w:t>. The obligation of the Seller to sell the Receivables to the Purchaser is subject to the satisfaction of the following conditions.</w:t>
      </w:r>
    </w:p>
    <w:p>
      <w:pPr>
        <w:pStyle w:val="TextBody"/>
        <w:bidi w:val="0"/>
        <w:spacing w:before="0" w:after="0"/>
        <w:ind w:left="358" w:right="358" w:firstLine="720"/>
        <w:jc w:val="both"/>
        <w:rPr>
          <w:caps w:val="false"/>
          <w:smallCaps w:val="false"/>
        </w:rPr>
      </w:pPr>
      <w:r>
        <w:rPr>
          <w:caps w:val="false"/>
          <w:smallCaps w:val="false"/>
        </w:rPr>
        <w:t> </w:t>
      </w:r>
    </w:p>
    <w:p>
      <w:pPr>
        <w:pStyle w:val="TextBody"/>
        <w:bidi w:val="0"/>
        <w:spacing w:before="0" w:after="0"/>
        <w:ind w:left="72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True</w:t>
      </w:r>
      <w:r>
        <w:rPr>
          <w:rFonts w:ascii="Times New Roman;Times;Serif" w:hAnsi="Times New Roman;Times;Serif"/>
          <w:b w:val="false"/>
          <w:i w:val="false"/>
          <w:caps w:val="false"/>
          <w:smallCaps w:val="false"/>
          <w:sz w:val="20"/>
        </w:rPr>
        <w:t>. The representations and warranties of the Purchaser hereunder shall be true and correct on the Closing Date, with the same effect as if then made, and the Seller shall have performed all obligations to be performed by it hereunder on or prior to the Closing Date.</w:t>
      </w:r>
    </w:p>
    <w:p>
      <w:pPr>
        <w:pStyle w:val="TextBody"/>
        <w:bidi w:val="0"/>
        <w:spacing w:before="0" w:after="0"/>
        <w:ind w:left="720" w:right="357" w:firstLine="720"/>
        <w:jc w:val="both"/>
        <w:rPr>
          <w:caps w:val="false"/>
          <w:smallCaps w:val="false"/>
        </w:rPr>
      </w:pPr>
      <w:r>
        <w:rPr>
          <w:caps w:val="false"/>
          <w:smallCaps w:val="false"/>
        </w:rPr>
        <w:t> </w:t>
      </w:r>
    </w:p>
    <w:p>
      <w:pPr>
        <w:pStyle w:val="TextBody"/>
        <w:bidi w:val="0"/>
        <w:spacing w:before="0" w:after="0"/>
        <w:ind w:left="720" w:right="3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Receivables Purchase Price</w:t>
      </w:r>
      <w:r>
        <w:rPr>
          <w:rFonts w:ascii="Times New Roman;Times;Serif" w:hAnsi="Times New Roman;Times;Serif"/>
          <w:b w:val="false"/>
          <w:i w:val="false"/>
          <w:caps w:val="false"/>
          <w:smallCaps w:val="false"/>
          <w:sz w:val="20"/>
        </w:rPr>
        <w:t xml:space="preserve">. On the Closing Date, the Purchaser will deliver to the Seller the Receivables Purchase Price as provided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The Seller hereby directs the Purchaser to wire such purchase price pursuant to wire instructions to be delivered to the Purchaser on or prior to the Closing Date.</w:t>
      </w:r>
    </w:p>
    <w:p>
      <w:pPr>
        <w:pStyle w:val="TextBody"/>
        <w:bidi w:val="0"/>
        <w:spacing w:before="0" w:after="0"/>
        <w:ind w:left="720" w:right="358"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OF THE SELLER</w:t>
      </w:r>
    </w:p>
    <w:p>
      <w:pPr>
        <w:pStyle w:val="TextBody"/>
        <w:bidi w:val="0"/>
        <w:spacing w:before="0" w:after="0"/>
        <w:ind w:left="3035" w:right="3299" w:firstLine="1046"/>
        <w:jc w:val="left"/>
        <w:rPr>
          <w:caps w:val="false"/>
          <w:smallCaps w:val="false"/>
        </w:rPr>
      </w:pPr>
      <w:r>
        <w:rPr>
          <w:caps w:val="false"/>
          <w:smallCaps w:val="false"/>
        </w:rPr>
        <w:t> </w:t>
      </w:r>
    </w:p>
    <w:p>
      <w:pPr>
        <w:pStyle w:val="TextBody"/>
        <w:bidi w:val="0"/>
        <w:spacing w:before="0" w:after="0"/>
        <w:ind w:left="357"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agrees with the Purchaser as follows;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to the extent that any provision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conflicts with any provision of the Sale and Servicing Agreement, the Sale and Servicing Agreement shall govern:</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Protection of Right, Title and Interest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19"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Filings</w:t>
      </w:r>
      <w:r>
        <w:rPr>
          <w:rFonts w:ascii="Times New Roman;Times;Serif" w:hAnsi="Times New Roman;Times;Serif"/>
          <w:b w:val="false"/>
          <w:i w:val="false"/>
          <w:caps w:val="false"/>
          <w:smallCaps w:val="false"/>
          <w:sz w:val="20"/>
        </w:rPr>
        <w:t xml:space="preserve">. The Seller shall cause all financing statements and continuation statements and any other necessary documents covering the right, title and interest of the Purchaser in, to and under the Receivables and the other Transferred Property to be promptly filed, and at all times to be kept recorded, registered and filed, all in such manner and in such places as may be required by law fully to preserve and protect the right, title and interest of the Purchaser hereunder, of the Trust under the Sale and Servicing Agreement and of the Indenture Trustee under the Indenture to the Receivables and the other Transferred Property. The Seller shall deliver to the Purchaser file stamped copies of, or filing receipts for, any document recorded, registered or filed as provided above, as soon as available following such recordation, registration or filing. The Purchaser shall cooperate fully with the Seller in connection with the obligations set forth above and will execute any and all documents reasonably required to fulfill the intent of this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In the event the Seller fails to perform its obligations under this subsection, the Purchaser or the Indenture Trustee may do so at the expense of the Seller. In furtherance of the foregoing, the Seller hereby authorizes the Purchaser and the Indenture Trustee to file a record or records (as defined in the applicable UCC), including, without limitation, financing statements, in all jurisdictions and with all filing offices as each may determine, in its sole and reasonable discretion, are necessary or advisable to perfect the security interest granted by the Seller pursuant to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Name and Other Changes</w:t>
      </w:r>
      <w:r>
        <w:rPr>
          <w:rFonts w:ascii="Times New Roman;Times;Serif" w:hAnsi="Times New Roman;Times;Serif"/>
          <w:b w:val="false"/>
          <w:i w:val="false"/>
          <w:caps w:val="false"/>
          <w:smallCaps w:val="false"/>
          <w:sz w:val="20"/>
        </w:rPr>
        <w:t xml:space="preserve">. At least 60 days prior to the date the Seller makes any change in its name, identity, corporate structure or jurisdiction of organization which would make any financing statement or continuation statement filed in accordance with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above seriously misleading within the applicable provisions of the UCC or any title statute, the Seller shall give the Indenture Trustee and the Purchaser written notice of any such change and no later than the effective date thereof, shall file appropriate amendments to all previously filed financing statements or continuation statements. At least 60 days prior to the date of any relocation of its principal executive office, the Seller shall give the Indenture Trustee and the Purchaser written notice thereof if, as a result of such relocation, the applicable provisions of the UCC would require the filing of any amendment of any previously filed financing or continuation statement or of any new financing statement and the Seller shall no later than the effective date thereof, file any such amendment or new financing statement. The Seller shall at all times maintain each office from which it shall service Receivables, and its jurisdiction of organization, within the United States of America.</w:t>
      </w:r>
    </w:p>
    <w:p>
      <w:pPr>
        <w:pStyle w:val="TextBody"/>
        <w:bidi w:val="0"/>
        <w:spacing w:before="0" w:after="0"/>
        <w:ind w:left="720" w:right="354" w:firstLine="720"/>
        <w:jc w:val="both"/>
        <w:rPr>
          <w:caps w:val="false"/>
          <w:smallCaps w:val="false"/>
        </w:rPr>
      </w:pPr>
      <w:r>
        <w:rPr>
          <w:caps w:val="false"/>
          <w:smallCaps w:val="false"/>
        </w:rPr>
        <w:t> </w:t>
      </w:r>
    </w:p>
    <w:p>
      <w:pPr>
        <w:pStyle w:val="TextBody"/>
        <w:bidi w:val="0"/>
        <w:spacing w:before="0" w:after="0"/>
        <w:ind w:left="72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Accounts and Records</w:t>
      </w:r>
      <w:r>
        <w:rPr>
          <w:rFonts w:ascii="Times New Roman;Times;Serif" w:hAnsi="Times New Roman;Times;Serif"/>
          <w:b w:val="false"/>
          <w:i w:val="false"/>
          <w:caps w:val="false"/>
          <w:smallCaps w:val="false"/>
          <w:sz w:val="20"/>
        </w:rPr>
        <w:t>. The Seller shall maintain accounts and records as to each Receivable accurately and in sufficient detail to permit the reader thereof to know at any time the status of such Receivable, including payments and recoveries made and payments owing (and the nature of each).</w:t>
      </w:r>
    </w:p>
    <w:p>
      <w:pPr>
        <w:pStyle w:val="TextBody"/>
        <w:bidi w:val="0"/>
        <w:spacing w:before="0" w:after="0"/>
        <w:ind w:left="720" w:right="357"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Maintenance of Computer Systems</w:t>
      </w:r>
      <w:r>
        <w:rPr>
          <w:rFonts w:ascii="Times New Roman;Times;Serif" w:hAnsi="Times New Roman;Times;Serif"/>
          <w:b w:val="false"/>
          <w:i w:val="false"/>
          <w:caps w:val="false"/>
          <w:smallCaps w:val="false"/>
          <w:sz w:val="20"/>
        </w:rPr>
        <w:t>. The Seller shall maintain its computer systems so that, from and after the time of sale hereunder of the Receivables to the Purchaser, the Seller’s master computer records (including any back-up archives) that refer to a Receivable shall indicate clearly the interest of the Purchaser in such Receivable and that such Receivable is owned by the Purchaser. Indication of the Purchaser’s ownership of a Receivable shall be deleted from or modified on the Seller’s computer systems when, and only when, the Receivable shall have been paid in full or repurchased.</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72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Sale of Other Receivables</w:t>
      </w:r>
      <w:r>
        <w:rPr>
          <w:rFonts w:ascii="Times New Roman;Times;Serif" w:hAnsi="Times New Roman;Times;Serif"/>
          <w:b w:val="false"/>
          <w:i w:val="false"/>
          <w:caps w:val="false"/>
          <w:smallCaps w:val="false"/>
          <w:sz w:val="20"/>
        </w:rPr>
        <w:t>. If at any time the Seller shall propose to sell, grant a security interest in, or otherwise transfer any interest in any automobile or light duty truck receivables (other than the Receivables) to any prospective purchaser, lender, or other transferee, the Seller shall give to such prospective purchaser, lender, or other transferee computer tapes, records, or print-outs (including any restored from back-up archives) that, if they shall refer in any manner whatsoever to any Receivable, shall indicate clearly that such Receivable has been sold and is owned by the Purchaser unless such Receivable has been paid in full or repurchased.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3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Access to Records</w:t>
      </w:r>
      <w:r>
        <w:rPr>
          <w:rFonts w:ascii="Times New Roman;Times;Serif" w:hAnsi="Times New Roman;Times;Serif"/>
          <w:b w:val="false"/>
          <w:i w:val="false"/>
          <w:caps w:val="false"/>
          <w:smallCaps w:val="false"/>
          <w:sz w:val="20"/>
        </w:rPr>
        <w:t>. The Seller shall permit the Purchaser and its agents at any time during normal business hours to inspect, audit, and make copies of and abstracts from the Seller’s records regarding any Receivable.</w:t>
      </w:r>
    </w:p>
    <w:p>
      <w:pPr>
        <w:pStyle w:val="TextBody"/>
        <w:bidi w:val="0"/>
        <w:spacing w:before="0" w:after="0"/>
        <w:ind w:left="720" w:right="358" w:firstLine="720"/>
        <w:jc w:val="both"/>
        <w:rPr>
          <w:caps w:val="false"/>
          <w:smallCaps w:val="false"/>
        </w:rPr>
      </w:pPr>
      <w:r>
        <w:rPr>
          <w:caps w:val="false"/>
          <w:smallCaps w:val="false"/>
        </w:rPr>
        <w:t> </w:t>
      </w:r>
    </w:p>
    <w:p>
      <w:pPr>
        <w:pStyle w:val="TextBody"/>
        <w:bidi w:val="0"/>
        <w:spacing w:before="0" w:after="0"/>
        <w:ind w:left="72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List of Receivables</w:t>
      </w:r>
      <w:r>
        <w:rPr>
          <w:rFonts w:ascii="Times New Roman;Times;Serif" w:hAnsi="Times New Roman;Times;Serif"/>
          <w:b w:val="false"/>
          <w:i w:val="false"/>
          <w:caps w:val="false"/>
          <w:smallCaps w:val="false"/>
          <w:sz w:val="20"/>
        </w:rPr>
        <w:t>. Upon request, the Seller shall furnish to the Purchaser, within five Business Days, a list of all Receivables (by contract number and name of Obligor) then owned by the Purchaser, together with a reconciliation of such list to the Schedule of Receivables.</w:t>
      </w:r>
    </w:p>
    <w:p>
      <w:pPr>
        <w:pStyle w:val="TextBody"/>
        <w:bidi w:val="0"/>
        <w:spacing w:before="0" w:after="0"/>
        <w:ind w:left="720" w:right="354"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Receivable Files</w:t>
      </w:r>
      <w:r>
        <w:rPr>
          <w:rFonts w:ascii="Times New Roman;Times;Serif" w:hAnsi="Times New Roman;Times;Serif"/>
          <w:b w:val="false"/>
          <w:i w:val="false"/>
          <w:caps w:val="false"/>
          <w:smallCaps w:val="false"/>
          <w:sz w:val="20"/>
        </w:rPr>
        <w:t>. On or prior to the Closing Date, the Seller shall deliver, either in hardcopy or electronic format to the Custodian pursuant to Section 3.3 of the Sale and Servicing Agreement, a complete Receivable File with respect to each such Receivable to be kept, either in hardcopy or electronic format, at the locations listed in Schedule B to the Sale and Servicing Agreement.</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Other Actions</w:t>
      </w:r>
      <w:r>
        <w:rPr>
          <w:rFonts w:ascii="Times New Roman;Times;Serif" w:hAnsi="Times New Roman;Times;Serif"/>
          <w:b w:val="false"/>
          <w:i w:val="false"/>
          <w:caps w:val="false"/>
          <w:smallCaps w:val="false"/>
          <w:sz w:val="20"/>
        </w:rPr>
        <w:t>. The Seller shall from time to time, at its expense, promptly execute and deliver all future instruments and documents (including, without limitation, powers of attorney for the benefit of the Servicer) and take all further action that may be necessary or desirable to permit the Servicer to perform its obligations under the Sale and Servicing Agreement, including, without limitation the Servicer’s obligation to preserve and maintain the perfected security interest in the Receivables and the Financed Vehicles.</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Other Liens or Interests</w:t>
      </w:r>
      <w:r>
        <w:rPr>
          <w:rFonts w:ascii="Times New Roman;Times;Serif" w:hAnsi="Times New Roman;Times;Serif"/>
          <w:b w:val="false"/>
          <w:i w:val="false"/>
          <w:caps w:val="false"/>
          <w:smallCaps w:val="false"/>
          <w:sz w:val="20"/>
        </w:rPr>
        <w:t>. Except for the conveyances hereunder and pursuant to the Sale and Servicing Agreement, the Seller will not sell, pledge, assign or transfer to any other Person, or grant, create, incur, assume or suffer to exist any lien on any interest therein, and the Seller shall defend the right, title, and interest of the Purchaser in, to and under the Receivables and the other Transferred Property against all claims of third parties claiming through or under the Seller.</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358" w:right="3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Chief Executive Office</w:t>
      </w:r>
      <w:r>
        <w:rPr>
          <w:rFonts w:ascii="Times New Roman;Times;Serif" w:hAnsi="Times New Roman;Times;Serif"/>
          <w:b w:val="false"/>
          <w:i w:val="false"/>
          <w:caps w:val="false"/>
          <w:smallCaps w:val="false"/>
          <w:sz w:val="20"/>
        </w:rPr>
        <w:t>. During the term of the Receivables, the Seller will maintain its chief executive office in one of the states within the United States, except Louisiana or Vermont.</w:t>
      </w:r>
    </w:p>
    <w:p>
      <w:pPr>
        <w:pStyle w:val="TextBody"/>
        <w:bidi w:val="0"/>
        <w:spacing w:before="0" w:after="0"/>
        <w:ind w:left="358" w:right="358" w:firstLine="720"/>
        <w:jc w:val="both"/>
        <w:rPr>
          <w:caps w:val="false"/>
          <w:smallCaps w:val="false"/>
        </w:rPr>
      </w:pPr>
      <w:r>
        <w:rPr>
          <w:caps w:val="false"/>
          <w:smallCaps w:val="false"/>
        </w:rPr>
        <w:t> </w:t>
      </w:r>
    </w:p>
    <w:p>
      <w:pPr>
        <w:pStyle w:val="TextBody"/>
        <w:bidi w:val="0"/>
        <w:spacing w:before="0" w:after="0"/>
        <w:ind w:left="360" w:right="36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The Seller agrees to pay all reasonable costs and disbursements in connection with the perfection, as against all third parties, of the Purchaser’s right, title and interest in and to the Receivables.</w:t>
      </w:r>
    </w:p>
    <w:p>
      <w:pPr>
        <w:pStyle w:val="TextBody"/>
        <w:bidi w:val="0"/>
        <w:spacing w:before="0" w:after="0"/>
        <w:ind w:left="360" w:right="360" w:firstLine="720"/>
        <w:jc w:val="both"/>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Delivery of Receivable Files</w:t>
      </w:r>
      <w:r>
        <w:rPr>
          <w:rFonts w:ascii="Times New Roman;Times;Serif" w:hAnsi="Times New Roman;Times;Serif"/>
          <w:b w:val="false"/>
          <w:i w:val="false"/>
          <w:caps w:val="false"/>
          <w:smallCaps w:val="false"/>
          <w:sz w:val="20"/>
        </w:rPr>
        <w:t xml:space="preserve">. On or prior to the Closing Date, the Seller shall deliver the Receivable Files for the Receivables to the Custodian at the location specified in Schedule B to the Sale and Servicing Agreement. The Seller shall have until the last day of the second Collection Period following receipt from the Custodian of notification, pursuant to Section 3.4 of the Sale and Servicing Agreement, that there has been a failure to deliver a file with respect to a Receivable or that a file is unrelated to the Receivables identified in Schedule A to the Sale and Servicing Agreement or that any of the documents referred to in Section 3.3 of the Sale and Servicing Agreement are not contained in a Receivable File, to deliver such file or any of the aforementioned documents required to be included in such Receivable File to the Custodian. Unless such defect with respect to such Receivable File shall have been cured by the last day of the second Collection Period following discovery thereof by the Custodian, the Seller hereby agrees to repurchase any such Receivable as of such last day. In consideration of the purchase of the Receivable, the Seller shall remit the Purchase Amount in the manner specified in the Sale and Servicing Agreement. The sole remedy hereunder of the Indenture Trustee, the Trust, the Grantor Trust or the Securityholders with respect to a breach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be to require the Seller to repurchase the Receivable pursuant to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and Section 3.4 of the Sale and Servicing Agreement and to provide the indemnity required by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this Agreement and Section 3.4 of the Sale and Servicing Agreement. Upon receipt of the Purchase Amount, the Indenture Trustee shall cause the Custodian to release to the Seller or its designee the related Receivable File and the Grantor Trustee shall execute and deliver all instruments of transfer or assignment, without recourse, as are prepared by the Seller and delivered to the Grantor Trustee and are necessary to vest in the Seller or such designee title to the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limitation of remedies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with respect to a breach of any representations and warranties contained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the Seller shall indemnify the Purchaser for any cost, expense, loss, damage, claim or liability as a result of the failure of a Receivable to be originated in compliance with all requirements of law and for any breach of any of its representations and warranties contained herein.</w:t>
      </w:r>
    </w:p>
    <w:p>
      <w:pPr>
        <w:pStyle w:val="TextBody"/>
        <w:bidi w:val="0"/>
        <w:spacing w:before="0" w:after="0"/>
        <w:ind w:left="720" w:right="357"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shall defend, indemnify, and hold harmless the Purchaser from and against any and all costs, expenses, losses, damages, claims, and liabilities, arising out of or resulting from the use, ownership, or operation by the Seller or any Affiliate thereof of a Financed Vehicle.</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shall defend, indemnify, and hold harmless the Purchaser from and against any and all taxes, except for taxes on the net income of the Purchaser, that may at any time be asserted against the Purchaser with respect to the transactions contemplated herein, including, without limitation, any sales, gross receipts, general corporation, tangible personal property, privilege, or license taxes, and costs and expenses in defending against the same.</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Seller shall defend, indemnify, and hold harmless the Purchaser from and against any and all costs, expenses, losses, damages, claims and liabilities to the extent that such cost, expense, loss, damage, claim or liability arose out of, or was imposed upon the Purchaser through, the negligence, willful misfeasance, or bad faith of the Seller in the performance of its duties under this Receivables Purchase Agreement, or by reason of reckless disregard of the Seller’s obligations and duties under this Receivables Purchase Agreement.</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720"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Seller shall defend, indemnify, and hold harmless the Purchaser from and against all costs, expenses, losses, damages, claims and liabilities arising out of or incurred in connection with the acceptance or performance of the Seller’s trusts and duties as Servicer under the Sale and Servicing Agreement, except to the extent that such cost, expense, loss, damage, claim or liability shall be due to the willful misfeasance, bad faith, or negligence (except for errors in judgment) of the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Indemnification under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shall include reasonable fees and expenses of litigation and shall survive payment of the Securities and termination of the Basic Documents. These indemnity obligations shall be in addition to any obligation that the Seller may otherwise have.</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The Seller agrees to treat this conveyance as a secured financing for tax and financial accounting purposes, and as a sale for all other purposes (including without limitation legal and bankruptcy purposes), on all relevant books, records, tax returns, financial statements and other applicable documents.</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Non-Petition</w:t>
      </w:r>
      <w:r>
        <w:rPr>
          <w:rFonts w:ascii="Times New Roman;Times;Serif" w:hAnsi="Times New Roman;Times;Serif"/>
          <w:b w:val="false"/>
          <w:i w:val="false"/>
          <w:caps w:val="false"/>
          <w:smallCaps w:val="false"/>
          <w:sz w:val="20"/>
        </w:rPr>
        <w:t>. In the event of any breach of a representation and warranty made by the Purchaser hereunder, the Seller covenants and agrees that it will not take any action to pursue any remedy that it may have hereunder, in law, in equity or otherwise, until a year and a day have passed since the date on which all securities issued by the Trust (including the Securities) and any similar trust heretofore or hereafter formed by the Purchaser have been paid in full. The Purchaser and the Seller agree that damages will not be an adequate remedy for breach of this covenant and that this covenant may be specifically enforced by the Purchaser or by the Trust.</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PROVISIONS</w:t>
      </w:r>
    </w:p>
    <w:p>
      <w:pPr>
        <w:pStyle w:val="TextBody"/>
        <w:bidi w:val="0"/>
        <w:spacing w:before="0" w:after="0"/>
        <w:ind w:left="2942" w:right="3299" w:firstLine="1140"/>
        <w:jc w:val="left"/>
        <w:rPr>
          <w:caps w:val="false"/>
          <w:smallCaps w:val="false"/>
        </w:rPr>
      </w:pPr>
      <w:r>
        <w:rPr>
          <w:caps w:val="false"/>
          <w:smallCaps w:val="false"/>
        </w:rPr>
        <w:t> </w:t>
      </w:r>
    </w:p>
    <w:p>
      <w:pPr>
        <w:pStyle w:val="TextBody"/>
        <w:bidi w:val="0"/>
        <w:spacing w:before="0" w:after="0"/>
        <w:ind w:left="359" w:right="35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Obligations of Seller</w:t>
      </w:r>
      <w:r>
        <w:rPr>
          <w:rFonts w:ascii="Times New Roman;Times;Serif" w:hAnsi="Times New Roman;Times;Serif"/>
          <w:b w:val="false"/>
          <w:i w:val="false"/>
          <w:caps w:val="false"/>
          <w:smallCaps w:val="false"/>
          <w:sz w:val="20"/>
        </w:rPr>
        <w:t>. The obligations of the Seller under this Receivables Purchase Agreement shall not be affected by reason of any invalidity, illegality or irregularity of any Receivable.</w:t>
      </w:r>
    </w:p>
    <w:p>
      <w:pPr>
        <w:pStyle w:val="TextBody"/>
        <w:bidi w:val="0"/>
        <w:spacing w:before="0" w:after="0"/>
        <w:ind w:left="359" w:right="359" w:firstLine="720"/>
        <w:jc w:val="both"/>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Repurchase Events</w:t>
      </w:r>
      <w:r>
        <w:rPr>
          <w:rFonts w:ascii="Times New Roman;Times;Serif" w:hAnsi="Times New Roman;Times;Serif"/>
          <w:b w:val="false"/>
          <w:i w:val="false"/>
          <w:caps w:val="false"/>
          <w:smallCaps w:val="false"/>
          <w:sz w:val="20"/>
        </w:rPr>
        <w:t xml:space="preserve">. The Seller hereby covenants and agrees with the Purchaser for the benefit of the Purchaser, the Indenture Trustee, the Grantor Trust and the Securityholders, that (i) the occurrence of a breach of any of the Seller’s representations and warranties contained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(without regard to any limitations regarding the Seller’s knowledge) and (ii) the failure of the Seller to timely comply with its obligations pursuant to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constitute events obligating the Seller to repurchase the affected Receivables hereunder at the Purchase Amount. Unless the breach of any of the Seller’s representations and warranties shall have been cured by the last day of the second Collection Period following the discovery thereof by or notice to the Purchaser and the Seller of such breach, the Seller shall repurchase any Receivable if such Receivable is materially and adversely affected by the breach as of the last day of such second Collection Period (or, at the Seller’s option, the last day of the first Collection Period following the discovery) and, in the event that the breach relates to a characteristic of the Receivables in the aggregate, and if the Trust is materially and adversely affected by the breach, unless the breach shall have been cured by such second Collection Period, the Seller shall purchase the aggregate Principal Balance of affected Receivables, such that following such purchase such representation shall be true and correct with respect to the remainder of the Receivables in the aggregate. The provisions of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are intended to grant the Indenture Trustee a direct right against the Seller to demand performance hereunder, and in connection therewith the Seller waives any requirement of prior demand against the Purchaser and waives any defaults it would have against the Purchaser with respect to such repurchase obligation. Any such purchase shall take place in the manner specified in Section 4.7 of the Sale and Servicing Agreement. For purposes of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the Purchase Amount of a Receivable that is not consistent with the warranty pursuant to </w:t>
      </w:r>
      <w:r>
        <w:rPr>
          <w:rFonts w:ascii="Times New Roman;Times;Serif" w:hAnsi="Times New Roman;Times;Serif"/>
          <w:b w:val="false"/>
          <w:i w:val="false"/>
          <w:caps w:val="false"/>
          <w:smallCaps w:val="false"/>
          <w:sz w:val="20"/>
          <w:u w:val="single"/>
        </w:rPr>
        <w:t>Section 3.2(b)(i)(A)(5)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(i)(A)(6)</w:t>
      </w:r>
      <w:r>
        <w:rPr>
          <w:rFonts w:ascii="Times New Roman;Times;Serif" w:hAnsi="Times New Roman;Times;Serif"/>
          <w:b w:val="false"/>
          <w:i w:val="false"/>
          <w:caps w:val="false"/>
          <w:smallCaps w:val="false"/>
          <w:sz w:val="20"/>
        </w:rPr>
        <w:t xml:space="preserve"> shall include such additional amount as shall be necessary to provide the full amount of interest as contemplated therein. The sole remedy hereunder of the Securityholders, the Trust, the Indenture Trustee, the Grantor Trust or the Purchaser against the Seller with respect to any Repurchase Event shall be to enforce the Seller’s obligation to repurchase such Receivables pursuant to this Receivables Purchase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Seller shall indemnify the Indenture Trustee, the Custodian, the Trust the Grantor Trust and the Securityholders against all costs, expenses, losses, damages, claims and liabilities, including reasonable fees and expenses of counsel, that may be asserted against or incurred by any of them, as a result of claims arising out of the events or facts giving rise to such breach. Upon receipt of the Purchase Amount, the Purchaser shall cause the Indenture Trustee to release the related Receivable Files to the Seller and to execute and deliver all instruments of transfer or assignment, without recourse, as are necessary to vest in the Seller title to the Receivables. Notwithstanding the foregoing, if it is determined that consummation of the transactions contemplated by the Sale and Servicing Agreement, the Indenture and the other transaction documents referenced in such agreements, servicing and operation of the Trust pursuant to Trust Agreement and such other documents, or the ownership of a Security by a Holder constitutes a violation of the prohibited transaction rules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or the Internal Revenue Code of 1986, as amended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for which no statutory exception or administrative exemption applies, such violation shall not be treated as a Repurchase Event.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Seller’s Assignment of Purchased Receivables</w:t>
      </w:r>
      <w:r>
        <w:rPr>
          <w:rFonts w:ascii="Times New Roman;Times;Serif" w:hAnsi="Times New Roman;Times;Serif"/>
          <w:b w:val="false"/>
          <w:i w:val="false"/>
          <w:caps w:val="false"/>
          <w:smallCaps w:val="false"/>
          <w:sz w:val="20"/>
        </w:rPr>
        <w:t>. With respect to all Receivables repurchased by the Seller pursuant to this Receivables Purchase Agreement, the Purchaser shall assign, without recourse (except as provided herein), representation or warranty, to the Seller all the Purchaser’s right, title and interest in and to such Receivables, and all security and documents relating thereto.</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Conveyance as Sale of Receivables Not Financing</w:t>
      </w:r>
      <w:r>
        <w:rPr>
          <w:rFonts w:ascii="Times New Roman;Times;Serif" w:hAnsi="Times New Roman;Times;Serif"/>
          <w:b w:val="false"/>
          <w:i w:val="false"/>
          <w:caps w:val="false"/>
          <w:smallCaps w:val="false"/>
          <w:sz w:val="20"/>
        </w:rPr>
        <w:t>. The parties hereto intend that the conveyance hereunder be a sale of the Receivables and the other Transferred Property from the Seller to the Purchaser and not a financing secured by such assets; and the beneficial interest in and title to the Receivables and the other Transferred Property shall not be part of the Seller’s estate in the event of the filing of a bankruptcy petition by or against the Seller under any bankruptcy law. In the event that any conveyance hereunder is for any reason not considered a sale, the parties intend that this Receivables Purchase Agreement constitute a security agreement under the UCC (as defined in the UCC as in effect in the State of California) and applicable law, and the Seller hereby grants to the Purchaser a first priority perfected security interest in, to and under the Receivables and the other Transferred Property, and other property conveyed hereunder and all proceeds of any of the foregoing for the purpose of securing payment and performance of the Securities and the repayment of amounts owed to the Purchaser from the Seller.</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Trust</w:t>
      </w:r>
      <w:r>
        <w:rPr>
          <w:rFonts w:ascii="Times New Roman;Times;Serif" w:hAnsi="Times New Roman;Times;Serif"/>
          <w:b w:val="false"/>
          <w:i w:val="false"/>
          <w:caps w:val="false"/>
          <w:smallCaps w:val="false"/>
          <w:sz w:val="20"/>
        </w:rPr>
        <w:t xml:space="preserve">. The Seller acknowledges that the Purchaser will, pursuant to the Sale and Servicing Agreement, sell the Receivables to the Trust and assign its rights under this Receivables Purchase Agreement to the Trust, which will further assign such rights to the Grantor Trust, and that the representations and warranties contained in this Receivables Purchase Agreement and the rights of the Purchaser under this Receivables Purchase Agreement, including under </w:t>
      </w:r>
      <w:r>
        <w:rPr>
          <w:rFonts w:ascii="Times New Roman;Times;Serif" w:hAnsi="Times New Roman;Times;Serif"/>
          <w:b w:val="false"/>
          <w:i w:val="false"/>
          <w:caps w:val="false"/>
          <w:smallCaps w:val="false"/>
          <w:sz w:val="20"/>
          <w:u w:val="single"/>
        </w:rPr>
        <w:t>Sections 5.6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 xml:space="preserve"> are intended to benefit the Trust and the Securityholders. The Seller also acknowledges that the Indenture Trustee on behalf of the Securityholders as assignee of the Purchaser’s rights hereunder may directly enforce, without making any prior demand on the Purchaser, all the rights of the Purchaser hereunder including the rights under </w:t>
      </w:r>
      <w:r>
        <w:rPr>
          <w:rFonts w:ascii="Times New Roman;Times;Serif" w:hAnsi="Times New Roman;Times;Serif"/>
          <w:b w:val="false"/>
          <w:i w:val="false"/>
          <w:caps w:val="false"/>
          <w:smallCaps w:val="false"/>
          <w:sz w:val="20"/>
          <w:u w:val="single"/>
        </w:rPr>
        <w:t>Sections 5.6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 xml:space="preserve">. The Seller hereby consents to such sales and assignments. Section 6.6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w:t>
      </w:r>
    </w:p>
    <w:p>
      <w:pPr>
        <w:pStyle w:val="TextBody"/>
        <w:bidi w:val="0"/>
        <w:spacing w:before="0" w:after="0"/>
        <w:ind w:left="720" w:right="3672" w:hanging="720"/>
        <w:jc w:val="both"/>
        <w:rPr>
          <w:caps w:val="false"/>
          <w:smallCaps w:val="false"/>
        </w:rPr>
      </w:pPr>
      <w:r>
        <w:rPr>
          <w:caps w:val="false"/>
          <w:smallCaps w:val="false"/>
        </w:rPr>
        <w:t> </w:t>
      </w:r>
    </w:p>
    <w:p>
      <w:pPr>
        <w:pStyle w:val="TextBody"/>
        <w:bidi w:val="0"/>
        <w:spacing w:before="0" w:after="0"/>
        <w:ind w:left="720" w:right="3672"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720" w:right="3672" w:hanging="720"/>
        <w:jc w:val="both"/>
        <w:rPr>
          <w:caps w:val="false"/>
          <w:smallCaps w:val="false"/>
        </w:rPr>
      </w:pPr>
      <w:r>
        <w:rPr>
          <w:caps w:val="false"/>
          <w:smallCaps w:val="false"/>
        </w:rPr>
        <w:t> </w:t>
      </w:r>
    </w:p>
    <w:p>
      <w:pPr>
        <w:pStyle w:val="TextBody"/>
        <w:bidi w:val="0"/>
        <w:spacing w:before="0" w:after="0"/>
        <w:ind w:left="719"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Receivables Purchase Agreement may be amended by the Seller and the Purchaser without the consent of any other party (i) to cure any ambiguity, (ii) to correct or supplement any provisions in this Agreement, (iii) to comply with any changes in the Code, (iv) to cause the provisions of this Agreement to confirm or be consistent with or in furtherance of the statements made in the Memorandum with respect to the Notes, the parties hereto or this Agreement, or (v) to make any other provisions with respect to matters or questions arising under this Agreement that shall not be inconsistent with the provisions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amendment (other than an amendment effected pursuant to clause (iv) above) shall not, as evidenced by an Opinion of Counsel or an Officer’s Certificate of the Seller delivered to the Owner Trustee and the Indenture Trustee, adversely affect in any material respect the interests of any Noteholder without the consent of such Noteholder;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such amendment shall be deemed to not adversely affect in any material respect the interests of any Noteholder of a Class if the Rating Agency Condition with respect to that Class is satisfied (and upon such satisfaction, no Opinion of Counsel or Officer’s Certificate shall be necessary with respect to the related Class).</w:t>
      </w:r>
    </w:p>
    <w:p>
      <w:pPr>
        <w:pStyle w:val="TextBody"/>
        <w:bidi w:val="0"/>
        <w:spacing w:before="0" w:after="0"/>
        <w:ind w:left="719" w:right="354" w:firstLine="720"/>
        <w:jc w:val="both"/>
        <w:rPr>
          <w:caps w:val="false"/>
          <w:smallCaps w:val="false"/>
        </w:rPr>
      </w:pPr>
      <w:r>
        <w:rPr>
          <w:caps w:val="false"/>
          <w:smallCaps w:val="false"/>
        </w:rPr>
        <w:t> </w:t>
      </w:r>
    </w:p>
    <w:p>
      <w:pPr>
        <w:pStyle w:val="TextBody"/>
        <w:bidi w:val="0"/>
        <w:spacing w:before="0" w:after="0"/>
        <w:ind w:left="719"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This Agreement may also be amended from time to time by the Seller and the Purchaser, with the consent of Holders of a majority of the aggregate outstanding Note Balance of the Controlling Class, for the purpose of adding any provisions to or changing in any manner or eliminating any of the provisions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without the consent of each Securityholder affected thereby, no such amendment shall, (i) increase or reduce in any manner the amount of, or accelerate or delay the timing of, collections of payments on Receivables or distributions that shall be required to be made for the benefit of the Securityholders, (ii) change the date of payment of any installment of principal of or interest on any Security, or reduce the principal amount thereof, the interest rate thereon or the redemption price with respect thereto; (iii) modify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action shall not, as evidenced by an Opinion of Counsel delivered to the Owner Trustee and the Indenture Trustee, adversely affect in any material respect the interests of any Securityholder without the consent of such Securityholder;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such amendment shall be deemed to not adversely affect in any material respect the interests of any Noteholder of a Class if the Rating Agency Condition with respect to that Class is satisfied.</w:t>
      </w:r>
    </w:p>
    <w:p>
      <w:pPr>
        <w:pStyle w:val="TextBody"/>
        <w:bidi w:val="0"/>
        <w:spacing w:before="0" w:after="0"/>
        <w:ind w:left="719" w:right="354" w:firstLine="720"/>
        <w:jc w:val="both"/>
        <w:rPr>
          <w:caps w:val="false"/>
          <w:smallCaps w:val="false"/>
        </w:rPr>
      </w:pPr>
      <w:r>
        <w:rPr>
          <w:caps w:val="false"/>
          <w:smallCaps w:val="false"/>
        </w:rPr>
        <w:t> </w:t>
      </w:r>
    </w:p>
    <w:p>
      <w:pPr>
        <w:pStyle w:val="TextBody"/>
        <w:bidi w:val="0"/>
        <w:spacing w:before="0" w:after="0"/>
        <w:ind w:left="720" w:right="3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the execution of any such amendment or consent, the Purchaser shall furnish written notification of the substance of such amendment or consent to each Securityholder and the Rating Agency.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19"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It shall not be necessary for the consent of the Securityholders pursuant to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to approve the particular form of any proposed amendment or consent, but it shall be sufficient if such consent shall approve the substance thereof. The manner of obtaining such consents and of evidencing the authorization of the execution thereof by the Securityholders shall be subject to such reasonable requirements as the Indenture Trustee and Owner Trustee may prescribe, including the establishment of Record Dates (as defined in the Indenture with respect to the Noteholders and as defined in the Trust Agreement with respect to the Residual Certificateholders). The consent of a Securityholder given pursuant to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or pursuant to any other provision of this Agreement shall be conclusive and binding on such Securityholder and on all future Securityholders and of any Security issued upon the transfer thereof or in exchange thereof or in lieu thereof whether or not notation of such consent is made upon the Security.</w:t>
      </w:r>
    </w:p>
    <w:p>
      <w:pPr>
        <w:pStyle w:val="TextBody"/>
        <w:bidi w:val="0"/>
        <w:spacing w:before="0" w:after="0"/>
        <w:ind w:left="719" w:right="356" w:firstLine="720"/>
        <w:jc w:val="both"/>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val="false"/>
          <w:caps w:val="false"/>
          <w:smallCaps w:val="false"/>
          <w:sz w:val="20"/>
          <w:u w:val="single"/>
        </w:rPr>
        <w:t>Accountants’ Letters</w:t>
      </w:r>
      <w:r>
        <w:rPr>
          <w:rFonts w:ascii="Times New Roman;Times;Serif" w:hAnsi="Times New Roman;Times;Serif"/>
          <w:b w:val="false"/>
          <w:i w:val="false"/>
          <w:caps w:val="false"/>
          <w:smallCaps w:val="false"/>
          <w:sz w:val="20"/>
        </w:rPr>
        <w:t>. (a) KPMG LLP will review the characteristics of the Receivables and will compare those characteristics to the information with respect to the Receivables contained in the PPM; (b) the Seller will cooperate with the Purchaser and KPMG LLP in making available all information and taking all steps reasonably necessary to permit such accountants to complete the review set forth in (a) above; and (c) KPMG LLP will deliver to the Purchaser letters, dated the dates of the Preliminary PPM and the Final PPM, in the form previously agreed to by the Seller and the Purchaser, with respect to the financial and statistical information contained in the Preliminary PPM and the Final PPM under the captions “Servicing and Collections--Delinquency and Loss Experience”, “The Receivables Pool” and “Yield and Prepayment Considerations”, certain information relating to the Receivables on magnetic tape obtained from the Seller and the Purchaser and with respect to such other information as may be agreed in the form of letter.</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No failure or delay on the part of the Purchaser in exercising any power, right or remedy under the Agreements shall operate as a waiver thereof, nor shall any single or partial exercise of any such power, right or remedy preclude any other or further exercise thereof or the exercise of any other power, right or remedy.</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359" w:right="35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and notices pursuant hereto to either party shall be in writing or by telegraph or telex and addressed or delivered to it at its address (or in case of telex, at its telex number at such address) shown in the opening portion of this Receivables Purchase Agreement or at such other address as may be designated by it by notice to the other party and, if mailed or sent by telegraph or telex, shall be deemed given when mailed, communicated to the telegraph office or transmitted by telex.</w:t>
      </w:r>
    </w:p>
    <w:p>
      <w:pPr>
        <w:pStyle w:val="TextBody"/>
        <w:bidi w:val="0"/>
        <w:spacing w:before="0" w:after="0"/>
        <w:ind w:left="359" w:right="359" w:firstLine="720"/>
        <w:jc w:val="both"/>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The Seller will pay all expenses incident to the performance of its obligations under this Receivables Purchase Agreement and the Seller agrees to pay all reasonable out-of-pocket costs and expenses of the Purchaser in connection with the perfection as against third parties of the Purchaser’s right, title and interest in and to the Receivables and security interests in the Financed Vehicles and the enforcement of any obligation of the Seller hereunder.</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Representations of the Seller and the Purchaser</w:t>
      </w:r>
      <w:r>
        <w:rPr>
          <w:rFonts w:ascii="Times New Roman;Times;Serif" w:hAnsi="Times New Roman;Times;Serif"/>
          <w:b w:val="false"/>
          <w:i w:val="false"/>
          <w:caps w:val="false"/>
          <w:smallCaps w:val="false"/>
          <w:sz w:val="20"/>
        </w:rPr>
        <w:t xml:space="preserve">. The respective agreements, representations, warranties and other statements by the Seller and the Purchaser set forth in or made pursuant to this Receivables Purchase Agreement shall remain in full force and effect and will survive the closing under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362" w:right="362" w:hanging="0"/>
        <w:jc w:val="left"/>
        <w:rPr>
          <w:caps w:val="false"/>
          <w:smallCaps w:val="false"/>
        </w:rPr>
      </w:pPr>
      <w:r>
        <w:rPr>
          <w:caps w:val="false"/>
          <w:smallCaps w:val="false"/>
        </w:rPr>
        <w:t> </w:t>
      </w:r>
    </w:p>
    <w:p>
      <w:pPr>
        <w:pStyle w:val="TextBody"/>
        <w:bidi w:val="0"/>
        <w:spacing w:before="0" w:after="0"/>
        <w:ind w:left="362" w:right="362" w:hanging="0"/>
        <w:jc w:val="left"/>
        <w:rPr>
          <w:caps w:val="false"/>
          <w:smallCaps w:val="false"/>
        </w:rPr>
      </w:pPr>
      <w:r>
        <w:rPr>
          <w:caps w:val="false"/>
          <w:smallCaps w:val="false"/>
        </w:rPr>
        <w:t> </w:t>
      </w:r>
    </w:p>
    <w:p>
      <w:pPr>
        <w:pStyle w:val="TextBody"/>
        <w:bidi w:val="0"/>
        <w:spacing w:before="0" w:after="0"/>
        <w:ind w:left="362" w:right="362"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362" w:right="362" w:hanging="0"/>
        <w:jc w:val="left"/>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The Purchaser agrees that it will neither use nor disclose to any Person the names and addresses of the Obligors, except in connection with the enforcement of the Purchaser’s rights hereunder, under the Receivables, under the Sale and Servicing Agreement or as required by law.</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357"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Headings and Cross-References</w:t>
      </w:r>
      <w:r>
        <w:rPr>
          <w:rFonts w:ascii="Times New Roman;Times;Serif" w:hAnsi="Times New Roman;Times;Serif"/>
          <w:b w:val="false"/>
          <w:i w:val="false"/>
          <w:caps w:val="false"/>
          <w:smallCaps w:val="false"/>
          <w:sz w:val="20"/>
        </w:rPr>
        <w:t>. The various headings in this Receivables Purchase Agreement are included for convenience only and shall not affect the meaning or interpretation of any provision of this Receivables Purchase Agreement. References in this Receivables Purchase Agreement to Section names or numbers are to such Sections of this Receivables Purchase Agreement.</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357"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Third-Party Beneficiaries</w:t>
      </w:r>
      <w:r>
        <w:rPr>
          <w:rFonts w:ascii="Times New Roman;Times;Serif" w:hAnsi="Times New Roman;Times;Serif"/>
          <w:b w:val="false"/>
          <w:i w:val="false"/>
          <w:caps w:val="false"/>
          <w:smallCaps w:val="false"/>
          <w:sz w:val="20"/>
        </w:rPr>
        <w:t>. The parties hereto hereby expressly agree that the Indenture Trustee for the benefit of the Noteholders shall be an express third-party beneficiary of this Receivables Purchase Agreement, and no third party other than the Indenture Trustee for the benefit of the Noteholders shall be deemed a third party beneficiary of this Receivables Purchase Agreement. As a third party beneficiary to the provisions of this Receivables Purchase Agreement, Indenture Trustee and its successors and assigns shall be entitled to rely upon and directly enforce the provisions of this Receivables Purchase Agreement.</w:t>
      </w:r>
    </w:p>
    <w:p>
      <w:pPr>
        <w:pStyle w:val="TextBody"/>
        <w:bidi w:val="0"/>
        <w:spacing w:before="0" w:after="0"/>
        <w:ind w:left="357" w:right="357" w:firstLine="720"/>
        <w:jc w:val="both"/>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val="false"/>
          <w:caps w:val="false"/>
          <w:smallCaps w:val="false"/>
          <w:sz w:val="20"/>
          <w:u w:val="single"/>
        </w:rPr>
        <w:t>Governing Law; Waiver of Jury Trial; Jurisdiction</w:t>
      </w:r>
      <w:r>
        <w:rPr>
          <w:rFonts w:ascii="Times New Roman;Times;Serif" w:hAnsi="Times New Roman;Times;Serif"/>
          <w:b w:val="false"/>
          <w:i w:val="false"/>
          <w:caps w:val="false"/>
          <w:smallCaps w:val="false"/>
          <w:sz w:val="20"/>
        </w:rPr>
        <w:t xml:space="preserve">. EXCEPT AS PROVIDED OTHERWISE IN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THIS RECEIVABLES PURCHASE AGREEMENT AND THE ASSIGNMENT SHALL BE CONSTRUED IN ACCORDANCE WITH, AND THIS RECEIVABLES PURCHASE AGREEMENT AND ALL MATTERS ARISING OUT OF OR RELATING IN ANY WAY TO THIS RECEIVABLES PURCHASE AGREEMENT SHALL BE GOVERNED BY, THE LAWS OF THE STATE OF NEW YORK, WITHOUT REGARD TO CONFLICTS OF LAWS PRINCIPLES. THE PARTIES HERETO HEREBY AGREE NOT TO ELECT A TRIAL BY JURY OF ANY ISSUE TRIABLE OF RIGHT BY JURY, AND WAIVE ANY RIGHT TO TRIAL BY JURY FULLY TO THE EXTENT THAT ANY SUCH RIGHT SHALL NOW OR HEREAFTER EXIST WITH REGARD TO THIS RECEIVABLES PURCHASE AGREEMENT, OR ANY CLAIM, COUNTERCLAIM OR OTHER ACTION ARISING IN CONNECTION THEREWITH. THIS WAIVER OF RIGHT TO TRIAL BY JURY IS GIVEN KNOWINGLY AND VOLUNTARILY BY THE PARTIES HERETO, AND IS INTENDED TO ENCOMPASS INDIVIDUALLY EACH INSTANCE AND EACH ISSUE AS TO WHICH THE RIGHT TO A TRIAL BY JURY WOULD OTHERWISE ACCRUE. THE PARTIES HERETO ARE HEREBY AUTHORIZED TO FILE A COPY OF THIS PARAGRAPH IN ANY PROCEEDING AS CONCLUSIVE EVIDENCE OF THIS WAIVER.</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IRREVOCABLY (I) SUBMITS TO THE JURISDICTION OF THE COURTS OF THE STATE OF NEW YORK LOCATED IN NEW YORK COUNTY AND THE FEDERAL COURTS OF THE UNITED STATES OF AMERICA FOR THE SOUTHERN DISTRICT OF NEW YORK FOR THE PURPOSE OF ANY ACTION OR PROCEEDING RELATING TO THIS AGREEMENT; (II) WAIVES, TO THE FULLEST EXTENT PERMITTED BY LAW, THE DEFENSE OF AN INCONVENIENT FORUM IN ANY SUCH ACTION OR PROCEEDING IN ANY SUCH COURT; (III) AGREES THAT A FINAL JUDGMENT IN ANY SUCH ACTION OR PROCEEDING IN ANY SUCH COURT SHALL BE CONCLUSIVE AND MAY BE ENFORCED IN ANY OTHER JURISDICTION BY SUIT ON THE JUDGMENT OR IN ANY OTHER MANNER PROVIDED BY LAW; AND (IV) CONSENTS TO SERVICE OF PROCESS UPON IT BY MAILING A COPY THEREOF BY CERTIFIED MAIL ADDRESSED TO IT AS PROVIDED FOR NOTICES HEREUNDER AND AGREES THAT NOTHING HEREIN SHALL AFFECT THE RIGHT TO EFFECT SERVICE OF PROCESS IN ANY MANNER PERMITTED BY LAW.</w:t>
      </w:r>
    </w:p>
    <w:p>
      <w:pPr>
        <w:pStyle w:val="TextBody"/>
        <w:bidi w:val="0"/>
        <w:spacing w:before="0" w:after="0"/>
        <w:ind w:left="354" w:right="354" w:hanging="0"/>
        <w:jc w:val="both"/>
        <w:rPr>
          <w:caps w:val="false"/>
          <w:smallCaps w:val="false"/>
        </w:rPr>
      </w:pPr>
      <w:r>
        <w:rPr>
          <w:caps w:val="false"/>
          <w:smallCaps w:val="false"/>
        </w:rPr>
        <w:t> </w:t>
      </w:r>
    </w:p>
    <w:p>
      <w:pPr>
        <w:pStyle w:val="TextBody"/>
        <w:bidi w:val="0"/>
        <w:spacing w:before="0" w:after="0"/>
        <w:ind w:left="354" w:right="354" w:hanging="0"/>
        <w:jc w:val="both"/>
        <w:rPr>
          <w:caps w:val="false"/>
          <w:smallCaps w:val="false"/>
        </w:rPr>
      </w:pPr>
      <w:r>
        <w:rPr>
          <w:caps w:val="false"/>
          <w:smallCaps w:val="false"/>
        </w:rPr>
        <w:t> </w:t>
      </w:r>
    </w:p>
    <w:p>
      <w:pPr>
        <w:pStyle w:val="TextBody"/>
        <w:bidi w:val="0"/>
        <w:spacing w:before="0" w:after="0"/>
        <w:ind w:left="354" w:right="354"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354" w:right="354" w:hanging="0"/>
        <w:jc w:val="both"/>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Receivables Purchase Agreement may be executed in two or more counterparts and by different parties on separate counterparts, each of which shall be an original, but all of which together shall constitute one and the same instrument.</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356"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6.17 </w:t>
      </w:r>
      <w:r>
        <w:rPr>
          <w:rFonts w:ascii="Times New Roman;Times;Serif" w:hAnsi="Times New Roman;Times;Serif"/>
          <w:b w:val="false"/>
          <w:i w:val="false"/>
          <w:caps w:val="false"/>
          <w:smallCaps w:val="false"/>
          <w:sz w:val="20"/>
          <w:u w:val="single"/>
        </w:rPr>
        <w:t>Intention of Parties Regarding Delaware Securitization Act</w:t>
      </w:r>
      <w:r>
        <w:rPr>
          <w:rFonts w:ascii="Times New Roman;Times;Serif" w:hAnsi="Times New Roman;Times;Serif"/>
          <w:b w:val="false"/>
          <w:i w:val="false"/>
          <w:caps w:val="false"/>
          <w:smallCaps w:val="false"/>
          <w:sz w:val="20"/>
        </w:rPr>
        <w:t xml:space="preserve">. It is the intention of the Seller and the Purchaser that the transfer and assignment of the Transferred Property contemplated by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shall constitute a sale of the Transferred Property from the Seller to the Purchaser, conveying good title thereto free and clear of any liens, and the beneficial interest in and title to the Transferred Property shall not be part of the Seller’s estate in the event of the filing of a bankruptcy petition by or against the Seller under any bankruptcy or similar law. In addition, for purposes of complying with the requirements of the Asset-Backed Securities Facilitation Act of the State of Delaware, 6 Del. C. § 2701A, et seq. (the “</w:t>
      </w:r>
      <w:r>
        <w:rPr>
          <w:rFonts w:ascii="Times New Roman;Times;Serif" w:hAnsi="Times New Roman;Times;Serif"/>
          <w:b w:val="false"/>
          <w:i w:val="false"/>
          <w:caps w:val="false"/>
          <w:smallCaps w:val="false"/>
          <w:sz w:val="20"/>
          <w:u w:val="single"/>
        </w:rPr>
        <w:t>Securitization Act</w:t>
      </w:r>
      <w:r>
        <w:rPr>
          <w:rFonts w:ascii="Times New Roman;Times;Serif" w:hAnsi="Times New Roman;Times;Serif"/>
          <w:b w:val="false"/>
          <w:i w:val="false"/>
          <w:caps w:val="false"/>
          <w:smallCaps w:val="false"/>
          <w:sz w:val="20"/>
        </w:rPr>
        <w:t>”), each of the parties hereto hereby agrees that:</w:t>
      </w:r>
    </w:p>
    <w:p>
      <w:pPr>
        <w:pStyle w:val="TextBody"/>
        <w:bidi w:val="0"/>
        <w:spacing w:before="0" w:after="0"/>
        <w:ind w:left="356" w:right="356"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property, assets or rights purported to be transferred, in whole or in part, by the Seller to the Purchaser pursuant to this Receivables Purchase Agreement shall be deemed to no longer be the property, assets or rights of the Seller;</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720" w:right="3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Seller, its creditors or, in any insolvency proceeding with respect to the Seller or the Seller’s property, a bankruptcy trustee, receiver, debtor, debtor in possession or similar person, to the extent the issue is governed by Delaware law, shall have any rights, legal or equitable, whatsoever to reacquire (except pursuant to a provision of this Receivables Purchase Agreement), reclaim, recover, repudiate, disaffirm, redeem or recharacterize as property of the Seller any property, assets or rights purported to be transferred, in whole or in part, by the Seller to the Purchaser pursuant to this Receivables Purchase Agreement;</w:t>
      </w:r>
    </w:p>
    <w:p>
      <w:pPr>
        <w:pStyle w:val="TextBody"/>
        <w:bidi w:val="0"/>
        <w:spacing w:before="0" w:after="0"/>
        <w:ind w:left="720" w:right="356" w:firstLine="720"/>
        <w:jc w:val="both"/>
        <w:rPr>
          <w:caps w:val="false"/>
          <w:smallCaps w:val="false"/>
        </w:rPr>
      </w:pPr>
      <w:r>
        <w:rPr>
          <w:caps w:val="false"/>
          <w:smallCaps w:val="false"/>
        </w:rPr>
        <w:t> </w:t>
      </w:r>
    </w:p>
    <w:p>
      <w:pPr>
        <w:pStyle w:val="TextBody"/>
        <w:bidi w:val="0"/>
        <w:spacing w:before="0" w:after="0"/>
        <w:ind w:left="720"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of a bankruptcy, receivership or other insolvency proceeding with respect to the Seller or the Seller’s property, to the extent the issue is governed by Delaware law, such property, assets and rights shall not be deemed to be part of the Seller’s property, assets, rights or estate; and</w:t>
      </w:r>
    </w:p>
    <w:p>
      <w:pPr>
        <w:pStyle w:val="TextBody"/>
        <w:bidi w:val="0"/>
        <w:spacing w:before="0" w:after="0"/>
        <w:ind w:left="720" w:right="357" w:firstLine="720"/>
        <w:jc w:val="both"/>
        <w:rPr>
          <w:caps w:val="false"/>
          <w:smallCaps w:val="false"/>
        </w:rPr>
      </w:pPr>
      <w:r>
        <w:rPr>
          <w:caps w:val="false"/>
          <w:smallCaps w:val="false"/>
        </w:rPr>
        <w:t> </w:t>
      </w:r>
    </w:p>
    <w:p>
      <w:pPr>
        <w:pStyle w:val="TextBody"/>
        <w:bidi w:val="0"/>
        <w:spacing w:before="0" w:after="0"/>
        <w:ind w:left="720" w:right="35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transaction contemplated by this Receivables Purchase Agreement shall constitute a “securitization transaction” as such term is used in the Securitization Act.</w:t>
      </w:r>
    </w:p>
    <w:p>
      <w:pPr>
        <w:pStyle w:val="TextBody"/>
        <w:bidi w:val="0"/>
        <w:spacing w:before="0" w:after="0"/>
        <w:ind w:left="720" w:right="358" w:firstLine="720"/>
        <w:jc w:val="both"/>
        <w:rPr>
          <w:caps w:val="false"/>
          <w:smallCaps w:val="false"/>
        </w:rPr>
      </w:pPr>
      <w:r>
        <w:rPr>
          <w:caps w:val="false"/>
          <w:smallCaps w:val="false"/>
        </w:rPr>
        <w:t> </w:t>
      </w:r>
    </w:p>
    <w:p>
      <w:pPr>
        <w:pStyle w:val="TextBody"/>
        <w:bidi w:val="0"/>
        <w:spacing w:before="0" w:after="0"/>
        <w:ind w:left="359" w:right="35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84" w:right="401" w:firstLine="702"/>
        <w:jc w:val="both"/>
        <w:rPr>
          <w:rFonts w:ascii="Times New Roman;Times;Serif" w:hAnsi="Times New Roman;Times;Serif"/>
          <w:b w:val="false"/>
          <w:i w:val="false"/>
          <w:caps w:val="false"/>
          <w:smallCaps w:val="false"/>
          <w:color w:val="262626"/>
          <w:sz w:val="20"/>
        </w:rPr>
      </w:pPr>
      <w:r>
        <w:rPr>
          <w:rFonts w:ascii="Times New Roman;Times;Serif" w:hAnsi="Times New Roman;Times;Serif"/>
          <w:b w:val="false"/>
          <w:i w:val="false"/>
          <w:caps w:val="false"/>
          <w:smallCaps w:val="false"/>
          <w:color w:val="262626"/>
          <w:sz w:val="20"/>
        </w:rPr>
        <w:t>IN WITNESS WHEREOF, the parties hereby have caused this Receivables Purchase Agreement to be executed by their respective officers thereunto duly authorized as of the date and year first above written.</w:t>
      </w:r>
    </w:p>
    <w:p>
      <w:pPr>
        <w:pStyle w:val="TextBody"/>
        <w:bidi w:val="0"/>
        <w:spacing w:before="0" w:after="0"/>
        <w:ind w:left="284" w:right="401" w:firstLine="702"/>
        <w:jc w:val="both"/>
        <w:rPr>
          <w:caps w:val="false"/>
          <w:smallCaps w:val="false"/>
          <w:color w:val="262626"/>
        </w:rPr>
      </w:pPr>
      <w:r>
        <w:rPr>
          <w:caps w:val="false"/>
          <w:smallCaps w:val="false"/>
          <w:color w:val="262626"/>
        </w:rPr>
        <w:t> </w:t>
      </w:r>
    </w:p>
    <w:p>
      <w:pPr>
        <w:pStyle w:val="TextBody"/>
        <w:bidi w:val="0"/>
        <w:spacing w:before="0" w:after="0"/>
        <w:ind w:left="284" w:right="401" w:firstLine="702"/>
        <w:jc w:val="both"/>
        <w:rPr>
          <w:caps w:val="false"/>
          <w:smallCaps w:val="false"/>
          <w:color w:val="262626"/>
        </w:rPr>
      </w:pPr>
      <w:r>
        <w:rPr>
          <w:caps w:val="false"/>
          <w:smallCaps w:val="false"/>
          <w:color w:val="262626"/>
        </w:rPr>
        <w:t> </w:t>
      </w:r>
    </w:p>
    <w:tbl>
      <w:tblPr>
        <w:tblW w:w="4895" w:type="dxa"/>
        <w:jc w:val="left"/>
        <w:tblInd w:w="0" w:type="dxa"/>
        <w:tblLayout w:type="fixed"/>
        <w:tblCellMar>
          <w:top w:w="0" w:type="dxa"/>
          <w:left w:w="0" w:type="dxa"/>
          <w:bottom w:w="0" w:type="dxa"/>
          <w:right w:w="0" w:type="dxa"/>
        </w:tblCellMar>
      </w:tblPr>
      <w:tblGrid>
        <w:gridCol w:w="75"/>
        <w:gridCol w:w="4820"/>
      </w:tblGrid>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color w:val="262626"/>
                <w:sz w:val="20"/>
              </w:rPr>
            </w:pPr>
            <w:r>
              <w:rPr>
                <w:color w:val="262626"/>
                <w:sz w:val="20"/>
              </w:rPr>
              <w:t>CPS RECENABLES FIVE LLC</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4820" w:type="dxa"/>
            <w:tcBorders/>
            <w:vAlign w:val="center"/>
          </w:tcPr>
          <w:p>
            <w:pPr>
              <w:pStyle w:val="TableContents"/>
              <w:bidi w:val="0"/>
              <w:spacing w:before="0" w:after="283"/>
              <w:jc w:val="left"/>
              <w:rPr>
                <w:sz w:val="20"/>
              </w:rPr>
            </w:pPr>
            <w:r>
              <w:rPr>
                <w:sz w:val="20"/>
              </w:rPr>
              <w:t xml:space="preserve">By: </w:t>
            </w:r>
            <w:r>
              <w:rPr>
                <w:sz w:val="20"/>
                <w:u w:val="single"/>
              </w:rPr>
              <w:t>/s/ Denesh Bharwani</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color w:val="262626"/>
                <w:sz w:val="20"/>
              </w:rPr>
            </w:pPr>
            <w:r>
              <w:rPr>
                <w:color w:val="262626"/>
                <w:sz w:val="20"/>
              </w:rPr>
              <w:t>Name: Denesh Bharwani</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color w:val="262626"/>
                <w:sz w:val="20"/>
              </w:rPr>
            </w:pPr>
            <w:r>
              <w:rPr>
                <w:color w:val="262626"/>
                <w:sz w:val="20"/>
              </w:rPr>
              <w:t xml:space="preserve">Title: Vice President and Assistant Secretary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CONSUMER PORTFOLIO SERVICES, INC.</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sz w:val="20"/>
              </w:rPr>
            </w:pPr>
            <w:r>
              <w:rPr>
                <w:sz w:val="20"/>
              </w:rPr>
              <w:t xml:space="preserve">By: </w:t>
            </w:r>
            <w:r>
              <w:rPr>
                <w:sz w:val="20"/>
                <w:u w:val="single"/>
              </w:rPr>
              <w:t>/s/ Denesh Bharwani</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color w:val="262626"/>
                <w:sz w:val="20"/>
              </w:rPr>
            </w:pPr>
            <w:r>
              <w:rPr>
                <w:color w:val="262626"/>
                <w:sz w:val="20"/>
              </w:rPr>
              <w:t>Name: Denesh Bharwani</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color w:val="262626"/>
                <w:sz w:val="20"/>
              </w:rPr>
            </w:pPr>
            <w:r>
              <w:rPr>
                <w:color w:val="262626"/>
                <w:sz w:val="20"/>
              </w:rPr>
              <w:t>Title: 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Receivables Purchase Agreement - Signature Page</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0"/>
        <w:ind w:left="2381" w:right="2738"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2381" w:right="2738" w:hanging="0"/>
        <w:jc w:val="center"/>
        <w:rPr>
          <w:caps w:val="false"/>
          <w:smallCaps w:val="false"/>
        </w:rPr>
      </w:pPr>
      <w:r>
        <w:rPr>
          <w:caps w:val="false"/>
          <w:smallCaps w:val="false"/>
        </w:rPr>
        <w:t> </w:t>
      </w:r>
    </w:p>
    <w:p>
      <w:pPr>
        <w:pStyle w:val="TextBody"/>
        <w:bidi w:val="0"/>
        <w:spacing w:before="0" w:after="0"/>
        <w:ind w:left="5" w:right="35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Assignment</w:t>
      </w:r>
    </w:p>
    <w:p>
      <w:pPr>
        <w:pStyle w:val="TextBody"/>
        <w:bidi w:val="0"/>
        <w:spacing w:before="0" w:after="0"/>
        <w:ind w:left="5" w:right="359" w:hanging="0"/>
        <w:jc w:val="center"/>
        <w:rPr>
          <w:caps w:val="false"/>
          <w:smallCaps w:val="false"/>
        </w:rPr>
      </w:pPr>
      <w:r>
        <w:rPr>
          <w:caps w:val="false"/>
          <w:smallCaps w:val="false"/>
        </w:rPr>
        <w:t> </w:t>
      </w:r>
    </w:p>
    <w:p>
      <w:pPr>
        <w:pStyle w:val="TextBody"/>
        <w:bidi w:val="0"/>
        <w:spacing w:before="0" w:after="0"/>
        <w:ind w:left="2381" w:right="2743"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p>
      <w:pPr>
        <w:pStyle w:val="TextBody"/>
        <w:bidi w:val="0"/>
        <w:spacing w:before="0" w:after="0"/>
        <w:ind w:left="2381" w:right="2743" w:hanging="0"/>
        <w:jc w:val="center"/>
        <w:rPr>
          <w:caps w:val="false"/>
          <w:smallCaps w:val="false"/>
        </w:rPr>
      </w:pPr>
      <w:r>
        <w:rPr>
          <w:caps w:val="false"/>
          <w:smallCaps w:val="false"/>
        </w:rPr>
        <w:t> </w:t>
      </w:r>
    </w:p>
    <w:p>
      <w:pPr>
        <w:pStyle w:val="TextBody"/>
        <w:bidi w:val="0"/>
        <w:spacing w:before="0" w:after="0"/>
        <w:ind w:left="354" w:right="35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on this 22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day of April 2026, in accordance with the Receivables Purchase Agreement dated as of April 1, 2026, between the undersigned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CPS Receivables Five LLC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Receivables Purchase Agreement</w:t>
      </w:r>
      <w:r>
        <w:rPr>
          <w:rFonts w:ascii="Times New Roman;Times;Serif" w:hAnsi="Times New Roman;Times;Serif"/>
          <w:b w:val="false"/>
          <w:i w:val="false"/>
          <w:caps w:val="false"/>
          <w:smallCaps w:val="false"/>
          <w:sz w:val="20"/>
        </w:rPr>
        <w:t>”), the undersigned does hereby sell, transfer, assign and otherwise convey unto the Purchaser, without recourse (subject to the obligations in the Receivables Purchase Agreement and the Sale and Servicing Agreement), all right, title and interest of the Seller in, to and under (i) the Receivables listed in the Schedule of Receivables and all monies received thereunder after the Cutoff Date and all Net Liquidation Proceeds and Recoveries received with respect to such Receivables after the Cutoff Date; (ii) the security interests in the Financed Vehicles granted by the related Obligors pursuant to the Receivables and any other interest of the Seller in such Financed Vehicles, including, without limitation, the Lien Certificates with respect to Financed Vehicles; (iii) any proceeds from claims on any physical damage, credit life and credit accident and health insurance policies or certificates relating to the Financed Vehicles securing the Receivables or the Obligors thereunder; (iv) all proceeds from recourse against Dealers with respect to the Receivables; (v) refunds for the costs of extended service contracts with respect to Financed Vehicles securing the Receivables, refunds of unearned premiums with respect to credit life and credit accident and health insurance policies or certificates covering an Obligor or Financed Vehicle or an Obligor’s obligations with respect to a Receivable or a Financed Vehicle and any recourse to Dealers for any of the foregoing; (vi) the Receivable File related to each Receivable; (vii) all property (including the right to receive future Net Liquidation Proceeds) that secures a Receivable that has been acquired by or on behalf of the Seller, pursuant to a liquidation of such Receivable; and (viii) all present and future claims, demands, causes and choses in action in respect of any or all of the foregoing and all payments on or under and all proceeds of every kind and nature whatsoever in respect of any or all of the foregoing, including all proceeds of the conversion, voluntary or involuntary, into cash or other liquid property, all cash proceeds, accounts, accounts receivable, notes, drafts, acceptances, chattel paper, checks, insurance proceeds, condemnation awards, rights to payment of any and every kind and other forms of obligations and receivables, instruments and other property which at any time constitute all or part of or are included in the proceeds of any of the foregoing (collectively, the “</w:t>
      </w:r>
      <w:r>
        <w:rPr>
          <w:rFonts w:ascii="Times New Roman;Times;Serif" w:hAnsi="Times New Roman;Times;Serif"/>
          <w:b w:val="false"/>
          <w:i w:val="false"/>
          <w:caps w:val="false"/>
          <w:smallCaps w:val="false"/>
          <w:sz w:val="20"/>
          <w:u w:val="single"/>
        </w:rPr>
        <w:t>Transferred Property</w:t>
      </w:r>
      <w:r>
        <w:rPr>
          <w:rFonts w:ascii="Times New Roman;Times;Serif" w:hAnsi="Times New Roman;Times;Serif"/>
          <w:b w:val="false"/>
          <w:i w:val="false"/>
          <w:caps w:val="false"/>
          <w:smallCaps w:val="false"/>
          <w:sz w:val="20"/>
        </w:rPr>
        <w:t>”). The foregoing sale does not constitute and is not intended to result in any assumption by the Purchaser of any obligation of the undersigned to the Obligors, insurers or any other Person in connection with the Receivables, the related Receivable Files, any insurance policies or any agreement or instrument relating to any of them.</w:t>
      </w:r>
    </w:p>
    <w:p>
      <w:pPr>
        <w:pStyle w:val="TextBody"/>
        <w:bidi w:val="0"/>
        <w:spacing w:before="0" w:after="0"/>
        <w:ind w:left="354" w:right="354" w:firstLine="720"/>
        <w:jc w:val="both"/>
        <w:rPr>
          <w:caps w:val="false"/>
          <w:smallCaps w:val="false"/>
        </w:rPr>
      </w:pPr>
      <w:r>
        <w:rPr>
          <w:caps w:val="false"/>
          <w:smallCaps w:val="false"/>
        </w:rPr>
        <w:t> </w:t>
      </w:r>
    </w:p>
    <w:p>
      <w:pPr>
        <w:pStyle w:val="TextBody"/>
        <w:bidi w:val="0"/>
        <w:spacing w:before="0" w:after="0"/>
        <w:ind w:left="360" w:right="36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is made pursuant to and upon the representations, warranties and agreements on the part of the undersigned contained in the Receivables Purchase Agreement and is to be governed by the Receivables Purchase Agreement.</w:t>
      </w:r>
    </w:p>
    <w:p>
      <w:pPr>
        <w:pStyle w:val="TextBody"/>
        <w:bidi w:val="0"/>
        <w:spacing w:before="0" w:after="0"/>
        <w:ind w:left="360" w:right="360" w:firstLine="720"/>
        <w:jc w:val="both"/>
        <w:rPr>
          <w:caps w:val="false"/>
          <w:smallCaps w:val="false"/>
        </w:rPr>
      </w:pPr>
      <w:r>
        <w:rPr>
          <w:caps w:val="false"/>
          <w:smallCaps w:val="false"/>
        </w:rPr>
        <w:t> </w:t>
      </w:r>
    </w:p>
    <w:p>
      <w:pPr>
        <w:pStyle w:val="TextBody"/>
        <w:bidi w:val="0"/>
        <w:spacing w:before="0" w:after="0"/>
        <w:ind w:left="359" w:right="35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intention of the Seller and the Purchaser that the transfer and assignment of the Transferred Property contemplated by this Assignment shall constitute a sale of the Transferred Property from the Seller to the Purchaser, conveying good title thereto free and clear of any liens,</w:t>
      </w:r>
    </w:p>
    <w:p>
      <w:pPr>
        <w:pStyle w:val="TextBody"/>
        <w:bidi w:val="0"/>
        <w:spacing w:before="0" w:after="0"/>
        <w:ind w:left="359" w:right="359" w:firstLine="720"/>
        <w:jc w:val="both"/>
        <w:rPr>
          <w:caps w:val="false"/>
          <w:smallCaps w:val="false"/>
        </w:rPr>
      </w:pPr>
      <w:r>
        <w:rPr>
          <w:caps w:val="false"/>
          <w:smallCaps w:val="false"/>
        </w:rPr>
        <w:t> </w:t>
      </w:r>
    </w:p>
    <w:p>
      <w:pPr>
        <w:pStyle w:val="TextBody"/>
        <w:bidi w:val="0"/>
        <w:spacing w:before="0" w:after="0"/>
        <w:ind w:left="354" w:right="35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beneficial interest in and title to the Transferred Property shall not be part of the Seller’s estate in the event of the filing of a bankruptcy petition by or against the Seller under any bankruptcy or similar law. In addition, for purposes of complying with the requirements of the Asset-Backed Securities Facilitation Act of the State of Delaware, 6 Del. C. § 2701A, et seq. (the “Securitization Act”); (i) any property, assets or rights purported to be transferred, in whole or in part, by the Seller to the Purchaser pursuant to this Assignment shall be deemed to no longer be the property, assets or rights of the Seller; (ii) none of the Seller, its creditors or, in any insolvency proceeding with respect to the Seller or the Seller’s property, a bankruptcy trustee, receiver, debtor, debtor in possession or similar person, to the extent the issue is governed by Delaware law, shall have any rights, legal or equitable, whatsoever to reacquire (except pursuant to a provision of this Assignment), reclaim, recover, repudiate, disaffirm, redeem or recharacterize as property of the Seller any property, assets or rights purported to be transferred, in whole or in part, by the Seller to the Purchaser hereby or pursuant to the Receivables Purchase Agreement; (iii) in the event of a bankruptcy, receivership or other insolvency proceeding with respect to the Seller or the Seller’s property, to the extent the issue is governed by Delaware law, such property, assets and rights shall not be deemed to be part of the Seller’s property, assets, rights or estate; and (iv) the transaction contemplated by this Assignment shall constitute a “securitization transaction” as such term is used in the Securitization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295" w:type="dxa"/>
        <w:jc w:val="left"/>
        <w:tblInd w:w="0" w:type="dxa"/>
        <w:tblLayout w:type="fixed"/>
        <w:tblCellMar>
          <w:top w:w="0" w:type="dxa"/>
          <w:left w:w="0" w:type="dxa"/>
          <w:bottom w:w="0" w:type="dxa"/>
          <w:right w:w="0" w:type="dxa"/>
        </w:tblCellMar>
      </w:tblPr>
      <w:tblGrid>
        <w:gridCol w:w="75"/>
        <w:gridCol w:w="1145"/>
        <w:gridCol w:w="75"/>
      </w:tblGrid>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Exhibit A-1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55" w:right="35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PRECEDING PARAGRAPH, THIS ASSIGNMENT SHALL BE GOVERNED BY AND CONSTRUED IN ACCORDANCE WITH THE INTERNAL LAWS OF THE STATE OF NEW YORK, WITHOUT REGARD TO CONFLICTS OF LAW PRINCIPLES.</w:t>
      </w:r>
    </w:p>
    <w:p>
      <w:pPr>
        <w:pStyle w:val="TextBody"/>
        <w:bidi w:val="0"/>
        <w:spacing w:before="0" w:after="0"/>
        <w:ind w:left="355" w:right="355" w:firstLine="720"/>
        <w:jc w:val="both"/>
        <w:rPr>
          <w:caps w:val="false"/>
          <w:smallCaps w:val="false"/>
        </w:rPr>
      </w:pPr>
      <w:r>
        <w:rPr>
          <w:caps w:val="false"/>
          <w:smallCaps w:val="false"/>
        </w:rPr>
        <w:t> </w:t>
      </w:r>
    </w:p>
    <w:p>
      <w:pPr>
        <w:pStyle w:val="TextBody"/>
        <w:bidi w:val="0"/>
        <w:spacing w:before="0" w:after="0"/>
        <w:ind w:left="357" w:right="3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shall have the meanings assigned to them in the Receivables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295" w:type="dxa"/>
        <w:jc w:val="left"/>
        <w:tblInd w:w="0" w:type="dxa"/>
        <w:tblLayout w:type="fixed"/>
        <w:tblCellMar>
          <w:top w:w="0" w:type="dxa"/>
          <w:left w:w="0" w:type="dxa"/>
          <w:bottom w:w="0" w:type="dxa"/>
          <w:right w:w="0" w:type="dxa"/>
        </w:tblCellMar>
      </w:tblPr>
      <w:tblGrid>
        <w:gridCol w:w="75"/>
        <w:gridCol w:w="1145"/>
        <w:gridCol w:w="75"/>
      </w:tblGrid>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Exhibit A-2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96" w:right="39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Assignment to be duly executed as of the day and year first above written.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75"/>
        <w:gridCol w:w="4625"/>
      </w:tblGrid>
      <w:tr>
        <w:trPr/>
        <w:tc>
          <w:tcPr>
            <w:tcW w:w="75" w:type="dxa"/>
            <w:tcBorders/>
            <w:vAlign w:val="center"/>
          </w:tcPr>
          <w:p>
            <w:pPr>
              <w:pStyle w:val="TableContents"/>
              <w:bidi w:val="0"/>
              <w:spacing w:before="0" w:after="283"/>
              <w:ind w:left="0" w:right="0" w:hanging="0"/>
              <w:jc w:val="left"/>
              <w:rPr/>
            </w:pPr>
            <w:r>
              <w:rPr/>
              <w:t> </w:t>
            </w:r>
          </w:p>
        </w:tc>
        <w:tc>
          <w:tcPr>
            <w:tcW w:w="4625" w:type="dxa"/>
            <w:tcBorders/>
            <w:vAlign w:val="center"/>
          </w:tcPr>
          <w:p>
            <w:pPr>
              <w:pStyle w:val="TableContents"/>
              <w:bidi w:val="0"/>
              <w:spacing w:before="0" w:after="283"/>
              <w:ind w:left="0" w:right="0" w:hanging="0"/>
              <w:jc w:val="left"/>
              <w:rPr/>
            </w:pPr>
            <w:r>
              <w:rPr/>
              <w:t>CONSUMER PORTFOLIO SERVICES, INC.</w:t>
            </w:r>
          </w:p>
        </w:tc>
      </w:tr>
      <w:tr>
        <w:trPr/>
        <w:tc>
          <w:tcPr>
            <w:tcW w:w="75" w:type="dxa"/>
            <w:tcBorders/>
            <w:vAlign w:val="center"/>
          </w:tcPr>
          <w:p>
            <w:pPr>
              <w:pStyle w:val="TableContents"/>
              <w:bidi w:val="0"/>
              <w:spacing w:before="0" w:after="283"/>
              <w:ind w:left="0" w:right="0" w:hanging="0"/>
              <w:jc w:val="left"/>
              <w:rPr/>
            </w:pPr>
            <w:r>
              <w:rPr/>
              <w:t> </w:t>
            </w:r>
          </w:p>
        </w:tc>
        <w:tc>
          <w:tcPr>
            <w:tcW w:w="462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4625" w:type="dxa"/>
            <w:tcBorders/>
            <w:vAlign w:val="center"/>
          </w:tcPr>
          <w:p>
            <w:pPr>
              <w:pStyle w:val="TableContents"/>
              <w:bidi w:val="0"/>
              <w:spacing w:before="0" w:after="283"/>
              <w:ind w:left="0" w:right="0" w:hanging="0"/>
              <w:jc w:val="left"/>
              <w:rPr/>
            </w:pPr>
            <w:r>
              <w:rPr/>
              <w:t>By: Name: Denesh Bharwani</w:t>
            </w:r>
          </w:p>
        </w:tc>
      </w:tr>
      <w:tr>
        <w:trPr/>
        <w:tc>
          <w:tcPr>
            <w:tcW w:w="75" w:type="dxa"/>
            <w:tcBorders/>
            <w:vAlign w:val="center"/>
          </w:tcPr>
          <w:p>
            <w:pPr>
              <w:pStyle w:val="TableContents"/>
              <w:bidi w:val="0"/>
              <w:spacing w:before="0" w:after="283"/>
              <w:ind w:left="0" w:right="0" w:hanging="0"/>
              <w:jc w:val="left"/>
              <w:rPr/>
            </w:pPr>
            <w:r>
              <w:rPr/>
              <w:t> </w:t>
            </w:r>
          </w:p>
        </w:tc>
        <w:tc>
          <w:tcPr>
            <w:tcW w:w="4625" w:type="dxa"/>
            <w:tcBorders/>
            <w:vAlign w:val="center"/>
          </w:tcPr>
          <w:p>
            <w:pPr>
              <w:pStyle w:val="TableContents"/>
              <w:bidi w:val="0"/>
              <w:spacing w:before="0" w:after="283"/>
              <w:ind w:left="0" w:right="0" w:hanging="0"/>
              <w:jc w:val="left"/>
              <w:rPr/>
            </w:pPr>
            <w:r>
              <w:rPr/>
              <w:t>Title: Executive Vice</w:t>
            </w:r>
          </w:p>
        </w:tc>
      </w:tr>
      <w:tr>
        <w:trPr/>
        <w:tc>
          <w:tcPr>
            <w:tcW w:w="75" w:type="dxa"/>
            <w:tcBorders/>
            <w:vAlign w:val="center"/>
          </w:tcPr>
          <w:p>
            <w:pPr>
              <w:pStyle w:val="TableContents"/>
              <w:bidi w:val="0"/>
              <w:spacing w:before="0" w:after="283"/>
              <w:ind w:left="0" w:right="0" w:hanging="0"/>
              <w:jc w:val="left"/>
              <w:rPr/>
            </w:pPr>
            <w:r>
              <w:rPr/>
              <w:t> </w:t>
            </w:r>
          </w:p>
        </w:tc>
        <w:tc>
          <w:tcPr>
            <w:tcW w:w="4625" w:type="dxa"/>
            <w:tcBorders/>
            <w:vAlign w:val="center"/>
          </w:tcPr>
          <w:p>
            <w:pPr>
              <w:pStyle w:val="TableContents"/>
              <w:bidi w:val="0"/>
              <w:spacing w:before="0" w:after="283"/>
              <w:jc w:val="left"/>
              <w:rPr/>
            </w:pPr>
            <w:r>
              <w:rPr/>
              <w:t>President and Chief Financial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1295" w:type="dxa"/>
        <w:jc w:val="left"/>
        <w:tblInd w:w="0" w:type="dxa"/>
        <w:tblLayout w:type="fixed"/>
        <w:tblCellMar>
          <w:top w:w="0" w:type="dxa"/>
          <w:left w:w="0" w:type="dxa"/>
          <w:bottom w:w="0" w:type="dxa"/>
          <w:right w:w="0" w:type="dxa"/>
        </w:tblCellMar>
      </w:tblPr>
      <w:tblGrid>
        <w:gridCol w:w="75"/>
        <w:gridCol w:w="1145"/>
        <w:gridCol w:w="75"/>
      </w:tblGrid>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Exhibit A-3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Receivables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Upon Request]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145" w:type="dxa"/>
        <w:jc w:val="left"/>
        <w:tblInd w:w="0" w:type="dxa"/>
        <w:tblLayout w:type="fixed"/>
        <w:tblCellMar>
          <w:top w:w="0" w:type="dxa"/>
          <w:left w:w="0" w:type="dxa"/>
          <w:bottom w:w="0" w:type="dxa"/>
          <w:right w:w="0" w:type="dxa"/>
        </w:tblCellMar>
      </w:tblPr>
      <w:tblGrid>
        <w:gridCol w:w="75"/>
        <w:gridCol w:w="995"/>
        <w:gridCol w:w="75"/>
      </w:tblGrid>
      <w:tr>
        <w:trPr/>
        <w:tc>
          <w:tcPr>
            <w:tcW w:w="7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Exhibit B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85" w:type="dxa"/>
        <w:jc w:val="left"/>
        <w:tblInd w:w="0" w:type="dxa"/>
        <w:tblLayout w:type="fixed"/>
        <w:tblCellMar>
          <w:top w:w="0" w:type="dxa"/>
          <w:left w:w="0" w:type="dxa"/>
          <w:bottom w:w="0" w:type="dxa"/>
          <w:right w:w="0" w:type="dxa"/>
        </w:tblCellMar>
      </w:tblPr>
      <w:tblGrid>
        <w:gridCol w:w="75"/>
        <w:gridCol w:w="935"/>
        <w:gridCol w:w="75"/>
      </w:tblGrid>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Exhibit C</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877" w:name="cps_ex100101.htm"/>
      <w:bookmarkStart w:id="878" w:name="kscps_ex100101"/>
      <w:bookmarkEnd w:id="877"/>
      <w:bookmarkEnd w:id="878"/>
      <w:r>
        <w:rPr>
          <w:b/>
        </w:rPr>
        <w:t>Exhibit 10.1.1</w:t>
      </w:r>
      <w:r>
        <w:br w:type="page"/>
      </w:r>
    </w:p>
    <w:p>
      <w:pPr>
        <w:pStyle w:val="TextBody"/>
        <w:bidi w:val="0"/>
        <w:jc w:val="right"/>
        <w:rPr/>
      </w:pPr>
      <w:r>
        <w:rPr/>
        <w:t> </w:t>
      </w:r>
    </w:p>
    <w:p>
      <w:pPr>
        <w:pStyle w:val="TextBody"/>
        <w:bidi w:val="0"/>
        <w:spacing w:before="0" w:after="0"/>
        <w:ind w:left="360" w:right="36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360" w:right="360" w:hanging="0"/>
        <w:jc w:val="righ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IDENTIFIED INFORMATION HAS BEEN EXCLUDED FROM THE EXHIBIT BECAUSE IT BOTH (I) IS NOT MATERIAL AND (II) WOULD BE COMPETITIVELY HARMFUL IF PUBLICLY DISCLOSED. SUCH EXCLUDED INFORMATION HAS BEEN MARKED WITH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75"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AMENDMENT TO LOAN AND SECURITY AGREEMENT</w:t>
      </w:r>
    </w:p>
    <w:p>
      <w:pPr>
        <w:pStyle w:val="TextBody"/>
        <w:bidi w:val="0"/>
        <w:spacing w:before="0" w:after="0"/>
        <w:ind w:left="1075" w:right="0" w:hanging="0"/>
        <w:jc w:val="center"/>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LOAN AND SECURITY AGREEMENT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dated as of April 3, 2026, to the Loan and Servicing Agreement referenced below, is by and among PAGE ELEVEN FUNDING LLC, a Delaware limited liability company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CONSUMER PORTFOLIO SERVICES, INC., a California corporation (“</w:t>
      </w:r>
      <w:r>
        <w:rPr>
          <w:rFonts w:ascii="Times New Roman;Times;Serif" w:hAnsi="Times New Roman;Times;Serif"/>
          <w:b w:val="false"/>
          <w:i w:val="false"/>
          <w:caps w:val="false"/>
          <w:smallCaps w:val="false"/>
          <w:sz w:val="20"/>
          <w:u w:val="single"/>
        </w:rPr>
        <w:t>CPS</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Servicer</w:t>
      </w:r>
      <w:r>
        <w:rPr>
          <w:rFonts w:ascii="Times New Roman;Times;Serif" w:hAnsi="Times New Roman;Times;Serif"/>
          <w:b w:val="false"/>
          <w:i w:val="false"/>
          <w:caps w:val="false"/>
          <w:smallCaps w:val="false"/>
          <w:sz w:val="20"/>
        </w:rPr>
        <w:t>”), the Lenders set forth on the signature pages hereto, and CAPITAL ONE, NATIONAL ASSOCIATION, a national banking association, in its capacity as administrative agent for the Lenders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1439" w:right="355"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1075" w:right="0" w:hanging="0"/>
        <w:jc w:val="center"/>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loan facility has been extended to the Borrower pursuant to that certain Loan and Security Agreement, dated as of October 17, 2025 (as amended, amended and restated, or otherwise modified prior to the date hereto, the “</w:t>
      </w:r>
      <w:r>
        <w:rPr>
          <w:rFonts w:ascii="Times New Roman;Times;Serif" w:hAnsi="Times New Roman;Times;Serif"/>
          <w:b w:val="false"/>
          <w:i w:val="false"/>
          <w:caps w:val="false"/>
          <w:smallCaps w:val="false"/>
          <w:sz w:val="20"/>
          <w:u w:val="single"/>
        </w:rPr>
        <w:t>Existing Agreement</w:t>
      </w:r>
      <w:r>
        <w:rPr>
          <w:rFonts w:ascii="Times New Roman;Times;Serif" w:hAnsi="Times New Roman;Times;Serif"/>
          <w:b w:val="false"/>
          <w:i w:val="false"/>
          <w:caps w:val="false"/>
          <w:smallCaps w:val="false"/>
          <w:sz w:val="20"/>
        </w:rPr>
        <w:t>” and as amended hereby and from time to time,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by and among the Borrower, the Servicer, the Lenders from time to time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Computershare Trust Company N.A, as custodian and backup servicer, the Administrative Agent, and Capital One, National Association, as a Bank and as a Lender Group Agent; and</w:t>
      </w:r>
    </w:p>
    <w:p>
      <w:pPr>
        <w:pStyle w:val="TextBody"/>
        <w:bidi w:val="0"/>
        <w:spacing w:before="0" w:after="0"/>
        <w:ind w:left="1440" w:right="355"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CPS, the Borrower, the Lenders and the Administrative Agent have agreed to amend the Agreement pursuant to Section 15.1(b) thereof on the terms and conditions set forth herein.</w:t>
      </w:r>
    </w:p>
    <w:p>
      <w:pPr>
        <w:pStyle w:val="TextBody"/>
        <w:bidi w:val="0"/>
        <w:spacing w:before="0" w:after="0"/>
        <w:ind w:left="1439" w:right="357"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these premises and other good and valuable consideration, the receipt and sufficiency of which are hereby acknowledged, the parties hereto agree as follows:</w:t>
      </w:r>
    </w:p>
    <w:p>
      <w:pPr>
        <w:pStyle w:val="TextBody"/>
        <w:bidi w:val="0"/>
        <w:spacing w:before="0" w:after="0"/>
        <w:ind w:left="1439" w:right="357"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used herein but not otherwise defined herein shall have the meanings provided to such terms in the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Effective as of the date hereof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the parties hereto agree that the Existing Agreement shall be amended with text marked in underline (e.g., </w:t>
      </w:r>
      <w:r>
        <w:rPr>
          <w:rFonts w:ascii="Times New Roman;Times;Serif" w:hAnsi="Times New Roman;Times;Serif"/>
          <w:b w:val="false"/>
          <w:i w:val="false"/>
          <w:caps w:val="false"/>
          <w:smallCaps w:val="false"/>
          <w:color w:val="0000FF"/>
          <w:sz w:val="20"/>
          <w:u w:val="single"/>
        </w:rPr>
        <w:t>addition</w:t>
      </w:r>
      <w:r>
        <w:rPr>
          <w:rFonts w:ascii="Times New Roman;Times;Serif" w:hAnsi="Times New Roman;Times;Serif"/>
          <w:b w:val="false"/>
          <w:i w:val="false"/>
          <w:caps w:val="false"/>
          <w:smallCaps w:val="false"/>
          <w:sz w:val="20"/>
        </w:rPr>
        <w:t xml:space="preserve">) indicating additions to the Existing Agreement and with text marked in strikethrough (e.g., </w:t>
      </w:r>
      <w:r>
        <w:rPr>
          <w:rFonts w:ascii="Times New Roman;Times;Serif" w:hAnsi="Times New Roman;Times;Serif"/>
          <w:b w:val="false"/>
          <w:i w:val="false"/>
          <w:caps w:val="false"/>
          <w:smallCaps w:val="false"/>
          <w:strike/>
          <w:color w:val="FF0000"/>
          <w:sz w:val="20"/>
        </w:rPr>
        <w:t>deletion</w:t>
      </w:r>
      <w:r>
        <w:rPr>
          <w:rFonts w:ascii="Times New Roman;Times;Serif" w:hAnsi="Times New Roman;Times;Serif"/>
          <w:b w:val="false"/>
          <w:i w:val="false"/>
          <w:caps w:val="false"/>
          <w:smallCaps w:val="false"/>
          <w:sz w:val="20"/>
        </w:rPr>
        <w:t xml:space="preserve">) indicating deletions to the Existing Agreement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The Effective Date shall not occur until the following conditions have been satisfied: (i) the Administrative Agent shall have received duly executed counterparts of this Amendment properly executed by each of CPS, the Borrower, the Lenders and the Administrative Agent; and (ii) the Borrower shall have paid or caused to be paid all fees, expenses and other amounts previously incurred and due and payable as of the date hereof under each Transaction Document, including without limitation all fees and expenses pertaining to this Amendment.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Amendment is a “Transaction Document”</w:t>
      </w:r>
      <w:r>
        <w:rPr>
          <w:rFonts w:ascii="Times New Roman;Times;Serif" w:hAnsi="Times New Roman;Times;Serif"/>
          <w:b w:val="false"/>
          <w:i w:val="false"/>
          <w:caps w:val="false"/>
          <w:smallCaps w:val="false"/>
          <w:sz w:val="20"/>
        </w:rPr>
        <w:t>. This Amendment is a Transaction Document and all references to a “Transaction Document” in the Agreement and the other Transaction Documents (including, without limitation, all such references in the representations and warranties in the Agreement and the other Transaction Documents) shall be deemed to include this Amendment.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Representations and Warranties; No Default</w:t>
      </w:r>
      <w:r>
        <w:rPr>
          <w:rFonts w:ascii="Times New Roman;Times;Serif" w:hAnsi="Times New Roman;Times;Serif"/>
          <w:b w:val="false"/>
          <w:i w:val="false"/>
          <w:caps w:val="false"/>
          <w:smallCaps w:val="false"/>
          <w:sz w:val="20"/>
        </w:rPr>
        <w:t>. Each of the Borrower and CPS represents and warrants to the Administrative Agent that after giving effect to this Amendment:</w:t>
      </w:r>
    </w:p>
    <w:p>
      <w:pPr>
        <w:pStyle w:val="TextBody"/>
        <w:bidi w:val="0"/>
        <w:spacing w:before="0" w:after="0"/>
        <w:ind w:left="1440" w:right="360" w:hanging="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duly organized, validly existing and in good standing under the laws of its jurisdiction of organization;</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by it of this Amendment are within its powers, have been duly authorized, and do not contravene (A) its certificate of formation, certificate of incorporation, limited liability company operating agreement, by-laws or other organizational documents, as applicable, or (B) any applicable law;</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consent, license, permit, approval or authorization of, or registration, filing or declaration with any governmental authority, is required in connection with the execution, delivery, performance, validity or enforceability of this Amendment by or against it;</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Amendment has been duly executed and delivered by it;</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Amendment constitutes its legal, valid and binding obligation enforceable against it in accordance with its terms, except as enforceability may be limited by applicable bankruptcy, insolvency, reorganization, moratorium or similar laws affecting the enforcement of creditors’ rights generally or by general principles of equity;</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the representations and warranties set forth in Sections 5.1 and 5.2, as applicable, of the Agreement is true and correct;</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Termination Event or Amortization Event has occurred and is continuing and no event or condition exists that, with the giving of notice and/or passage of time, would constitute a Termination Event or Amortization Event.</w:t>
      </w:r>
    </w:p>
    <w:p>
      <w:pPr>
        <w:pStyle w:val="TextBody"/>
        <w:bidi w:val="0"/>
        <w:spacing w:before="0" w:after="0"/>
        <w:ind w:left="1440" w:right="357" w:firstLine="144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Reaffirmation of Obligations</w:t>
      </w:r>
      <w:r>
        <w:rPr>
          <w:rFonts w:ascii="Times New Roman;Times;Serif" w:hAnsi="Times New Roman;Times;Serif"/>
          <w:b w:val="false"/>
          <w:i w:val="false"/>
          <w:caps w:val="false"/>
          <w:smallCaps w:val="false"/>
          <w:sz w:val="20"/>
        </w:rPr>
        <w:t>. Each of the Borrower and CPS (a) acknowledges and consents to all of the terms and conditions of this Amendment, (b) affirms all of its obligations under the Transaction Documents and (c) agrees that this Amendment does not operate to reduce or discharge the Borrower’s or CPS’s obligations under the Transaction Documents.</w:t>
      </w:r>
    </w:p>
    <w:p>
      <w:pPr>
        <w:pStyle w:val="TextBody"/>
        <w:bidi w:val="0"/>
        <w:spacing w:before="0" w:after="0"/>
        <w:ind w:left="1439" w:right="358"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Amendment may be signed in any number of counterparts, each of which shall be an original, with the same effect as if the signature thereto and hereto were on the same instrument. This Amendment may be executed and delivered by facsimile, portable document format (.pdf), or other Electronic Transmission (as defined below) all with the same force and effect as if the same was a fully executed and delivered original manual counterpart. Delivery of an executed electronic signature page of this Amendment by facsimile, portable document format (.pdf), or Electronic Transmission shall be as effective as delivery of a manually executed counterpart hereof and each party to this Amendment agrees that it will be bound by its own signature and that it accepts the facsimile, portable document format (.pdf), or other electronic signature of each other party to this Amendment. For the avoidance of doubt, the authorization under this paragraph may include, without limitation, use or acceptance by the Administrative Agent of a manually signed paper Amendment which has been converted into electronic form (such as scanned portable format (.pdf)), or an electronically signed Amendment converted into another format, for transmission, delivery and/or retention. The Administrative Agent may, at its option, create one or more copies of the Amendment in an electronic form, which shall be deemed created in the ordinary course of the Administrative Agent’s business, and destroy the original paper document. The words “execution,” “executed,” “signed,” “signature,” and words of like import in this paragraph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Laws,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descriptive headings of the various sections of this Amendment are inserted for convenience of reference only and shall not be deemed to affect the meaning or construction of any of the provisions hereof.</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Amendment may not be amended or otherwise modified except as provided in the Agreement.</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modified hereby, all of the terms and provisions of the Transaction Documents shall remain in full force and effect.</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failure or unenforceability of any provision hereof shall not affect the other provisions of this Amendment.</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Whenever the context and construction so require, all words used in the singular number herein shall be deemed to have been used in the plural, and vice versa, and the masculine gender shall include the feminine and neuter and the neuter shall include the masculine and feminine.</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Amendment represents the final agreement between the parties only with respect to the subject matter expressly covered hereby and may not be contradicted by evidence of prior, contemporaneous or subsequent oral agreements between the parties. There are no unwritten oral agreements between the parties.</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AMENDMENT OR THE TRANSACTIONS CONTEMPLATED HEREBY. INSTEAD, ANY SUCH DISPUTE RESOLVED IN COURT WILL BE RESOLVED IN A BENCH TRIAL WITHOUT A JURY.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THIS AMENDMENT SHALL BE GOVERNED BY, AND CONSTRUED IN ACCORDANCE WITH, THE LAWS OF THE STATE OF NEW YORK (WITHOUT REFERENCE TO ITS CONFLICT OF LAWS PROVISIONS (OTHER THAN §§ 5-1401 AND 5-1402 OF THE NEW YORK GENERAL OBLIGATIONS LAW). EACH OF THE PARTIES HERETO HEREBY AGREES TO THE 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pStyle w:val="TextBody"/>
        <w:bidi w:val="0"/>
        <w:spacing w:before="0" w:after="0"/>
        <w:ind w:left="1440" w:right="354" w:firstLine="144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Limited Recourse</w:t>
      </w:r>
      <w:r>
        <w:rPr>
          <w:rFonts w:ascii="Times New Roman;Times;Serif" w:hAnsi="Times New Roman;Times;Serif"/>
          <w:b w:val="false"/>
          <w:i w:val="false"/>
          <w:caps w:val="false"/>
          <w:smallCaps w:val="false"/>
          <w:sz w:val="20"/>
        </w:rPr>
        <w:t xml:space="preserve">. The provisions of Sections 15.10 of the Agreement are hereby incorporated by reference as if fully set forth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1440" w:right="36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left intentionally blank]</w:t>
      </w:r>
    </w:p>
    <w:p>
      <w:pPr>
        <w:pStyle w:val="TextBody"/>
        <w:bidi w:val="0"/>
        <w:spacing w:before="0" w:after="0"/>
        <w:ind w:left="4142"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hereto has caused a counterpart of this Amendment to be duly executed and delivered as of the date first above written.</w:t>
      </w:r>
    </w:p>
    <w:p>
      <w:pPr>
        <w:pStyle w:val="TextBody"/>
        <w:bidi w:val="0"/>
        <w:spacing w:before="0" w:after="0"/>
        <w:jc w:val="left"/>
        <w:rPr>
          <w:caps w:val="false"/>
          <w:smallCaps w:val="false"/>
          <w:color w:val="232323"/>
        </w:rPr>
      </w:pPr>
      <w:r>
        <w:rPr>
          <w:caps w:val="false"/>
          <w:smallCaps w:val="false"/>
          <w:color w:val="232323"/>
        </w:rPr>
        <w:t> </w:t>
      </w:r>
    </w:p>
    <w:tbl>
      <w:tblPr>
        <w:tblW w:w="4025" w:type="dxa"/>
        <w:jc w:val="left"/>
        <w:tblInd w:w="0" w:type="dxa"/>
        <w:tblLayout w:type="fixed"/>
        <w:tblCellMar>
          <w:top w:w="0" w:type="dxa"/>
          <w:left w:w="0" w:type="dxa"/>
          <w:bottom w:w="0" w:type="dxa"/>
          <w:right w:w="0" w:type="dxa"/>
        </w:tblCellMar>
      </w:tblPr>
      <w:tblGrid>
        <w:gridCol w:w="75"/>
        <w:gridCol w:w="3950"/>
      </w:tblGrid>
      <w:tr>
        <w:trPr/>
        <w:tc>
          <w:tcPr>
            <w:tcW w:w="75"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jc w:val="left"/>
              <w:rPr/>
            </w:pPr>
            <w:r>
              <w:rPr>
                <w:b/>
                <w:u w:val="single"/>
              </w:rPr>
              <w:t>BORROWER:</w:t>
            </w:r>
            <w:r>
              <w:rPr/>
              <w:t xml:space="preserve"> </w:t>
            </w:r>
          </w:p>
          <w:p>
            <w:pPr>
              <w:pStyle w:val="TableContents"/>
              <w:bidi w:val="0"/>
              <w:spacing w:before="0" w:after="0"/>
              <w:jc w:val="left"/>
              <w:rPr>
                <w:caps w:val="false"/>
                <w:smallCaps w:val="false"/>
                <w:color w:val="232323"/>
              </w:rPr>
            </w:pPr>
            <w:r>
              <w:rPr>
                <w:caps w:val="false"/>
                <w:smallCaps w:val="false"/>
                <w:color w:val="232323"/>
              </w:rPr>
              <w:t> </w:t>
            </w:r>
          </w:p>
          <w:p>
            <w:pPr>
              <w:pStyle w:val="TableContents"/>
              <w:bidi w:val="0"/>
              <w:spacing w:before="0" w:after="0"/>
              <w:jc w:val="left"/>
              <w:rPr>
                <w:rFonts w:ascii="Times New Roman;Times;Serif" w:hAnsi="Times New Roman;Times;Serif"/>
                <w:b/>
                <w:i w:val="false"/>
                <w:caps w:val="false"/>
                <w:smallCaps w:val="false"/>
                <w:color w:val="232323"/>
                <w:sz w:val="20"/>
              </w:rPr>
            </w:pPr>
            <w:r>
              <w:rPr>
                <w:rFonts w:ascii="Times New Roman;Times;Serif" w:hAnsi="Times New Roman;Times;Serif"/>
                <w:b/>
                <w:i w:val="false"/>
                <w:caps w:val="false"/>
                <w:smallCaps w:val="false"/>
                <w:color w:val="232323"/>
                <w:sz w:val="20"/>
              </w:rPr>
              <w:t>PAGE ELEVEN FUNDING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color w:val="232323"/>
                <w:sz w:val="20"/>
              </w:rPr>
            </w:pPr>
            <w:r>
              <w:rPr>
                <w:rFonts w:ascii="Times New Roman;Times;Serif" w:hAnsi="Times New Roman;Times;Serif"/>
                <w:b w:val="false"/>
                <w:i w:val="false"/>
                <w:caps w:val="false"/>
                <w:smallCaps w:val="false"/>
                <w:color w:val="232323"/>
                <w:sz w:val="20"/>
              </w:rPr>
              <w:t>By:     </w:t>
            </w:r>
            <w:r>
              <w:rPr>
                <w:rFonts w:ascii="Times New Roman;Times;Serif" w:hAnsi="Times New Roman;Times;Serif"/>
                <w:b w:val="false"/>
                <w:i w:val="false"/>
                <w:caps w:val="false"/>
                <w:smallCaps w:val="false"/>
                <w:color w:val="232323"/>
                <w:sz w:val="20"/>
                <w:u w:val="single"/>
              </w:rPr>
              <w:t>/s/ Denesh Bharwani</w:t>
            </w:r>
          </w:p>
          <w:p>
            <w:pPr>
              <w:pStyle w:val="TableContents"/>
              <w:bidi w:val="0"/>
              <w:spacing w:before="0" w:after="0"/>
              <w:jc w:val="left"/>
              <w:rPr>
                <w:rFonts w:ascii="Times New Roman;Times;Serif" w:hAnsi="Times New Roman;Times;Serif"/>
                <w:b w:val="false"/>
                <w:i w:val="false"/>
                <w:caps w:val="false"/>
                <w:smallCaps w:val="false"/>
                <w:color w:val="232323"/>
                <w:sz w:val="20"/>
              </w:rPr>
            </w:pPr>
            <w:r>
              <w:rPr>
                <w:rFonts w:ascii="Times New Roman;Times;Serif" w:hAnsi="Times New Roman;Times;Serif"/>
                <w:b w:val="false"/>
                <w:i w:val="false"/>
                <w:caps w:val="false"/>
                <w:smallCaps w:val="false"/>
                <w:color w:val="232323"/>
                <w:sz w:val="20"/>
              </w:rPr>
              <w:t>Name: Denesh Bharwani</w:t>
            </w:r>
          </w:p>
          <w:p>
            <w:pPr>
              <w:pStyle w:val="TableContents"/>
              <w:bidi w:val="0"/>
              <w:spacing w:before="0" w:after="0"/>
              <w:jc w:val="left"/>
              <w:rPr>
                <w:rFonts w:ascii="Times New Roman;Times;Serif" w:hAnsi="Times New Roman;Times;Serif"/>
                <w:b w:val="false"/>
                <w:i w:val="false"/>
                <w:caps w:val="false"/>
                <w:smallCaps w:val="false"/>
                <w:color w:val="232323"/>
                <w:sz w:val="20"/>
              </w:rPr>
            </w:pPr>
            <w:r>
              <w:rPr>
                <w:rFonts w:ascii="Times New Roman;Times;Serif" w:hAnsi="Times New Roman;Times;Serif"/>
                <w:b w:val="false"/>
                <w:i w:val="false"/>
                <w:caps w:val="false"/>
                <w:smallCaps w:val="false"/>
                <w:color w:val="232323"/>
                <w:sz w:val="20"/>
              </w:rPr>
              <w:t>Title: Vice President and Chief Financial Officer</w:t>
            </w:r>
          </w:p>
        </w:tc>
      </w:tr>
    </w:tbl>
    <w:p>
      <w:pPr>
        <w:pStyle w:val="TextBody"/>
        <w:bidi w:val="0"/>
        <w:spacing w:before="0" w:after="283"/>
        <w:jc w:val="left"/>
        <w:rPr/>
      </w:pPr>
      <w:r>
        <w:rPr/>
        <w:t> </w:t>
      </w:r>
    </w:p>
    <w:p>
      <w:pPr>
        <w:pStyle w:val="TextBody"/>
        <w:bidi w:val="0"/>
        <w:spacing w:before="0" w:after="283"/>
        <w:jc w:val="left"/>
        <w:rPr/>
      </w:pPr>
      <w:r>
        <w:rPr/>
        <w:t> </w:t>
      </w:r>
    </w:p>
    <w:tbl>
      <w:tblPr>
        <w:tblW w:w="4895" w:type="dxa"/>
        <w:jc w:val="left"/>
        <w:tblInd w:w="0" w:type="dxa"/>
        <w:tblLayout w:type="fixed"/>
        <w:tblCellMar>
          <w:top w:w="0" w:type="dxa"/>
          <w:left w:w="0" w:type="dxa"/>
          <w:bottom w:w="0" w:type="dxa"/>
          <w:right w:w="0" w:type="dxa"/>
        </w:tblCellMar>
      </w:tblPr>
      <w:tblGrid>
        <w:gridCol w:w="75"/>
        <w:gridCol w:w="4820"/>
      </w:tblGrid>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r>
              <w:rPr>
                <w:b/>
                <w:sz w:val="20"/>
              </w:rPr>
              <w:t>CONSUMER PORTFOLIO SERVICES, INC.</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sz w:val="20"/>
              </w:rPr>
            </w:pPr>
            <w:r>
              <w:rPr>
                <w:sz w:val="20"/>
              </w:rPr>
              <w:t>By:     </w:t>
            </w:r>
            <w:r>
              <w:rPr>
                <w:sz w:val="20"/>
                <w:u w:val="single"/>
              </w:rPr>
              <w:t>/s/ Denesh Bharwani</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sz w:val="20"/>
              </w:rPr>
            </w:pPr>
            <w:r>
              <w:rPr>
                <w:sz w:val="20"/>
              </w:rPr>
              <w:t xml:space="preserve">Name: Denesh Bharwani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sz w:val="20"/>
              </w:rPr>
            </w:pPr>
            <w:r>
              <w:rPr>
                <w:sz w:val="20"/>
              </w:rPr>
              <w:t>Title: Executive Vice President and Chief Financial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15"/>
        <w:gridCol w:w="7615"/>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AGENT</w:t>
            </w:r>
            <w:r>
              <w:rPr>
                <w:rFonts w:ascii="Times New Roman;Times;Serif" w:hAnsi="Times New Roman;Times;Serif"/>
                <w:b/>
                <w:i w:val="false"/>
                <w:caps w:val="false"/>
                <w:smallCaps w:val="false"/>
                <w:sz w:val="20"/>
              </w:rPr>
              <w:t>:</w:t>
            </w:r>
          </w:p>
          <w:p>
            <w:pPr>
              <w:pStyle w:val="TableContents"/>
              <w:bidi w:val="0"/>
              <w:spacing w:before="0" w:after="0"/>
              <w:ind w:left="5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 ONE, NATIONAL ASSOCIATION,</w:t>
            </w:r>
            <w:r>
              <w:rPr>
                <w:rFonts w:ascii="Times New Roman;Times;Serif" w:hAnsi="Times New Roman;Times;Serif"/>
                <w:b w:val="false"/>
                <w:i w:val="false"/>
                <w:caps w:val="false"/>
                <w:smallCaps w:val="false"/>
                <w:sz w:val="20"/>
              </w:rPr>
              <w:t xml:space="preserve"> not in its individual capacity, but solely in its capacity as Administrative Agent</w:t>
            </w:r>
          </w:p>
          <w:p>
            <w:pPr>
              <w:pStyle w:val="TableContents"/>
              <w:bidi w:val="0"/>
              <w:spacing w:before="0" w:after="0"/>
              <w:ind w:left="50" w:right="5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15" w:type="dxa"/>
            <w:tcBorders/>
            <w:vAlign w:val="center"/>
          </w:tcPr>
          <w:p>
            <w:pPr>
              <w:pStyle w:val="TableContents"/>
              <w:bidi w:val="0"/>
              <w:spacing w:before="0" w:after="283"/>
              <w:jc w:val="left"/>
              <w:rPr/>
            </w:pPr>
            <w:r>
              <w:rPr/>
              <w:t xml:space="preserve">By: </w:t>
            </w:r>
          </w:p>
        </w:tc>
        <w:tc>
          <w:tcPr>
            <w:tcW w:w="7615" w:type="dxa"/>
            <w:tcBorders/>
            <w:vAlign w:val="center"/>
          </w:tcPr>
          <w:p>
            <w:pPr>
              <w:pStyle w:val="TableContents"/>
              <w:bidi w:val="0"/>
              <w:spacing w:before="0" w:after="283"/>
              <w:jc w:val="left"/>
              <w:rPr>
                <w:u w:val="single"/>
              </w:rPr>
            </w:pPr>
            <w:r>
              <w:rPr>
                <w:u w:val="single"/>
              </w:rPr>
              <w:t>/s/ Austin Brown</w:t>
            </w:r>
          </w:p>
        </w:tc>
      </w:tr>
      <w:tr>
        <w:trPr/>
        <w:tc>
          <w:tcPr>
            <w:tcW w:w="75" w:type="dxa"/>
            <w:tcBorders/>
            <w:vAlign w:val="center"/>
          </w:tcPr>
          <w:p>
            <w:pPr>
              <w:pStyle w:val="TableContents"/>
              <w:bidi w:val="0"/>
              <w:spacing w:before="0" w:after="283"/>
              <w:jc w:val="left"/>
              <w:rPr/>
            </w:pPr>
            <w:r>
              <w:rPr/>
              <w:t> </w:t>
            </w:r>
          </w:p>
        </w:tc>
        <w:tc>
          <w:tcPr>
            <w:tcW w:w="2515" w:type="dxa"/>
            <w:tcBorders/>
            <w:vAlign w:val="center"/>
          </w:tcPr>
          <w:p>
            <w:pPr>
              <w:pStyle w:val="TableContents"/>
              <w:bidi w:val="0"/>
              <w:spacing w:before="0" w:after="283"/>
              <w:jc w:val="left"/>
              <w:rPr>
                <w:sz w:val="20"/>
              </w:rPr>
            </w:pPr>
            <w:r>
              <w:rPr>
                <w:sz w:val="20"/>
              </w:rPr>
              <w:t>Name:</w:t>
            </w:r>
          </w:p>
        </w:tc>
        <w:tc>
          <w:tcPr>
            <w:tcW w:w="7615" w:type="dxa"/>
            <w:tcBorders/>
            <w:vAlign w:val="center"/>
          </w:tcPr>
          <w:p>
            <w:pPr>
              <w:pStyle w:val="TableContents"/>
              <w:bidi w:val="0"/>
              <w:spacing w:before="0" w:after="283"/>
              <w:jc w:val="left"/>
              <w:rPr>
                <w:sz w:val="20"/>
              </w:rPr>
            </w:pPr>
            <w:r>
              <w:rPr>
                <w:sz w:val="20"/>
              </w:rPr>
              <w:t>Austin Brown</w:t>
            </w:r>
          </w:p>
        </w:tc>
      </w:tr>
      <w:tr>
        <w:trPr/>
        <w:tc>
          <w:tcPr>
            <w:tcW w:w="75" w:type="dxa"/>
            <w:tcBorders/>
            <w:vAlign w:val="center"/>
          </w:tcPr>
          <w:p>
            <w:pPr>
              <w:pStyle w:val="TableContents"/>
              <w:bidi w:val="0"/>
              <w:spacing w:before="0" w:after="283"/>
              <w:jc w:val="left"/>
              <w:rPr/>
            </w:pPr>
            <w:r>
              <w:rPr/>
              <w:t> </w:t>
            </w:r>
          </w:p>
        </w:tc>
        <w:tc>
          <w:tcPr>
            <w:tcW w:w="2515" w:type="dxa"/>
            <w:tcBorders/>
            <w:vAlign w:val="center"/>
          </w:tcPr>
          <w:p>
            <w:pPr>
              <w:pStyle w:val="TableContents"/>
              <w:bidi w:val="0"/>
              <w:spacing w:before="0" w:after="283"/>
              <w:jc w:val="left"/>
              <w:rPr>
                <w:sz w:val="20"/>
              </w:rPr>
            </w:pPr>
            <w:r>
              <w:rPr>
                <w:sz w:val="20"/>
              </w:rPr>
              <w:t>Title:</w:t>
            </w:r>
          </w:p>
        </w:tc>
        <w:tc>
          <w:tcPr>
            <w:tcW w:w="7615" w:type="dxa"/>
            <w:tcBorders/>
            <w:vAlign w:val="center"/>
          </w:tcPr>
          <w:p>
            <w:pPr>
              <w:pStyle w:val="TableContents"/>
              <w:bidi w:val="0"/>
              <w:spacing w:before="0" w:after="283"/>
              <w:jc w:val="left"/>
              <w:rPr>
                <w:sz w:val="20"/>
              </w:rPr>
            </w:pPr>
            <w:r>
              <w:rPr>
                <w:sz w:val="20"/>
              </w:rPr>
              <w:t>Director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LENDERS</w:t>
            </w:r>
            <w:r>
              <w:rPr>
                <w:rFonts w:ascii="Times New Roman;Times;Serif" w:hAnsi="Times New Roman;Times;Serif"/>
                <w:b/>
                <w:i w:val="false"/>
                <w:caps w:val="false"/>
                <w:smallCaps w:val="false"/>
                <w:sz w:val="20"/>
              </w:rPr>
              <w:t>:</w:t>
            </w:r>
          </w:p>
          <w:p>
            <w:pPr>
              <w:pStyle w:val="TableContents"/>
              <w:bidi w:val="0"/>
              <w:spacing w:before="0" w:after="0"/>
              <w:ind w:left="5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 ONE, NATIONAL ASSOCIATION</w:t>
            </w:r>
            <w:r>
              <w:rPr>
                <w:rFonts w:ascii="Times New Roman;Times;Serif" w:hAnsi="Times New Roman;Times;Serif"/>
                <w:b w:val="false"/>
                <w:i w:val="false"/>
                <w:caps w:val="false"/>
                <w:smallCaps w:val="false"/>
                <w:sz w:val="20"/>
              </w:rPr>
              <w:t>, as a Bank and as a Lender Group Agent</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15" w:type="dxa"/>
            <w:tcBorders/>
            <w:vAlign w:val="center"/>
          </w:tcPr>
          <w:p>
            <w:pPr>
              <w:pStyle w:val="TableContents"/>
              <w:bidi w:val="0"/>
              <w:spacing w:before="0" w:after="283"/>
              <w:jc w:val="left"/>
              <w:rPr/>
            </w:pPr>
            <w:r>
              <w:rPr/>
              <w:t>By:</w:t>
            </w:r>
          </w:p>
        </w:tc>
        <w:tc>
          <w:tcPr>
            <w:tcW w:w="7615" w:type="dxa"/>
            <w:tcBorders/>
            <w:vAlign w:val="center"/>
          </w:tcPr>
          <w:p>
            <w:pPr>
              <w:pStyle w:val="TableContents"/>
              <w:bidi w:val="0"/>
              <w:spacing w:before="0" w:after="283"/>
              <w:jc w:val="left"/>
              <w:rPr>
                <w:u w:val="single"/>
              </w:rPr>
            </w:pPr>
            <w:r>
              <w:rPr>
                <w:u w:val="single"/>
              </w:rPr>
              <w:t>/s/ Austin Brown</w:t>
            </w:r>
          </w:p>
        </w:tc>
      </w:tr>
      <w:tr>
        <w:trPr/>
        <w:tc>
          <w:tcPr>
            <w:tcW w:w="75" w:type="dxa"/>
            <w:tcBorders/>
            <w:vAlign w:val="center"/>
          </w:tcPr>
          <w:p>
            <w:pPr>
              <w:pStyle w:val="TableContents"/>
              <w:bidi w:val="0"/>
              <w:spacing w:before="0" w:after="283"/>
              <w:jc w:val="left"/>
              <w:rPr/>
            </w:pPr>
            <w:r>
              <w:rPr/>
              <w:t> </w:t>
            </w:r>
          </w:p>
        </w:tc>
        <w:tc>
          <w:tcPr>
            <w:tcW w:w="2515" w:type="dxa"/>
            <w:tcBorders/>
            <w:vAlign w:val="center"/>
          </w:tcPr>
          <w:p>
            <w:pPr>
              <w:pStyle w:val="TableContents"/>
              <w:bidi w:val="0"/>
              <w:spacing w:before="0" w:after="283"/>
              <w:jc w:val="left"/>
              <w:rPr>
                <w:sz w:val="20"/>
              </w:rPr>
            </w:pPr>
            <w:r>
              <w:rPr>
                <w:sz w:val="20"/>
              </w:rPr>
              <w:t>Name:</w:t>
            </w:r>
          </w:p>
        </w:tc>
        <w:tc>
          <w:tcPr>
            <w:tcW w:w="7615" w:type="dxa"/>
            <w:tcBorders/>
            <w:vAlign w:val="center"/>
          </w:tcPr>
          <w:p>
            <w:pPr>
              <w:pStyle w:val="TableContents"/>
              <w:bidi w:val="0"/>
              <w:spacing w:before="0" w:after="283"/>
              <w:jc w:val="left"/>
              <w:rPr>
                <w:sz w:val="20"/>
              </w:rPr>
            </w:pPr>
            <w:r>
              <w:rPr>
                <w:sz w:val="20"/>
              </w:rPr>
              <w:t>Austin Brown</w:t>
            </w:r>
          </w:p>
        </w:tc>
      </w:tr>
      <w:tr>
        <w:trPr/>
        <w:tc>
          <w:tcPr>
            <w:tcW w:w="75" w:type="dxa"/>
            <w:tcBorders/>
            <w:vAlign w:val="center"/>
          </w:tcPr>
          <w:p>
            <w:pPr>
              <w:pStyle w:val="TableContents"/>
              <w:bidi w:val="0"/>
              <w:spacing w:before="0" w:after="283"/>
              <w:jc w:val="left"/>
              <w:rPr/>
            </w:pPr>
            <w:r>
              <w:rPr/>
              <w:t> </w:t>
            </w:r>
          </w:p>
        </w:tc>
        <w:tc>
          <w:tcPr>
            <w:tcW w:w="2515" w:type="dxa"/>
            <w:tcBorders/>
            <w:vAlign w:val="center"/>
          </w:tcPr>
          <w:p>
            <w:pPr>
              <w:pStyle w:val="TableContents"/>
              <w:bidi w:val="0"/>
              <w:spacing w:before="0" w:after="283"/>
              <w:jc w:val="left"/>
              <w:rPr>
                <w:sz w:val="20"/>
              </w:rPr>
            </w:pPr>
            <w:r>
              <w:rPr>
                <w:sz w:val="20"/>
              </w:rPr>
              <w:t>Title:</w:t>
            </w:r>
          </w:p>
        </w:tc>
        <w:tc>
          <w:tcPr>
            <w:tcW w:w="7615" w:type="dxa"/>
            <w:tcBorders/>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75"/>
        <w:gridCol w:w="5480"/>
      </w:tblGrid>
      <w:tr>
        <w:trPr/>
        <w:tc>
          <w:tcPr>
            <w:tcW w:w="7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b/>
                <w:sz w:val="20"/>
              </w:rPr>
            </w:pPr>
            <w:r>
              <w:rPr>
                <w:b/>
                <w:sz w:val="20"/>
              </w:rPr>
              <w:t>OAKTREE ASSET-BACKED FINANCE FUND LOAN SPV, L.P.</w:t>
            </w:r>
          </w:p>
        </w:tc>
      </w:tr>
      <w:tr>
        <w:trPr/>
        <w:tc>
          <w:tcPr>
            <w:tcW w:w="7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sz w:val="20"/>
              </w:rPr>
            </w:pPr>
            <w:r>
              <w:rPr>
                <w:sz w:val="20"/>
              </w:rPr>
              <w:t>as a Committed Lender and as a Class B Lender</w:t>
            </w:r>
          </w:p>
        </w:tc>
      </w:tr>
      <w:tr>
        <w:trPr/>
        <w:tc>
          <w:tcPr>
            <w:tcW w:w="7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sz w:val="20"/>
              </w:rPr>
            </w:pPr>
            <w:r>
              <w:rPr>
                <w:sz w:val="20"/>
              </w:rPr>
              <w:t>By: Oaktree Asset-Backed Finance Fund GP, L.P.</w:t>
            </w:r>
          </w:p>
        </w:tc>
      </w:tr>
      <w:tr>
        <w:trPr/>
        <w:tc>
          <w:tcPr>
            <w:tcW w:w="7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sz w:val="20"/>
              </w:rPr>
            </w:pPr>
            <w:r>
              <w:rPr>
                <w:sz w:val="20"/>
              </w:rPr>
              <w:t>By: Oaktree Asset-Backed Finance Fund GP Ltd.</w:t>
            </w:r>
          </w:p>
        </w:tc>
      </w:tr>
      <w:tr>
        <w:trPr/>
        <w:tc>
          <w:tcPr>
            <w:tcW w:w="7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sz w:val="20"/>
              </w:rPr>
            </w:pPr>
            <w:r>
              <w:rPr>
                <w:sz w:val="20"/>
              </w:rPr>
              <w:t>By: Oaktree Capital Management, L.P.</w:t>
            </w:r>
          </w:p>
        </w:tc>
      </w:tr>
      <w:tr>
        <w:trPr/>
        <w:tc>
          <w:tcPr>
            <w:tcW w:w="7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sz w:val="20"/>
              </w:rPr>
            </w:pPr>
            <w:r>
              <w:rPr>
                <w:sz w:val="20"/>
              </w:rPr>
              <w:t>Its: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20" w:type="dxa"/>
        <w:jc w:val="left"/>
        <w:tblInd w:w="0" w:type="dxa"/>
        <w:tblLayout w:type="fixed"/>
        <w:tblCellMar>
          <w:top w:w="0" w:type="dxa"/>
          <w:left w:w="0" w:type="dxa"/>
          <w:bottom w:w="0" w:type="dxa"/>
          <w:right w:w="0" w:type="dxa"/>
        </w:tblCellMar>
      </w:tblPr>
      <w:tblGrid>
        <w:gridCol w:w="75"/>
        <w:gridCol w:w="2645"/>
      </w:tblGrid>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xml:space="preserve">By: </w:t>
            </w:r>
            <w:r>
              <w:rPr>
                <w:u w:val="single"/>
              </w:rPr>
              <w:t>/s/ Christopher Gray</w:t>
            </w:r>
          </w:p>
        </w:tc>
      </w:tr>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Name: Christopher Gray</w:t>
            </w:r>
          </w:p>
        </w:tc>
      </w:tr>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Title: Managing Director</w:t>
            </w:r>
          </w:p>
        </w:tc>
      </w:tr>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xml:space="preserve">By: </w:t>
            </w:r>
            <w:r>
              <w:rPr>
                <w:u w:val="single"/>
              </w:rPr>
              <w:t>/s/ Matthew Scheer</w:t>
            </w:r>
          </w:p>
        </w:tc>
      </w:tr>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Name: Matthew Scheer</w:t>
            </w:r>
          </w:p>
        </w:tc>
      </w:tr>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75"/>
        <w:gridCol w:w="4415"/>
      </w:tblGrid>
      <w:tr>
        <w:trPr/>
        <w:tc>
          <w:tcPr>
            <w:tcW w:w="75"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ASSET-BACKED INCOME FUND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Committed Lender and as a Class B Lender</w:t>
            </w:r>
          </w:p>
        </w:tc>
      </w:tr>
      <w:tr>
        <w:trPr/>
        <w:tc>
          <w:tcPr>
            <w:tcW w:w="75"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By: Oaktree Fund Advisors, LLC</w:t>
            </w:r>
          </w:p>
        </w:tc>
      </w:tr>
      <w:tr>
        <w:trPr/>
        <w:tc>
          <w:tcPr>
            <w:tcW w:w="75"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Its: Investment Advisor</w:t>
            </w:r>
          </w:p>
        </w:tc>
      </w:tr>
      <w:tr>
        <w:trPr/>
        <w:tc>
          <w:tcPr>
            <w:tcW w:w="75"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465" w:type="dxa"/>
        <w:jc w:val="left"/>
        <w:tblInd w:w="0" w:type="dxa"/>
        <w:tblLayout w:type="fixed"/>
        <w:tblCellMar>
          <w:top w:w="0" w:type="dxa"/>
          <w:left w:w="0" w:type="dxa"/>
          <w:bottom w:w="0" w:type="dxa"/>
          <w:right w:w="0" w:type="dxa"/>
        </w:tblCellMar>
      </w:tblPr>
      <w:tblGrid>
        <w:gridCol w:w="75"/>
        <w:gridCol w:w="2390"/>
      </w:tblGrid>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xml:space="preserve">By: </w:t>
            </w:r>
            <w:r>
              <w:rPr>
                <w:u w:val="single"/>
              </w:rPr>
              <w:t>/s/ Christopher Gray</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Name: Christopher Gray</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Title: Managing Director</w:t>
            </w:r>
          </w:p>
        </w:tc>
      </w:tr>
    </w:tbl>
    <w:p>
      <w:pPr>
        <w:pStyle w:val="TextBody"/>
        <w:bidi w:val="0"/>
        <w:spacing w:before="0" w:after="283"/>
        <w:jc w:val="left"/>
        <w:rPr/>
      </w:pPr>
      <w:r>
        <w:rPr/>
        <w:t> </w:t>
      </w:r>
    </w:p>
    <w:p>
      <w:pPr>
        <w:pStyle w:val="TextBody"/>
        <w:bidi w:val="0"/>
        <w:spacing w:before="0" w:after="283"/>
        <w:jc w:val="left"/>
        <w:rPr/>
      </w:pPr>
      <w:r>
        <w:rPr/>
        <w:t> </w:t>
      </w:r>
    </w:p>
    <w:tbl>
      <w:tblPr>
        <w:tblW w:w="2720" w:type="dxa"/>
        <w:jc w:val="left"/>
        <w:tblInd w:w="0" w:type="dxa"/>
        <w:tblLayout w:type="fixed"/>
        <w:tblCellMar>
          <w:top w:w="0" w:type="dxa"/>
          <w:left w:w="0" w:type="dxa"/>
          <w:bottom w:w="0" w:type="dxa"/>
          <w:right w:w="0" w:type="dxa"/>
        </w:tblCellMar>
      </w:tblPr>
      <w:tblGrid>
        <w:gridCol w:w="75"/>
        <w:gridCol w:w="2645"/>
      </w:tblGrid>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xml:space="preserve">By: </w:t>
            </w:r>
            <w:r>
              <w:rPr>
                <w:u w:val="single"/>
              </w:rPr>
              <w:t>/s/ Matthew Scheer</w:t>
            </w:r>
          </w:p>
        </w:tc>
      </w:tr>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Name: Matthew Scheer</w:t>
            </w:r>
          </w:p>
        </w:tc>
      </w:tr>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Title: Senior Vice President</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the Agreement See attached.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58" w:right="358" w:hanging="0"/>
        <w:jc w:val="right"/>
        <w:rPr>
          <w:rFonts w:ascii="Times New Roman;Times;Serif" w:hAnsi="Times New Roman;Times;Serif"/>
          <w:b/>
          <w:i/>
          <w:caps w:val="false"/>
          <w:smallCaps w:val="false"/>
          <w:color w:val="0000FF"/>
          <w:sz w:val="20"/>
          <w:u w:val="single"/>
        </w:rPr>
      </w:pPr>
      <w:r>
        <w:rPr>
          <w:rFonts w:ascii="Times New Roman;Times;Serif" w:hAnsi="Times New Roman;Times;Serif"/>
          <w:b/>
          <w:i/>
          <w:caps w:val="false"/>
          <w:smallCaps w:val="false"/>
          <w:color w:val="0000FF"/>
          <w:sz w:val="20"/>
          <w:u w:val="single"/>
        </w:rPr>
        <w:t>CONFORMED</w:t>
      </w:r>
    </w:p>
    <w:p>
      <w:pPr>
        <w:pStyle w:val="TextBody"/>
        <w:bidi w:val="0"/>
        <w:spacing w:before="0" w:after="0"/>
        <w:ind w:left="358" w:right="358" w:hanging="0"/>
        <w:jc w:val="righ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rPr>
        <w:t>First Amendment Dated as of April 3, 2026</w:t>
      </w:r>
    </w:p>
    <w:p>
      <w:pPr>
        <w:pStyle w:val="TextBody"/>
        <w:bidi w:val="0"/>
        <w:spacing w:before="0" w:after="0"/>
        <w:ind w:left="359" w:right="359" w:hanging="0"/>
        <w:jc w:val="right"/>
        <w:rPr>
          <w:rFonts w:ascii="Times New Roman;Times;Serif" w:hAnsi="Times New Roman;Times;Serif"/>
          <w:b/>
          <w:i/>
          <w:caps w:val="false"/>
          <w:smallCaps w:val="false"/>
          <w:strike/>
          <w:color w:val="FF0000"/>
          <w:sz w:val="20"/>
        </w:rPr>
      </w:pPr>
      <w:r>
        <w:rPr>
          <w:rFonts w:ascii="Times New Roman;Times;Serif" w:hAnsi="Times New Roman;Times;Serif"/>
          <w:b/>
          <w:i/>
          <w:caps w:val="false"/>
          <w:smallCaps w:val="false"/>
          <w:strike/>
          <w:color w:val="FF0000"/>
          <w:sz w:val="20"/>
        </w:rPr>
        <w:t>Execution Version</w:t>
      </w:r>
    </w:p>
    <w:p>
      <w:pPr>
        <w:pStyle w:val="TextBody"/>
        <w:bidi w:val="0"/>
        <w:spacing w:before="0" w:after="0"/>
        <w:ind w:left="359" w:right="359" w:hanging="0"/>
        <w:jc w:val="righ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AND SECURITY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17,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ELEVEN FUNDING LLC,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Borrower,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Servicer and as Seller,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TRUST COMPANY, 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Custodian, Backup Servicer and Paying Agent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ONE, NATIONAL ASSOCIATION,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Administrative Agent, a Bank and a Lender Group Agent</w:t>
      </w:r>
    </w:p>
    <w:p>
      <w:pPr>
        <w:pStyle w:val="TextBody"/>
        <w:bidi w:val="0"/>
        <w:spacing w:before="0" w:after="0"/>
        <w:ind w:left="1078"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107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1076"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480" w:type="dxa"/>
        <w:jc w:val="left"/>
        <w:tblInd w:w="0" w:type="dxa"/>
        <w:tblLayout w:type="fixed"/>
        <w:tblCellMar>
          <w:top w:w="0" w:type="dxa"/>
          <w:left w:w="0" w:type="dxa"/>
          <w:bottom w:w="0" w:type="dxa"/>
          <w:right w:w="0" w:type="dxa"/>
        </w:tblCellMar>
      </w:tblPr>
      <w:tblGrid>
        <w:gridCol w:w="1955"/>
        <w:gridCol w:w="6965"/>
        <w:gridCol w:w="560"/>
      </w:tblGrid>
      <w:tr>
        <w:trPr/>
        <w:tc>
          <w:tcPr>
            <w:tcW w:w="1955"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center"/>
              <w:rPr/>
            </w:pPr>
            <w:r>
              <w:rPr/>
              <w:t>Page</w:t>
            </w:r>
          </w:p>
        </w:tc>
      </w:tr>
      <w:tr>
        <w:trPr/>
        <w:tc>
          <w:tcPr>
            <w:tcW w:w="1955" w:type="dxa"/>
            <w:tcBorders/>
            <w:shd w:fill="EEEEEE" w:val="clear"/>
            <w:vAlign w:val="center"/>
          </w:tcPr>
          <w:p>
            <w:pPr>
              <w:pStyle w:val="TableContents"/>
              <w:bidi w:val="0"/>
              <w:spacing w:before="0" w:after="283"/>
              <w:jc w:val="left"/>
              <w:rPr/>
            </w:pPr>
            <w:r>
              <w:rPr/>
              <w:t>Article I Definitions</w:t>
            </w:r>
          </w:p>
        </w:tc>
        <w:tc>
          <w:tcPr>
            <w:tcW w:w="6965" w:type="dxa"/>
            <w:tcBorders/>
            <w:shd w:fill="EEEEEE" w:val="clear"/>
            <w:vAlign w:val="center"/>
          </w:tcPr>
          <w:p>
            <w:pPr>
              <w:pStyle w:val="TableContents"/>
              <w:bidi w:val="0"/>
              <w:spacing w:before="0" w:after="283"/>
              <w:jc w:val="left"/>
              <w:rPr/>
            </w:pPr>
            <w:r>
              <w:rPr/>
              <w:t> </w:t>
            </w:r>
          </w:p>
        </w:tc>
        <w:tc>
          <w:tcPr>
            <w:tcW w:w="560" w:type="dxa"/>
            <w:tcBorders/>
            <w:shd w:fill="EEEEEE" w:val="clear"/>
            <w:vAlign w:val="center"/>
          </w:tcPr>
          <w:p>
            <w:pPr>
              <w:pStyle w:val="TableContents"/>
              <w:bidi w:val="0"/>
              <w:spacing w:before="0" w:after="283"/>
              <w:jc w:val="right"/>
              <w:rPr/>
            </w:pPr>
            <w:r>
              <w:rPr/>
              <w:t>1</w:t>
            </w:r>
          </w:p>
        </w:tc>
      </w:tr>
      <w:tr>
        <w:trPr/>
        <w:tc>
          <w:tcPr>
            <w:tcW w:w="1955" w:type="dxa"/>
            <w:tcBorders/>
            <w:shd w:fill="FFFFFF" w:val="clear"/>
            <w:vAlign w:val="center"/>
          </w:tcPr>
          <w:p>
            <w:pPr>
              <w:pStyle w:val="TableContents"/>
              <w:bidi w:val="0"/>
              <w:spacing w:before="0" w:after="283"/>
              <w:jc w:val="left"/>
              <w:rPr/>
            </w:pPr>
            <w:r>
              <w:rPr/>
              <w:t>Section 1.1.</w:t>
            </w:r>
          </w:p>
        </w:tc>
        <w:tc>
          <w:tcPr>
            <w:tcW w:w="6965" w:type="dxa"/>
            <w:tcBorders/>
            <w:shd w:fill="FFFFFF" w:val="clear"/>
            <w:vAlign w:val="center"/>
          </w:tcPr>
          <w:p>
            <w:pPr>
              <w:pStyle w:val="TableContents"/>
              <w:bidi w:val="0"/>
              <w:spacing w:before="0" w:after="283"/>
              <w:jc w:val="left"/>
              <w:rPr/>
            </w:pPr>
            <w:r>
              <w:rPr/>
              <w:t>Definitions</w:t>
            </w:r>
          </w:p>
        </w:tc>
        <w:tc>
          <w:tcPr>
            <w:tcW w:w="560" w:type="dxa"/>
            <w:tcBorders/>
            <w:shd w:fill="FFFFFF" w:val="clear"/>
            <w:vAlign w:val="center"/>
          </w:tcPr>
          <w:p>
            <w:pPr>
              <w:pStyle w:val="TableContents"/>
              <w:bidi w:val="0"/>
              <w:spacing w:before="0" w:after="283"/>
              <w:jc w:val="right"/>
              <w:rPr/>
            </w:pPr>
            <w:r>
              <w:rPr/>
              <w:t>1</w:t>
            </w:r>
          </w:p>
        </w:tc>
      </w:tr>
      <w:tr>
        <w:trPr/>
        <w:tc>
          <w:tcPr>
            <w:tcW w:w="1955" w:type="dxa"/>
            <w:tcBorders/>
            <w:shd w:fill="EEEEEE" w:val="clear"/>
            <w:vAlign w:val="center"/>
          </w:tcPr>
          <w:p>
            <w:pPr>
              <w:pStyle w:val="TableContents"/>
              <w:bidi w:val="0"/>
              <w:spacing w:before="0" w:after="283"/>
              <w:jc w:val="left"/>
              <w:rPr/>
            </w:pPr>
            <w:r>
              <w:rPr/>
              <w:t>Section 1.2.</w:t>
            </w:r>
          </w:p>
        </w:tc>
        <w:tc>
          <w:tcPr>
            <w:tcW w:w="6965" w:type="dxa"/>
            <w:tcBorders/>
            <w:shd w:fill="EEEEEE" w:val="clear"/>
            <w:vAlign w:val="center"/>
          </w:tcPr>
          <w:p>
            <w:pPr>
              <w:pStyle w:val="TableContents"/>
              <w:bidi w:val="0"/>
              <w:spacing w:before="0" w:after="283"/>
              <w:jc w:val="left"/>
              <w:rPr/>
            </w:pPr>
            <w:r>
              <w:rPr/>
              <w:t>Accounting Terms and Determinations</w:t>
            </w:r>
          </w:p>
        </w:tc>
        <w:tc>
          <w:tcPr>
            <w:tcW w:w="560" w:type="dxa"/>
            <w:tcBorders/>
            <w:shd w:fill="EEEEEE" w:val="clear"/>
            <w:vAlign w:val="center"/>
          </w:tcPr>
          <w:p>
            <w:pPr>
              <w:pStyle w:val="TableContents"/>
              <w:bidi w:val="0"/>
              <w:spacing w:before="0" w:after="283"/>
              <w:jc w:val="right"/>
              <w:rPr/>
            </w:pPr>
            <w:r>
              <w:rPr/>
              <w:t>37</w:t>
            </w:r>
          </w:p>
        </w:tc>
      </w:tr>
      <w:tr>
        <w:trPr/>
        <w:tc>
          <w:tcPr>
            <w:tcW w:w="1955" w:type="dxa"/>
            <w:tcBorders/>
            <w:shd w:fill="FFFFFF" w:val="clear"/>
            <w:vAlign w:val="center"/>
          </w:tcPr>
          <w:p>
            <w:pPr>
              <w:pStyle w:val="TableContents"/>
              <w:bidi w:val="0"/>
              <w:spacing w:before="0" w:after="283"/>
              <w:jc w:val="left"/>
              <w:rPr/>
            </w:pPr>
            <w:r>
              <w:rPr/>
              <w:t>Section 1.3.</w:t>
            </w:r>
          </w:p>
        </w:tc>
        <w:tc>
          <w:tcPr>
            <w:tcW w:w="6965" w:type="dxa"/>
            <w:tcBorders/>
            <w:shd w:fill="FFFFFF" w:val="clear"/>
            <w:vAlign w:val="center"/>
          </w:tcPr>
          <w:p>
            <w:pPr>
              <w:pStyle w:val="TableContents"/>
              <w:bidi w:val="0"/>
              <w:spacing w:before="0" w:after="283"/>
              <w:jc w:val="left"/>
              <w:rPr/>
            </w:pPr>
            <w:r>
              <w:rPr/>
              <w:t>Computation of Time Periods</w:t>
            </w:r>
          </w:p>
        </w:tc>
        <w:tc>
          <w:tcPr>
            <w:tcW w:w="560" w:type="dxa"/>
            <w:tcBorders/>
            <w:shd w:fill="FFFFFF" w:val="clear"/>
            <w:vAlign w:val="center"/>
          </w:tcPr>
          <w:p>
            <w:pPr>
              <w:pStyle w:val="TableContents"/>
              <w:bidi w:val="0"/>
              <w:spacing w:before="0" w:after="283"/>
              <w:jc w:val="right"/>
              <w:rPr/>
            </w:pPr>
            <w:r>
              <w:rPr/>
              <w:t>37</w:t>
            </w:r>
          </w:p>
        </w:tc>
      </w:tr>
      <w:tr>
        <w:trPr/>
        <w:tc>
          <w:tcPr>
            <w:tcW w:w="1955" w:type="dxa"/>
            <w:tcBorders/>
            <w:shd w:fill="EEEEEE" w:val="clear"/>
            <w:vAlign w:val="center"/>
          </w:tcPr>
          <w:p>
            <w:pPr>
              <w:pStyle w:val="TableContents"/>
              <w:bidi w:val="0"/>
              <w:spacing w:before="0" w:after="283"/>
              <w:jc w:val="left"/>
              <w:rPr/>
            </w:pPr>
            <w:r>
              <w:rPr/>
              <w:t>Section 1.4.</w:t>
            </w:r>
          </w:p>
        </w:tc>
        <w:tc>
          <w:tcPr>
            <w:tcW w:w="6965" w:type="dxa"/>
            <w:tcBorders/>
            <w:shd w:fill="EEEEEE" w:val="clear"/>
            <w:vAlign w:val="center"/>
          </w:tcPr>
          <w:p>
            <w:pPr>
              <w:pStyle w:val="TableContents"/>
              <w:bidi w:val="0"/>
              <w:spacing w:before="0" w:after="283"/>
              <w:jc w:val="left"/>
              <w:rPr/>
            </w:pPr>
            <w:r>
              <w:rPr/>
              <w:t>Interpretation</w:t>
            </w:r>
          </w:p>
        </w:tc>
        <w:tc>
          <w:tcPr>
            <w:tcW w:w="560" w:type="dxa"/>
            <w:tcBorders/>
            <w:shd w:fill="EEEEEE" w:val="clear"/>
            <w:vAlign w:val="center"/>
          </w:tcPr>
          <w:p>
            <w:pPr>
              <w:pStyle w:val="TableContents"/>
              <w:bidi w:val="0"/>
              <w:spacing w:before="0" w:after="283"/>
              <w:jc w:val="right"/>
              <w:rPr/>
            </w:pPr>
            <w:r>
              <w:rPr/>
              <w:t>37</w:t>
            </w:r>
          </w:p>
        </w:tc>
      </w:tr>
      <w:tr>
        <w:trPr/>
        <w:tc>
          <w:tcPr>
            <w:tcW w:w="1955" w:type="dxa"/>
            <w:tcBorders/>
            <w:shd w:fill="FFFFFF" w:val="clear"/>
            <w:vAlign w:val="center"/>
          </w:tcPr>
          <w:p>
            <w:pPr>
              <w:pStyle w:val="TableContents"/>
              <w:bidi w:val="0"/>
              <w:spacing w:before="0" w:after="283"/>
              <w:jc w:val="left"/>
              <w:rPr/>
            </w:pPr>
            <w:r>
              <w:rPr/>
              <w:t>Section 1.5.</w:t>
            </w:r>
          </w:p>
        </w:tc>
        <w:tc>
          <w:tcPr>
            <w:tcW w:w="6965" w:type="dxa"/>
            <w:tcBorders/>
            <w:shd w:fill="FFFFFF" w:val="clear"/>
            <w:vAlign w:val="center"/>
          </w:tcPr>
          <w:p>
            <w:pPr>
              <w:pStyle w:val="TableContents"/>
              <w:bidi w:val="0"/>
              <w:spacing w:before="0" w:after="283"/>
              <w:jc w:val="left"/>
              <w:rPr/>
            </w:pPr>
            <w:r>
              <w:rPr/>
              <w:t>Coordination of Requests</w:t>
            </w:r>
          </w:p>
        </w:tc>
        <w:tc>
          <w:tcPr>
            <w:tcW w:w="560" w:type="dxa"/>
            <w:tcBorders/>
            <w:shd w:fill="FFFFFF" w:val="clear"/>
            <w:vAlign w:val="center"/>
          </w:tcPr>
          <w:p>
            <w:pPr>
              <w:pStyle w:val="TableContents"/>
              <w:bidi w:val="0"/>
              <w:spacing w:before="0" w:after="283"/>
              <w:jc w:val="right"/>
              <w:rPr/>
            </w:pPr>
            <w:r>
              <w:rPr/>
              <w:t>37</w:t>
            </w:r>
          </w:p>
        </w:tc>
      </w:tr>
      <w:tr>
        <w:trPr/>
        <w:tc>
          <w:tcPr>
            <w:tcW w:w="1955" w:type="dxa"/>
            <w:tcBorders/>
            <w:shd w:fill="EEEEEE" w:val="clear"/>
            <w:vAlign w:val="center"/>
          </w:tcPr>
          <w:p>
            <w:pPr>
              <w:pStyle w:val="TableContents"/>
              <w:bidi w:val="0"/>
              <w:spacing w:before="0" w:after="283"/>
              <w:jc w:val="left"/>
              <w:rPr/>
            </w:pPr>
            <w:r>
              <w:rPr/>
              <w:t>Article II Loans</w:t>
            </w:r>
          </w:p>
        </w:tc>
        <w:tc>
          <w:tcPr>
            <w:tcW w:w="6965" w:type="dxa"/>
            <w:tcBorders/>
            <w:shd w:fill="EEEEEE" w:val="clear"/>
            <w:vAlign w:val="center"/>
          </w:tcPr>
          <w:p>
            <w:pPr>
              <w:pStyle w:val="TableContents"/>
              <w:bidi w:val="0"/>
              <w:spacing w:before="0" w:after="283"/>
              <w:jc w:val="left"/>
              <w:rPr/>
            </w:pPr>
            <w:r>
              <w:rPr/>
              <w:t> </w:t>
            </w:r>
          </w:p>
        </w:tc>
        <w:tc>
          <w:tcPr>
            <w:tcW w:w="560" w:type="dxa"/>
            <w:tcBorders/>
            <w:shd w:fill="EEEEEE" w:val="clear"/>
            <w:vAlign w:val="center"/>
          </w:tcPr>
          <w:p>
            <w:pPr>
              <w:pStyle w:val="TableContents"/>
              <w:bidi w:val="0"/>
              <w:spacing w:before="0" w:after="283"/>
              <w:jc w:val="right"/>
              <w:rPr/>
            </w:pPr>
            <w:r>
              <w:rPr/>
              <w:t>37</w:t>
            </w:r>
          </w:p>
        </w:tc>
      </w:tr>
      <w:tr>
        <w:trPr/>
        <w:tc>
          <w:tcPr>
            <w:tcW w:w="1955" w:type="dxa"/>
            <w:tcBorders/>
            <w:shd w:fill="FFFFFF" w:val="clear"/>
            <w:vAlign w:val="center"/>
          </w:tcPr>
          <w:p>
            <w:pPr>
              <w:pStyle w:val="TableContents"/>
              <w:bidi w:val="0"/>
              <w:spacing w:before="0" w:after="283"/>
              <w:jc w:val="left"/>
              <w:rPr/>
            </w:pPr>
            <w:r>
              <w:rPr/>
              <w:t>Section 2.1.</w:t>
            </w:r>
          </w:p>
        </w:tc>
        <w:tc>
          <w:tcPr>
            <w:tcW w:w="6965" w:type="dxa"/>
            <w:tcBorders/>
            <w:shd w:fill="FFFFFF" w:val="clear"/>
            <w:vAlign w:val="center"/>
          </w:tcPr>
          <w:p>
            <w:pPr>
              <w:pStyle w:val="TableContents"/>
              <w:bidi w:val="0"/>
              <w:spacing w:before="0" w:after="283"/>
              <w:jc w:val="left"/>
              <w:rPr/>
            </w:pPr>
            <w:r>
              <w:rPr/>
              <w:t>Advances</w:t>
            </w:r>
          </w:p>
        </w:tc>
        <w:tc>
          <w:tcPr>
            <w:tcW w:w="560" w:type="dxa"/>
            <w:tcBorders/>
            <w:shd w:fill="FFFFFF" w:val="clear"/>
            <w:vAlign w:val="center"/>
          </w:tcPr>
          <w:p>
            <w:pPr>
              <w:pStyle w:val="TableContents"/>
              <w:bidi w:val="0"/>
              <w:spacing w:before="0" w:after="283"/>
              <w:jc w:val="right"/>
              <w:rPr/>
            </w:pPr>
            <w:r>
              <w:rPr/>
              <w:t>37</w:t>
            </w:r>
          </w:p>
        </w:tc>
      </w:tr>
      <w:tr>
        <w:trPr/>
        <w:tc>
          <w:tcPr>
            <w:tcW w:w="1955" w:type="dxa"/>
            <w:tcBorders/>
            <w:shd w:fill="EEEEEE" w:val="clear"/>
            <w:vAlign w:val="center"/>
          </w:tcPr>
          <w:p>
            <w:pPr>
              <w:pStyle w:val="TableContents"/>
              <w:bidi w:val="0"/>
              <w:spacing w:before="0" w:after="283"/>
              <w:jc w:val="left"/>
              <w:rPr/>
            </w:pPr>
            <w:r>
              <w:rPr/>
              <w:t>Section 2.2.</w:t>
            </w:r>
          </w:p>
        </w:tc>
        <w:tc>
          <w:tcPr>
            <w:tcW w:w="6965" w:type="dxa"/>
            <w:tcBorders/>
            <w:shd w:fill="EEEEEE" w:val="clear"/>
            <w:vAlign w:val="center"/>
          </w:tcPr>
          <w:p>
            <w:pPr>
              <w:pStyle w:val="TableContents"/>
              <w:bidi w:val="0"/>
              <w:spacing w:before="0" w:after="283"/>
              <w:jc w:val="left"/>
              <w:rPr/>
            </w:pPr>
            <w:r>
              <w:rPr/>
              <w:t>Reductions of the Facility Limit</w:t>
            </w:r>
          </w:p>
        </w:tc>
        <w:tc>
          <w:tcPr>
            <w:tcW w:w="560" w:type="dxa"/>
            <w:tcBorders/>
            <w:shd w:fill="EEEEEE" w:val="clear"/>
            <w:vAlign w:val="center"/>
          </w:tcPr>
          <w:p>
            <w:pPr>
              <w:pStyle w:val="TableContents"/>
              <w:bidi w:val="0"/>
              <w:spacing w:before="0" w:after="283"/>
              <w:jc w:val="right"/>
              <w:rPr/>
            </w:pPr>
            <w:r>
              <w:rPr/>
              <w:t>39</w:t>
            </w:r>
          </w:p>
        </w:tc>
      </w:tr>
      <w:tr>
        <w:trPr/>
        <w:tc>
          <w:tcPr>
            <w:tcW w:w="1955" w:type="dxa"/>
            <w:tcBorders/>
            <w:shd w:fill="FFFFFF" w:val="clear"/>
            <w:vAlign w:val="center"/>
          </w:tcPr>
          <w:p>
            <w:pPr>
              <w:pStyle w:val="TableContents"/>
              <w:bidi w:val="0"/>
              <w:spacing w:before="0" w:after="283"/>
              <w:jc w:val="left"/>
              <w:rPr/>
            </w:pPr>
            <w:r>
              <w:rPr/>
              <w:t>Section 2.3.</w:t>
            </w:r>
          </w:p>
        </w:tc>
        <w:tc>
          <w:tcPr>
            <w:tcW w:w="6965" w:type="dxa"/>
            <w:tcBorders/>
            <w:shd w:fill="FFFFFF" w:val="clear"/>
            <w:vAlign w:val="center"/>
          </w:tcPr>
          <w:p>
            <w:pPr>
              <w:pStyle w:val="TableContents"/>
              <w:bidi w:val="0"/>
              <w:spacing w:before="0" w:after="283"/>
              <w:jc w:val="left"/>
              <w:rPr/>
            </w:pPr>
            <w:r>
              <w:rPr/>
              <w:t>Extensions of Commitments</w:t>
            </w:r>
          </w:p>
        </w:tc>
        <w:tc>
          <w:tcPr>
            <w:tcW w:w="560" w:type="dxa"/>
            <w:tcBorders/>
            <w:shd w:fill="FFFFFF" w:val="clear"/>
            <w:vAlign w:val="center"/>
          </w:tcPr>
          <w:p>
            <w:pPr>
              <w:pStyle w:val="TableContents"/>
              <w:bidi w:val="0"/>
              <w:spacing w:before="0" w:after="283"/>
              <w:jc w:val="right"/>
              <w:rPr/>
            </w:pPr>
            <w:r>
              <w:rPr/>
              <w:t>39</w:t>
            </w:r>
          </w:p>
        </w:tc>
      </w:tr>
      <w:tr>
        <w:trPr/>
        <w:tc>
          <w:tcPr>
            <w:tcW w:w="1955" w:type="dxa"/>
            <w:tcBorders/>
            <w:shd w:fill="EEEEEE" w:val="clear"/>
            <w:vAlign w:val="center"/>
          </w:tcPr>
          <w:p>
            <w:pPr>
              <w:pStyle w:val="TableContents"/>
              <w:bidi w:val="0"/>
              <w:spacing w:before="0" w:after="283"/>
              <w:jc w:val="left"/>
              <w:rPr/>
            </w:pPr>
            <w:r>
              <w:rPr/>
              <w:t>Section 2.4.</w:t>
            </w:r>
          </w:p>
        </w:tc>
        <w:tc>
          <w:tcPr>
            <w:tcW w:w="6965" w:type="dxa"/>
            <w:tcBorders/>
            <w:shd w:fill="EEEEEE" w:val="clear"/>
            <w:vAlign w:val="center"/>
          </w:tcPr>
          <w:p>
            <w:pPr>
              <w:pStyle w:val="TableContents"/>
              <w:bidi w:val="0"/>
              <w:spacing w:before="0" w:after="283"/>
              <w:jc w:val="left"/>
              <w:rPr/>
            </w:pPr>
            <w:r>
              <w:rPr/>
              <w:t>[Reserved]</w:t>
            </w:r>
          </w:p>
        </w:tc>
        <w:tc>
          <w:tcPr>
            <w:tcW w:w="560" w:type="dxa"/>
            <w:tcBorders/>
            <w:shd w:fill="EEEEEE" w:val="clear"/>
            <w:vAlign w:val="center"/>
          </w:tcPr>
          <w:p>
            <w:pPr>
              <w:pStyle w:val="TableContents"/>
              <w:bidi w:val="0"/>
              <w:spacing w:before="0" w:after="283"/>
              <w:jc w:val="right"/>
              <w:rPr/>
            </w:pPr>
            <w:r>
              <w:rPr/>
              <w:t>41</w:t>
            </w:r>
          </w:p>
        </w:tc>
      </w:tr>
      <w:tr>
        <w:trPr/>
        <w:tc>
          <w:tcPr>
            <w:tcW w:w="1955" w:type="dxa"/>
            <w:tcBorders/>
            <w:shd w:fill="FFFFFF" w:val="clear"/>
            <w:vAlign w:val="center"/>
          </w:tcPr>
          <w:p>
            <w:pPr>
              <w:pStyle w:val="TableContents"/>
              <w:bidi w:val="0"/>
              <w:spacing w:before="0" w:after="283"/>
              <w:jc w:val="left"/>
              <w:rPr/>
            </w:pPr>
            <w:r>
              <w:rPr/>
              <w:t>Section 2.5.</w:t>
            </w:r>
          </w:p>
        </w:tc>
        <w:tc>
          <w:tcPr>
            <w:tcW w:w="6965" w:type="dxa"/>
            <w:tcBorders/>
            <w:shd w:fill="FFFFFF" w:val="clear"/>
            <w:vAlign w:val="center"/>
          </w:tcPr>
          <w:p>
            <w:pPr>
              <w:pStyle w:val="TableContents"/>
              <w:bidi w:val="0"/>
              <w:spacing w:before="0" w:after="283"/>
              <w:jc w:val="left"/>
              <w:rPr/>
            </w:pPr>
            <w:r>
              <w:rPr/>
              <w:t>Optional Principal Repayments</w:t>
            </w:r>
          </w:p>
        </w:tc>
        <w:tc>
          <w:tcPr>
            <w:tcW w:w="560" w:type="dxa"/>
            <w:tcBorders/>
            <w:shd w:fill="FFFFFF" w:val="clear"/>
            <w:vAlign w:val="center"/>
          </w:tcPr>
          <w:p>
            <w:pPr>
              <w:pStyle w:val="TableContents"/>
              <w:bidi w:val="0"/>
              <w:spacing w:before="0" w:after="283"/>
              <w:jc w:val="right"/>
              <w:rPr/>
            </w:pPr>
            <w:r>
              <w:rPr/>
              <w:t>41</w:t>
            </w:r>
          </w:p>
        </w:tc>
      </w:tr>
      <w:tr>
        <w:trPr/>
        <w:tc>
          <w:tcPr>
            <w:tcW w:w="1955" w:type="dxa"/>
            <w:tcBorders/>
            <w:shd w:fill="EEEEEE" w:val="clear"/>
            <w:vAlign w:val="center"/>
          </w:tcPr>
          <w:p>
            <w:pPr>
              <w:pStyle w:val="TableContents"/>
              <w:bidi w:val="0"/>
              <w:spacing w:before="0" w:after="283"/>
              <w:jc w:val="left"/>
              <w:rPr/>
            </w:pPr>
            <w:r>
              <w:rPr/>
              <w:t>Section 2.6.</w:t>
            </w:r>
          </w:p>
        </w:tc>
        <w:tc>
          <w:tcPr>
            <w:tcW w:w="6965" w:type="dxa"/>
            <w:tcBorders/>
            <w:shd w:fill="EEEEEE" w:val="clear"/>
            <w:vAlign w:val="center"/>
          </w:tcPr>
          <w:p>
            <w:pPr>
              <w:pStyle w:val="TableContents"/>
              <w:bidi w:val="0"/>
              <w:spacing w:before="0" w:after="283"/>
              <w:jc w:val="left"/>
              <w:rPr/>
            </w:pPr>
            <w:r>
              <w:rPr/>
              <w:t>Payments.</w:t>
            </w:r>
          </w:p>
        </w:tc>
        <w:tc>
          <w:tcPr>
            <w:tcW w:w="560" w:type="dxa"/>
            <w:tcBorders/>
            <w:shd w:fill="EEEEEE" w:val="clear"/>
            <w:vAlign w:val="center"/>
          </w:tcPr>
          <w:p>
            <w:pPr>
              <w:pStyle w:val="TableContents"/>
              <w:bidi w:val="0"/>
              <w:spacing w:before="0" w:after="283"/>
              <w:jc w:val="right"/>
              <w:rPr/>
            </w:pPr>
            <w:r>
              <w:rPr/>
              <w:t>41</w:t>
            </w:r>
          </w:p>
        </w:tc>
      </w:tr>
      <w:tr>
        <w:trPr/>
        <w:tc>
          <w:tcPr>
            <w:tcW w:w="1955" w:type="dxa"/>
            <w:tcBorders/>
            <w:shd w:fill="FFFFFF" w:val="clear"/>
            <w:vAlign w:val="center"/>
          </w:tcPr>
          <w:p>
            <w:pPr>
              <w:pStyle w:val="TableContents"/>
              <w:bidi w:val="0"/>
              <w:spacing w:before="0" w:after="283"/>
              <w:jc w:val="left"/>
              <w:rPr/>
            </w:pPr>
            <w:r>
              <w:rPr/>
              <w:t>Section 2.7.</w:t>
            </w:r>
          </w:p>
        </w:tc>
        <w:tc>
          <w:tcPr>
            <w:tcW w:w="6965" w:type="dxa"/>
            <w:tcBorders/>
            <w:shd w:fill="FFFFFF" w:val="clear"/>
            <w:vAlign w:val="center"/>
          </w:tcPr>
          <w:p>
            <w:pPr>
              <w:pStyle w:val="TableContents"/>
              <w:bidi w:val="0"/>
              <w:spacing w:before="0" w:after="283"/>
              <w:jc w:val="left"/>
              <w:rPr/>
            </w:pPr>
            <w:r>
              <w:rPr/>
              <w:t>Settlement Procedures</w:t>
            </w:r>
          </w:p>
        </w:tc>
        <w:tc>
          <w:tcPr>
            <w:tcW w:w="560" w:type="dxa"/>
            <w:tcBorders/>
            <w:shd w:fill="FFFFFF" w:val="clear"/>
            <w:vAlign w:val="center"/>
          </w:tcPr>
          <w:p>
            <w:pPr>
              <w:pStyle w:val="TableContents"/>
              <w:bidi w:val="0"/>
              <w:spacing w:before="0" w:after="283"/>
              <w:jc w:val="right"/>
              <w:rPr/>
            </w:pPr>
            <w:r>
              <w:rPr/>
              <w:t>42</w:t>
            </w:r>
          </w:p>
        </w:tc>
      </w:tr>
      <w:tr>
        <w:trPr/>
        <w:tc>
          <w:tcPr>
            <w:tcW w:w="1955" w:type="dxa"/>
            <w:tcBorders/>
            <w:shd w:fill="EEEEEE" w:val="clear"/>
            <w:vAlign w:val="center"/>
          </w:tcPr>
          <w:p>
            <w:pPr>
              <w:pStyle w:val="TableContents"/>
              <w:bidi w:val="0"/>
              <w:spacing w:before="0" w:after="283"/>
              <w:jc w:val="left"/>
              <w:rPr/>
            </w:pPr>
            <w:r>
              <w:rPr/>
              <w:t>Section 2.8.</w:t>
            </w:r>
          </w:p>
        </w:tc>
        <w:tc>
          <w:tcPr>
            <w:tcW w:w="6965" w:type="dxa"/>
            <w:tcBorders/>
            <w:shd w:fill="EEEEEE" w:val="clear"/>
            <w:vAlign w:val="center"/>
          </w:tcPr>
          <w:p>
            <w:pPr>
              <w:pStyle w:val="TableContents"/>
              <w:bidi w:val="0"/>
              <w:spacing w:before="0" w:after="283"/>
              <w:jc w:val="left"/>
              <w:rPr/>
            </w:pPr>
            <w:r>
              <w:rPr/>
              <w:t>Repayment Obligation</w:t>
            </w:r>
          </w:p>
        </w:tc>
        <w:tc>
          <w:tcPr>
            <w:tcW w:w="560" w:type="dxa"/>
            <w:tcBorders/>
            <w:shd w:fill="EEEEEE" w:val="clear"/>
            <w:vAlign w:val="center"/>
          </w:tcPr>
          <w:p>
            <w:pPr>
              <w:pStyle w:val="TableContents"/>
              <w:bidi w:val="0"/>
              <w:spacing w:before="0" w:after="283"/>
              <w:jc w:val="right"/>
              <w:rPr/>
            </w:pPr>
            <w:r>
              <w:rPr/>
              <w:t>44</w:t>
            </w:r>
          </w:p>
        </w:tc>
      </w:tr>
      <w:tr>
        <w:trPr/>
        <w:tc>
          <w:tcPr>
            <w:tcW w:w="1955" w:type="dxa"/>
            <w:tcBorders/>
            <w:shd w:fill="FFFFFF" w:val="clear"/>
            <w:vAlign w:val="center"/>
          </w:tcPr>
          <w:p>
            <w:pPr>
              <w:pStyle w:val="TableContents"/>
              <w:bidi w:val="0"/>
              <w:spacing w:before="0" w:after="283"/>
              <w:jc w:val="left"/>
              <w:rPr/>
            </w:pPr>
            <w:r>
              <w:rPr/>
              <w:t>Section 2.9.</w:t>
            </w:r>
          </w:p>
        </w:tc>
        <w:tc>
          <w:tcPr>
            <w:tcW w:w="6965" w:type="dxa"/>
            <w:tcBorders/>
            <w:shd w:fill="FFFFFF" w:val="clear"/>
            <w:vAlign w:val="center"/>
          </w:tcPr>
          <w:p>
            <w:pPr>
              <w:pStyle w:val="TableContents"/>
              <w:bidi w:val="0"/>
              <w:spacing w:before="0" w:after="283"/>
              <w:jc w:val="left"/>
              <w:rPr/>
            </w:pPr>
            <w:r>
              <w:rPr/>
              <w:t>Payments, Computations, Etc</w:t>
            </w:r>
          </w:p>
        </w:tc>
        <w:tc>
          <w:tcPr>
            <w:tcW w:w="560" w:type="dxa"/>
            <w:tcBorders/>
            <w:shd w:fill="FFFFFF" w:val="clear"/>
            <w:vAlign w:val="center"/>
          </w:tcPr>
          <w:p>
            <w:pPr>
              <w:pStyle w:val="TableContents"/>
              <w:bidi w:val="0"/>
              <w:spacing w:before="0" w:after="283"/>
              <w:jc w:val="right"/>
              <w:rPr/>
            </w:pPr>
            <w:r>
              <w:rPr/>
              <w:t>44</w:t>
            </w:r>
          </w:p>
        </w:tc>
      </w:tr>
      <w:tr>
        <w:trPr/>
        <w:tc>
          <w:tcPr>
            <w:tcW w:w="1955" w:type="dxa"/>
            <w:tcBorders/>
            <w:shd w:fill="EEEEEE" w:val="clear"/>
            <w:vAlign w:val="center"/>
          </w:tcPr>
          <w:p>
            <w:pPr>
              <w:pStyle w:val="TableContents"/>
              <w:bidi w:val="0"/>
              <w:spacing w:before="0" w:after="283"/>
              <w:jc w:val="left"/>
              <w:rPr/>
            </w:pPr>
            <w:r>
              <w:rPr/>
              <w:t>Section 2.10.</w:t>
            </w:r>
          </w:p>
        </w:tc>
        <w:tc>
          <w:tcPr>
            <w:tcW w:w="6965" w:type="dxa"/>
            <w:tcBorders/>
            <w:shd w:fill="EEEEEE" w:val="clear"/>
            <w:vAlign w:val="center"/>
          </w:tcPr>
          <w:p>
            <w:pPr>
              <w:pStyle w:val="TableContents"/>
              <w:bidi w:val="0"/>
              <w:spacing w:before="0" w:after="283"/>
              <w:jc w:val="left"/>
              <w:rPr/>
            </w:pPr>
            <w:r>
              <w:rPr/>
              <w:t>Collections and Allocations; Investment of Funds</w:t>
            </w:r>
          </w:p>
        </w:tc>
        <w:tc>
          <w:tcPr>
            <w:tcW w:w="560" w:type="dxa"/>
            <w:tcBorders/>
            <w:shd w:fill="EEEEEE" w:val="clear"/>
            <w:vAlign w:val="center"/>
          </w:tcPr>
          <w:p>
            <w:pPr>
              <w:pStyle w:val="TableContents"/>
              <w:bidi w:val="0"/>
              <w:spacing w:before="0" w:after="283"/>
              <w:jc w:val="right"/>
              <w:rPr/>
            </w:pPr>
            <w:r>
              <w:rPr/>
              <w:t>45</w:t>
            </w:r>
          </w:p>
        </w:tc>
      </w:tr>
      <w:tr>
        <w:trPr/>
        <w:tc>
          <w:tcPr>
            <w:tcW w:w="1955" w:type="dxa"/>
            <w:tcBorders/>
            <w:shd w:fill="FFFFFF" w:val="clear"/>
            <w:vAlign w:val="center"/>
          </w:tcPr>
          <w:p>
            <w:pPr>
              <w:pStyle w:val="TableContents"/>
              <w:bidi w:val="0"/>
              <w:spacing w:before="0" w:after="283"/>
              <w:jc w:val="left"/>
              <w:rPr/>
            </w:pPr>
            <w:r>
              <w:rPr/>
              <w:t>Section 2.11.</w:t>
            </w:r>
          </w:p>
        </w:tc>
        <w:tc>
          <w:tcPr>
            <w:tcW w:w="6965" w:type="dxa"/>
            <w:tcBorders/>
            <w:shd w:fill="FFFFFF" w:val="clear"/>
            <w:vAlign w:val="center"/>
          </w:tcPr>
          <w:p>
            <w:pPr>
              <w:pStyle w:val="TableContents"/>
              <w:bidi w:val="0"/>
              <w:spacing w:before="0" w:after="283"/>
              <w:jc w:val="left"/>
              <w:rPr/>
            </w:pPr>
            <w:r>
              <w:rPr/>
              <w:t>Fees</w:t>
            </w:r>
          </w:p>
        </w:tc>
        <w:tc>
          <w:tcPr>
            <w:tcW w:w="560" w:type="dxa"/>
            <w:tcBorders/>
            <w:shd w:fill="FFFFFF" w:val="clear"/>
            <w:vAlign w:val="center"/>
          </w:tcPr>
          <w:p>
            <w:pPr>
              <w:pStyle w:val="TableContents"/>
              <w:bidi w:val="0"/>
              <w:spacing w:before="0" w:after="283"/>
              <w:jc w:val="right"/>
              <w:rPr/>
            </w:pPr>
            <w:r>
              <w:rPr/>
              <w:t>47</w:t>
            </w:r>
          </w:p>
        </w:tc>
      </w:tr>
      <w:tr>
        <w:trPr/>
        <w:tc>
          <w:tcPr>
            <w:tcW w:w="1955" w:type="dxa"/>
            <w:tcBorders/>
            <w:shd w:fill="EEEEEE" w:val="clear"/>
            <w:vAlign w:val="center"/>
          </w:tcPr>
          <w:p>
            <w:pPr>
              <w:pStyle w:val="TableContents"/>
              <w:bidi w:val="0"/>
              <w:spacing w:before="0" w:after="283"/>
              <w:jc w:val="left"/>
              <w:rPr/>
            </w:pPr>
            <w:r>
              <w:rPr/>
              <w:t>Section 2.12.</w:t>
            </w:r>
          </w:p>
        </w:tc>
        <w:tc>
          <w:tcPr>
            <w:tcW w:w="6965" w:type="dxa"/>
            <w:tcBorders/>
            <w:shd w:fill="EEEEEE" w:val="clear"/>
            <w:vAlign w:val="center"/>
          </w:tcPr>
          <w:p>
            <w:pPr>
              <w:pStyle w:val="TableContents"/>
              <w:bidi w:val="0"/>
              <w:spacing w:before="0" w:after="283"/>
              <w:jc w:val="left"/>
              <w:rPr/>
            </w:pPr>
            <w:r>
              <w:rPr/>
              <w:t>Taxes.</w:t>
            </w:r>
          </w:p>
        </w:tc>
        <w:tc>
          <w:tcPr>
            <w:tcW w:w="560" w:type="dxa"/>
            <w:tcBorders/>
            <w:shd w:fill="EEEEEE" w:val="clear"/>
            <w:vAlign w:val="center"/>
          </w:tcPr>
          <w:p>
            <w:pPr>
              <w:pStyle w:val="TableContents"/>
              <w:bidi w:val="0"/>
              <w:spacing w:before="0" w:after="283"/>
              <w:jc w:val="right"/>
              <w:rPr/>
            </w:pPr>
            <w:r>
              <w:rPr/>
              <w:t>48</w:t>
            </w:r>
          </w:p>
        </w:tc>
      </w:tr>
      <w:tr>
        <w:trPr/>
        <w:tc>
          <w:tcPr>
            <w:tcW w:w="1955" w:type="dxa"/>
            <w:tcBorders/>
            <w:shd w:fill="FFFFFF" w:val="clear"/>
            <w:vAlign w:val="center"/>
          </w:tcPr>
          <w:p>
            <w:pPr>
              <w:pStyle w:val="TableContents"/>
              <w:bidi w:val="0"/>
              <w:spacing w:before="0" w:after="283"/>
              <w:jc w:val="left"/>
              <w:rPr/>
            </w:pPr>
            <w:r>
              <w:rPr/>
              <w:t>Section 2.13.</w:t>
            </w:r>
          </w:p>
        </w:tc>
        <w:tc>
          <w:tcPr>
            <w:tcW w:w="6965" w:type="dxa"/>
            <w:tcBorders/>
            <w:shd w:fill="FFFFFF" w:val="clear"/>
            <w:vAlign w:val="center"/>
          </w:tcPr>
          <w:p>
            <w:pPr>
              <w:pStyle w:val="TableContents"/>
              <w:bidi w:val="0"/>
              <w:spacing w:before="0" w:after="283"/>
              <w:jc w:val="left"/>
              <w:rPr/>
            </w:pPr>
            <w:r>
              <w:rPr/>
              <w:t>[Reserved]</w:t>
            </w:r>
          </w:p>
        </w:tc>
        <w:tc>
          <w:tcPr>
            <w:tcW w:w="560" w:type="dxa"/>
            <w:tcBorders/>
            <w:shd w:fill="FFFFFF" w:val="clear"/>
            <w:vAlign w:val="center"/>
          </w:tcPr>
          <w:p>
            <w:pPr>
              <w:pStyle w:val="TableContents"/>
              <w:bidi w:val="0"/>
              <w:spacing w:before="0" w:after="283"/>
              <w:jc w:val="right"/>
              <w:rPr/>
            </w:pPr>
            <w:r>
              <w:rPr/>
              <w:t>51</w:t>
            </w:r>
          </w:p>
        </w:tc>
      </w:tr>
      <w:tr>
        <w:trPr/>
        <w:tc>
          <w:tcPr>
            <w:tcW w:w="1955" w:type="dxa"/>
            <w:tcBorders/>
            <w:shd w:fill="EEEEEE" w:val="clear"/>
            <w:vAlign w:val="center"/>
          </w:tcPr>
          <w:p>
            <w:pPr>
              <w:pStyle w:val="TableContents"/>
              <w:bidi w:val="0"/>
              <w:spacing w:before="0" w:after="283"/>
              <w:jc w:val="left"/>
              <w:rPr/>
            </w:pPr>
            <w:r>
              <w:rPr/>
              <w:t>Section 2.14.</w:t>
            </w:r>
          </w:p>
        </w:tc>
        <w:tc>
          <w:tcPr>
            <w:tcW w:w="6965" w:type="dxa"/>
            <w:tcBorders/>
            <w:shd w:fill="EEEEEE" w:val="clear"/>
            <w:vAlign w:val="center"/>
          </w:tcPr>
          <w:p>
            <w:pPr>
              <w:pStyle w:val="TableContents"/>
              <w:bidi w:val="0"/>
              <w:spacing w:before="0" w:after="283"/>
              <w:jc w:val="left"/>
              <w:rPr/>
            </w:pPr>
            <w:r>
              <w:rPr/>
              <w:t>Permitted Take-Outs</w:t>
            </w:r>
          </w:p>
        </w:tc>
        <w:tc>
          <w:tcPr>
            <w:tcW w:w="560" w:type="dxa"/>
            <w:tcBorders/>
            <w:shd w:fill="EEEEEE" w:val="clear"/>
            <w:vAlign w:val="center"/>
          </w:tcPr>
          <w:p>
            <w:pPr>
              <w:pStyle w:val="TableContents"/>
              <w:bidi w:val="0"/>
              <w:spacing w:before="0" w:after="283"/>
              <w:jc w:val="right"/>
              <w:rPr/>
            </w:pPr>
            <w:r>
              <w:rPr/>
              <w:t>51</w:t>
            </w:r>
          </w:p>
        </w:tc>
      </w:tr>
      <w:tr>
        <w:trPr/>
        <w:tc>
          <w:tcPr>
            <w:tcW w:w="1955" w:type="dxa"/>
            <w:tcBorders/>
            <w:shd w:fill="FFFFFF" w:val="clear"/>
            <w:vAlign w:val="center"/>
          </w:tcPr>
          <w:p>
            <w:pPr>
              <w:pStyle w:val="TableContents"/>
              <w:bidi w:val="0"/>
              <w:spacing w:before="0" w:after="283"/>
              <w:jc w:val="left"/>
              <w:rPr/>
            </w:pPr>
            <w:r>
              <w:rPr/>
              <w:t>Section 2.15.</w:t>
            </w:r>
          </w:p>
        </w:tc>
        <w:tc>
          <w:tcPr>
            <w:tcW w:w="6965" w:type="dxa"/>
            <w:tcBorders/>
            <w:shd w:fill="FFFFFF" w:val="clear"/>
            <w:vAlign w:val="center"/>
          </w:tcPr>
          <w:p>
            <w:pPr>
              <w:pStyle w:val="TableContents"/>
              <w:bidi w:val="0"/>
              <w:spacing w:before="0" w:after="283"/>
              <w:jc w:val="left"/>
              <w:rPr/>
            </w:pPr>
            <w:r>
              <w:rPr/>
              <w:t>Electronic Documents</w:t>
            </w:r>
          </w:p>
        </w:tc>
        <w:tc>
          <w:tcPr>
            <w:tcW w:w="560" w:type="dxa"/>
            <w:tcBorders/>
            <w:shd w:fill="FFFFFF" w:val="clear"/>
            <w:vAlign w:val="center"/>
          </w:tcPr>
          <w:p>
            <w:pPr>
              <w:pStyle w:val="TableContents"/>
              <w:bidi w:val="0"/>
              <w:spacing w:before="0" w:after="283"/>
              <w:jc w:val="right"/>
              <w:rPr/>
            </w:pPr>
            <w:r>
              <w:rPr/>
              <w:t>53</w:t>
            </w:r>
          </w:p>
        </w:tc>
      </w:tr>
      <w:tr>
        <w:trPr/>
        <w:tc>
          <w:tcPr>
            <w:tcW w:w="1955" w:type="dxa"/>
            <w:tcBorders/>
            <w:shd w:fill="EEEEEE" w:val="clear"/>
            <w:vAlign w:val="center"/>
          </w:tcPr>
          <w:p>
            <w:pPr>
              <w:pStyle w:val="TableContents"/>
              <w:bidi w:val="0"/>
              <w:spacing w:before="0" w:after="283"/>
              <w:jc w:val="left"/>
              <w:rPr/>
            </w:pPr>
            <w:r>
              <w:rPr/>
              <w:t>Section 2.16.</w:t>
            </w:r>
          </w:p>
        </w:tc>
        <w:tc>
          <w:tcPr>
            <w:tcW w:w="6965" w:type="dxa"/>
            <w:tcBorders/>
            <w:shd w:fill="EEEEEE" w:val="clear"/>
            <w:vAlign w:val="center"/>
          </w:tcPr>
          <w:p>
            <w:pPr>
              <w:pStyle w:val="TableContents"/>
              <w:bidi w:val="0"/>
              <w:spacing w:before="0" w:after="283"/>
              <w:jc w:val="left"/>
              <w:rPr/>
            </w:pPr>
            <w:r>
              <w:rPr/>
              <w:t>[Reserved]</w:t>
            </w:r>
          </w:p>
        </w:tc>
        <w:tc>
          <w:tcPr>
            <w:tcW w:w="560" w:type="dxa"/>
            <w:tcBorders/>
            <w:shd w:fill="EEEEEE" w:val="clear"/>
            <w:vAlign w:val="center"/>
          </w:tcPr>
          <w:p>
            <w:pPr>
              <w:pStyle w:val="TableContents"/>
              <w:bidi w:val="0"/>
              <w:spacing w:before="0" w:after="283"/>
              <w:jc w:val="right"/>
              <w:rPr/>
            </w:pPr>
            <w:r>
              <w:rPr/>
              <w:t>54</w:t>
            </w:r>
          </w:p>
        </w:tc>
      </w:tr>
      <w:tr>
        <w:trPr/>
        <w:tc>
          <w:tcPr>
            <w:tcW w:w="1955" w:type="dxa"/>
            <w:tcBorders/>
            <w:shd w:fill="FFFFFF" w:val="clear"/>
            <w:vAlign w:val="center"/>
          </w:tcPr>
          <w:p>
            <w:pPr>
              <w:pStyle w:val="TableContents"/>
              <w:bidi w:val="0"/>
              <w:spacing w:before="0" w:after="283"/>
              <w:jc w:val="left"/>
              <w:rPr/>
            </w:pPr>
            <w:r>
              <w:rPr/>
              <w:t>Section 2.17.</w:t>
            </w:r>
          </w:p>
        </w:tc>
        <w:tc>
          <w:tcPr>
            <w:tcW w:w="6965" w:type="dxa"/>
            <w:tcBorders/>
            <w:shd w:fill="FFFFFF" w:val="clear"/>
            <w:vAlign w:val="center"/>
          </w:tcPr>
          <w:p>
            <w:pPr>
              <w:pStyle w:val="TableContents"/>
              <w:bidi w:val="0"/>
              <w:spacing w:before="0" w:after="283"/>
              <w:jc w:val="left"/>
              <w:rPr/>
            </w:pPr>
            <w:r>
              <w:rPr/>
              <w:t>Illegality.</w:t>
            </w:r>
          </w:p>
        </w:tc>
        <w:tc>
          <w:tcPr>
            <w:tcW w:w="560" w:type="dxa"/>
            <w:tcBorders/>
            <w:shd w:fill="FFFFFF" w:val="clear"/>
            <w:vAlign w:val="center"/>
          </w:tcPr>
          <w:p>
            <w:pPr>
              <w:pStyle w:val="TableContents"/>
              <w:bidi w:val="0"/>
              <w:spacing w:before="0" w:after="283"/>
              <w:jc w:val="right"/>
              <w:rPr/>
            </w:pPr>
            <w:r>
              <w:rPr/>
              <w:t>54</w:t>
            </w:r>
          </w:p>
        </w:tc>
      </w:tr>
      <w:tr>
        <w:trPr/>
        <w:tc>
          <w:tcPr>
            <w:tcW w:w="1955" w:type="dxa"/>
            <w:tcBorders/>
            <w:shd w:fill="EEEEEE" w:val="clear"/>
            <w:vAlign w:val="center"/>
          </w:tcPr>
          <w:p>
            <w:pPr>
              <w:pStyle w:val="TableContents"/>
              <w:bidi w:val="0"/>
              <w:spacing w:before="0" w:after="283"/>
              <w:jc w:val="left"/>
              <w:rPr/>
            </w:pPr>
            <w:r>
              <w:rPr/>
              <w:t>Article III Security</w:t>
            </w:r>
          </w:p>
        </w:tc>
        <w:tc>
          <w:tcPr>
            <w:tcW w:w="6965" w:type="dxa"/>
            <w:tcBorders/>
            <w:shd w:fill="EEEEEE" w:val="clear"/>
            <w:vAlign w:val="center"/>
          </w:tcPr>
          <w:p>
            <w:pPr>
              <w:pStyle w:val="TableContents"/>
              <w:bidi w:val="0"/>
              <w:spacing w:before="0" w:after="283"/>
              <w:jc w:val="left"/>
              <w:rPr/>
            </w:pPr>
            <w:r>
              <w:rPr/>
              <w:t> </w:t>
            </w:r>
          </w:p>
        </w:tc>
        <w:tc>
          <w:tcPr>
            <w:tcW w:w="560" w:type="dxa"/>
            <w:tcBorders/>
            <w:shd w:fill="EEEEEE" w:val="clear"/>
            <w:vAlign w:val="center"/>
          </w:tcPr>
          <w:p>
            <w:pPr>
              <w:pStyle w:val="TableContents"/>
              <w:bidi w:val="0"/>
              <w:spacing w:before="0" w:after="283"/>
              <w:jc w:val="right"/>
              <w:rPr/>
            </w:pPr>
            <w:r>
              <w:rPr/>
              <w:t>54</w:t>
            </w:r>
          </w:p>
        </w:tc>
      </w:tr>
      <w:tr>
        <w:trPr/>
        <w:tc>
          <w:tcPr>
            <w:tcW w:w="1955" w:type="dxa"/>
            <w:tcBorders/>
            <w:shd w:fill="FFFFFF" w:val="clear"/>
            <w:vAlign w:val="center"/>
          </w:tcPr>
          <w:p>
            <w:pPr>
              <w:pStyle w:val="TableContents"/>
              <w:bidi w:val="0"/>
              <w:spacing w:before="0" w:after="283"/>
              <w:jc w:val="left"/>
              <w:rPr/>
            </w:pPr>
            <w:r>
              <w:rPr/>
              <w:t>Section 3.1.</w:t>
            </w:r>
          </w:p>
        </w:tc>
        <w:tc>
          <w:tcPr>
            <w:tcW w:w="6965" w:type="dxa"/>
            <w:tcBorders/>
            <w:shd w:fill="FFFFFF" w:val="clear"/>
            <w:vAlign w:val="center"/>
          </w:tcPr>
          <w:p>
            <w:pPr>
              <w:pStyle w:val="TableContents"/>
              <w:bidi w:val="0"/>
              <w:spacing w:before="0" w:after="283"/>
              <w:jc w:val="left"/>
              <w:rPr/>
            </w:pPr>
            <w:r>
              <w:rPr/>
              <w:t>Collateral</w:t>
            </w:r>
          </w:p>
        </w:tc>
        <w:tc>
          <w:tcPr>
            <w:tcW w:w="560" w:type="dxa"/>
            <w:tcBorders/>
            <w:shd w:fill="FFFFFF" w:val="clear"/>
            <w:vAlign w:val="center"/>
          </w:tcPr>
          <w:p>
            <w:pPr>
              <w:pStyle w:val="TableContents"/>
              <w:bidi w:val="0"/>
              <w:spacing w:before="0" w:after="283"/>
              <w:jc w:val="right"/>
              <w:rPr/>
            </w:pPr>
            <w:r>
              <w:rPr/>
              <w:t>54</w:t>
            </w:r>
          </w:p>
        </w:tc>
      </w:tr>
      <w:tr>
        <w:trPr/>
        <w:tc>
          <w:tcPr>
            <w:tcW w:w="1955" w:type="dxa"/>
            <w:tcBorders/>
            <w:shd w:fill="EEEEEE" w:val="clear"/>
            <w:vAlign w:val="center"/>
          </w:tcPr>
          <w:p>
            <w:pPr>
              <w:pStyle w:val="TableContents"/>
              <w:bidi w:val="0"/>
              <w:spacing w:before="0" w:after="283"/>
              <w:jc w:val="left"/>
              <w:rPr/>
            </w:pPr>
            <w:r>
              <w:rPr/>
              <w:t>Section 3.2.</w:t>
            </w:r>
          </w:p>
        </w:tc>
        <w:tc>
          <w:tcPr>
            <w:tcW w:w="6965" w:type="dxa"/>
            <w:tcBorders/>
            <w:shd w:fill="EEEEEE" w:val="clear"/>
            <w:vAlign w:val="center"/>
          </w:tcPr>
          <w:p>
            <w:pPr>
              <w:pStyle w:val="TableContents"/>
              <w:bidi w:val="0"/>
              <w:spacing w:before="0" w:after="283"/>
              <w:jc w:val="left"/>
              <w:rPr/>
            </w:pPr>
            <w:r>
              <w:rPr/>
              <w:t>Release of Collateral; No Legal Title</w:t>
            </w:r>
          </w:p>
        </w:tc>
        <w:tc>
          <w:tcPr>
            <w:tcW w:w="560" w:type="dxa"/>
            <w:tcBorders/>
            <w:shd w:fill="EEEEEE" w:val="clear"/>
            <w:vAlign w:val="center"/>
          </w:tcPr>
          <w:p>
            <w:pPr>
              <w:pStyle w:val="TableContents"/>
              <w:bidi w:val="0"/>
              <w:spacing w:before="0" w:after="283"/>
              <w:jc w:val="right"/>
              <w:rPr/>
            </w:pPr>
            <w:r>
              <w:rPr/>
              <w:t>57</w:t>
            </w:r>
          </w:p>
        </w:tc>
      </w:tr>
      <w:tr>
        <w:trPr/>
        <w:tc>
          <w:tcPr>
            <w:tcW w:w="1955" w:type="dxa"/>
            <w:tcBorders/>
            <w:shd w:fill="FFFFFF" w:val="clear"/>
            <w:vAlign w:val="center"/>
          </w:tcPr>
          <w:p>
            <w:pPr>
              <w:pStyle w:val="TableContents"/>
              <w:bidi w:val="0"/>
              <w:spacing w:before="0" w:after="283"/>
              <w:jc w:val="left"/>
              <w:rPr/>
            </w:pPr>
            <w:r>
              <w:rPr/>
              <w:t>Section 3.3.</w:t>
            </w:r>
          </w:p>
        </w:tc>
        <w:tc>
          <w:tcPr>
            <w:tcW w:w="6965" w:type="dxa"/>
            <w:tcBorders/>
            <w:shd w:fill="FFFFFF" w:val="clear"/>
            <w:vAlign w:val="center"/>
          </w:tcPr>
          <w:p>
            <w:pPr>
              <w:pStyle w:val="TableContents"/>
              <w:bidi w:val="0"/>
              <w:spacing w:before="0" w:after="283"/>
              <w:jc w:val="left"/>
              <w:rPr/>
            </w:pPr>
            <w:r>
              <w:rPr/>
              <w:t>Protection of Security Interest; Administrative Agent, as Attorney-in-Fact</w:t>
            </w:r>
          </w:p>
        </w:tc>
        <w:tc>
          <w:tcPr>
            <w:tcW w:w="560" w:type="dxa"/>
            <w:tcBorders/>
            <w:shd w:fill="FFFFFF" w:val="clear"/>
            <w:vAlign w:val="center"/>
          </w:tcPr>
          <w:p>
            <w:pPr>
              <w:pStyle w:val="TableContents"/>
              <w:bidi w:val="0"/>
              <w:spacing w:before="0" w:after="283"/>
              <w:jc w:val="right"/>
              <w:rPr/>
            </w:pPr>
            <w:r>
              <w:rPr/>
              <w:t>58</w:t>
            </w:r>
          </w:p>
        </w:tc>
      </w:tr>
      <w:tr>
        <w:trPr/>
        <w:tc>
          <w:tcPr>
            <w:tcW w:w="1955" w:type="dxa"/>
            <w:tcBorders/>
            <w:shd w:fill="EEEEEE" w:val="clear"/>
            <w:vAlign w:val="center"/>
          </w:tcPr>
          <w:p>
            <w:pPr>
              <w:pStyle w:val="TableContents"/>
              <w:bidi w:val="0"/>
              <w:spacing w:before="0" w:after="283"/>
              <w:jc w:val="left"/>
              <w:rPr/>
            </w:pPr>
            <w:r>
              <w:rPr/>
              <w:t>Section 3.4.</w:t>
            </w:r>
          </w:p>
        </w:tc>
        <w:tc>
          <w:tcPr>
            <w:tcW w:w="6965" w:type="dxa"/>
            <w:tcBorders/>
            <w:shd w:fill="EEEEEE" w:val="clear"/>
            <w:vAlign w:val="center"/>
          </w:tcPr>
          <w:p>
            <w:pPr>
              <w:pStyle w:val="TableContents"/>
              <w:bidi w:val="0"/>
              <w:spacing w:before="0" w:after="283"/>
              <w:jc w:val="left"/>
              <w:rPr/>
            </w:pPr>
            <w:r>
              <w:rPr/>
              <w:t>Collateral Assignment of the Purchase Agreement</w:t>
            </w:r>
          </w:p>
        </w:tc>
        <w:tc>
          <w:tcPr>
            <w:tcW w:w="560" w:type="dxa"/>
            <w:tcBorders/>
            <w:shd w:fill="EEEEEE" w:val="clear"/>
            <w:vAlign w:val="center"/>
          </w:tcPr>
          <w:p>
            <w:pPr>
              <w:pStyle w:val="TableContents"/>
              <w:bidi w:val="0"/>
              <w:spacing w:before="0" w:after="283"/>
              <w:jc w:val="right"/>
              <w:rPr/>
            </w:pPr>
            <w:r>
              <w:rPr/>
              <w:t>58</w:t>
            </w:r>
          </w:p>
        </w:tc>
      </w:tr>
      <w:tr>
        <w:trPr/>
        <w:tc>
          <w:tcPr>
            <w:tcW w:w="1955" w:type="dxa"/>
            <w:tcBorders/>
            <w:shd w:fill="FFFFFF" w:val="clear"/>
            <w:vAlign w:val="center"/>
          </w:tcPr>
          <w:p>
            <w:pPr>
              <w:pStyle w:val="TableContents"/>
              <w:bidi w:val="0"/>
              <w:spacing w:before="0" w:after="283"/>
              <w:jc w:val="left"/>
              <w:rPr/>
            </w:pPr>
            <w:r>
              <w:rPr/>
              <w:t>Section 3.5.</w:t>
            </w:r>
          </w:p>
        </w:tc>
        <w:tc>
          <w:tcPr>
            <w:tcW w:w="6965" w:type="dxa"/>
            <w:tcBorders/>
            <w:shd w:fill="FFFFFF" w:val="clear"/>
            <w:vAlign w:val="center"/>
          </w:tcPr>
          <w:p>
            <w:pPr>
              <w:pStyle w:val="TableContents"/>
              <w:bidi w:val="0"/>
              <w:spacing w:before="0" w:after="283"/>
              <w:jc w:val="left"/>
              <w:rPr/>
            </w:pPr>
            <w:r>
              <w:rPr/>
              <w:t>Waiver of Certain Laws</w:t>
            </w:r>
          </w:p>
        </w:tc>
        <w:tc>
          <w:tcPr>
            <w:tcW w:w="560" w:type="dxa"/>
            <w:tcBorders/>
            <w:shd w:fill="FFFFFF" w:val="clear"/>
            <w:vAlign w:val="center"/>
          </w:tcPr>
          <w:p>
            <w:pPr>
              <w:pStyle w:val="TableContents"/>
              <w:bidi w:val="0"/>
              <w:spacing w:before="0" w:after="283"/>
              <w:jc w:val="right"/>
              <w:rPr/>
            </w:pPr>
            <w:r>
              <w:rPr/>
              <w:t>59</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79"/>
        <w:gridCol w:w="8490"/>
        <w:gridCol w:w="336"/>
      </w:tblGrid>
      <w:tr>
        <w:trPr/>
        <w:tc>
          <w:tcPr>
            <w:tcW w:w="9869" w:type="dxa"/>
            <w:gridSpan w:val="2"/>
            <w:tcBorders/>
            <w:shd w:fill="EEEEEE" w:val="clear"/>
            <w:vAlign w:val="center"/>
          </w:tcPr>
          <w:p>
            <w:pPr>
              <w:pStyle w:val="TableContents"/>
              <w:bidi w:val="0"/>
              <w:spacing w:before="0" w:after="283"/>
              <w:jc w:val="left"/>
              <w:rPr/>
            </w:pPr>
            <w:r>
              <w:rPr/>
              <w:t>Article IV Conditions of Closing Date and Advances</w:t>
            </w:r>
          </w:p>
        </w:tc>
        <w:tc>
          <w:tcPr>
            <w:tcW w:w="336" w:type="dxa"/>
            <w:tcBorders/>
            <w:shd w:fill="EEEEEE" w:val="clear"/>
            <w:vAlign w:val="center"/>
          </w:tcPr>
          <w:p>
            <w:pPr>
              <w:pStyle w:val="TableContents"/>
              <w:bidi w:val="0"/>
              <w:spacing w:before="0" w:after="283"/>
              <w:jc w:val="right"/>
              <w:rPr/>
            </w:pPr>
            <w:r>
              <w:rPr/>
              <w:t>59</w:t>
            </w:r>
          </w:p>
        </w:tc>
      </w:tr>
      <w:tr>
        <w:trPr/>
        <w:tc>
          <w:tcPr>
            <w:tcW w:w="1379" w:type="dxa"/>
            <w:tcBorders/>
            <w:shd w:fill="FFFFFF" w:val="clear"/>
            <w:vAlign w:val="center"/>
          </w:tcPr>
          <w:p>
            <w:pPr>
              <w:pStyle w:val="TableContents"/>
              <w:bidi w:val="0"/>
              <w:spacing w:before="0" w:after="283"/>
              <w:jc w:val="left"/>
              <w:rPr/>
            </w:pPr>
            <w:r>
              <w:rPr/>
              <w:t>Section 4.1.</w:t>
            </w:r>
          </w:p>
        </w:tc>
        <w:tc>
          <w:tcPr>
            <w:tcW w:w="8490" w:type="dxa"/>
            <w:tcBorders/>
            <w:shd w:fill="FFFFFF" w:val="clear"/>
            <w:vAlign w:val="center"/>
          </w:tcPr>
          <w:p>
            <w:pPr>
              <w:pStyle w:val="TableContents"/>
              <w:bidi w:val="0"/>
              <w:spacing w:before="0" w:after="283"/>
              <w:jc w:val="left"/>
              <w:rPr/>
            </w:pPr>
            <w:r>
              <w:rPr/>
              <w:t>Conditions to Closing Date</w:t>
            </w:r>
          </w:p>
        </w:tc>
        <w:tc>
          <w:tcPr>
            <w:tcW w:w="336" w:type="dxa"/>
            <w:tcBorders/>
            <w:shd w:fill="FFFFFF" w:val="clear"/>
            <w:vAlign w:val="center"/>
          </w:tcPr>
          <w:p>
            <w:pPr>
              <w:pStyle w:val="TableContents"/>
              <w:bidi w:val="0"/>
              <w:spacing w:before="0" w:after="283"/>
              <w:jc w:val="right"/>
              <w:rPr/>
            </w:pPr>
            <w:r>
              <w:rPr/>
              <w:t>59</w:t>
            </w:r>
          </w:p>
        </w:tc>
      </w:tr>
      <w:tr>
        <w:trPr/>
        <w:tc>
          <w:tcPr>
            <w:tcW w:w="1379" w:type="dxa"/>
            <w:tcBorders/>
            <w:shd w:fill="EEEEEE" w:val="clear"/>
            <w:vAlign w:val="center"/>
          </w:tcPr>
          <w:p>
            <w:pPr>
              <w:pStyle w:val="TableContents"/>
              <w:bidi w:val="0"/>
              <w:spacing w:before="0" w:after="283"/>
              <w:jc w:val="left"/>
              <w:rPr/>
            </w:pPr>
            <w:r>
              <w:rPr/>
              <w:t>Section 4.2.</w:t>
            </w:r>
          </w:p>
        </w:tc>
        <w:tc>
          <w:tcPr>
            <w:tcW w:w="8490" w:type="dxa"/>
            <w:tcBorders/>
            <w:shd w:fill="EEEEEE" w:val="clear"/>
            <w:vAlign w:val="center"/>
          </w:tcPr>
          <w:p>
            <w:pPr>
              <w:pStyle w:val="TableContents"/>
              <w:bidi w:val="0"/>
              <w:spacing w:before="0" w:after="283"/>
              <w:jc w:val="left"/>
              <w:rPr/>
            </w:pPr>
            <w:r>
              <w:rPr/>
              <w:t>Conditions Precedent to All Advances</w:t>
            </w:r>
          </w:p>
        </w:tc>
        <w:tc>
          <w:tcPr>
            <w:tcW w:w="336" w:type="dxa"/>
            <w:tcBorders/>
            <w:shd w:fill="EEEEEE" w:val="clear"/>
            <w:vAlign w:val="center"/>
          </w:tcPr>
          <w:p>
            <w:pPr>
              <w:pStyle w:val="TableContents"/>
              <w:bidi w:val="0"/>
              <w:spacing w:before="0" w:after="283"/>
              <w:jc w:val="right"/>
              <w:rPr/>
            </w:pPr>
            <w:r>
              <w:rPr/>
              <w:t>61</w:t>
            </w:r>
          </w:p>
        </w:tc>
      </w:tr>
      <w:tr>
        <w:trPr/>
        <w:tc>
          <w:tcPr>
            <w:tcW w:w="9869" w:type="dxa"/>
            <w:gridSpan w:val="2"/>
            <w:tcBorders/>
            <w:shd w:fill="FFFFFF" w:val="clear"/>
            <w:vAlign w:val="center"/>
          </w:tcPr>
          <w:p>
            <w:pPr>
              <w:pStyle w:val="TableContents"/>
              <w:bidi w:val="0"/>
              <w:spacing w:before="0" w:after="283"/>
              <w:jc w:val="left"/>
              <w:rPr/>
            </w:pPr>
            <w:r>
              <w:rPr/>
              <w:t>Article V Representations and Warranties</w:t>
            </w:r>
          </w:p>
        </w:tc>
        <w:tc>
          <w:tcPr>
            <w:tcW w:w="336" w:type="dxa"/>
            <w:tcBorders/>
            <w:shd w:fill="FFFFFF" w:val="clear"/>
            <w:vAlign w:val="center"/>
          </w:tcPr>
          <w:p>
            <w:pPr>
              <w:pStyle w:val="TableContents"/>
              <w:bidi w:val="0"/>
              <w:spacing w:before="0" w:after="283"/>
              <w:jc w:val="right"/>
              <w:rPr/>
            </w:pPr>
            <w:r>
              <w:rPr/>
              <w:t>62</w:t>
            </w:r>
          </w:p>
        </w:tc>
      </w:tr>
      <w:tr>
        <w:trPr/>
        <w:tc>
          <w:tcPr>
            <w:tcW w:w="1379" w:type="dxa"/>
            <w:tcBorders/>
            <w:shd w:fill="EEEEEE" w:val="clear"/>
            <w:vAlign w:val="center"/>
          </w:tcPr>
          <w:p>
            <w:pPr>
              <w:pStyle w:val="TableContents"/>
              <w:bidi w:val="0"/>
              <w:spacing w:before="0" w:after="283"/>
              <w:jc w:val="left"/>
              <w:rPr/>
            </w:pPr>
            <w:r>
              <w:rPr/>
              <w:t>Section 5.1.</w:t>
            </w:r>
          </w:p>
        </w:tc>
        <w:tc>
          <w:tcPr>
            <w:tcW w:w="8490" w:type="dxa"/>
            <w:tcBorders/>
            <w:shd w:fill="EEEEEE" w:val="clear"/>
            <w:vAlign w:val="center"/>
          </w:tcPr>
          <w:p>
            <w:pPr>
              <w:pStyle w:val="TableContents"/>
              <w:bidi w:val="0"/>
              <w:spacing w:before="0" w:after="283"/>
              <w:jc w:val="left"/>
              <w:rPr/>
            </w:pPr>
            <w:r>
              <w:rPr/>
              <w:t>Representations and Warranties of the Borrower</w:t>
            </w:r>
          </w:p>
        </w:tc>
        <w:tc>
          <w:tcPr>
            <w:tcW w:w="336" w:type="dxa"/>
            <w:tcBorders/>
            <w:shd w:fill="EEEEEE" w:val="clear"/>
            <w:vAlign w:val="center"/>
          </w:tcPr>
          <w:p>
            <w:pPr>
              <w:pStyle w:val="TableContents"/>
              <w:bidi w:val="0"/>
              <w:spacing w:before="0" w:after="283"/>
              <w:jc w:val="right"/>
              <w:rPr/>
            </w:pPr>
            <w:r>
              <w:rPr/>
              <w:t>62</w:t>
            </w:r>
          </w:p>
        </w:tc>
      </w:tr>
      <w:tr>
        <w:trPr/>
        <w:tc>
          <w:tcPr>
            <w:tcW w:w="1379" w:type="dxa"/>
            <w:tcBorders/>
            <w:shd w:fill="FFFFFF" w:val="clear"/>
            <w:vAlign w:val="center"/>
          </w:tcPr>
          <w:p>
            <w:pPr>
              <w:pStyle w:val="TableContents"/>
              <w:bidi w:val="0"/>
              <w:spacing w:before="0" w:after="283"/>
              <w:jc w:val="left"/>
              <w:rPr/>
            </w:pPr>
            <w:r>
              <w:rPr/>
              <w:t xml:space="preserve">Section 5.1A. </w:t>
            </w:r>
          </w:p>
        </w:tc>
        <w:tc>
          <w:tcPr>
            <w:tcW w:w="8490" w:type="dxa"/>
            <w:tcBorders/>
            <w:shd w:fill="FFFFFF" w:val="clear"/>
            <w:vAlign w:val="center"/>
          </w:tcPr>
          <w:p>
            <w:pPr>
              <w:pStyle w:val="TableContents"/>
              <w:bidi w:val="0"/>
              <w:spacing w:before="0" w:after="283"/>
              <w:jc w:val="left"/>
              <w:rPr/>
            </w:pPr>
            <w:r>
              <w:rPr/>
              <w:t>Compliance with Anti-Corruption Laws and Sanctions</w:t>
            </w:r>
          </w:p>
        </w:tc>
        <w:tc>
          <w:tcPr>
            <w:tcW w:w="336" w:type="dxa"/>
            <w:tcBorders/>
            <w:shd w:fill="FFFFFF" w:val="clear"/>
            <w:vAlign w:val="center"/>
          </w:tcPr>
          <w:p>
            <w:pPr>
              <w:pStyle w:val="TableContents"/>
              <w:bidi w:val="0"/>
              <w:spacing w:before="0" w:after="283"/>
              <w:jc w:val="right"/>
              <w:rPr/>
            </w:pPr>
            <w:r>
              <w:rPr/>
              <w:t>65</w:t>
            </w:r>
          </w:p>
        </w:tc>
      </w:tr>
      <w:tr>
        <w:trPr/>
        <w:tc>
          <w:tcPr>
            <w:tcW w:w="1379" w:type="dxa"/>
            <w:tcBorders/>
            <w:shd w:fill="EEEEEE" w:val="clear"/>
            <w:vAlign w:val="center"/>
          </w:tcPr>
          <w:p>
            <w:pPr>
              <w:pStyle w:val="TableContents"/>
              <w:bidi w:val="0"/>
              <w:spacing w:before="0" w:after="283"/>
              <w:jc w:val="left"/>
              <w:rPr/>
            </w:pPr>
            <w:r>
              <w:rPr/>
              <w:t xml:space="preserve">Section 5.1B. </w:t>
            </w:r>
          </w:p>
        </w:tc>
        <w:tc>
          <w:tcPr>
            <w:tcW w:w="8490" w:type="dxa"/>
            <w:tcBorders/>
            <w:shd w:fill="EEEEEE" w:val="clear"/>
            <w:vAlign w:val="center"/>
          </w:tcPr>
          <w:p>
            <w:pPr>
              <w:pStyle w:val="TableContents"/>
              <w:bidi w:val="0"/>
              <w:spacing w:before="0" w:after="283"/>
              <w:jc w:val="left"/>
              <w:rPr/>
            </w:pPr>
            <w:r>
              <w:rPr/>
              <w:t>Anti-Money Laundering and Anti-Corruption Laws</w:t>
            </w:r>
          </w:p>
        </w:tc>
        <w:tc>
          <w:tcPr>
            <w:tcW w:w="336" w:type="dxa"/>
            <w:tcBorders/>
            <w:shd w:fill="EEEEEE" w:val="clear"/>
            <w:vAlign w:val="center"/>
          </w:tcPr>
          <w:p>
            <w:pPr>
              <w:pStyle w:val="TableContents"/>
              <w:bidi w:val="0"/>
              <w:spacing w:before="0" w:after="283"/>
              <w:jc w:val="right"/>
              <w:rPr/>
            </w:pPr>
            <w:r>
              <w:rPr/>
              <w:t>65</w:t>
            </w:r>
          </w:p>
        </w:tc>
      </w:tr>
      <w:tr>
        <w:trPr/>
        <w:tc>
          <w:tcPr>
            <w:tcW w:w="1379" w:type="dxa"/>
            <w:tcBorders/>
            <w:shd w:fill="FFFFFF" w:val="clear"/>
            <w:vAlign w:val="center"/>
          </w:tcPr>
          <w:p>
            <w:pPr>
              <w:pStyle w:val="TableContents"/>
              <w:bidi w:val="0"/>
              <w:spacing w:before="0" w:after="283"/>
              <w:jc w:val="left"/>
              <w:rPr/>
            </w:pPr>
            <w:r>
              <w:rPr/>
              <w:t>Section 5.2.</w:t>
            </w:r>
          </w:p>
        </w:tc>
        <w:tc>
          <w:tcPr>
            <w:tcW w:w="8490" w:type="dxa"/>
            <w:tcBorders/>
            <w:shd w:fill="FFFFFF" w:val="clear"/>
            <w:vAlign w:val="center"/>
          </w:tcPr>
          <w:p>
            <w:pPr>
              <w:pStyle w:val="TableContents"/>
              <w:bidi w:val="0"/>
              <w:spacing w:before="0" w:after="283"/>
              <w:jc w:val="left"/>
              <w:rPr/>
            </w:pPr>
            <w:r>
              <w:rPr/>
              <w:t>Representations and Warranties of the Borrower relating to this Agreement and the Receivables</w:t>
            </w:r>
          </w:p>
        </w:tc>
        <w:tc>
          <w:tcPr>
            <w:tcW w:w="336" w:type="dxa"/>
            <w:tcBorders/>
            <w:shd w:fill="FFFFFF" w:val="clear"/>
            <w:vAlign w:val="center"/>
          </w:tcPr>
          <w:p>
            <w:pPr>
              <w:pStyle w:val="TableContents"/>
              <w:bidi w:val="0"/>
              <w:spacing w:before="0" w:after="283"/>
              <w:jc w:val="right"/>
              <w:rPr/>
            </w:pPr>
            <w:r>
              <w:rPr/>
              <w:t>66</w:t>
            </w:r>
          </w:p>
        </w:tc>
      </w:tr>
      <w:tr>
        <w:trPr/>
        <w:tc>
          <w:tcPr>
            <w:tcW w:w="1379" w:type="dxa"/>
            <w:tcBorders/>
            <w:shd w:fill="EEEEEE" w:val="clear"/>
            <w:vAlign w:val="center"/>
          </w:tcPr>
          <w:p>
            <w:pPr>
              <w:pStyle w:val="TableContents"/>
              <w:bidi w:val="0"/>
              <w:spacing w:before="0" w:after="283"/>
              <w:jc w:val="left"/>
              <w:rPr/>
            </w:pPr>
            <w:r>
              <w:rPr/>
              <w:t>Section 5.3.</w:t>
            </w:r>
          </w:p>
        </w:tc>
        <w:tc>
          <w:tcPr>
            <w:tcW w:w="8490" w:type="dxa"/>
            <w:tcBorders/>
            <w:shd w:fill="EEEEEE" w:val="clear"/>
            <w:vAlign w:val="center"/>
          </w:tcPr>
          <w:p>
            <w:pPr>
              <w:pStyle w:val="TableContents"/>
              <w:bidi w:val="0"/>
              <w:spacing w:before="0" w:after="283"/>
              <w:jc w:val="left"/>
              <w:rPr/>
            </w:pPr>
            <w:r>
              <w:rPr/>
              <w:t>Representations and Warranties of the Initial Servicer</w:t>
            </w:r>
          </w:p>
        </w:tc>
        <w:tc>
          <w:tcPr>
            <w:tcW w:w="336" w:type="dxa"/>
            <w:tcBorders/>
            <w:shd w:fill="EEEEEE" w:val="clear"/>
            <w:vAlign w:val="center"/>
          </w:tcPr>
          <w:p>
            <w:pPr>
              <w:pStyle w:val="TableContents"/>
              <w:bidi w:val="0"/>
              <w:spacing w:before="0" w:after="283"/>
              <w:jc w:val="right"/>
              <w:rPr/>
            </w:pPr>
            <w:r>
              <w:rPr/>
              <w:t>66</w:t>
            </w:r>
          </w:p>
        </w:tc>
      </w:tr>
      <w:tr>
        <w:trPr/>
        <w:tc>
          <w:tcPr>
            <w:tcW w:w="1379" w:type="dxa"/>
            <w:tcBorders/>
            <w:shd w:fill="FFFFFF" w:val="clear"/>
            <w:vAlign w:val="center"/>
          </w:tcPr>
          <w:p>
            <w:pPr>
              <w:pStyle w:val="TableContents"/>
              <w:bidi w:val="0"/>
              <w:spacing w:before="0" w:after="283"/>
              <w:jc w:val="left"/>
              <w:rPr/>
            </w:pPr>
            <w:r>
              <w:rPr/>
              <w:t>Section 5.4.</w:t>
            </w:r>
          </w:p>
        </w:tc>
        <w:tc>
          <w:tcPr>
            <w:tcW w:w="8490" w:type="dxa"/>
            <w:tcBorders/>
            <w:shd w:fill="FFFFFF" w:val="clear"/>
            <w:vAlign w:val="center"/>
          </w:tcPr>
          <w:p>
            <w:pPr>
              <w:pStyle w:val="TableContents"/>
              <w:bidi w:val="0"/>
              <w:spacing w:before="0" w:after="283"/>
              <w:jc w:val="left"/>
              <w:rPr/>
            </w:pPr>
            <w:r>
              <w:rPr/>
              <w:t>[Reserved]</w:t>
            </w:r>
          </w:p>
        </w:tc>
        <w:tc>
          <w:tcPr>
            <w:tcW w:w="336" w:type="dxa"/>
            <w:tcBorders/>
            <w:shd w:fill="FFFFFF" w:val="clear"/>
            <w:vAlign w:val="center"/>
          </w:tcPr>
          <w:p>
            <w:pPr>
              <w:pStyle w:val="TableContents"/>
              <w:bidi w:val="0"/>
              <w:spacing w:before="0" w:after="283"/>
              <w:jc w:val="right"/>
              <w:rPr/>
            </w:pPr>
            <w:r>
              <w:rPr/>
              <w:t>68</w:t>
            </w:r>
          </w:p>
        </w:tc>
      </w:tr>
      <w:tr>
        <w:trPr/>
        <w:tc>
          <w:tcPr>
            <w:tcW w:w="1379" w:type="dxa"/>
            <w:tcBorders/>
            <w:shd w:fill="EEEEEE" w:val="clear"/>
            <w:vAlign w:val="center"/>
          </w:tcPr>
          <w:p>
            <w:pPr>
              <w:pStyle w:val="TableContents"/>
              <w:bidi w:val="0"/>
              <w:spacing w:before="0" w:after="283"/>
              <w:jc w:val="left"/>
              <w:rPr/>
            </w:pPr>
            <w:r>
              <w:rPr/>
              <w:t>Section 5.5.</w:t>
            </w:r>
          </w:p>
        </w:tc>
        <w:tc>
          <w:tcPr>
            <w:tcW w:w="8490" w:type="dxa"/>
            <w:tcBorders/>
            <w:shd w:fill="EEEEEE" w:val="clear"/>
            <w:vAlign w:val="center"/>
          </w:tcPr>
          <w:p>
            <w:pPr>
              <w:pStyle w:val="TableContents"/>
              <w:bidi w:val="0"/>
              <w:spacing w:before="0" w:after="283"/>
              <w:jc w:val="left"/>
              <w:rPr/>
            </w:pPr>
            <w:r>
              <w:rPr/>
              <w:t>Ineligible Receivables</w:t>
            </w:r>
          </w:p>
        </w:tc>
        <w:tc>
          <w:tcPr>
            <w:tcW w:w="336" w:type="dxa"/>
            <w:tcBorders/>
            <w:shd w:fill="EEEEEE" w:val="clear"/>
            <w:vAlign w:val="center"/>
          </w:tcPr>
          <w:p>
            <w:pPr>
              <w:pStyle w:val="TableContents"/>
              <w:bidi w:val="0"/>
              <w:spacing w:before="0" w:after="283"/>
              <w:jc w:val="right"/>
              <w:rPr/>
            </w:pPr>
            <w:r>
              <w:rPr/>
              <w:t>68</w:t>
            </w:r>
          </w:p>
        </w:tc>
      </w:tr>
      <w:tr>
        <w:trPr/>
        <w:tc>
          <w:tcPr>
            <w:tcW w:w="1379" w:type="dxa"/>
            <w:tcBorders/>
            <w:shd w:fill="FFFFFF" w:val="clear"/>
            <w:vAlign w:val="center"/>
          </w:tcPr>
          <w:p>
            <w:pPr>
              <w:pStyle w:val="TableContents"/>
              <w:bidi w:val="0"/>
              <w:spacing w:before="0" w:after="283"/>
              <w:jc w:val="left"/>
              <w:rPr/>
            </w:pPr>
            <w:r>
              <w:rPr/>
              <w:t>Section 5.6.</w:t>
            </w:r>
          </w:p>
        </w:tc>
        <w:tc>
          <w:tcPr>
            <w:tcW w:w="8490" w:type="dxa"/>
            <w:tcBorders/>
            <w:shd w:fill="FFFFFF" w:val="clear"/>
            <w:vAlign w:val="center"/>
          </w:tcPr>
          <w:p>
            <w:pPr>
              <w:pStyle w:val="TableContents"/>
              <w:bidi w:val="0"/>
              <w:spacing w:before="0" w:after="283"/>
              <w:jc w:val="left"/>
              <w:rPr/>
            </w:pPr>
            <w:r>
              <w:rPr/>
              <w:t>Dividend of Ineligible Receivables</w:t>
            </w:r>
          </w:p>
        </w:tc>
        <w:tc>
          <w:tcPr>
            <w:tcW w:w="336" w:type="dxa"/>
            <w:tcBorders/>
            <w:shd w:fill="FFFFFF" w:val="clear"/>
            <w:vAlign w:val="center"/>
          </w:tcPr>
          <w:p>
            <w:pPr>
              <w:pStyle w:val="TableContents"/>
              <w:bidi w:val="0"/>
              <w:spacing w:before="0" w:after="283"/>
              <w:jc w:val="right"/>
              <w:rPr/>
            </w:pPr>
            <w:r>
              <w:rPr/>
              <w:t>69</w:t>
            </w:r>
          </w:p>
        </w:tc>
      </w:tr>
      <w:tr>
        <w:trPr/>
        <w:tc>
          <w:tcPr>
            <w:tcW w:w="9869" w:type="dxa"/>
            <w:gridSpan w:val="2"/>
            <w:tcBorders/>
            <w:shd w:fill="EEEEEE" w:val="clear"/>
            <w:vAlign w:val="center"/>
          </w:tcPr>
          <w:p>
            <w:pPr>
              <w:pStyle w:val="TableContents"/>
              <w:bidi w:val="0"/>
              <w:spacing w:before="0" w:after="283"/>
              <w:jc w:val="left"/>
              <w:rPr/>
            </w:pPr>
            <w:r>
              <w:rPr/>
              <w:t>Article VI Covenants</w:t>
            </w:r>
          </w:p>
        </w:tc>
        <w:tc>
          <w:tcPr>
            <w:tcW w:w="336" w:type="dxa"/>
            <w:tcBorders/>
            <w:shd w:fill="EEEEEE" w:val="clear"/>
            <w:vAlign w:val="center"/>
          </w:tcPr>
          <w:p>
            <w:pPr>
              <w:pStyle w:val="TableContents"/>
              <w:bidi w:val="0"/>
              <w:spacing w:before="0" w:after="283"/>
              <w:jc w:val="right"/>
              <w:rPr/>
            </w:pPr>
            <w:r>
              <w:rPr/>
              <w:t>69</w:t>
            </w:r>
          </w:p>
        </w:tc>
      </w:tr>
      <w:tr>
        <w:trPr/>
        <w:tc>
          <w:tcPr>
            <w:tcW w:w="1379" w:type="dxa"/>
            <w:tcBorders/>
            <w:shd w:fill="FFFFFF" w:val="clear"/>
            <w:vAlign w:val="center"/>
          </w:tcPr>
          <w:p>
            <w:pPr>
              <w:pStyle w:val="TableContents"/>
              <w:bidi w:val="0"/>
              <w:spacing w:before="0" w:after="283"/>
              <w:jc w:val="left"/>
              <w:rPr/>
            </w:pPr>
            <w:r>
              <w:rPr/>
              <w:t>Section 6.1.</w:t>
            </w:r>
          </w:p>
        </w:tc>
        <w:tc>
          <w:tcPr>
            <w:tcW w:w="8490" w:type="dxa"/>
            <w:tcBorders/>
            <w:shd w:fill="FFFFFF" w:val="clear"/>
            <w:vAlign w:val="center"/>
          </w:tcPr>
          <w:p>
            <w:pPr>
              <w:pStyle w:val="TableContents"/>
              <w:bidi w:val="0"/>
              <w:spacing w:before="0" w:after="283"/>
              <w:jc w:val="left"/>
              <w:rPr/>
            </w:pPr>
            <w:r>
              <w:rPr/>
              <w:t>Covenants of the Borrower</w:t>
            </w:r>
          </w:p>
        </w:tc>
        <w:tc>
          <w:tcPr>
            <w:tcW w:w="336" w:type="dxa"/>
            <w:tcBorders/>
            <w:shd w:fill="FFFFFF" w:val="clear"/>
            <w:vAlign w:val="center"/>
          </w:tcPr>
          <w:p>
            <w:pPr>
              <w:pStyle w:val="TableContents"/>
              <w:bidi w:val="0"/>
              <w:spacing w:before="0" w:after="283"/>
              <w:jc w:val="right"/>
              <w:rPr/>
            </w:pPr>
            <w:r>
              <w:rPr/>
              <w:t>69</w:t>
            </w:r>
          </w:p>
        </w:tc>
      </w:tr>
      <w:tr>
        <w:trPr/>
        <w:tc>
          <w:tcPr>
            <w:tcW w:w="1379" w:type="dxa"/>
            <w:tcBorders/>
            <w:shd w:fill="EEEEEE" w:val="clear"/>
            <w:vAlign w:val="center"/>
          </w:tcPr>
          <w:p>
            <w:pPr>
              <w:pStyle w:val="TableContents"/>
              <w:bidi w:val="0"/>
              <w:spacing w:before="0" w:after="283"/>
              <w:jc w:val="left"/>
              <w:rPr/>
            </w:pPr>
            <w:r>
              <w:rPr/>
              <w:t>Section 6.2.</w:t>
            </w:r>
          </w:p>
        </w:tc>
        <w:tc>
          <w:tcPr>
            <w:tcW w:w="8490" w:type="dxa"/>
            <w:tcBorders/>
            <w:shd w:fill="EEEEEE" w:val="clear"/>
            <w:vAlign w:val="center"/>
          </w:tcPr>
          <w:p>
            <w:pPr>
              <w:pStyle w:val="TableContents"/>
              <w:bidi w:val="0"/>
              <w:spacing w:before="0" w:after="283"/>
              <w:jc w:val="left"/>
              <w:rPr/>
            </w:pPr>
            <w:r>
              <w:rPr/>
              <w:t>[Reserved]</w:t>
            </w:r>
          </w:p>
        </w:tc>
        <w:tc>
          <w:tcPr>
            <w:tcW w:w="336" w:type="dxa"/>
            <w:tcBorders/>
            <w:shd w:fill="EEEEEE" w:val="clear"/>
            <w:vAlign w:val="center"/>
          </w:tcPr>
          <w:p>
            <w:pPr>
              <w:pStyle w:val="TableContents"/>
              <w:bidi w:val="0"/>
              <w:spacing w:before="0" w:after="283"/>
              <w:jc w:val="right"/>
              <w:rPr/>
            </w:pPr>
            <w:r>
              <w:rPr/>
              <w:t>73</w:t>
            </w:r>
          </w:p>
        </w:tc>
      </w:tr>
      <w:tr>
        <w:trPr/>
        <w:tc>
          <w:tcPr>
            <w:tcW w:w="1379" w:type="dxa"/>
            <w:tcBorders/>
            <w:shd w:fill="FFFFFF" w:val="clear"/>
            <w:vAlign w:val="center"/>
          </w:tcPr>
          <w:p>
            <w:pPr>
              <w:pStyle w:val="TableContents"/>
              <w:bidi w:val="0"/>
              <w:spacing w:before="0" w:after="283"/>
              <w:jc w:val="left"/>
              <w:rPr/>
            </w:pPr>
            <w:r>
              <w:rPr/>
              <w:t>Section 6.3.</w:t>
            </w:r>
          </w:p>
        </w:tc>
        <w:tc>
          <w:tcPr>
            <w:tcW w:w="8490" w:type="dxa"/>
            <w:tcBorders/>
            <w:shd w:fill="FFFFFF" w:val="clear"/>
            <w:vAlign w:val="center"/>
          </w:tcPr>
          <w:p>
            <w:pPr>
              <w:pStyle w:val="TableContents"/>
              <w:bidi w:val="0"/>
              <w:spacing w:before="0" w:after="283"/>
              <w:jc w:val="left"/>
              <w:rPr/>
            </w:pPr>
            <w:r>
              <w:rPr/>
              <w:t>Covenants of the Servicer; Notices</w:t>
            </w:r>
          </w:p>
        </w:tc>
        <w:tc>
          <w:tcPr>
            <w:tcW w:w="336" w:type="dxa"/>
            <w:tcBorders/>
            <w:shd w:fill="FFFFFF" w:val="clear"/>
            <w:vAlign w:val="center"/>
          </w:tcPr>
          <w:p>
            <w:pPr>
              <w:pStyle w:val="TableContents"/>
              <w:bidi w:val="0"/>
              <w:spacing w:before="0" w:after="283"/>
              <w:jc w:val="right"/>
              <w:rPr/>
            </w:pPr>
            <w:r>
              <w:rPr/>
              <w:t>73</w:t>
            </w:r>
          </w:p>
        </w:tc>
      </w:tr>
      <w:tr>
        <w:trPr/>
        <w:tc>
          <w:tcPr>
            <w:tcW w:w="9869" w:type="dxa"/>
            <w:gridSpan w:val="2"/>
            <w:tcBorders/>
            <w:shd w:fill="EEEEEE" w:val="clear"/>
            <w:vAlign w:val="center"/>
          </w:tcPr>
          <w:p>
            <w:pPr>
              <w:pStyle w:val="TableContents"/>
              <w:bidi w:val="0"/>
              <w:spacing w:before="0" w:after="283"/>
              <w:jc w:val="left"/>
              <w:rPr/>
            </w:pPr>
            <w:r>
              <w:rPr/>
              <w:t>Article VII Administration and Servicing of Contracts</w:t>
            </w:r>
          </w:p>
        </w:tc>
        <w:tc>
          <w:tcPr>
            <w:tcW w:w="336" w:type="dxa"/>
            <w:tcBorders/>
            <w:shd w:fill="EEEEEE" w:val="clear"/>
            <w:vAlign w:val="center"/>
          </w:tcPr>
          <w:p>
            <w:pPr>
              <w:pStyle w:val="TableContents"/>
              <w:bidi w:val="0"/>
              <w:spacing w:before="0" w:after="283"/>
              <w:jc w:val="right"/>
              <w:rPr/>
            </w:pPr>
            <w:r>
              <w:rPr/>
              <w:t>74</w:t>
            </w:r>
          </w:p>
        </w:tc>
      </w:tr>
      <w:tr>
        <w:trPr/>
        <w:tc>
          <w:tcPr>
            <w:tcW w:w="1379" w:type="dxa"/>
            <w:tcBorders/>
            <w:shd w:fill="FFFFFF" w:val="clear"/>
            <w:vAlign w:val="center"/>
          </w:tcPr>
          <w:p>
            <w:pPr>
              <w:pStyle w:val="TableContents"/>
              <w:bidi w:val="0"/>
              <w:spacing w:before="0" w:after="283"/>
              <w:jc w:val="left"/>
              <w:rPr/>
            </w:pPr>
            <w:r>
              <w:rPr/>
              <w:t>Section 7.1.</w:t>
            </w:r>
          </w:p>
        </w:tc>
        <w:tc>
          <w:tcPr>
            <w:tcW w:w="8490" w:type="dxa"/>
            <w:tcBorders/>
            <w:shd w:fill="FFFFFF" w:val="clear"/>
            <w:vAlign w:val="center"/>
          </w:tcPr>
          <w:p>
            <w:pPr>
              <w:pStyle w:val="TableContents"/>
              <w:bidi w:val="0"/>
              <w:spacing w:before="0" w:after="283"/>
              <w:jc w:val="left"/>
              <w:rPr/>
            </w:pPr>
            <w:r>
              <w:rPr/>
              <w:t>Designation of Servicing</w:t>
            </w:r>
          </w:p>
        </w:tc>
        <w:tc>
          <w:tcPr>
            <w:tcW w:w="336" w:type="dxa"/>
            <w:tcBorders/>
            <w:shd w:fill="FFFFFF" w:val="clear"/>
            <w:vAlign w:val="center"/>
          </w:tcPr>
          <w:p>
            <w:pPr>
              <w:pStyle w:val="TableContents"/>
              <w:bidi w:val="0"/>
              <w:spacing w:before="0" w:after="283"/>
              <w:jc w:val="right"/>
              <w:rPr/>
            </w:pPr>
            <w:r>
              <w:rPr/>
              <w:t>74</w:t>
            </w:r>
          </w:p>
        </w:tc>
      </w:tr>
      <w:tr>
        <w:trPr/>
        <w:tc>
          <w:tcPr>
            <w:tcW w:w="1379" w:type="dxa"/>
            <w:tcBorders/>
            <w:shd w:fill="EEEEEE" w:val="clear"/>
            <w:vAlign w:val="center"/>
          </w:tcPr>
          <w:p>
            <w:pPr>
              <w:pStyle w:val="TableContents"/>
              <w:bidi w:val="0"/>
              <w:spacing w:before="0" w:after="283"/>
              <w:jc w:val="left"/>
              <w:rPr/>
            </w:pPr>
            <w:r>
              <w:rPr/>
              <w:t>Section 7.2.</w:t>
            </w:r>
          </w:p>
        </w:tc>
        <w:tc>
          <w:tcPr>
            <w:tcW w:w="8490" w:type="dxa"/>
            <w:tcBorders/>
            <w:shd w:fill="EEEEEE" w:val="clear"/>
            <w:vAlign w:val="center"/>
          </w:tcPr>
          <w:p>
            <w:pPr>
              <w:pStyle w:val="TableContents"/>
              <w:bidi w:val="0"/>
              <w:spacing w:before="0" w:after="283"/>
              <w:jc w:val="left"/>
              <w:rPr/>
            </w:pPr>
            <w:r>
              <w:rPr/>
              <w:t>Servicing Compensation; Expenses</w:t>
            </w:r>
          </w:p>
        </w:tc>
        <w:tc>
          <w:tcPr>
            <w:tcW w:w="336" w:type="dxa"/>
            <w:tcBorders/>
            <w:shd w:fill="EEEEEE" w:val="clear"/>
            <w:vAlign w:val="center"/>
          </w:tcPr>
          <w:p>
            <w:pPr>
              <w:pStyle w:val="TableContents"/>
              <w:bidi w:val="0"/>
              <w:spacing w:before="0" w:after="283"/>
              <w:jc w:val="right"/>
              <w:rPr/>
            </w:pPr>
            <w:r>
              <w:rPr/>
              <w:t>74</w:t>
            </w:r>
          </w:p>
        </w:tc>
      </w:tr>
      <w:tr>
        <w:trPr/>
        <w:tc>
          <w:tcPr>
            <w:tcW w:w="1379" w:type="dxa"/>
            <w:tcBorders/>
            <w:shd w:fill="FFFFFF" w:val="clear"/>
            <w:vAlign w:val="center"/>
          </w:tcPr>
          <w:p>
            <w:pPr>
              <w:pStyle w:val="TableContents"/>
              <w:bidi w:val="0"/>
              <w:spacing w:before="0" w:after="283"/>
              <w:jc w:val="left"/>
              <w:rPr/>
            </w:pPr>
            <w:r>
              <w:rPr/>
              <w:t>Section 7.3.</w:t>
            </w:r>
          </w:p>
        </w:tc>
        <w:tc>
          <w:tcPr>
            <w:tcW w:w="8490" w:type="dxa"/>
            <w:tcBorders/>
            <w:shd w:fill="FFFFFF" w:val="clear"/>
            <w:vAlign w:val="center"/>
          </w:tcPr>
          <w:p>
            <w:pPr>
              <w:pStyle w:val="TableContents"/>
              <w:bidi w:val="0"/>
              <w:spacing w:before="0" w:after="283"/>
              <w:jc w:val="left"/>
              <w:rPr/>
            </w:pPr>
            <w:r>
              <w:rPr/>
              <w:t>Duties of the Servicer</w:t>
            </w:r>
          </w:p>
        </w:tc>
        <w:tc>
          <w:tcPr>
            <w:tcW w:w="336" w:type="dxa"/>
            <w:tcBorders/>
            <w:shd w:fill="FFFFFF" w:val="clear"/>
            <w:vAlign w:val="center"/>
          </w:tcPr>
          <w:p>
            <w:pPr>
              <w:pStyle w:val="TableContents"/>
              <w:bidi w:val="0"/>
              <w:spacing w:before="0" w:after="283"/>
              <w:jc w:val="right"/>
              <w:rPr/>
            </w:pPr>
            <w:r>
              <w:rPr/>
              <w:t>76</w:t>
            </w:r>
          </w:p>
        </w:tc>
      </w:tr>
      <w:tr>
        <w:trPr/>
        <w:tc>
          <w:tcPr>
            <w:tcW w:w="1379" w:type="dxa"/>
            <w:tcBorders/>
            <w:shd w:fill="EEEEEE" w:val="clear"/>
            <w:vAlign w:val="center"/>
          </w:tcPr>
          <w:p>
            <w:pPr>
              <w:pStyle w:val="TableContents"/>
              <w:bidi w:val="0"/>
              <w:spacing w:before="0" w:after="283"/>
              <w:jc w:val="left"/>
              <w:rPr/>
            </w:pPr>
            <w:r>
              <w:rPr/>
              <w:t>Section 7.4.</w:t>
            </w:r>
          </w:p>
        </w:tc>
        <w:tc>
          <w:tcPr>
            <w:tcW w:w="8490" w:type="dxa"/>
            <w:tcBorders/>
            <w:shd w:fill="EEEEEE" w:val="clear"/>
            <w:vAlign w:val="center"/>
          </w:tcPr>
          <w:p>
            <w:pPr>
              <w:pStyle w:val="TableContents"/>
              <w:bidi w:val="0"/>
              <w:spacing w:before="0" w:after="283"/>
              <w:jc w:val="left"/>
              <w:rPr/>
            </w:pPr>
            <w:r>
              <w:rPr/>
              <w:t>Enforcement</w:t>
            </w:r>
          </w:p>
        </w:tc>
        <w:tc>
          <w:tcPr>
            <w:tcW w:w="336" w:type="dxa"/>
            <w:tcBorders/>
            <w:shd w:fill="EEEEEE" w:val="clear"/>
            <w:vAlign w:val="center"/>
          </w:tcPr>
          <w:p>
            <w:pPr>
              <w:pStyle w:val="TableContents"/>
              <w:bidi w:val="0"/>
              <w:spacing w:before="0" w:after="283"/>
              <w:jc w:val="right"/>
              <w:rPr/>
            </w:pPr>
            <w:r>
              <w:rPr/>
              <w:t>82</w:t>
            </w:r>
          </w:p>
        </w:tc>
      </w:tr>
      <w:tr>
        <w:trPr/>
        <w:tc>
          <w:tcPr>
            <w:tcW w:w="1379" w:type="dxa"/>
            <w:tcBorders/>
            <w:shd w:fill="FFFFFF" w:val="clear"/>
            <w:vAlign w:val="center"/>
          </w:tcPr>
          <w:p>
            <w:pPr>
              <w:pStyle w:val="TableContents"/>
              <w:bidi w:val="0"/>
              <w:spacing w:before="0" w:after="283"/>
              <w:jc w:val="left"/>
              <w:rPr/>
            </w:pPr>
            <w:r>
              <w:rPr/>
              <w:t>Section 7.5.</w:t>
            </w:r>
          </w:p>
        </w:tc>
        <w:tc>
          <w:tcPr>
            <w:tcW w:w="8490" w:type="dxa"/>
            <w:tcBorders/>
            <w:shd w:fill="FFFFFF" w:val="clear"/>
            <w:vAlign w:val="center"/>
          </w:tcPr>
          <w:p>
            <w:pPr>
              <w:pStyle w:val="TableContents"/>
              <w:bidi w:val="0"/>
              <w:spacing w:before="0" w:after="283"/>
              <w:jc w:val="left"/>
              <w:rPr/>
            </w:pPr>
            <w:r>
              <w:rPr/>
              <w:t>Reports; Deliverables</w:t>
            </w:r>
          </w:p>
        </w:tc>
        <w:tc>
          <w:tcPr>
            <w:tcW w:w="336" w:type="dxa"/>
            <w:tcBorders/>
            <w:shd w:fill="FFFFFF" w:val="clear"/>
            <w:vAlign w:val="center"/>
          </w:tcPr>
          <w:p>
            <w:pPr>
              <w:pStyle w:val="TableContents"/>
              <w:bidi w:val="0"/>
              <w:spacing w:before="0" w:after="283"/>
              <w:jc w:val="right"/>
              <w:rPr/>
            </w:pPr>
            <w:r>
              <w:rPr/>
              <w:t>83</w:t>
            </w:r>
          </w:p>
        </w:tc>
      </w:tr>
      <w:tr>
        <w:trPr/>
        <w:tc>
          <w:tcPr>
            <w:tcW w:w="1379" w:type="dxa"/>
            <w:tcBorders/>
            <w:shd w:fill="EEEEEE" w:val="clear"/>
            <w:vAlign w:val="center"/>
          </w:tcPr>
          <w:p>
            <w:pPr>
              <w:pStyle w:val="TableContents"/>
              <w:bidi w:val="0"/>
              <w:spacing w:before="0" w:after="283"/>
              <w:jc w:val="left"/>
              <w:rPr/>
            </w:pPr>
            <w:r>
              <w:rPr/>
              <w:t>Section 7.6.</w:t>
            </w:r>
          </w:p>
        </w:tc>
        <w:tc>
          <w:tcPr>
            <w:tcW w:w="8490" w:type="dxa"/>
            <w:tcBorders/>
            <w:shd w:fill="EEEEEE" w:val="clear"/>
            <w:vAlign w:val="center"/>
          </w:tcPr>
          <w:p>
            <w:pPr>
              <w:pStyle w:val="TableContents"/>
              <w:bidi w:val="0"/>
              <w:spacing w:before="0" w:after="283"/>
              <w:jc w:val="left"/>
              <w:rPr/>
            </w:pPr>
            <w:r>
              <w:rPr/>
              <w:t>Annual Independent Public Accountant’s Reports</w:t>
            </w:r>
          </w:p>
        </w:tc>
        <w:tc>
          <w:tcPr>
            <w:tcW w:w="336" w:type="dxa"/>
            <w:tcBorders/>
            <w:shd w:fill="EEEEEE" w:val="clear"/>
            <w:vAlign w:val="center"/>
          </w:tcPr>
          <w:p>
            <w:pPr>
              <w:pStyle w:val="TableContents"/>
              <w:bidi w:val="0"/>
              <w:spacing w:before="0" w:after="283"/>
              <w:jc w:val="right"/>
              <w:rPr/>
            </w:pPr>
            <w:r>
              <w:rPr/>
              <w:t>85</w:t>
            </w:r>
          </w:p>
        </w:tc>
      </w:tr>
      <w:tr>
        <w:trPr/>
        <w:tc>
          <w:tcPr>
            <w:tcW w:w="1379" w:type="dxa"/>
            <w:tcBorders/>
            <w:shd w:fill="FFFFFF" w:val="clear"/>
            <w:vAlign w:val="center"/>
          </w:tcPr>
          <w:p>
            <w:pPr>
              <w:pStyle w:val="TableContents"/>
              <w:bidi w:val="0"/>
              <w:spacing w:before="0" w:after="283"/>
              <w:jc w:val="left"/>
              <w:rPr/>
            </w:pPr>
            <w:r>
              <w:rPr/>
              <w:t>Section 7.7.</w:t>
            </w:r>
          </w:p>
        </w:tc>
        <w:tc>
          <w:tcPr>
            <w:tcW w:w="8490" w:type="dxa"/>
            <w:tcBorders/>
            <w:shd w:fill="FFFFFF" w:val="clear"/>
            <w:vAlign w:val="center"/>
          </w:tcPr>
          <w:p>
            <w:pPr>
              <w:pStyle w:val="TableContents"/>
              <w:bidi w:val="0"/>
              <w:spacing w:before="0" w:after="283"/>
              <w:jc w:val="left"/>
              <w:rPr/>
            </w:pPr>
            <w:r>
              <w:rPr/>
              <w:t>Responsibilities of Servicer</w:t>
            </w:r>
          </w:p>
        </w:tc>
        <w:tc>
          <w:tcPr>
            <w:tcW w:w="336" w:type="dxa"/>
            <w:tcBorders/>
            <w:shd w:fill="FFFFFF" w:val="clear"/>
            <w:vAlign w:val="center"/>
          </w:tcPr>
          <w:p>
            <w:pPr>
              <w:pStyle w:val="TableContents"/>
              <w:bidi w:val="0"/>
              <w:spacing w:before="0" w:after="283"/>
              <w:jc w:val="right"/>
              <w:rPr/>
            </w:pPr>
            <w:r>
              <w:rPr/>
              <w:t>85</w:t>
            </w:r>
          </w:p>
        </w:tc>
      </w:tr>
      <w:tr>
        <w:trPr/>
        <w:tc>
          <w:tcPr>
            <w:tcW w:w="1379" w:type="dxa"/>
            <w:tcBorders/>
            <w:shd w:fill="EEEEEE" w:val="clear"/>
            <w:vAlign w:val="center"/>
          </w:tcPr>
          <w:p>
            <w:pPr>
              <w:pStyle w:val="TableContents"/>
              <w:bidi w:val="0"/>
              <w:spacing w:before="0" w:after="283"/>
              <w:jc w:val="left"/>
              <w:rPr/>
            </w:pPr>
            <w:r>
              <w:rPr/>
              <w:t>Section 7.8.</w:t>
            </w:r>
          </w:p>
        </w:tc>
        <w:tc>
          <w:tcPr>
            <w:tcW w:w="8490" w:type="dxa"/>
            <w:tcBorders/>
            <w:shd w:fill="EEEEEE" w:val="clear"/>
            <w:vAlign w:val="center"/>
          </w:tcPr>
          <w:p>
            <w:pPr>
              <w:pStyle w:val="TableContents"/>
              <w:bidi w:val="0"/>
              <w:spacing w:before="0" w:after="283"/>
              <w:jc w:val="left"/>
              <w:rPr/>
            </w:pPr>
            <w:r>
              <w:rPr/>
              <w:t>Termination of Servicer</w:t>
            </w:r>
          </w:p>
        </w:tc>
        <w:tc>
          <w:tcPr>
            <w:tcW w:w="336" w:type="dxa"/>
            <w:tcBorders/>
            <w:shd w:fill="EEEEEE" w:val="clear"/>
            <w:vAlign w:val="center"/>
          </w:tcPr>
          <w:p>
            <w:pPr>
              <w:pStyle w:val="TableContents"/>
              <w:bidi w:val="0"/>
              <w:spacing w:before="0" w:after="283"/>
              <w:jc w:val="right"/>
              <w:rPr/>
            </w:pPr>
            <w:r>
              <w:rPr/>
              <w:t>85</w:t>
            </w:r>
          </w:p>
        </w:tc>
      </w:tr>
      <w:tr>
        <w:trPr/>
        <w:tc>
          <w:tcPr>
            <w:tcW w:w="1379" w:type="dxa"/>
            <w:tcBorders/>
            <w:shd w:fill="FFFFFF" w:val="clear"/>
            <w:vAlign w:val="center"/>
          </w:tcPr>
          <w:p>
            <w:pPr>
              <w:pStyle w:val="TableContents"/>
              <w:bidi w:val="0"/>
              <w:spacing w:before="0" w:after="283"/>
              <w:jc w:val="left"/>
              <w:rPr/>
            </w:pPr>
            <w:r>
              <w:rPr/>
              <w:t>Section 7.9.</w:t>
            </w:r>
          </w:p>
        </w:tc>
        <w:tc>
          <w:tcPr>
            <w:tcW w:w="8490" w:type="dxa"/>
            <w:tcBorders/>
            <w:shd w:fill="FFFFFF" w:val="clear"/>
            <w:vAlign w:val="center"/>
          </w:tcPr>
          <w:p>
            <w:pPr>
              <w:pStyle w:val="TableContents"/>
              <w:bidi w:val="0"/>
              <w:spacing w:before="0" w:after="283"/>
              <w:jc w:val="left"/>
              <w:rPr/>
            </w:pPr>
            <w:r>
              <w:rPr/>
              <w:t>Servicer Termination Events</w:t>
            </w:r>
          </w:p>
        </w:tc>
        <w:tc>
          <w:tcPr>
            <w:tcW w:w="336" w:type="dxa"/>
            <w:tcBorders/>
            <w:shd w:fill="FFFFFF" w:val="clear"/>
            <w:vAlign w:val="center"/>
          </w:tcPr>
          <w:p>
            <w:pPr>
              <w:pStyle w:val="TableContents"/>
              <w:bidi w:val="0"/>
              <w:spacing w:before="0" w:after="283"/>
              <w:jc w:val="right"/>
              <w:rPr/>
            </w:pPr>
            <w:r>
              <w:rPr/>
              <w:t>86</w:t>
            </w:r>
          </w:p>
        </w:tc>
      </w:tr>
      <w:tr>
        <w:trPr/>
        <w:tc>
          <w:tcPr>
            <w:tcW w:w="1379" w:type="dxa"/>
            <w:tcBorders/>
            <w:shd w:fill="EEEEEE" w:val="clear"/>
            <w:vAlign w:val="center"/>
          </w:tcPr>
          <w:p>
            <w:pPr>
              <w:pStyle w:val="TableContents"/>
              <w:bidi w:val="0"/>
              <w:spacing w:before="0" w:after="283"/>
              <w:jc w:val="left"/>
              <w:rPr/>
            </w:pPr>
            <w:r>
              <w:rPr/>
              <w:t>Section 7.10.</w:t>
            </w:r>
          </w:p>
        </w:tc>
        <w:tc>
          <w:tcPr>
            <w:tcW w:w="8490" w:type="dxa"/>
            <w:tcBorders/>
            <w:shd w:fill="EEEEEE" w:val="clear"/>
            <w:vAlign w:val="center"/>
          </w:tcPr>
          <w:p>
            <w:pPr>
              <w:pStyle w:val="TableContents"/>
              <w:bidi w:val="0"/>
              <w:spacing w:before="0" w:after="283"/>
              <w:jc w:val="left"/>
              <w:rPr/>
            </w:pPr>
            <w:r>
              <w:rPr/>
              <w:t>Remedies Upon Occurrence of Servicer Termination Event</w:t>
            </w:r>
          </w:p>
        </w:tc>
        <w:tc>
          <w:tcPr>
            <w:tcW w:w="336" w:type="dxa"/>
            <w:tcBorders/>
            <w:shd w:fill="EEEEEE" w:val="clear"/>
            <w:vAlign w:val="center"/>
          </w:tcPr>
          <w:p>
            <w:pPr>
              <w:pStyle w:val="TableContents"/>
              <w:bidi w:val="0"/>
              <w:spacing w:before="0" w:after="283"/>
              <w:jc w:val="right"/>
              <w:rPr/>
            </w:pPr>
            <w:r>
              <w:rPr/>
              <w:t>87</w:t>
            </w:r>
          </w:p>
        </w:tc>
      </w:tr>
      <w:tr>
        <w:trPr/>
        <w:tc>
          <w:tcPr>
            <w:tcW w:w="1379" w:type="dxa"/>
            <w:tcBorders/>
            <w:shd w:fill="FFFFFF" w:val="clear"/>
            <w:vAlign w:val="center"/>
          </w:tcPr>
          <w:p>
            <w:pPr>
              <w:pStyle w:val="TableContents"/>
              <w:bidi w:val="0"/>
              <w:spacing w:before="0" w:after="283"/>
              <w:jc w:val="left"/>
              <w:rPr/>
            </w:pPr>
            <w:r>
              <w:rPr/>
              <w:t>Section 7.11.</w:t>
            </w:r>
          </w:p>
        </w:tc>
        <w:tc>
          <w:tcPr>
            <w:tcW w:w="8490" w:type="dxa"/>
            <w:tcBorders/>
            <w:shd w:fill="FFFFFF" w:val="clear"/>
            <w:vAlign w:val="center"/>
          </w:tcPr>
          <w:p>
            <w:pPr>
              <w:pStyle w:val="TableContents"/>
              <w:bidi w:val="0"/>
              <w:spacing w:before="0" w:after="283"/>
              <w:jc w:val="left"/>
              <w:rPr/>
            </w:pPr>
            <w:r>
              <w:rPr/>
              <w:t>Assumption of Duties by Successor Servicer</w:t>
            </w:r>
          </w:p>
        </w:tc>
        <w:tc>
          <w:tcPr>
            <w:tcW w:w="336" w:type="dxa"/>
            <w:tcBorders/>
            <w:shd w:fill="FFFFFF" w:val="clear"/>
            <w:vAlign w:val="center"/>
          </w:tcPr>
          <w:p>
            <w:pPr>
              <w:pStyle w:val="TableContents"/>
              <w:bidi w:val="0"/>
              <w:spacing w:before="0" w:after="283"/>
              <w:jc w:val="right"/>
              <w:rPr/>
            </w:pPr>
            <w:r>
              <w:rPr/>
              <w:t>88</w:t>
            </w:r>
          </w:p>
        </w:tc>
      </w:tr>
      <w:tr>
        <w:trPr/>
        <w:tc>
          <w:tcPr>
            <w:tcW w:w="1379" w:type="dxa"/>
            <w:tcBorders/>
            <w:shd w:fill="EEEEEE" w:val="clear"/>
            <w:vAlign w:val="center"/>
          </w:tcPr>
          <w:p>
            <w:pPr>
              <w:pStyle w:val="TableContents"/>
              <w:bidi w:val="0"/>
              <w:spacing w:before="0" w:after="283"/>
              <w:jc w:val="left"/>
              <w:rPr/>
            </w:pPr>
            <w:r>
              <w:rPr/>
              <w:t>Section 7.12.</w:t>
            </w:r>
          </w:p>
        </w:tc>
        <w:tc>
          <w:tcPr>
            <w:tcW w:w="8490" w:type="dxa"/>
            <w:tcBorders/>
            <w:shd w:fill="EEEEEE" w:val="clear"/>
            <w:vAlign w:val="center"/>
          </w:tcPr>
          <w:p>
            <w:pPr>
              <w:pStyle w:val="TableContents"/>
              <w:bidi w:val="0"/>
              <w:spacing w:before="0" w:after="283"/>
              <w:jc w:val="left"/>
              <w:rPr/>
            </w:pPr>
            <w:r>
              <w:rPr/>
              <w:t>Waiver of Termination Events</w:t>
            </w:r>
          </w:p>
        </w:tc>
        <w:tc>
          <w:tcPr>
            <w:tcW w:w="336" w:type="dxa"/>
            <w:tcBorders/>
            <w:shd w:fill="EEEEEE" w:val="clear"/>
            <w:vAlign w:val="center"/>
          </w:tcPr>
          <w:p>
            <w:pPr>
              <w:pStyle w:val="TableContents"/>
              <w:bidi w:val="0"/>
              <w:spacing w:before="0" w:after="283"/>
              <w:jc w:val="right"/>
              <w:rPr/>
            </w:pPr>
            <w:r>
              <w:rPr/>
              <w:t>89</w:t>
            </w:r>
          </w:p>
        </w:tc>
      </w:tr>
      <w:tr>
        <w:trPr/>
        <w:tc>
          <w:tcPr>
            <w:tcW w:w="1379" w:type="dxa"/>
            <w:tcBorders/>
            <w:shd w:fill="FFFFFF" w:val="clear"/>
            <w:vAlign w:val="center"/>
          </w:tcPr>
          <w:p>
            <w:pPr>
              <w:pStyle w:val="TableContents"/>
              <w:bidi w:val="0"/>
              <w:spacing w:before="0" w:after="283"/>
              <w:jc w:val="left"/>
              <w:rPr/>
            </w:pPr>
            <w:r>
              <w:rPr/>
              <w:t>Section 7.13.</w:t>
            </w:r>
          </w:p>
        </w:tc>
        <w:tc>
          <w:tcPr>
            <w:tcW w:w="8490" w:type="dxa"/>
            <w:tcBorders/>
            <w:shd w:fill="FFFFFF" w:val="clear"/>
            <w:vAlign w:val="center"/>
          </w:tcPr>
          <w:p>
            <w:pPr>
              <w:pStyle w:val="TableContents"/>
              <w:bidi w:val="0"/>
              <w:spacing w:before="0" w:after="283"/>
              <w:jc w:val="left"/>
              <w:rPr/>
            </w:pPr>
            <w:r>
              <w:rPr/>
              <w:t>Notification Upon Occurrence of Servicer Termination Event</w:t>
            </w:r>
          </w:p>
        </w:tc>
        <w:tc>
          <w:tcPr>
            <w:tcW w:w="336" w:type="dxa"/>
            <w:tcBorders/>
            <w:shd w:fill="FFFFFF" w:val="clear"/>
            <w:vAlign w:val="center"/>
          </w:tcPr>
          <w:p>
            <w:pPr>
              <w:pStyle w:val="TableContents"/>
              <w:bidi w:val="0"/>
              <w:spacing w:before="0" w:after="283"/>
              <w:jc w:val="right"/>
              <w:rPr/>
            </w:pPr>
            <w:r>
              <w:rPr/>
              <w:t>89</w:t>
            </w:r>
          </w:p>
        </w:tc>
      </w:tr>
      <w:tr>
        <w:trPr/>
        <w:tc>
          <w:tcPr>
            <w:tcW w:w="1379" w:type="dxa"/>
            <w:tcBorders/>
            <w:shd w:fill="EEEEEE" w:val="clear"/>
            <w:vAlign w:val="center"/>
          </w:tcPr>
          <w:p>
            <w:pPr>
              <w:pStyle w:val="TableContents"/>
              <w:bidi w:val="0"/>
              <w:spacing w:before="0" w:after="283"/>
              <w:jc w:val="left"/>
              <w:rPr/>
            </w:pPr>
            <w:r>
              <w:rPr/>
              <w:t>Section 7.14.</w:t>
            </w:r>
          </w:p>
        </w:tc>
        <w:tc>
          <w:tcPr>
            <w:tcW w:w="8490" w:type="dxa"/>
            <w:tcBorders/>
            <w:shd w:fill="EEEEEE" w:val="clear"/>
            <w:vAlign w:val="center"/>
          </w:tcPr>
          <w:p>
            <w:pPr>
              <w:pStyle w:val="TableContents"/>
              <w:bidi w:val="0"/>
              <w:spacing w:before="0" w:after="283"/>
              <w:jc w:val="left"/>
              <w:rPr/>
            </w:pPr>
            <w:r>
              <w:rPr/>
              <w:t>The Servicer Not to Resign</w:t>
            </w:r>
          </w:p>
        </w:tc>
        <w:tc>
          <w:tcPr>
            <w:tcW w:w="336" w:type="dxa"/>
            <w:tcBorders/>
            <w:shd w:fill="EEEEEE" w:val="clear"/>
            <w:vAlign w:val="center"/>
          </w:tcPr>
          <w:p>
            <w:pPr>
              <w:pStyle w:val="TableContents"/>
              <w:bidi w:val="0"/>
              <w:spacing w:before="0" w:after="283"/>
              <w:jc w:val="right"/>
              <w:rPr/>
            </w:pPr>
            <w:r>
              <w:rPr/>
              <w:t>89</w:t>
            </w:r>
          </w:p>
        </w:tc>
      </w:tr>
      <w:tr>
        <w:trPr/>
        <w:tc>
          <w:tcPr>
            <w:tcW w:w="1379" w:type="dxa"/>
            <w:tcBorders/>
            <w:shd w:fill="FFFFFF" w:val="clear"/>
            <w:vAlign w:val="center"/>
          </w:tcPr>
          <w:p>
            <w:pPr>
              <w:pStyle w:val="TableContents"/>
              <w:bidi w:val="0"/>
              <w:spacing w:before="0" w:after="283"/>
              <w:jc w:val="left"/>
              <w:rPr/>
            </w:pPr>
            <w:r>
              <w:rPr/>
              <w:t>Section 7.15.</w:t>
            </w:r>
          </w:p>
        </w:tc>
        <w:tc>
          <w:tcPr>
            <w:tcW w:w="8490" w:type="dxa"/>
            <w:tcBorders/>
            <w:shd w:fill="FFFFFF" w:val="clear"/>
            <w:vAlign w:val="center"/>
          </w:tcPr>
          <w:p>
            <w:pPr>
              <w:pStyle w:val="TableContents"/>
              <w:bidi w:val="0"/>
              <w:spacing w:before="0" w:after="283"/>
              <w:jc w:val="left"/>
              <w:rPr/>
            </w:pPr>
            <w:r>
              <w:rPr/>
              <w:t>Purchase and Subsequent Pledge</w:t>
            </w:r>
          </w:p>
        </w:tc>
        <w:tc>
          <w:tcPr>
            <w:tcW w:w="336" w:type="dxa"/>
            <w:tcBorders/>
            <w:shd w:fill="FFFFFF" w:val="clear"/>
            <w:vAlign w:val="center"/>
          </w:tcPr>
          <w:p>
            <w:pPr>
              <w:pStyle w:val="TableContents"/>
              <w:bidi w:val="0"/>
              <w:spacing w:before="0" w:after="283"/>
              <w:jc w:val="right"/>
              <w:rPr/>
            </w:pPr>
            <w:r>
              <w:rPr/>
              <w:t>90</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76"/>
        <w:gridCol w:w="8573"/>
        <w:gridCol w:w="456"/>
      </w:tblGrid>
      <w:tr>
        <w:trPr/>
        <w:tc>
          <w:tcPr>
            <w:tcW w:w="1176" w:type="dxa"/>
            <w:tcBorders/>
            <w:shd w:fill="EEEEEE" w:val="clear"/>
            <w:vAlign w:val="center"/>
          </w:tcPr>
          <w:p>
            <w:pPr>
              <w:pStyle w:val="TableContents"/>
              <w:bidi w:val="0"/>
              <w:spacing w:before="0" w:after="283"/>
              <w:jc w:val="left"/>
              <w:rPr/>
            </w:pPr>
            <w:r>
              <w:rPr/>
              <w:t>Section 7.16.</w:t>
            </w:r>
          </w:p>
        </w:tc>
        <w:tc>
          <w:tcPr>
            <w:tcW w:w="8573" w:type="dxa"/>
            <w:tcBorders/>
            <w:shd w:fill="EEEEEE" w:val="clear"/>
            <w:vAlign w:val="center"/>
          </w:tcPr>
          <w:p>
            <w:pPr>
              <w:pStyle w:val="TableContents"/>
              <w:bidi w:val="0"/>
              <w:spacing w:before="0" w:after="283"/>
              <w:jc w:val="left"/>
              <w:rPr/>
            </w:pPr>
            <w:r>
              <w:rPr/>
              <w:t>Merger or Consolidation, Assumption of Obligations or Resignation, of the Servicer</w:t>
            </w:r>
          </w:p>
        </w:tc>
        <w:tc>
          <w:tcPr>
            <w:tcW w:w="456" w:type="dxa"/>
            <w:tcBorders/>
            <w:shd w:fill="EEEEEE" w:val="clear"/>
            <w:vAlign w:val="center"/>
          </w:tcPr>
          <w:p>
            <w:pPr>
              <w:pStyle w:val="TableContents"/>
              <w:bidi w:val="0"/>
              <w:spacing w:before="0" w:after="283"/>
              <w:jc w:val="right"/>
              <w:rPr/>
            </w:pPr>
            <w:r>
              <w:rPr/>
              <w:t>90</w:t>
            </w:r>
          </w:p>
        </w:tc>
      </w:tr>
      <w:tr>
        <w:trPr/>
        <w:tc>
          <w:tcPr>
            <w:tcW w:w="1176" w:type="dxa"/>
            <w:tcBorders/>
            <w:shd w:fill="FFFFFF" w:val="clear"/>
            <w:vAlign w:val="center"/>
          </w:tcPr>
          <w:p>
            <w:pPr>
              <w:pStyle w:val="TableContents"/>
              <w:bidi w:val="0"/>
              <w:spacing w:before="0" w:after="283"/>
              <w:jc w:val="left"/>
              <w:rPr/>
            </w:pPr>
            <w:r>
              <w:rPr/>
              <w:t>Section 7.17.</w:t>
            </w:r>
          </w:p>
        </w:tc>
        <w:tc>
          <w:tcPr>
            <w:tcW w:w="8573" w:type="dxa"/>
            <w:tcBorders/>
            <w:shd w:fill="FFFFFF" w:val="clear"/>
            <w:vAlign w:val="center"/>
          </w:tcPr>
          <w:p>
            <w:pPr>
              <w:pStyle w:val="TableContents"/>
              <w:bidi w:val="0"/>
              <w:spacing w:before="0" w:after="283"/>
              <w:jc w:val="left"/>
              <w:rPr/>
            </w:pPr>
            <w:r>
              <w:rPr/>
              <w:t>Repurchase of Receivables Upon Breach</w:t>
            </w:r>
          </w:p>
        </w:tc>
        <w:tc>
          <w:tcPr>
            <w:tcW w:w="456" w:type="dxa"/>
            <w:tcBorders/>
            <w:shd w:fill="FFFFFF" w:val="clear"/>
            <w:vAlign w:val="center"/>
          </w:tcPr>
          <w:p>
            <w:pPr>
              <w:pStyle w:val="TableContents"/>
              <w:bidi w:val="0"/>
              <w:spacing w:before="0" w:after="283"/>
              <w:jc w:val="right"/>
              <w:rPr/>
            </w:pPr>
            <w:r>
              <w:rPr/>
              <w:t>91</w:t>
            </w:r>
          </w:p>
        </w:tc>
      </w:tr>
      <w:tr>
        <w:trPr/>
        <w:tc>
          <w:tcPr>
            <w:tcW w:w="1176" w:type="dxa"/>
            <w:tcBorders/>
            <w:shd w:fill="EEEEEE" w:val="clear"/>
            <w:vAlign w:val="center"/>
          </w:tcPr>
          <w:p>
            <w:pPr>
              <w:pStyle w:val="TableContents"/>
              <w:bidi w:val="0"/>
              <w:spacing w:before="0" w:after="283"/>
              <w:jc w:val="left"/>
              <w:rPr/>
            </w:pPr>
            <w:r>
              <w:rPr/>
              <w:t>Section 7.18.</w:t>
            </w:r>
          </w:p>
        </w:tc>
        <w:tc>
          <w:tcPr>
            <w:tcW w:w="8573" w:type="dxa"/>
            <w:tcBorders/>
            <w:shd w:fill="EEEEEE" w:val="clear"/>
            <w:vAlign w:val="center"/>
          </w:tcPr>
          <w:p>
            <w:pPr>
              <w:pStyle w:val="TableContents"/>
              <w:bidi w:val="0"/>
              <w:spacing w:before="0" w:after="283"/>
              <w:jc w:val="left"/>
              <w:rPr/>
            </w:pPr>
            <w:r>
              <w:rPr/>
              <w:t>Borrower’s Obligations</w:t>
            </w:r>
          </w:p>
        </w:tc>
        <w:tc>
          <w:tcPr>
            <w:tcW w:w="456" w:type="dxa"/>
            <w:tcBorders/>
            <w:shd w:fill="EEEEEE" w:val="clear"/>
            <w:vAlign w:val="center"/>
          </w:tcPr>
          <w:p>
            <w:pPr>
              <w:pStyle w:val="TableContents"/>
              <w:bidi w:val="0"/>
              <w:spacing w:before="0" w:after="283"/>
              <w:jc w:val="right"/>
              <w:rPr/>
            </w:pPr>
            <w:r>
              <w:rPr/>
              <w:t>91</w:t>
            </w:r>
          </w:p>
        </w:tc>
      </w:tr>
      <w:tr>
        <w:trPr/>
        <w:tc>
          <w:tcPr>
            <w:tcW w:w="1176" w:type="dxa"/>
            <w:tcBorders/>
            <w:shd w:fill="FFFFFF" w:val="clear"/>
            <w:vAlign w:val="center"/>
          </w:tcPr>
          <w:p>
            <w:pPr>
              <w:pStyle w:val="TableContents"/>
              <w:bidi w:val="0"/>
              <w:spacing w:before="0" w:after="283"/>
              <w:jc w:val="left"/>
              <w:rPr/>
            </w:pPr>
            <w:r>
              <w:rPr/>
              <w:t>Section 7.19.</w:t>
            </w:r>
          </w:p>
        </w:tc>
        <w:tc>
          <w:tcPr>
            <w:tcW w:w="8573" w:type="dxa"/>
            <w:tcBorders/>
            <w:shd w:fill="FFFFFF" w:val="clear"/>
            <w:vAlign w:val="center"/>
          </w:tcPr>
          <w:p>
            <w:pPr>
              <w:pStyle w:val="TableContents"/>
              <w:bidi w:val="0"/>
              <w:spacing w:before="0" w:after="283"/>
              <w:jc w:val="left"/>
              <w:rPr/>
            </w:pPr>
            <w:r>
              <w:rPr/>
              <w:t>Backup Verification Monthly Servicer Report</w:t>
            </w:r>
          </w:p>
        </w:tc>
        <w:tc>
          <w:tcPr>
            <w:tcW w:w="456" w:type="dxa"/>
            <w:tcBorders/>
            <w:shd w:fill="FFFFFF" w:val="clear"/>
            <w:vAlign w:val="center"/>
          </w:tcPr>
          <w:p>
            <w:pPr>
              <w:pStyle w:val="TableContents"/>
              <w:bidi w:val="0"/>
              <w:spacing w:before="0" w:after="283"/>
              <w:jc w:val="right"/>
              <w:rPr/>
            </w:pPr>
            <w:r>
              <w:rPr/>
              <w:t>91</w:t>
            </w:r>
          </w:p>
        </w:tc>
      </w:tr>
      <w:tr>
        <w:trPr/>
        <w:tc>
          <w:tcPr>
            <w:tcW w:w="9749" w:type="dxa"/>
            <w:gridSpan w:val="2"/>
            <w:tcBorders/>
            <w:shd w:fill="EEEEEE" w:val="clear"/>
            <w:vAlign w:val="center"/>
          </w:tcPr>
          <w:p>
            <w:pPr>
              <w:pStyle w:val="TableContents"/>
              <w:bidi w:val="0"/>
              <w:spacing w:before="0" w:after="283"/>
              <w:jc w:val="left"/>
              <w:rPr/>
            </w:pPr>
            <w:r>
              <w:rPr/>
              <w:t>Article VIII [Reserved]</w:t>
            </w:r>
          </w:p>
        </w:tc>
        <w:tc>
          <w:tcPr>
            <w:tcW w:w="456" w:type="dxa"/>
            <w:tcBorders/>
            <w:shd w:fill="EEEEEE" w:val="clear"/>
            <w:vAlign w:val="center"/>
          </w:tcPr>
          <w:p>
            <w:pPr>
              <w:pStyle w:val="TableContents"/>
              <w:bidi w:val="0"/>
              <w:spacing w:before="0" w:after="283"/>
              <w:jc w:val="right"/>
              <w:rPr/>
            </w:pPr>
            <w:r>
              <w:rPr/>
              <w:t>94</w:t>
            </w:r>
          </w:p>
        </w:tc>
      </w:tr>
      <w:tr>
        <w:trPr/>
        <w:tc>
          <w:tcPr>
            <w:tcW w:w="9749" w:type="dxa"/>
            <w:gridSpan w:val="2"/>
            <w:tcBorders/>
            <w:shd w:fill="FFFFFF" w:val="clear"/>
            <w:vAlign w:val="center"/>
          </w:tcPr>
          <w:p>
            <w:pPr>
              <w:pStyle w:val="TableContents"/>
              <w:bidi w:val="0"/>
              <w:spacing w:before="0" w:after="283"/>
              <w:jc w:val="left"/>
              <w:rPr/>
            </w:pPr>
            <w:r>
              <w:rPr/>
              <w:t>Article IX The Custodian, the Paying Agent and the Backup Servicer</w:t>
            </w:r>
          </w:p>
        </w:tc>
        <w:tc>
          <w:tcPr>
            <w:tcW w:w="456" w:type="dxa"/>
            <w:tcBorders/>
            <w:shd w:fill="FFFFFF" w:val="clear"/>
            <w:vAlign w:val="center"/>
          </w:tcPr>
          <w:p>
            <w:pPr>
              <w:pStyle w:val="TableContents"/>
              <w:bidi w:val="0"/>
              <w:spacing w:before="0" w:after="283"/>
              <w:jc w:val="right"/>
              <w:rPr/>
            </w:pPr>
            <w:r>
              <w:rPr/>
              <w:t>94</w:t>
            </w:r>
          </w:p>
        </w:tc>
      </w:tr>
      <w:tr>
        <w:trPr/>
        <w:tc>
          <w:tcPr>
            <w:tcW w:w="1176" w:type="dxa"/>
            <w:tcBorders/>
            <w:shd w:fill="EEEEEE" w:val="clear"/>
            <w:vAlign w:val="center"/>
          </w:tcPr>
          <w:p>
            <w:pPr>
              <w:pStyle w:val="TableContents"/>
              <w:bidi w:val="0"/>
              <w:spacing w:before="0" w:after="283"/>
              <w:jc w:val="left"/>
              <w:rPr/>
            </w:pPr>
            <w:r>
              <w:rPr/>
              <w:t>Section 9.1.</w:t>
            </w:r>
          </w:p>
        </w:tc>
        <w:tc>
          <w:tcPr>
            <w:tcW w:w="8573" w:type="dxa"/>
            <w:tcBorders/>
            <w:shd w:fill="EEEEEE" w:val="clear"/>
            <w:vAlign w:val="center"/>
          </w:tcPr>
          <w:p>
            <w:pPr>
              <w:pStyle w:val="TableContents"/>
              <w:bidi w:val="0"/>
              <w:spacing w:before="0" w:after="283"/>
              <w:jc w:val="left"/>
              <w:rPr/>
            </w:pPr>
            <w:r>
              <w:rPr/>
              <w:t>Appointment; Duties of the Custodian</w:t>
            </w:r>
          </w:p>
        </w:tc>
        <w:tc>
          <w:tcPr>
            <w:tcW w:w="456" w:type="dxa"/>
            <w:tcBorders/>
            <w:shd w:fill="EEEEEE" w:val="clear"/>
            <w:vAlign w:val="center"/>
          </w:tcPr>
          <w:p>
            <w:pPr>
              <w:pStyle w:val="TableContents"/>
              <w:bidi w:val="0"/>
              <w:spacing w:before="0" w:after="283"/>
              <w:jc w:val="right"/>
              <w:rPr/>
            </w:pPr>
            <w:r>
              <w:rPr/>
              <w:t>94</w:t>
            </w:r>
          </w:p>
        </w:tc>
      </w:tr>
      <w:tr>
        <w:trPr/>
        <w:tc>
          <w:tcPr>
            <w:tcW w:w="1176" w:type="dxa"/>
            <w:tcBorders/>
            <w:shd w:fill="FFFFFF" w:val="clear"/>
            <w:vAlign w:val="center"/>
          </w:tcPr>
          <w:p>
            <w:pPr>
              <w:pStyle w:val="TableContents"/>
              <w:bidi w:val="0"/>
              <w:spacing w:before="0" w:after="283"/>
              <w:jc w:val="left"/>
              <w:rPr/>
            </w:pPr>
            <w:r>
              <w:rPr/>
              <w:t>Section 9.2.</w:t>
            </w:r>
          </w:p>
        </w:tc>
        <w:tc>
          <w:tcPr>
            <w:tcW w:w="8573" w:type="dxa"/>
            <w:tcBorders/>
            <w:shd w:fill="FFFFFF" w:val="clear"/>
            <w:vAlign w:val="center"/>
          </w:tcPr>
          <w:p>
            <w:pPr>
              <w:pStyle w:val="TableContents"/>
              <w:bidi w:val="0"/>
              <w:spacing w:before="0" w:after="283"/>
              <w:jc w:val="left"/>
              <w:rPr/>
            </w:pPr>
            <w:r>
              <w:rPr/>
              <w:t>Compensation and Indemnification of Custodian, Paying Agent and Backup Service</w:t>
            </w:r>
          </w:p>
        </w:tc>
        <w:tc>
          <w:tcPr>
            <w:tcW w:w="456" w:type="dxa"/>
            <w:tcBorders/>
            <w:shd w:fill="FFFFFF" w:val="clear"/>
            <w:vAlign w:val="center"/>
          </w:tcPr>
          <w:p>
            <w:pPr>
              <w:pStyle w:val="TableContents"/>
              <w:bidi w:val="0"/>
              <w:spacing w:before="0" w:after="283"/>
              <w:jc w:val="right"/>
              <w:rPr/>
            </w:pPr>
            <w:r>
              <w:rPr/>
              <w:t>96</w:t>
            </w:r>
          </w:p>
        </w:tc>
      </w:tr>
      <w:tr>
        <w:trPr/>
        <w:tc>
          <w:tcPr>
            <w:tcW w:w="1176" w:type="dxa"/>
            <w:tcBorders/>
            <w:shd w:fill="EEEEEE" w:val="clear"/>
            <w:vAlign w:val="center"/>
          </w:tcPr>
          <w:p>
            <w:pPr>
              <w:pStyle w:val="TableContents"/>
              <w:bidi w:val="0"/>
              <w:spacing w:before="0" w:after="283"/>
              <w:jc w:val="left"/>
              <w:rPr/>
            </w:pPr>
            <w:r>
              <w:rPr/>
              <w:t>Section 9.3.</w:t>
            </w:r>
          </w:p>
        </w:tc>
        <w:tc>
          <w:tcPr>
            <w:tcW w:w="8573" w:type="dxa"/>
            <w:tcBorders/>
            <w:shd w:fill="EEEEEE" w:val="clear"/>
            <w:vAlign w:val="center"/>
          </w:tcPr>
          <w:p>
            <w:pPr>
              <w:pStyle w:val="TableContents"/>
              <w:bidi w:val="0"/>
              <w:spacing w:before="0" w:after="283"/>
              <w:jc w:val="left"/>
              <w:rPr/>
            </w:pPr>
            <w:r>
              <w:rPr/>
              <w:t>Representations, Warranties and Covenants of the Custodian</w:t>
            </w:r>
          </w:p>
        </w:tc>
        <w:tc>
          <w:tcPr>
            <w:tcW w:w="456" w:type="dxa"/>
            <w:tcBorders/>
            <w:shd w:fill="EEEEEE" w:val="clear"/>
            <w:vAlign w:val="center"/>
          </w:tcPr>
          <w:p>
            <w:pPr>
              <w:pStyle w:val="TableContents"/>
              <w:bidi w:val="0"/>
              <w:spacing w:before="0" w:after="283"/>
              <w:jc w:val="right"/>
              <w:rPr/>
            </w:pPr>
            <w:r>
              <w:rPr/>
              <w:t>97</w:t>
            </w:r>
          </w:p>
        </w:tc>
      </w:tr>
      <w:tr>
        <w:trPr/>
        <w:tc>
          <w:tcPr>
            <w:tcW w:w="1176" w:type="dxa"/>
            <w:tcBorders/>
            <w:shd w:fill="FFFFFF" w:val="clear"/>
            <w:vAlign w:val="center"/>
          </w:tcPr>
          <w:p>
            <w:pPr>
              <w:pStyle w:val="TableContents"/>
              <w:bidi w:val="0"/>
              <w:spacing w:before="0" w:after="283"/>
              <w:jc w:val="left"/>
              <w:rPr/>
            </w:pPr>
            <w:r>
              <w:rPr/>
              <w:t>Section 9.4.</w:t>
            </w:r>
          </w:p>
        </w:tc>
        <w:tc>
          <w:tcPr>
            <w:tcW w:w="8573" w:type="dxa"/>
            <w:tcBorders/>
            <w:shd w:fill="FFFFFF" w:val="clear"/>
            <w:vAlign w:val="center"/>
          </w:tcPr>
          <w:p>
            <w:pPr>
              <w:pStyle w:val="TableContents"/>
              <w:bidi w:val="0"/>
              <w:spacing w:before="0" w:after="283"/>
              <w:jc w:val="left"/>
              <w:rPr/>
            </w:pPr>
            <w:r>
              <w:rPr/>
              <w:t>Liability of the Custodian</w:t>
            </w:r>
          </w:p>
        </w:tc>
        <w:tc>
          <w:tcPr>
            <w:tcW w:w="456" w:type="dxa"/>
            <w:tcBorders/>
            <w:shd w:fill="FFFFFF" w:val="clear"/>
            <w:vAlign w:val="center"/>
          </w:tcPr>
          <w:p>
            <w:pPr>
              <w:pStyle w:val="TableContents"/>
              <w:bidi w:val="0"/>
              <w:spacing w:before="0" w:after="283"/>
              <w:jc w:val="right"/>
              <w:rPr/>
            </w:pPr>
            <w:r>
              <w:rPr/>
              <w:t>97</w:t>
            </w:r>
          </w:p>
        </w:tc>
      </w:tr>
      <w:tr>
        <w:trPr/>
        <w:tc>
          <w:tcPr>
            <w:tcW w:w="1176" w:type="dxa"/>
            <w:tcBorders/>
            <w:shd w:fill="EEEEEE" w:val="clear"/>
            <w:vAlign w:val="center"/>
          </w:tcPr>
          <w:p>
            <w:pPr>
              <w:pStyle w:val="TableContents"/>
              <w:bidi w:val="0"/>
              <w:spacing w:before="0" w:after="283"/>
              <w:jc w:val="left"/>
              <w:rPr/>
            </w:pPr>
            <w:r>
              <w:rPr/>
              <w:t>Section 9.5.</w:t>
            </w:r>
          </w:p>
        </w:tc>
        <w:tc>
          <w:tcPr>
            <w:tcW w:w="8573" w:type="dxa"/>
            <w:tcBorders/>
            <w:shd w:fill="EEEEEE" w:val="clear"/>
            <w:vAlign w:val="center"/>
          </w:tcPr>
          <w:p>
            <w:pPr>
              <w:pStyle w:val="TableContents"/>
              <w:bidi w:val="0"/>
              <w:spacing w:before="0" w:after="283"/>
              <w:jc w:val="left"/>
              <w:rPr/>
            </w:pPr>
            <w:r>
              <w:rPr/>
              <w:t>Merger, Conversion, Consolidation of, or Succession to Business of, the Custodian</w:t>
            </w:r>
          </w:p>
        </w:tc>
        <w:tc>
          <w:tcPr>
            <w:tcW w:w="456" w:type="dxa"/>
            <w:tcBorders/>
            <w:shd w:fill="EEEEEE" w:val="clear"/>
            <w:vAlign w:val="center"/>
          </w:tcPr>
          <w:p>
            <w:pPr>
              <w:pStyle w:val="TableContents"/>
              <w:bidi w:val="0"/>
              <w:spacing w:before="0" w:after="283"/>
              <w:jc w:val="right"/>
              <w:rPr/>
            </w:pPr>
            <w:r>
              <w:rPr/>
              <w:t>101</w:t>
            </w:r>
          </w:p>
        </w:tc>
      </w:tr>
      <w:tr>
        <w:trPr/>
        <w:tc>
          <w:tcPr>
            <w:tcW w:w="1176" w:type="dxa"/>
            <w:tcBorders/>
            <w:shd w:fill="FFFFFF" w:val="clear"/>
            <w:vAlign w:val="center"/>
          </w:tcPr>
          <w:p>
            <w:pPr>
              <w:pStyle w:val="TableContents"/>
              <w:bidi w:val="0"/>
              <w:spacing w:before="0" w:after="283"/>
              <w:jc w:val="left"/>
              <w:rPr/>
            </w:pPr>
            <w:r>
              <w:rPr/>
              <w:t>Section 9.6.</w:t>
            </w:r>
          </w:p>
        </w:tc>
        <w:tc>
          <w:tcPr>
            <w:tcW w:w="8573" w:type="dxa"/>
            <w:tcBorders/>
            <w:shd w:fill="FFFFFF" w:val="clear"/>
            <w:vAlign w:val="center"/>
          </w:tcPr>
          <w:p>
            <w:pPr>
              <w:pStyle w:val="TableContents"/>
              <w:bidi w:val="0"/>
              <w:spacing w:before="0" w:after="283"/>
              <w:jc w:val="left"/>
              <w:rPr/>
            </w:pPr>
            <w:r>
              <w:rPr/>
              <w:t>Acknowledgment of Roles</w:t>
            </w:r>
          </w:p>
        </w:tc>
        <w:tc>
          <w:tcPr>
            <w:tcW w:w="456" w:type="dxa"/>
            <w:tcBorders/>
            <w:shd w:fill="FFFFFF" w:val="clear"/>
            <w:vAlign w:val="center"/>
          </w:tcPr>
          <w:p>
            <w:pPr>
              <w:pStyle w:val="TableContents"/>
              <w:bidi w:val="0"/>
              <w:spacing w:before="0" w:after="283"/>
              <w:jc w:val="right"/>
              <w:rPr/>
            </w:pPr>
            <w:r>
              <w:rPr/>
              <w:t>102</w:t>
            </w:r>
          </w:p>
        </w:tc>
      </w:tr>
      <w:tr>
        <w:trPr/>
        <w:tc>
          <w:tcPr>
            <w:tcW w:w="1176" w:type="dxa"/>
            <w:tcBorders/>
            <w:shd w:fill="EEEEEE" w:val="clear"/>
            <w:vAlign w:val="center"/>
          </w:tcPr>
          <w:p>
            <w:pPr>
              <w:pStyle w:val="TableContents"/>
              <w:bidi w:val="0"/>
              <w:spacing w:before="0" w:after="283"/>
              <w:jc w:val="left"/>
              <w:rPr/>
            </w:pPr>
            <w:r>
              <w:rPr/>
              <w:t>Section 9.7.</w:t>
            </w:r>
          </w:p>
        </w:tc>
        <w:tc>
          <w:tcPr>
            <w:tcW w:w="8573" w:type="dxa"/>
            <w:tcBorders/>
            <w:shd w:fill="EEEEEE" w:val="clear"/>
            <w:vAlign w:val="center"/>
          </w:tcPr>
          <w:p>
            <w:pPr>
              <w:pStyle w:val="TableContents"/>
              <w:bidi w:val="0"/>
              <w:spacing w:before="0" w:after="283"/>
              <w:jc w:val="left"/>
              <w:rPr/>
            </w:pPr>
            <w:r>
              <w:rPr/>
              <w:t>Limitation on Liability of the Custodian and Others</w:t>
            </w:r>
          </w:p>
        </w:tc>
        <w:tc>
          <w:tcPr>
            <w:tcW w:w="456" w:type="dxa"/>
            <w:tcBorders/>
            <w:shd w:fill="EEEEEE" w:val="clear"/>
            <w:vAlign w:val="center"/>
          </w:tcPr>
          <w:p>
            <w:pPr>
              <w:pStyle w:val="TableContents"/>
              <w:bidi w:val="0"/>
              <w:spacing w:before="0" w:after="283"/>
              <w:jc w:val="right"/>
              <w:rPr/>
            </w:pPr>
            <w:r>
              <w:rPr/>
              <w:t>102</w:t>
            </w:r>
          </w:p>
        </w:tc>
      </w:tr>
      <w:tr>
        <w:trPr/>
        <w:tc>
          <w:tcPr>
            <w:tcW w:w="1176" w:type="dxa"/>
            <w:tcBorders/>
            <w:shd w:fill="FFFFFF" w:val="clear"/>
            <w:vAlign w:val="center"/>
          </w:tcPr>
          <w:p>
            <w:pPr>
              <w:pStyle w:val="TableContents"/>
              <w:bidi w:val="0"/>
              <w:spacing w:before="0" w:after="283"/>
              <w:jc w:val="left"/>
              <w:rPr/>
            </w:pPr>
            <w:r>
              <w:rPr/>
              <w:t>Section 9.8.</w:t>
            </w:r>
          </w:p>
        </w:tc>
        <w:tc>
          <w:tcPr>
            <w:tcW w:w="8573" w:type="dxa"/>
            <w:tcBorders/>
            <w:shd w:fill="FFFFFF" w:val="clear"/>
            <w:vAlign w:val="center"/>
          </w:tcPr>
          <w:p>
            <w:pPr>
              <w:pStyle w:val="TableContents"/>
              <w:bidi w:val="0"/>
              <w:spacing w:before="0" w:after="283"/>
              <w:jc w:val="left"/>
              <w:rPr/>
            </w:pPr>
            <w:r>
              <w:rPr/>
              <w:t>[Reserved]</w:t>
            </w:r>
          </w:p>
        </w:tc>
        <w:tc>
          <w:tcPr>
            <w:tcW w:w="456" w:type="dxa"/>
            <w:tcBorders/>
            <w:shd w:fill="FFFFFF" w:val="clear"/>
            <w:vAlign w:val="center"/>
          </w:tcPr>
          <w:p>
            <w:pPr>
              <w:pStyle w:val="TableContents"/>
              <w:bidi w:val="0"/>
              <w:spacing w:before="0" w:after="283"/>
              <w:jc w:val="right"/>
              <w:rPr/>
            </w:pPr>
            <w:r>
              <w:rPr/>
              <w:t>102</w:t>
            </w:r>
          </w:p>
        </w:tc>
      </w:tr>
      <w:tr>
        <w:trPr/>
        <w:tc>
          <w:tcPr>
            <w:tcW w:w="1176" w:type="dxa"/>
            <w:tcBorders/>
            <w:shd w:fill="EEEEEE" w:val="clear"/>
            <w:vAlign w:val="center"/>
          </w:tcPr>
          <w:p>
            <w:pPr>
              <w:pStyle w:val="TableContents"/>
              <w:bidi w:val="0"/>
              <w:spacing w:before="0" w:after="283"/>
              <w:jc w:val="left"/>
              <w:rPr/>
            </w:pPr>
            <w:r>
              <w:rPr/>
              <w:t>Section 9.9.</w:t>
            </w:r>
          </w:p>
        </w:tc>
        <w:tc>
          <w:tcPr>
            <w:tcW w:w="8573" w:type="dxa"/>
            <w:tcBorders/>
            <w:shd w:fill="EEEEEE" w:val="clear"/>
            <w:vAlign w:val="center"/>
          </w:tcPr>
          <w:p>
            <w:pPr>
              <w:pStyle w:val="TableContents"/>
              <w:bidi w:val="0"/>
              <w:spacing w:before="0" w:after="283"/>
              <w:jc w:val="left"/>
              <w:rPr/>
            </w:pPr>
            <w:r>
              <w:rPr/>
              <w:t>Documents Held by the Custodian; Indication of Borrower Ownership; Inspection and Release of Custodian Files</w:t>
            </w:r>
          </w:p>
        </w:tc>
        <w:tc>
          <w:tcPr>
            <w:tcW w:w="456" w:type="dxa"/>
            <w:tcBorders/>
            <w:shd w:fill="EEEEEE" w:val="clear"/>
            <w:vAlign w:val="center"/>
          </w:tcPr>
          <w:p>
            <w:pPr>
              <w:pStyle w:val="TableContents"/>
              <w:bidi w:val="0"/>
              <w:spacing w:before="0" w:after="283"/>
              <w:jc w:val="right"/>
              <w:rPr/>
            </w:pPr>
            <w:r>
              <w:rPr/>
              <w:t>102</w:t>
            </w:r>
          </w:p>
        </w:tc>
      </w:tr>
      <w:tr>
        <w:trPr/>
        <w:tc>
          <w:tcPr>
            <w:tcW w:w="1176" w:type="dxa"/>
            <w:tcBorders/>
            <w:shd w:fill="FFFFFF" w:val="clear"/>
            <w:vAlign w:val="center"/>
          </w:tcPr>
          <w:p>
            <w:pPr>
              <w:pStyle w:val="TableContents"/>
              <w:bidi w:val="0"/>
              <w:spacing w:before="0" w:after="283"/>
              <w:jc w:val="left"/>
              <w:rPr/>
            </w:pPr>
            <w:r>
              <w:rPr/>
              <w:t>Section 9.10.</w:t>
            </w:r>
          </w:p>
        </w:tc>
        <w:tc>
          <w:tcPr>
            <w:tcW w:w="8573" w:type="dxa"/>
            <w:tcBorders/>
            <w:shd w:fill="FFFFFF" w:val="clear"/>
            <w:vAlign w:val="center"/>
          </w:tcPr>
          <w:p>
            <w:pPr>
              <w:pStyle w:val="TableContents"/>
              <w:bidi w:val="0"/>
              <w:spacing w:before="0" w:after="283"/>
              <w:jc w:val="left"/>
              <w:rPr/>
            </w:pPr>
            <w:r>
              <w:rPr/>
              <w:t>Matters Relating to Electronic Chattel Paper</w:t>
            </w:r>
          </w:p>
        </w:tc>
        <w:tc>
          <w:tcPr>
            <w:tcW w:w="456" w:type="dxa"/>
            <w:tcBorders/>
            <w:shd w:fill="FFFFFF" w:val="clear"/>
            <w:vAlign w:val="center"/>
          </w:tcPr>
          <w:p>
            <w:pPr>
              <w:pStyle w:val="TableContents"/>
              <w:bidi w:val="0"/>
              <w:spacing w:before="0" w:after="283"/>
              <w:jc w:val="right"/>
              <w:rPr/>
            </w:pPr>
            <w:r>
              <w:rPr/>
              <w:t>104</w:t>
            </w:r>
          </w:p>
        </w:tc>
      </w:tr>
      <w:tr>
        <w:trPr/>
        <w:tc>
          <w:tcPr>
            <w:tcW w:w="9749" w:type="dxa"/>
            <w:gridSpan w:val="2"/>
            <w:tcBorders/>
            <w:shd w:fill="EEEEEE" w:val="clear"/>
            <w:vAlign w:val="center"/>
          </w:tcPr>
          <w:p>
            <w:pPr>
              <w:pStyle w:val="TableContents"/>
              <w:bidi w:val="0"/>
              <w:spacing w:before="0" w:after="283"/>
              <w:jc w:val="left"/>
              <w:rPr/>
            </w:pPr>
            <w:r>
              <w:rPr/>
              <w:t>Article X Termination and Amortization Events</w:t>
            </w:r>
          </w:p>
        </w:tc>
        <w:tc>
          <w:tcPr>
            <w:tcW w:w="456" w:type="dxa"/>
            <w:tcBorders/>
            <w:shd w:fill="EEEEEE" w:val="clear"/>
            <w:vAlign w:val="center"/>
          </w:tcPr>
          <w:p>
            <w:pPr>
              <w:pStyle w:val="TableContents"/>
              <w:bidi w:val="0"/>
              <w:spacing w:before="0" w:after="283"/>
              <w:jc w:val="right"/>
              <w:rPr/>
            </w:pPr>
            <w:r>
              <w:rPr/>
              <w:t>107</w:t>
            </w:r>
          </w:p>
        </w:tc>
      </w:tr>
      <w:tr>
        <w:trPr/>
        <w:tc>
          <w:tcPr>
            <w:tcW w:w="1176" w:type="dxa"/>
            <w:tcBorders/>
            <w:shd w:fill="FFFFFF" w:val="clear"/>
            <w:vAlign w:val="center"/>
          </w:tcPr>
          <w:p>
            <w:pPr>
              <w:pStyle w:val="TableContents"/>
              <w:bidi w:val="0"/>
              <w:spacing w:before="0" w:after="283"/>
              <w:jc w:val="left"/>
              <w:rPr/>
            </w:pPr>
            <w:r>
              <w:rPr/>
              <w:t>Section 10.1.</w:t>
            </w:r>
          </w:p>
        </w:tc>
        <w:tc>
          <w:tcPr>
            <w:tcW w:w="8573" w:type="dxa"/>
            <w:tcBorders/>
            <w:shd w:fill="FFFFFF" w:val="clear"/>
            <w:vAlign w:val="center"/>
          </w:tcPr>
          <w:p>
            <w:pPr>
              <w:pStyle w:val="TableContents"/>
              <w:bidi w:val="0"/>
              <w:spacing w:before="0" w:after="283"/>
              <w:jc w:val="left"/>
              <w:rPr/>
            </w:pPr>
            <w:r>
              <w:rPr/>
              <w:t>Termination Events</w:t>
            </w:r>
          </w:p>
        </w:tc>
        <w:tc>
          <w:tcPr>
            <w:tcW w:w="456" w:type="dxa"/>
            <w:tcBorders/>
            <w:shd w:fill="FFFFFF" w:val="clear"/>
            <w:vAlign w:val="center"/>
          </w:tcPr>
          <w:p>
            <w:pPr>
              <w:pStyle w:val="TableContents"/>
              <w:bidi w:val="0"/>
              <w:spacing w:before="0" w:after="283"/>
              <w:jc w:val="right"/>
              <w:rPr/>
            </w:pPr>
            <w:r>
              <w:rPr/>
              <w:t>107</w:t>
            </w:r>
          </w:p>
        </w:tc>
      </w:tr>
      <w:tr>
        <w:trPr/>
        <w:tc>
          <w:tcPr>
            <w:tcW w:w="1176" w:type="dxa"/>
            <w:tcBorders/>
            <w:shd w:fill="EEEEEE" w:val="clear"/>
            <w:vAlign w:val="center"/>
          </w:tcPr>
          <w:p>
            <w:pPr>
              <w:pStyle w:val="TableContents"/>
              <w:bidi w:val="0"/>
              <w:spacing w:before="0" w:after="283"/>
              <w:jc w:val="left"/>
              <w:rPr/>
            </w:pPr>
            <w:r>
              <w:rPr/>
              <w:t>Section 10.2.</w:t>
            </w:r>
          </w:p>
        </w:tc>
        <w:tc>
          <w:tcPr>
            <w:tcW w:w="8573" w:type="dxa"/>
            <w:tcBorders/>
            <w:shd w:fill="EEEEEE" w:val="clear"/>
            <w:vAlign w:val="center"/>
          </w:tcPr>
          <w:p>
            <w:pPr>
              <w:pStyle w:val="TableContents"/>
              <w:bidi w:val="0"/>
              <w:spacing w:before="0" w:after="283"/>
              <w:jc w:val="left"/>
              <w:rPr/>
            </w:pPr>
            <w:r>
              <w:rPr/>
              <w:t>Amortization Events</w:t>
            </w:r>
          </w:p>
        </w:tc>
        <w:tc>
          <w:tcPr>
            <w:tcW w:w="456" w:type="dxa"/>
            <w:tcBorders/>
            <w:shd w:fill="EEEEEE" w:val="clear"/>
            <w:vAlign w:val="center"/>
          </w:tcPr>
          <w:p>
            <w:pPr>
              <w:pStyle w:val="TableContents"/>
              <w:bidi w:val="0"/>
              <w:spacing w:before="0" w:after="283"/>
              <w:jc w:val="right"/>
              <w:rPr/>
            </w:pPr>
            <w:r>
              <w:rPr/>
              <w:t>109</w:t>
            </w:r>
          </w:p>
        </w:tc>
      </w:tr>
      <w:tr>
        <w:trPr/>
        <w:tc>
          <w:tcPr>
            <w:tcW w:w="1176" w:type="dxa"/>
            <w:tcBorders/>
            <w:shd w:fill="FFFFFF" w:val="clear"/>
            <w:vAlign w:val="center"/>
          </w:tcPr>
          <w:p>
            <w:pPr>
              <w:pStyle w:val="TableContents"/>
              <w:bidi w:val="0"/>
              <w:spacing w:before="0" w:after="283"/>
              <w:jc w:val="left"/>
              <w:rPr/>
            </w:pPr>
            <w:r>
              <w:rPr/>
              <w:t>Section 10.3.</w:t>
            </w:r>
          </w:p>
        </w:tc>
        <w:tc>
          <w:tcPr>
            <w:tcW w:w="8573" w:type="dxa"/>
            <w:tcBorders/>
            <w:shd w:fill="FFFFFF" w:val="clear"/>
            <w:vAlign w:val="center"/>
          </w:tcPr>
          <w:p>
            <w:pPr>
              <w:pStyle w:val="TableContents"/>
              <w:bidi w:val="0"/>
              <w:spacing w:before="0" w:after="283"/>
              <w:jc w:val="left"/>
              <w:rPr/>
            </w:pPr>
            <w:r>
              <w:rPr/>
              <w:t>Actions Upon the Declaration of a Termination Event</w:t>
            </w:r>
          </w:p>
        </w:tc>
        <w:tc>
          <w:tcPr>
            <w:tcW w:w="456" w:type="dxa"/>
            <w:tcBorders/>
            <w:shd w:fill="FFFFFF" w:val="clear"/>
            <w:vAlign w:val="center"/>
          </w:tcPr>
          <w:p>
            <w:pPr>
              <w:pStyle w:val="TableContents"/>
              <w:bidi w:val="0"/>
              <w:spacing w:before="0" w:after="283"/>
              <w:jc w:val="right"/>
              <w:rPr/>
            </w:pPr>
            <w:r>
              <w:rPr/>
              <w:t>110</w:t>
            </w:r>
          </w:p>
        </w:tc>
      </w:tr>
      <w:tr>
        <w:trPr/>
        <w:tc>
          <w:tcPr>
            <w:tcW w:w="1176" w:type="dxa"/>
            <w:tcBorders/>
            <w:shd w:fill="EEEEEE" w:val="clear"/>
            <w:vAlign w:val="center"/>
          </w:tcPr>
          <w:p>
            <w:pPr>
              <w:pStyle w:val="TableContents"/>
              <w:bidi w:val="0"/>
              <w:spacing w:before="0" w:after="283"/>
              <w:jc w:val="left"/>
              <w:rPr/>
            </w:pPr>
            <w:r>
              <w:rPr/>
              <w:t>Section 10.4.</w:t>
            </w:r>
          </w:p>
        </w:tc>
        <w:tc>
          <w:tcPr>
            <w:tcW w:w="8573" w:type="dxa"/>
            <w:tcBorders/>
            <w:shd w:fill="EEEEEE" w:val="clear"/>
            <w:vAlign w:val="center"/>
          </w:tcPr>
          <w:p>
            <w:pPr>
              <w:pStyle w:val="TableContents"/>
              <w:bidi w:val="0"/>
              <w:spacing w:before="0" w:after="283"/>
              <w:jc w:val="left"/>
              <w:rPr/>
            </w:pPr>
            <w:r>
              <w:rPr/>
              <w:t>Exercise of Remedies</w:t>
            </w:r>
          </w:p>
        </w:tc>
        <w:tc>
          <w:tcPr>
            <w:tcW w:w="456" w:type="dxa"/>
            <w:tcBorders/>
            <w:shd w:fill="EEEEEE" w:val="clear"/>
            <w:vAlign w:val="center"/>
          </w:tcPr>
          <w:p>
            <w:pPr>
              <w:pStyle w:val="TableContents"/>
              <w:bidi w:val="0"/>
              <w:spacing w:before="0" w:after="283"/>
              <w:jc w:val="right"/>
              <w:rPr/>
            </w:pPr>
            <w:r>
              <w:rPr/>
              <w:t>110</w:t>
            </w:r>
          </w:p>
        </w:tc>
      </w:tr>
      <w:tr>
        <w:trPr/>
        <w:tc>
          <w:tcPr>
            <w:tcW w:w="1176" w:type="dxa"/>
            <w:tcBorders/>
            <w:shd w:fill="FFFFFF" w:val="clear"/>
            <w:vAlign w:val="center"/>
          </w:tcPr>
          <w:p>
            <w:pPr>
              <w:pStyle w:val="TableContents"/>
              <w:bidi w:val="0"/>
              <w:spacing w:before="0" w:after="283"/>
              <w:jc w:val="left"/>
              <w:rPr/>
            </w:pPr>
            <w:r>
              <w:rPr/>
              <w:t>Section 10.5.</w:t>
            </w:r>
          </w:p>
        </w:tc>
        <w:tc>
          <w:tcPr>
            <w:tcW w:w="8573" w:type="dxa"/>
            <w:tcBorders/>
            <w:shd w:fill="FFFFFF" w:val="clear"/>
            <w:vAlign w:val="center"/>
          </w:tcPr>
          <w:p>
            <w:pPr>
              <w:pStyle w:val="TableContents"/>
              <w:bidi w:val="0"/>
              <w:spacing w:before="0" w:after="283"/>
              <w:jc w:val="left"/>
              <w:rPr/>
            </w:pPr>
            <w:r>
              <w:rPr/>
              <w:t>Waiver of Certain Laws</w:t>
            </w:r>
          </w:p>
        </w:tc>
        <w:tc>
          <w:tcPr>
            <w:tcW w:w="456" w:type="dxa"/>
            <w:tcBorders/>
            <w:shd w:fill="FFFFFF" w:val="clear"/>
            <w:vAlign w:val="center"/>
          </w:tcPr>
          <w:p>
            <w:pPr>
              <w:pStyle w:val="TableContents"/>
              <w:bidi w:val="0"/>
              <w:spacing w:before="0" w:after="283"/>
              <w:jc w:val="right"/>
              <w:rPr/>
            </w:pPr>
            <w:r>
              <w:rPr/>
              <w:t>111</w:t>
            </w:r>
          </w:p>
        </w:tc>
      </w:tr>
      <w:tr>
        <w:trPr/>
        <w:tc>
          <w:tcPr>
            <w:tcW w:w="1176" w:type="dxa"/>
            <w:tcBorders/>
            <w:shd w:fill="EEEEEE" w:val="clear"/>
            <w:vAlign w:val="center"/>
          </w:tcPr>
          <w:p>
            <w:pPr>
              <w:pStyle w:val="TableContents"/>
              <w:bidi w:val="0"/>
              <w:spacing w:before="0" w:after="283"/>
              <w:jc w:val="left"/>
              <w:rPr/>
            </w:pPr>
            <w:r>
              <w:rPr/>
              <w:t>Section 10.6.</w:t>
            </w:r>
          </w:p>
        </w:tc>
        <w:tc>
          <w:tcPr>
            <w:tcW w:w="8573" w:type="dxa"/>
            <w:tcBorders/>
            <w:shd w:fill="EEEEEE" w:val="clear"/>
            <w:vAlign w:val="center"/>
          </w:tcPr>
          <w:p>
            <w:pPr>
              <w:pStyle w:val="TableContents"/>
              <w:bidi w:val="0"/>
              <w:spacing w:before="0" w:after="283"/>
              <w:jc w:val="left"/>
              <w:rPr/>
            </w:pPr>
            <w:r>
              <w:rPr/>
              <w:t>Power of Attorney</w:t>
            </w:r>
          </w:p>
        </w:tc>
        <w:tc>
          <w:tcPr>
            <w:tcW w:w="456" w:type="dxa"/>
            <w:tcBorders/>
            <w:shd w:fill="EEEEEE" w:val="clear"/>
            <w:vAlign w:val="center"/>
          </w:tcPr>
          <w:p>
            <w:pPr>
              <w:pStyle w:val="TableContents"/>
              <w:bidi w:val="0"/>
              <w:spacing w:before="0" w:after="283"/>
              <w:jc w:val="right"/>
              <w:rPr/>
            </w:pPr>
            <w:r>
              <w:rPr/>
              <w:t>111</w:t>
            </w:r>
          </w:p>
        </w:tc>
      </w:tr>
      <w:tr>
        <w:trPr/>
        <w:tc>
          <w:tcPr>
            <w:tcW w:w="1176" w:type="dxa"/>
            <w:tcBorders/>
            <w:shd w:fill="FFFFFF" w:val="clear"/>
            <w:vAlign w:val="center"/>
          </w:tcPr>
          <w:p>
            <w:pPr>
              <w:pStyle w:val="TableContents"/>
              <w:bidi w:val="0"/>
              <w:spacing w:before="0" w:after="283"/>
              <w:jc w:val="left"/>
              <w:rPr/>
            </w:pPr>
            <w:r>
              <w:rPr/>
              <w:t>Section 10.7.</w:t>
            </w:r>
          </w:p>
        </w:tc>
        <w:tc>
          <w:tcPr>
            <w:tcW w:w="8573" w:type="dxa"/>
            <w:tcBorders/>
            <w:shd w:fill="FFFFFF" w:val="clear"/>
            <w:vAlign w:val="center"/>
          </w:tcPr>
          <w:p>
            <w:pPr>
              <w:pStyle w:val="TableContents"/>
              <w:bidi w:val="0"/>
              <w:spacing w:before="0" w:after="283"/>
              <w:jc w:val="left"/>
              <w:rPr/>
            </w:pPr>
            <w:r>
              <w:rPr/>
              <w:t>Termination Date Solely as the Result of the Commitment Termination Date or an Amortization Event</w:t>
            </w:r>
          </w:p>
        </w:tc>
        <w:tc>
          <w:tcPr>
            <w:tcW w:w="456" w:type="dxa"/>
            <w:tcBorders/>
            <w:shd w:fill="FFFFFF" w:val="clear"/>
            <w:vAlign w:val="center"/>
          </w:tcPr>
          <w:p>
            <w:pPr>
              <w:pStyle w:val="TableContents"/>
              <w:bidi w:val="0"/>
              <w:spacing w:before="0" w:after="283"/>
              <w:jc w:val="right"/>
              <w:rPr/>
            </w:pPr>
            <w:r>
              <w:rPr/>
              <w:t>111</w:t>
            </w:r>
          </w:p>
        </w:tc>
      </w:tr>
      <w:tr>
        <w:trPr/>
        <w:tc>
          <w:tcPr>
            <w:tcW w:w="1176" w:type="dxa"/>
            <w:tcBorders/>
            <w:shd w:fill="EEEEEE" w:val="clear"/>
            <w:vAlign w:val="center"/>
          </w:tcPr>
          <w:p>
            <w:pPr>
              <w:pStyle w:val="TableContents"/>
              <w:bidi w:val="0"/>
              <w:spacing w:before="0" w:after="283"/>
              <w:jc w:val="left"/>
              <w:rPr/>
            </w:pPr>
            <w:r>
              <w:rPr/>
              <w:t>Section 10.8.</w:t>
            </w:r>
          </w:p>
        </w:tc>
        <w:tc>
          <w:tcPr>
            <w:tcW w:w="8573" w:type="dxa"/>
            <w:tcBorders/>
            <w:shd w:fill="EEEEEE" w:val="clear"/>
            <w:vAlign w:val="center"/>
          </w:tcPr>
          <w:p>
            <w:pPr>
              <w:pStyle w:val="TableContents"/>
              <w:bidi w:val="0"/>
              <w:spacing w:before="0" w:after="283"/>
              <w:jc w:val="left"/>
              <w:rPr/>
            </w:pPr>
            <w:r>
              <w:rPr/>
              <w:t>Class B Lenders’ Purchase Option; Collateral Purchase Right</w:t>
            </w:r>
          </w:p>
        </w:tc>
        <w:tc>
          <w:tcPr>
            <w:tcW w:w="456" w:type="dxa"/>
            <w:tcBorders/>
            <w:shd w:fill="EEEEEE" w:val="clear"/>
            <w:vAlign w:val="center"/>
          </w:tcPr>
          <w:p>
            <w:pPr>
              <w:pStyle w:val="TableContents"/>
              <w:bidi w:val="0"/>
              <w:spacing w:before="0" w:after="283"/>
              <w:jc w:val="right"/>
              <w:rPr/>
            </w:pPr>
            <w:r>
              <w:rPr/>
              <w:t>112</w:t>
            </w:r>
          </w:p>
        </w:tc>
      </w:tr>
      <w:tr>
        <w:trPr/>
        <w:tc>
          <w:tcPr>
            <w:tcW w:w="9749" w:type="dxa"/>
            <w:gridSpan w:val="2"/>
            <w:tcBorders/>
            <w:shd w:fill="FFFFFF" w:val="clear"/>
            <w:vAlign w:val="center"/>
          </w:tcPr>
          <w:p>
            <w:pPr>
              <w:pStyle w:val="TableContents"/>
              <w:bidi w:val="0"/>
              <w:spacing w:before="0" w:after="283"/>
              <w:jc w:val="left"/>
              <w:rPr/>
            </w:pPr>
            <w:r>
              <w:rPr/>
              <w:t xml:space="preserve">Article XI Indemnification </w:t>
            </w:r>
          </w:p>
        </w:tc>
        <w:tc>
          <w:tcPr>
            <w:tcW w:w="456" w:type="dxa"/>
            <w:tcBorders/>
            <w:shd w:fill="FFFFFF" w:val="clear"/>
            <w:vAlign w:val="center"/>
          </w:tcPr>
          <w:p>
            <w:pPr>
              <w:pStyle w:val="TableContents"/>
              <w:bidi w:val="0"/>
              <w:spacing w:before="0" w:after="283"/>
              <w:jc w:val="right"/>
              <w:rPr/>
            </w:pPr>
            <w:r>
              <w:rPr/>
              <w:t>115</w:t>
            </w:r>
          </w:p>
        </w:tc>
      </w:tr>
      <w:tr>
        <w:trPr/>
        <w:tc>
          <w:tcPr>
            <w:tcW w:w="1176" w:type="dxa"/>
            <w:tcBorders/>
            <w:shd w:fill="EEEEEE" w:val="clear"/>
            <w:vAlign w:val="center"/>
          </w:tcPr>
          <w:p>
            <w:pPr>
              <w:pStyle w:val="TableContents"/>
              <w:bidi w:val="0"/>
              <w:spacing w:before="0" w:after="283"/>
              <w:jc w:val="left"/>
              <w:rPr/>
            </w:pPr>
            <w:r>
              <w:rPr/>
              <w:t>Section 11.1.</w:t>
            </w:r>
          </w:p>
        </w:tc>
        <w:tc>
          <w:tcPr>
            <w:tcW w:w="8573" w:type="dxa"/>
            <w:tcBorders/>
            <w:shd w:fill="EEEEEE" w:val="clear"/>
            <w:vAlign w:val="center"/>
          </w:tcPr>
          <w:p>
            <w:pPr>
              <w:pStyle w:val="TableContents"/>
              <w:bidi w:val="0"/>
              <w:spacing w:before="0" w:after="283"/>
              <w:jc w:val="left"/>
              <w:rPr/>
            </w:pPr>
            <w:r>
              <w:rPr/>
              <w:t>Indemnities by the Servicer</w:t>
            </w:r>
          </w:p>
        </w:tc>
        <w:tc>
          <w:tcPr>
            <w:tcW w:w="456" w:type="dxa"/>
            <w:tcBorders/>
            <w:shd w:fill="EEEEEE" w:val="clear"/>
            <w:vAlign w:val="center"/>
          </w:tcPr>
          <w:p>
            <w:pPr>
              <w:pStyle w:val="TableContents"/>
              <w:bidi w:val="0"/>
              <w:spacing w:before="0" w:after="283"/>
              <w:jc w:val="right"/>
              <w:rPr/>
            </w:pPr>
            <w:r>
              <w:rPr/>
              <w:t>115</w:t>
            </w:r>
          </w:p>
        </w:tc>
      </w:tr>
      <w:tr>
        <w:trPr/>
        <w:tc>
          <w:tcPr>
            <w:tcW w:w="1176" w:type="dxa"/>
            <w:tcBorders/>
            <w:shd w:fill="FFFFFF" w:val="clear"/>
            <w:vAlign w:val="center"/>
          </w:tcPr>
          <w:p>
            <w:pPr>
              <w:pStyle w:val="TableContents"/>
              <w:bidi w:val="0"/>
              <w:spacing w:before="0" w:after="283"/>
              <w:jc w:val="left"/>
              <w:rPr/>
            </w:pPr>
            <w:r>
              <w:rPr/>
              <w:t>Section 11.2.</w:t>
            </w:r>
          </w:p>
        </w:tc>
        <w:tc>
          <w:tcPr>
            <w:tcW w:w="8573" w:type="dxa"/>
            <w:tcBorders/>
            <w:shd w:fill="FFFFFF" w:val="clear"/>
            <w:vAlign w:val="center"/>
          </w:tcPr>
          <w:p>
            <w:pPr>
              <w:pStyle w:val="TableContents"/>
              <w:bidi w:val="0"/>
              <w:spacing w:before="0" w:after="283"/>
              <w:jc w:val="left"/>
              <w:rPr/>
            </w:pPr>
            <w:r>
              <w:rPr/>
              <w:t>Indemnities by the Borrower and CPS</w:t>
            </w:r>
          </w:p>
        </w:tc>
        <w:tc>
          <w:tcPr>
            <w:tcW w:w="456" w:type="dxa"/>
            <w:tcBorders/>
            <w:shd w:fill="FFFFFF" w:val="clear"/>
            <w:vAlign w:val="center"/>
          </w:tcPr>
          <w:p>
            <w:pPr>
              <w:pStyle w:val="TableContents"/>
              <w:bidi w:val="0"/>
              <w:spacing w:before="0" w:after="283"/>
              <w:jc w:val="right"/>
              <w:rPr/>
            </w:pPr>
            <w:r>
              <w:rPr/>
              <w:t>116</w:t>
            </w:r>
          </w:p>
        </w:tc>
      </w:tr>
      <w:tr>
        <w:trPr/>
        <w:tc>
          <w:tcPr>
            <w:tcW w:w="9749" w:type="dxa"/>
            <w:gridSpan w:val="2"/>
            <w:tcBorders/>
            <w:shd w:fill="EEEEEE" w:val="clear"/>
            <w:vAlign w:val="center"/>
          </w:tcPr>
          <w:p>
            <w:pPr>
              <w:pStyle w:val="TableContents"/>
              <w:bidi w:val="0"/>
              <w:spacing w:before="0" w:after="283"/>
              <w:jc w:val="left"/>
              <w:rPr/>
            </w:pPr>
            <w:r>
              <w:rPr/>
              <w:t xml:space="preserve">Article XII The Agents </w:t>
            </w:r>
          </w:p>
        </w:tc>
        <w:tc>
          <w:tcPr>
            <w:tcW w:w="456" w:type="dxa"/>
            <w:tcBorders/>
            <w:shd w:fill="EEEEEE" w:val="clear"/>
            <w:vAlign w:val="center"/>
          </w:tcPr>
          <w:p>
            <w:pPr>
              <w:pStyle w:val="TableContents"/>
              <w:bidi w:val="0"/>
              <w:spacing w:before="0" w:after="283"/>
              <w:jc w:val="right"/>
              <w:rPr/>
            </w:pPr>
            <w:r>
              <w:rPr/>
              <w:t>116</w:t>
            </w:r>
          </w:p>
        </w:tc>
      </w:tr>
      <w:tr>
        <w:trPr/>
        <w:tc>
          <w:tcPr>
            <w:tcW w:w="1176" w:type="dxa"/>
            <w:tcBorders/>
            <w:shd w:fill="FFFFFF" w:val="clear"/>
            <w:vAlign w:val="center"/>
          </w:tcPr>
          <w:p>
            <w:pPr>
              <w:pStyle w:val="TableContents"/>
              <w:bidi w:val="0"/>
              <w:spacing w:before="0" w:after="283"/>
              <w:jc w:val="left"/>
              <w:rPr/>
            </w:pPr>
            <w:r>
              <w:rPr/>
              <w:t>Section 12.1.</w:t>
            </w:r>
          </w:p>
        </w:tc>
        <w:tc>
          <w:tcPr>
            <w:tcW w:w="8573" w:type="dxa"/>
            <w:tcBorders/>
            <w:shd w:fill="FFFFFF" w:val="clear"/>
            <w:vAlign w:val="center"/>
          </w:tcPr>
          <w:p>
            <w:pPr>
              <w:pStyle w:val="TableContents"/>
              <w:bidi w:val="0"/>
              <w:spacing w:before="0" w:after="283"/>
              <w:jc w:val="left"/>
              <w:rPr/>
            </w:pPr>
            <w:r>
              <w:rPr/>
              <w:t>Authorization and Action</w:t>
            </w:r>
          </w:p>
        </w:tc>
        <w:tc>
          <w:tcPr>
            <w:tcW w:w="456" w:type="dxa"/>
            <w:tcBorders/>
            <w:shd w:fill="FFFFFF" w:val="clear"/>
            <w:vAlign w:val="center"/>
          </w:tcPr>
          <w:p>
            <w:pPr>
              <w:pStyle w:val="TableContents"/>
              <w:bidi w:val="0"/>
              <w:spacing w:before="0" w:after="283"/>
              <w:jc w:val="right"/>
              <w:rPr/>
            </w:pPr>
            <w:r>
              <w:rPr/>
              <w:t>116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92"/>
        <w:gridCol w:w="8357"/>
        <w:gridCol w:w="456"/>
      </w:tblGrid>
      <w:tr>
        <w:trPr/>
        <w:tc>
          <w:tcPr>
            <w:tcW w:w="1392" w:type="dxa"/>
            <w:tcBorders/>
            <w:shd w:fill="EEEEEE" w:val="clear"/>
            <w:vAlign w:val="center"/>
          </w:tcPr>
          <w:p>
            <w:pPr>
              <w:pStyle w:val="TableContents"/>
              <w:bidi w:val="0"/>
              <w:spacing w:before="0" w:after="283"/>
              <w:jc w:val="left"/>
              <w:rPr/>
            </w:pPr>
            <w:r>
              <w:rPr/>
              <w:t>Section 12.2.</w:t>
            </w:r>
          </w:p>
        </w:tc>
        <w:tc>
          <w:tcPr>
            <w:tcW w:w="8357" w:type="dxa"/>
            <w:tcBorders/>
            <w:shd w:fill="EEEEEE" w:val="clear"/>
            <w:vAlign w:val="center"/>
          </w:tcPr>
          <w:p>
            <w:pPr>
              <w:pStyle w:val="TableContents"/>
              <w:bidi w:val="0"/>
              <w:spacing w:before="0" w:after="283"/>
              <w:jc w:val="left"/>
              <w:rPr/>
            </w:pPr>
            <w:r>
              <w:rPr/>
              <w:t>Delegation of Duties</w:t>
            </w:r>
          </w:p>
        </w:tc>
        <w:tc>
          <w:tcPr>
            <w:tcW w:w="456" w:type="dxa"/>
            <w:tcBorders/>
            <w:shd w:fill="EEEEEE" w:val="clear"/>
            <w:vAlign w:val="center"/>
          </w:tcPr>
          <w:p>
            <w:pPr>
              <w:pStyle w:val="TableContents"/>
              <w:bidi w:val="0"/>
              <w:spacing w:before="0" w:after="283"/>
              <w:jc w:val="right"/>
              <w:rPr/>
            </w:pPr>
            <w:r>
              <w:rPr/>
              <w:t>117</w:t>
            </w:r>
          </w:p>
        </w:tc>
      </w:tr>
      <w:tr>
        <w:trPr/>
        <w:tc>
          <w:tcPr>
            <w:tcW w:w="1392" w:type="dxa"/>
            <w:tcBorders/>
            <w:shd w:fill="FFFFFF" w:val="clear"/>
            <w:vAlign w:val="center"/>
          </w:tcPr>
          <w:p>
            <w:pPr>
              <w:pStyle w:val="TableContents"/>
              <w:bidi w:val="0"/>
              <w:spacing w:before="0" w:after="283"/>
              <w:jc w:val="left"/>
              <w:rPr/>
            </w:pPr>
            <w:r>
              <w:rPr/>
              <w:t>Section 12.3.</w:t>
            </w:r>
          </w:p>
        </w:tc>
        <w:tc>
          <w:tcPr>
            <w:tcW w:w="8357" w:type="dxa"/>
            <w:tcBorders/>
            <w:shd w:fill="FFFFFF" w:val="clear"/>
            <w:vAlign w:val="center"/>
          </w:tcPr>
          <w:p>
            <w:pPr>
              <w:pStyle w:val="TableContents"/>
              <w:bidi w:val="0"/>
              <w:spacing w:before="0" w:after="283"/>
              <w:jc w:val="left"/>
              <w:rPr/>
            </w:pPr>
            <w:r>
              <w:rPr/>
              <w:t>Exculpatory Provisions</w:t>
            </w:r>
          </w:p>
        </w:tc>
        <w:tc>
          <w:tcPr>
            <w:tcW w:w="456" w:type="dxa"/>
            <w:tcBorders/>
            <w:shd w:fill="FFFFFF" w:val="clear"/>
            <w:vAlign w:val="center"/>
          </w:tcPr>
          <w:p>
            <w:pPr>
              <w:pStyle w:val="TableContents"/>
              <w:bidi w:val="0"/>
              <w:spacing w:before="0" w:after="283"/>
              <w:jc w:val="right"/>
              <w:rPr/>
            </w:pPr>
            <w:r>
              <w:rPr/>
              <w:t>117</w:t>
            </w:r>
          </w:p>
        </w:tc>
      </w:tr>
      <w:tr>
        <w:trPr/>
        <w:tc>
          <w:tcPr>
            <w:tcW w:w="1392" w:type="dxa"/>
            <w:tcBorders/>
            <w:shd w:fill="EEEEEE" w:val="clear"/>
            <w:vAlign w:val="center"/>
          </w:tcPr>
          <w:p>
            <w:pPr>
              <w:pStyle w:val="TableContents"/>
              <w:bidi w:val="0"/>
              <w:spacing w:before="0" w:after="283"/>
              <w:jc w:val="left"/>
              <w:rPr/>
            </w:pPr>
            <w:r>
              <w:rPr/>
              <w:t>Section 12.4.</w:t>
            </w:r>
          </w:p>
        </w:tc>
        <w:tc>
          <w:tcPr>
            <w:tcW w:w="8357" w:type="dxa"/>
            <w:tcBorders/>
            <w:shd w:fill="EEEEEE" w:val="clear"/>
            <w:vAlign w:val="center"/>
          </w:tcPr>
          <w:p>
            <w:pPr>
              <w:pStyle w:val="TableContents"/>
              <w:bidi w:val="0"/>
              <w:spacing w:before="0" w:after="283"/>
              <w:jc w:val="left"/>
              <w:rPr/>
            </w:pPr>
            <w:r>
              <w:rPr/>
              <w:t>Reliance</w:t>
            </w:r>
          </w:p>
        </w:tc>
        <w:tc>
          <w:tcPr>
            <w:tcW w:w="456" w:type="dxa"/>
            <w:tcBorders/>
            <w:shd w:fill="EEEEEE" w:val="clear"/>
            <w:vAlign w:val="center"/>
          </w:tcPr>
          <w:p>
            <w:pPr>
              <w:pStyle w:val="TableContents"/>
              <w:bidi w:val="0"/>
              <w:spacing w:before="0" w:after="283"/>
              <w:jc w:val="right"/>
              <w:rPr/>
            </w:pPr>
            <w:r>
              <w:rPr/>
              <w:t>118</w:t>
            </w:r>
          </w:p>
        </w:tc>
      </w:tr>
      <w:tr>
        <w:trPr/>
        <w:tc>
          <w:tcPr>
            <w:tcW w:w="1392" w:type="dxa"/>
            <w:tcBorders/>
            <w:shd w:fill="FFFFFF" w:val="clear"/>
            <w:vAlign w:val="center"/>
          </w:tcPr>
          <w:p>
            <w:pPr>
              <w:pStyle w:val="TableContents"/>
              <w:bidi w:val="0"/>
              <w:spacing w:before="0" w:after="283"/>
              <w:jc w:val="left"/>
              <w:rPr/>
            </w:pPr>
            <w:r>
              <w:rPr/>
              <w:t>Section 12.5.</w:t>
            </w:r>
          </w:p>
        </w:tc>
        <w:tc>
          <w:tcPr>
            <w:tcW w:w="8357" w:type="dxa"/>
            <w:tcBorders/>
            <w:shd w:fill="FFFFFF" w:val="clear"/>
            <w:vAlign w:val="center"/>
          </w:tcPr>
          <w:p>
            <w:pPr>
              <w:pStyle w:val="TableContents"/>
              <w:bidi w:val="0"/>
              <w:spacing w:before="0" w:after="283"/>
              <w:jc w:val="left"/>
              <w:rPr/>
            </w:pPr>
            <w:r>
              <w:rPr/>
              <w:t>Non-Reliance on Agents and Other Lenders</w:t>
            </w:r>
          </w:p>
        </w:tc>
        <w:tc>
          <w:tcPr>
            <w:tcW w:w="456" w:type="dxa"/>
            <w:tcBorders/>
            <w:shd w:fill="FFFFFF" w:val="clear"/>
            <w:vAlign w:val="center"/>
          </w:tcPr>
          <w:p>
            <w:pPr>
              <w:pStyle w:val="TableContents"/>
              <w:bidi w:val="0"/>
              <w:spacing w:before="0" w:after="283"/>
              <w:jc w:val="right"/>
              <w:rPr/>
            </w:pPr>
            <w:r>
              <w:rPr/>
              <w:t>119</w:t>
            </w:r>
          </w:p>
        </w:tc>
      </w:tr>
      <w:tr>
        <w:trPr/>
        <w:tc>
          <w:tcPr>
            <w:tcW w:w="1392" w:type="dxa"/>
            <w:tcBorders/>
            <w:shd w:fill="EEEEEE" w:val="clear"/>
            <w:vAlign w:val="center"/>
          </w:tcPr>
          <w:p>
            <w:pPr>
              <w:pStyle w:val="TableContents"/>
              <w:bidi w:val="0"/>
              <w:spacing w:before="0" w:after="283"/>
              <w:jc w:val="left"/>
              <w:rPr/>
            </w:pPr>
            <w:r>
              <w:rPr/>
              <w:t>Section 12.6.</w:t>
            </w:r>
          </w:p>
        </w:tc>
        <w:tc>
          <w:tcPr>
            <w:tcW w:w="8357" w:type="dxa"/>
            <w:tcBorders/>
            <w:shd w:fill="EEEEEE" w:val="clear"/>
            <w:vAlign w:val="center"/>
          </w:tcPr>
          <w:p>
            <w:pPr>
              <w:pStyle w:val="TableContents"/>
              <w:bidi w:val="0"/>
              <w:spacing w:before="0" w:after="283"/>
              <w:jc w:val="left"/>
              <w:rPr/>
            </w:pPr>
            <w:r>
              <w:rPr/>
              <w:t>Indemnification</w:t>
            </w:r>
          </w:p>
        </w:tc>
        <w:tc>
          <w:tcPr>
            <w:tcW w:w="456" w:type="dxa"/>
            <w:tcBorders/>
            <w:shd w:fill="EEEEEE" w:val="clear"/>
            <w:vAlign w:val="center"/>
          </w:tcPr>
          <w:p>
            <w:pPr>
              <w:pStyle w:val="TableContents"/>
              <w:bidi w:val="0"/>
              <w:spacing w:before="0" w:after="283"/>
              <w:jc w:val="right"/>
              <w:rPr/>
            </w:pPr>
            <w:r>
              <w:rPr/>
              <w:t>119</w:t>
            </w:r>
          </w:p>
        </w:tc>
      </w:tr>
      <w:tr>
        <w:trPr/>
        <w:tc>
          <w:tcPr>
            <w:tcW w:w="1392" w:type="dxa"/>
            <w:tcBorders/>
            <w:shd w:fill="FFFFFF" w:val="clear"/>
            <w:vAlign w:val="center"/>
          </w:tcPr>
          <w:p>
            <w:pPr>
              <w:pStyle w:val="TableContents"/>
              <w:bidi w:val="0"/>
              <w:spacing w:before="0" w:after="283"/>
              <w:jc w:val="left"/>
              <w:rPr/>
            </w:pPr>
            <w:r>
              <w:rPr/>
              <w:t>Section 12.7.</w:t>
            </w:r>
          </w:p>
        </w:tc>
        <w:tc>
          <w:tcPr>
            <w:tcW w:w="8357" w:type="dxa"/>
            <w:tcBorders/>
            <w:shd w:fill="FFFFFF" w:val="clear"/>
            <w:vAlign w:val="center"/>
          </w:tcPr>
          <w:p>
            <w:pPr>
              <w:pStyle w:val="TableContents"/>
              <w:bidi w:val="0"/>
              <w:spacing w:before="0" w:after="283"/>
              <w:jc w:val="left"/>
              <w:rPr/>
            </w:pPr>
            <w:r>
              <w:rPr/>
              <w:t>Agents in Their Individual Capacities</w:t>
            </w:r>
          </w:p>
        </w:tc>
        <w:tc>
          <w:tcPr>
            <w:tcW w:w="456" w:type="dxa"/>
            <w:tcBorders/>
            <w:shd w:fill="FFFFFF" w:val="clear"/>
            <w:vAlign w:val="center"/>
          </w:tcPr>
          <w:p>
            <w:pPr>
              <w:pStyle w:val="TableContents"/>
              <w:bidi w:val="0"/>
              <w:spacing w:before="0" w:after="283"/>
              <w:jc w:val="right"/>
              <w:rPr/>
            </w:pPr>
            <w:r>
              <w:rPr/>
              <w:t>120</w:t>
            </w:r>
          </w:p>
        </w:tc>
      </w:tr>
      <w:tr>
        <w:trPr/>
        <w:tc>
          <w:tcPr>
            <w:tcW w:w="1392" w:type="dxa"/>
            <w:tcBorders/>
            <w:shd w:fill="EEEEEE" w:val="clear"/>
            <w:vAlign w:val="center"/>
          </w:tcPr>
          <w:p>
            <w:pPr>
              <w:pStyle w:val="TableContents"/>
              <w:bidi w:val="0"/>
              <w:spacing w:before="0" w:after="283"/>
              <w:jc w:val="left"/>
              <w:rPr/>
            </w:pPr>
            <w:r>
              <w:rPr/>
              <w:t>Section 12.8.</w:t>
            </w:r>
          </w:p>
        </w:tc>
        <w:tc>
          <w:tcPr>
            <w:tcW w:w="8357" w:type="dxa"/>
            <w:tcBorders/>
            <w:shd w:fill="EEEEEE" w:val="clear"/>
            <w:vAlign w:val="center"/>
          </w:tcPr>
          <w:p>
            <w:pPr>
              <w:pStyle w:val="TableContents"/>
              <w:bidi w:val="0"/>
              <w:spacing w:before="0" w:after="283"/>
              <w:jc w:val="left"/>
              <w:rPr/>
            </w:pPr>
            <w:r>
              <w:rPr/>
              <w:t>Successor Agents</w:t>
            </w:r>
          </w:p>
        </w:tc>
        <w:tc>
          <w:tcPr>
            <w:tcW w:w="456" w:type="dxa"/>
            <w:tcBorders/>
            <w:shd w:fill="EEEEEE" w:val="clear"/>
            <w:vAlign w:val="center"/>
          </w:tcPr>
          <w:p>
            <w:pPr>
              <w:pStyle w:val="TableContents"/>
              <w:bidi w:val="0"/>
              <w:spacing w:before="0" w:after="283"/>
              <w:jc w:val="right"/>
              <w:rPr/>
            </w:pPr>
            <w:r>
              <w:rPr/>
              <w:t>120</w:t>
            </w:r>
          </w:p>
        </w:tc>
      </w:tr>
      <w:tr>
        <w:trPr/>
        <w:tc>
          <w:tcPr>
            <w:tcW w:w="9749" w:type="dxa"/>
            <w:gridSpan w:val="2"/>
            <w:tcBorders/>
            <w:shd w:fill="FFFFFF" w:val="clear"/>
            <w:vAlign w:val="center"/>
          </w:tcPr>
          <w:p>
            <w:pPr>
              <w:pStyle w:val="TableContents"/>
              <w:bidi w:val="0"/>
              <w:spacing w:before="0" w:after="283"/>
              <w:jc w:val="left"/>
              <w:rPr/>
            </w:pPr>
            <w:r>
              <w:rPr/>
              <w:t xml:space="preserve">Article XIII Assignments; Participations </w:t>
            </w:r>
          </w:p>
        </w:tc>
        <w:tc>
          <w:tcPr>
            <w:tcW w:w="456" w:type="dxa"/>
            <w:tcBorders/>
            <w:shd w:fill="FFFFFF" w:val="clear"/>
            <w:vAlign w:val="center"/>
          </w:tcPr>
          <w:p>
            <w:pPr>
              <w:pStyle w:val="TableContents"/>
              <w:bidi w:val="0"/>
              <w:spacing w:before="0" w:after="283"/>
              <w:jc w:val="right"/>
              <w:rPr/>
            </w:pPr>
            <w:r>
              <w:rPr/>
              <w:t>121</w:t>
            </w:r>
          </w:p>
        </w:tc>
      </w:tr>
      <w:tr>
        <w:trPr/>
        <w:tc>
          <w:tcPr>
            <w:tcW w:w="1392" w:type="dxa"/>
            <w:tcBorders/>
            <w:shd w:fill="EEEEEE" w:val="clear"/>
            <w:vAlign w:val="center"/>
          </w:tcPr>
          <w:p>
            <w:pPr>
              <w:pStyle w:val="TableContents"/>
              <w:bidi w:val="0"/>
              <w:spacing w:before="0" w:after="283"/>
              <w:jc w:val="left"/>
              <w:rPr/>
            </w:pPr>
            <w:r>
              <w:rPr/>
              <w:t>Section 13.1.</w:t>
            </w:r>
          </w:p>
        </w:tc>
        <w:tc>
          <w:tcPr>
            <w:tcW w:w="8357" w:type="dxa"/>
            <w:tcBorders/>
            <w:shd w:fill="EEEEEE" w:val="clear"/>
            <w:vAlign w:val="center"/>
          </w:tcPr>
          <w:p>
            <w:pPr>
              <w:pStyle w:val="TableContents"/>
              <w:bidi w:val="0"/>
              <w:spacing w:before="0" w:after="283"/>
              <w:jc w:val="left"/>
              <w:rPr/>
            </w:pPr>
            <w:r>
              <w:rPr/>
              <w:t>Assignments and Participations</w:t>
            </w:r>
          </w:p>
        </w:tc>
        <w:tc>
          <w:tcPr>
            <w:tcW w:w="456" w:type="dxa"/>
            <w:tcBorders/>
            <w:shd w:fill="EEEEEE" w:val="clear"/>
            <w:vAlign w:val="center"/>
          </w:tcPr>
          <w:p>
            <w:pPr>
              <w:pStyle w:val="TableContents"/>
              <w:bidi w:val="0"/>
              <w:spacing w:before="0" w:after="283"/>
              <w:jc w:val="right"/>
              <w:rPr/>
            </w:pPr>
            <w:r>
              <w:rPr/>
              <w:t>121</w:t>
            </w:r>
          </w:p>
        </w:tc>
      </w:tr>
      <w:tr>
        <w:trPr/>
        <w:tc>
          <w:tcPr>
            <w:tcW w:w="9749" w:type="dxa"/>
            <w:gridSpan w:val="2"/>
            <w:tcBorders/>
            <w:shd w:fill="FFFFFF" w:val="clear"/>
            <w:vAlign w:val="center"/>
          </w:tcPr>
          <w:p>
            <w:pPr>
              <w:pStyle w:val="TableContents"/>
              <w:bidi w:val="0"/>
              <w:spacing w:before="0" w:after="283"/>
              <w:jc w:val="left"/>
              <w:rPr/>
            </w:pPr>
            <w:r>
              <w:rPr/>
              <w:t>Article XIV Mutual Covenants Regarding Confidentiality</w:t>
            </w:r>
          </w:p>
        </w:tc>
        <w:tc>
          <w:tcPr>
            <w:tcW w:w="456" w:type="dxa"/>
            <w:tcBorders/>
            <w:shd w:fill="FFFFFF" w:val="clear"/>
            <w:vAlign w:val="center"/>
          </w:tcPr>
          <w:p>
            <w:pPr>
              <w:pStyle w:val="TableContents"/>
              <w:bidi w:val="0"/>
              <w:spacing w:before="0" w:after="283"/>
              <w:jc w:val="right"/>
              <w:rPr/>
            </w:pPr>
            <w:r>
              <w:rPr/>
              <w:t>124</w:t>
            </w:r>
          </w:p>
        </w:tc>
      </w:tr>
      <w:tr>
        <w:trPr/>
        <w:tc>
          <w:tcPr>
            <w:tcW w:w="1392" w:type="dxa"/>
            <w:tcBorders/>
            <w:shd w:fill="EEEEEE" w:val="clear"/>
            <w:vAlign w:val="center"/>
          </w:tcPr>
          <w:p>
            <w:pPr>
              <w:pStyle w:val="TableContents"/>
              <w:bidi w:val="0"/>
              <w:spacing w:before="0" w:after="283"/>
              <w:jc w:val="left"/>
              <w:rPr/>
            </w:pPr>
            <w:r>
              <w:rPr/>
              <w:t>Section 14.1.</w:t>
            </w:r>
          </w:p>
        </w:tc>
        <w:tc>
          <w:tcPr>
            <w:tcW w:w="8357" w:type="dxa"/>
            <w:tcBorders/>
            <w:shd w:fill="EEEEEE" w:val="clear"/>
            <w:vAlign w:val="center"/>
          </w:tcPr>
          <w:p>
            <w:pPr>
              <w:pStyle w:val="TableContents"/>
              <w:bidi w:val="0"/>
              <w:spacing w:before="0" w:after="283"/>
              <w:jc w:val="left"/>
              <w:rPr/>
            </w:pPr>
            <w:r>
              <w:rPr/>
              <w:t>Covenants of the Borrower, the Servicer and the Custodian</w:t>
            </w:r>
          </w:p>
        </w:tc>
        <w:tc>
          <w:tcPr>
            <w:tcW w:w="456" w:type="dxa"/>
            <w:tcBorders/>
            <w:shd w:fill="EEEEEE" w:val="clear"/>
            <w:vAlign w:val="center"/>
          </w:tcPr>
          <w:p>
            <w:pPr>
              <w:pStyle w:val="TableContents"/>
              <w:bidi w:val="0"/>
              <w:spacing w:before="0" w:after="283"/>
              <w:jc w:val="right"/>
              <w:rPr/>
            </w:pPr>
            <w:r>
              <w:rPr/>
              <w:t>124</w:t>
            </w:r>
          </w:p>
        </w:tc>
      </w:tr>
      <w:tr>
        <w:trPr/>
        <w:tc>
          <w:tcPr>
            <w:tcW w:w="1392" w:type="dxa"/>
            <w:tcBorders/>
            <w:shd w:fill="FFFFFF" w:val="clear"/>
            <w:vAlign w:val="center"/>
          </w:tcPr>
          <w:p>
            <w:pPr>
              <w:pStyle w:val="TableContents"/>
              <w:bidi w:val="0"/>
              <w:spacing w:before="0" w:after="283"/>
              <w:jc w:val="left"/>
              <w:rPr/>
            </w:pPr>
            <w:r>
              <w:rPr/>
              <w:t>Section 14.2.</w:t>
            </w:r>
          </w:p>
        </w:tc>
        <w:tc>
          <w:tcPr>
            <w:tcW w:w="8357" w:type="dxa"/>
            <w:tcBorders/>
            <w:shd w:fill="FFFFFF" w:val="clear"/>
            <w:vAlign w:val="center"/>
          </w:tcPr>
          <w:p>
            <w:pPr>
              <w:pStyle w:val="TableContents"/>
              <w:bidi w:val="0"/>
              <w:spacing w:before="0" w:after="283"/>
              <w:jc w:val="left"/>
              <w:rPr/>
            </w:pPr>
            <w:r>
              <w:rPr/>
              <w:t>Covenants of the Administrative Agent, each Lender Group Agent, each Lender and the Custodian</w:t>
            </w:r>
          </w:p>
        </w:tc>
        <w:tc>
          <w:tcPr>
            <w:tcW w:w="456" w:type="dxa"/>
            <w:tcBorders/>
            <w:shd w:fill="FFFFFF" w:val="clear"/>
            <w:vAlign w:val="center"/>
          </w:tcPr>
          <w:p>
            <w:pPr>
              <w:pStyle w:val="TableContents"/>
              <w:bidi w:val="0"/>
              <w:spacing w:before="0" w:after="283"/>
              <w:jc w:val="right"/>
              <w:rPr/>
            </w:pPr>
            <w:r>
              <w:rPr/>
              <w:t>125</w:t>
            </w:r>
          </w:p>
        </w:tc>
      </w:tr>
      <w:tr>
        <w:trPr/>
        <w:tc>
          <w:tcPr>
            <w:tcW w:w="9749" w:type="dxa"/>
            <w:gridSpan w:val="2"/>
            <w:tcBorders/>
            <w:shd w:fill="EEEEEE" w:val="clear"/>
            <w:vAlign w:val="center"/>
          </w:tcPr>
          <w:p>
            <w:pPr>
              <w:pStyle w:val="TableContents"/>
              <w:bidi w:val="0"/>
              <w:spacing w:before="0" w:after="283"/>
              <w:jc w:val="left"/>
              <w:rPr/>
            </w:pPr>
            <w:r>
              <w:rPr/>
              <w:t xml:space="preserve">Article XV Miscellaneous </w:t>
            </w:r>
          </w:p>
        </w:tc>
        <w:tc>
          <w:tcPr>
            <w:tcW w:w="456" w:type="dxa"/>
            <w:tcBorders/>
            <w:shd w:fill="EEEEEE" w:val="clear"/>
            <w:vAlign w:val="center"/>
          </w:tcPr>
          <w:p>
            <w:pPr>
              <w:pStyle w:val="TableContents"/>
              <w:bidi w:val="0"/>
              <w:spacing w:before="0" w:after="283"/>
              <w:jc w:val="right"/>
              <w:rPr/>
            </w:pPr>
            <w:r>
              <w:rPr/>
              <w:t>126</w:t>
            </w:r>
          </w:p>
        </w:tc>
      </w:tr>
      <w:tr>
        <w:trPr/>
        <w:tc>
          <w:tcPr>
            <w:tcW w:w="1392" w:type="dxa"/>
            <w:tcBorders/>
            <w:shd w:fill="FFFFFF" w:val="clear"/>
            <w:vAlign w:val="center"/>
          </w:tcPr>
          <w:p>
            <w:pPr>
              <w:pStyle w:val="TableContents"/>
              <w:bidi w:val="0"/>
              <w:spacing w:before="0" w:after="283"/>
              <w:jc w:val="left"/>
              <w:rPr/>
            </w:pPr>
            <w:r>
              <w:rPr/>
              <w:t>Section 15.1.</w:t>
            </w:r>
          </w:p>
        </w:tc>
        <w:tc>
          <w:tcPr>
            <w:tcW w:w="8357" w:type="dxa"/>
            <w:tcBorders/>
            <w:shd w:fill="FFFFFF" w:val="clear"/>
            <w:vAlign w:val="center"/>
          </w:tcPr>
          <w:p>
            <w:pPr>
              <w:pStyle w:val="TableContents"/>
              <w:bidi w:val="0"/>
              <w:spacing w:before="0" w:after="283"/>
              <w:jc w:val="left"/>
              <w:rPr/>
            </w:pPr>
            <w:r>
              <w:rPr/>
              <w:t>Amendments and Waivers</w:t>
            </w:r>
          </w:p>
        </w:tc>
        <w:tc>
          <w:tcPr>
            <w:tcW w:w="456" w:type="dxa"/>
            <w:tcBorders/>
            <w:shd w:fill="FFFFFF" w:val="clear"/>
            <w:vAlign w:val="center"/>
          </w:tcPr>
          <w:p>
            <w:pPr>
              <w:pStyle w:val="TableContents"/>
              <w:bidi w:val="0"/>
              <w:spacing w:before="0" w:after="283"/>
              <w:jc w:val="right"/>
              <w:rPr/>
            </w:pPr>
            <w:r>
              <w:rPr/>
              <w:t>126</w:t>
            </w:r>
          </w:p>
        </w:tc>
      </w:tr>
      <w:tr>
        <w:trPr/>
        <w:tc>
          <w:tcPr>
            <w:tcW w:w="1392" w:type="dxa"/>
            <w:tcBorders/>
            <w:shd w:fill="EEEEEE" w:val="clear"/>
            <w:vAlign w:val="center"/>
          </w:tcPr>
          <w:p>
            <w:pPr>
              <w:pStyle w:val="TableContents"/>
              <w:bidi w:val="0"/>
              <w:spacing w:before="0" w:after="283"/>
              <w:jc w:val="left"/>
              <w:rPr/>
            </w:pPr>
            <w:r>
              <w:rPr/>
              <w:t>Section 15.2.</w:t>
            </w:r>
          </w:p>
        </w:tc>
        <w:tc>
          <w:tcPr>
            <w:tcW w:w="8357" w:type="dxa"/>
            <w:tcBorders/>
            <w:shd w:fill="EEEEEE" w:val="clear"/>
            <w:vAlign w:val="center"/>
          </w:tcPr>
          <w:p>
            <w:pPr>
              <w:pStyle w:val="TableContents"/>
              <w:bidi w:val="0"/>
              <w:spacing w:before="0" w:after="283"/>
              <w:jc w:val="left"/>
              <w:rPr/>
            </w:pPr>
            <w:r>
              <w:rPr/>
              <w:t>Notices, Etc</w:t>
            </w:r>
          </w:p>
        </w:tc>
        <w:tc>
          <w:tcPr>
            <w:tcW w:w="456" w:type="dxa"/>
            <w:tcBorders/>
            <w:shd w:fill="EEEEEE" w:val="clear"/>
            <w:vAlign w:val="center"/>
          </w:tcPr>
          <w:p>
            <w:pPr>
              <w:pStyle w:val="TableContents"/>
              <w:bidi w:val="0"/>
              <w:spacing w:before="0" w:after="283"/>
              <w:jc w:val="right"/>
              <w:rPr/>
            </w:pPr>
            <w:r>
              <w:rPr/>
              <w:t>129</w:t>
            </w:r>
          </w:p>
        </w:tc>
      </w:tr>
      <w:tr>
        <w:trPr/>
        <w:tc>
          <w:tcPr>
            <w:tcW w:w="1392" w:type="dxa"/>
            <w:tcBorders/>
            <w:shd w:fill="FFFFFF" w:val="clear"/>
            <w:vAlign w:val="center"/>
          </w:tcPr>
          <w:p>
            <w:pPr>
              <w:pStyle w:val="TableContents"/>
              <w:bidi w:val="0"/>
              <w:spacing w:before="0" w:after="283"/>
              <w:jc w:val="left"/>
              <w:rPr/>
            </w:pPr>
            <w:r>
              <w:rPr/>
              <w:t>Section 15.3.</w:t>
            </w:r>
          </w:p>
        </w:tc>
        <w:tc>
          <w:tcPr>
            <w:tcW w:w="8357" w:type="dxa"/>
            <w:tcBorders/>
            <w:shd w:fill="FFFFFF" w:val="clear"/>
            <w:vAlign w:val="center"/>
          </w:tcPr>
          <w:p>
            <w:pPr>
              <w:pStyle w:val="TableContents"/>
              <w:bidi w:val="0"/>
              <w:spacing w:before="0" w:after="283"/>
              <w:jc w:val="left"/>
              <w:rPr/>
            </w:pPr>
            <w:r>
              <w:rPr/>
              <w:t>No Waiver, Rights and Remedies</w:t>
            </w:r>
          </w:p>
        </w:tc>
        <w:tc>
          <w:tcPr>
            <w:tcW w:w="456" w:type="dxa"/>
            <w:tcBorders/>
            <w:shd w:fill="FFFFFF" w:val="clear"/>
            <w:vAlign w:val="center"/>
          </w:tcPr>
          <w:p>
            <w:pPr>
              <w:pStyle w:val="TableContents"/>
              <w:bidi w:val="0"/>
              <w:spacing w:before="0" w:after="283"/>
              <w:jc w:val="right"/>
              <w:rPr/>
            </w:pPr>
            <w:r>
              <w:rPr/>
              <w:t>130</w:t>
            </w:r>
          </w:p>
        </w:tc>
      </w:tr>
      <w:tr>
        <w:trPr/>
        <w:tc>
          <w:tcPr>
            <w:tcW w:w="1392" w:type="dxa"/>
            <w:tcBorders/>
            <w:shd w:fill="EEEEEE" w:val="clear"/>
            <w:vAlign w:val="center"/>
          </w:tcPr>
          <w:p>
            <w:pPr>
              <w:pStyle w:val="TableContents"/>
              <w:bidi w:val="0"/>
              <w:spacing w:before="0" w:after="283"/>
              <w:jc w:val="left"/>
              <w:rPr/>
            </w:pPr>
            <w:r>
              <w:rPr/>
              <w:t>Section 15.4.</w:t>
            </w:r>
          </w:p>
        </w:tc>
        <w:tc>
          <w:tcPr>
            <w:tcW w:w="8357" w:type="dxa"/>
            <w:tcBorders/>
            <w:shd w:fill="EEEEEE" w:val="clear"/>
            <w:vAlign w:val="center"/>
          </w:tcPr>
          <w:p>
            <w:pPr>
              <w:pStyle w:val="TableContents"/>
              <w:bidi w:val="0"/>
              <w:spacing w:before="0" w:after="283"/>
              <w:jc w:val="left"/>
              <w:rPr/>
            </w:pPr>
            <w:r>
              <w:rPr/>
              <w:t>Binding Effect</w:t>
            </w:r>
          </w:p>
        </w:tc>
        <w:tc>
          <w:tcPr>
            <w:tcW w:w="456" w:type="dxa"/>
            <w:tcBorders/>
            <w:shd w:fill="EEEEEE" w:val="clear"/>
            <w:vAlign w:val="center"/>
          </w:tcPr>
          <w:p>
            <w:pPr>
              <w:pStyle w:val="TableContents"/>
              <w:bidi w:val="0"/>
              <w:spacing w:before="0" w:after="283"/>
              <w:jc w:val="right"/>
              <w:rPr/>
            </w:pPr>
            <w:r>
              <w:rPr/>
              <w:t>130</w:t>
            </w:r>
          </w:p>
        </w:tc>
      </w:tr>
      <w:tr>
        <w:trPr/>
        <w:tc>
          <w:tcPr>
            <w:tcW w:w="1392" w:type="dxa"/>
            <w:tcBorders/>
            <w:shd w:fill="FFFFFF" w:val="clear"/>
            <w:vAlign w:val="center"/>
          </w:tcPr>
          <w:p>
            <w:pPr>
              <w:pStyle w:val="TableContents"/>
              <w:bidi w:val="0"/>
              <w:spacing w:before="0" w:after="283"/>
              <w:jc w:val="left"/>
              <w:rPr/>
            </w:pPr>
            <w:r>
              <w:rPr/>
              <w:t>Section 15.5.</w:t>
            </w:r>
          </w:p>
        </w:tc>
        <w:tc>
          <w:tcPr>
            <w:tcW w:w="8357" w:type="dxa"/>
            <w:tcBorders/>
            <w:shd w:fill="FFFFFF" w:val="clear"/>
            <w:vAlign w:val="center"/>
          </w:tcPr>
          <w:p>
            <w:pPr>
              <w:pStyle w:val="TableContents"/>
              <w:bidi w:val="0"/>
              <w:spacing w:before="0" w:after="283"/>
              <w:jc w:val="left"/>
              <w:rPr/>
            </w:pPr>
            <w:r>
              <w:rPr/>
              <w:t>Term of this Agreement</w:t>
            </w:r>
          </w:p>
        </w:tc>
        <w:tc>
          <w:tcPr>
            <w:tcW w:w="456" w:type="dxa"/>
            <w:tcBorders/>
            <w:shd w:fill="FFFFFF" w:val="clear"/>
            <w:vAlign w:val="center"/>
          </w:tcPr>
          <w:p>
            <w:pPr>
              <w:pStyle w:val="TableContents"/>
              <w:bidi w:val="0"/>
              <w:spacing w:before="0" w:after="283"/>
              <w:jc w:val="right"/>
              <w:rPr/>
            </w:pPr>
            <w:r>
              <w:rPr/>
              <w:t>130</w:t>
            </w:r>
          </w:p>
        </w:tc>
      </w:tr>
      <w:tr>
        <w:trPr/>
        <w:tc>
          <w:tcPr>
            <w:tcW w:w="1392" w:type="dxa"/>
            <w:tcBorders/>
            <w:shd w:fill="EEEEEE" w:val="clear"/>
            <w:vAlign w:val="center"/>
          </w:tcPr>
          <w:p>
            <w:pPr>
              <w:pStyle w:val="TableContents"/>
              <w:bidi w:val="0"/>
              <w:spacing w:before="0" w:after="283"/>
              <w:jc w:val="left"/>
              <w:rPr/>
            </w:pPr>
            <w:r>
              <w:rPr/>
              <w:t>Section 15.6.</w:t>
            </w:r>
          </w:p>
        </w:tc>
        <w:tc>
          <w:tcPr>
            <w:tcW w:w="8357" w:type="dxa"/>
            <w:tcBorders/>
            <w:shd w:fill="EEEEEE" w:val="clear"/>
            <w:vAlign w:val="center"/>
          </w:tcPr>
          <w:p>
            <w:pPr>
              <w:pStyle w:val="TableContents"/>
              <w:bidi w:val="0"/>
              <w:spacing w:before="0" w:after="283"/>
              <w:jc w:val="left"/>
              <w:rPr/>
            </w:pPr>
            <w:r>
              <w:rPr/>
              <w:t>Governing Law; Consent To Jurisdiction; Waiver of Objection to Venue</w:t>
            </w:r>
          </w:p>
        </w:tc>
        <w:tc>
          <w:tcPr>
            <w:tcW w:w="456" w:type="dxa"/>
            <w:tcBorders/>
            <w:shd w:fill="EEEEEE" w:val="clear"/>
            <w:vAlign w:val="center"/>
          </w:tcPr>
          <w:p>
            <w:pPr>
              <w:pStyle w:val="TableContents"/>
              <w:bidi w:val="0"/>
              <w:spacing w:before="0" w:after="283"/>
              <w:jc w:val="right"/>
              <w:rPr/>
            </w:pPr>
            <w:r>
              <w:rPr/>
              <w:t>130</w:t>
            </w:r>
          </w:p>
        </w:tc>
      </w:tr>
      <w:tr>
        <w:trPr/>
        <w:tc>
          <w:tcPr>
            <w:tcW w:w="1392" w:type="dxa"/>
            <w:tcBorders/>
            <w:shd w:fill="FFFFFF" w:val="clear"/>
            <w:vAlign w:val="center"/>
          </w:tcPr>
          <w:p>
            <w:pPr>
              <w:pStyle w:val="TableContents"/>
              <w:bidi w:val="0"/>
              <w:spacing w:before="0" w:after="283"/>
              <w:jc w:val="left"/>
              <w:rPr/>
            </w:pPr>
            <w:r>
              <w:rPr/>
              <w:t>Section 15.7.</w:t>
            </w:r>
          </w:p>
        </w:tc>
        <w:tc>
          <w:tcPr>
            <w:tcW w:w="8357" w:type="dxa"/>
            <w:tcBorders/>
            <w:shd w:fill="FFFFFF" w:val="clear"/>
            <w:vAlign w:val="center"/>
          </w:tcPr>
          <w:p>
            <w:pPr>
              <w:pStyle w:val="TableContents"/>
              <w:bidi w:val="0"/>
              <w:spacing w:before="0" w:after="283"/>
              <w:jc w:val="left"/>
              <w:rPr/>
            </w:pPr>
            <w:r>
              <w:rPr/>
              <w:t>Waiver of Jury Trial</w:t>
            </w:r>
          </w:p>
        </w:tc>
        <w:tc>
          <w:tcPr>
            <w:tcW w:w="456" w:type="dxa"/>
            <w:tcBorders/>
            <w:shd w:fill="FFFFFF" w:val="clear"/>
            <w:vAlign w:val="center"/>
          </w:tcPr>
          <w:p>
            <w:pPr>
              <w:pStyle w:val="TableContents"/>
              <w:bidi w:val="0"/>
              <w:spacing w:before="0" w:after="283"/>
              <w:jc w:val="right"/>
              <w:rPr/>
            </w:pPr>
            <w:r>
              <w:rPr/>
              <w:t>130</w:t>
            </w:r>
          </w:p>
        </w:tc>
      </w:tr>
      <w:tr>
        <w:trPr/>
        <w:tc>
          <w:tcPr>
            <w:tcW w:w="1392" w:type="dxa"/>
            <w:tcBorders/>
            <w:shd w:fill="EEEEEE" w:val="clear"/>
            <w:vAlign w:val="center"/>
          </w:tcPr>
          <w:p>
            <w:pPr>
              <w:pStyle w:val="TableContents"/>
              <w:bidi w:val="0"/>
              <w:spacing w:before="0" w:after="283"/>
              <w:jc w:val="left"/>
              <w:rPr/>
            </w:pPr>
            <w:r>
              <w:rPr/>
              <w:t>Section 15.8.</w:t>
            </w:r>
          </w:p>
        </w:tc>
        <w:tc>
          <w:tcPr>
            <w:tcW w:w="8357" w:type="dxa"/>
            <w:tcBorders/>
            <w:shd w:fill="EEEEEE" w:val="clear"/>
            <w:vAlign w:val="center"/>
          </w:tcPr>
          <w:p>
            <w:pPr>
              <w:pStyle w:val="TableContents"/>
              <w:bidi w:val="0"/>
              <w:spacing w:before="0" w:after="283"/>
              <w:jc w:val="left"/>
              <w:rPr/>
            </w:pPr>
            <w:r>
              <w:rPr/>
              <w:t>Costs, Expenses and Taxes</w:t>
            </w:r>
          </w:p>
        </w:tc>
        <w:tc>
          <w:tcPr>
            <w:tcW w:w="456" w:type="dxa"/>
            <w:tcBorders/>
            <w:shd w:fill="EEEEEE" w:val="clear"/>
            <w:vAlign w:val="center"/>
          </w:tcPr>
          <w:p>
            <w:pPr>
              <w:pStyle w:val="TableContents"/>
              <w:bidi w:val="0"/>
              <w:spacing w:before="0" w:after="283"/>
              <w:jc w:val="right"/>
              <w:rPr/>
            </w:pPr>
            <w:r>
              <w:rPr/>
              <w:t>131</w:t>
            </w:r>
          </w:p>
        </w:tc>
      </w:tr>
      <w:tr>
        <w:trPr/>
        <w:tc>
          <w:tcPr>
            <w:tcW w:w="1392" w:type="dxa"/>
            <w:tcBorders/>
            <w:shd w:fill="FFFFFF" w:val="clear"/>
            <w:vAlign w:val="center"/>
          </w:tcPr>
          <w:p>
            <w:pPr>
              <w:pStyle w:val="TableContents"/>
              <w:bidi w:val="0"/>
              <w:spacing w:before="0" w:after="283"/>
              <w:jc w:val="left"/>
              <w:rPr/>
            </w:pPr>
            <w:r>
              <w:rPr/>
              <w:t>Section 15.9.</w:t>
            </w:r>
          </w:p>
        </w:tc>
        <w:tc>
          <w:tcPr>
            <w:tcW w:w="8357" w:type="dxa"/>
            <w:tcBorders/>
            <w:shd w:fill="FFFFFF" w:val="clear"/>
            <w:vAlign w:val="center"/>
          </w:tcPr>
          <w:p>
            <w:pPr>
              <w:pStyle w:val="TableContents"/>
              <w:bidi w:val="0"/>
              <w:spacing w:before="0" w:after="283"/>
              <w:jc w:val="left"/>
              <w:rPr/>
            </w:pPr>
            <w:r>
              <w:rPr/>
              <w:t>No Insolvency Proceedings</w:t>
            </w:r>
          </w:p>
        </w:tc>
        <w:tc>
          <w:tcPr>
            <w:tcW w:w="456" w:type="dxa"/>
            <w:tcBorders/>
            <w:shd w:fill="FFFFFF" w:val="clear"/>
            <w:vAlign w:val="center"/>
          </w:tcPr>
          <w:p>
            <w:pPr>
              <w:pStyle w:val="TableContents"/>
              <w:bidi w:val="0"/>
              <w:spacing w:before="0" w:after="283"/>
              <w:jc w:val="right"/>
              <w:rPr/>
            </w:pPr>
            <w:r>
              <w:rPr/>
              <w:t>131</w:t>
            </w:r>
          </w:p>
        </w:tc>
      </w:tr>
      <w:tr>
        <w:trPr/>
        <w:tc>
          <w:tcPr>
            <w:tcW w:w="1392" w:type="dxa"/>
            <w:tcBorders/>
            <w:shd w:fill="EEEEEE" w:val="clear"/>
            <w:vAlign w:val="center"/>
          </w:tcPr>
          <w:p>
            <w:pPr>
              <w:pStyle w:val="TableContents"/>
              <w:bidi w:val="0"/>
              <w:spacing w:before="0" w:after="283"/>
              <w:jc w:val="left"/>
              <w:rPr/>
            </w:pPr>
            <w:r>
              <w:rPr/>
              <w:t xml:space="preserve">Section 15.10. </w:t>
            </w:r>
          </w:p>
        </w:tc>
        <w:tc>
          <w:tcPr>
            <w:tcW w:w="8357" w:type="dxa"/>
            <w:tcBorders/>
            <w:shd w:fill="EEEEEE" w:val="clear"/>
            <w:vAlign w:val="center"/>
          </w:tcPr>
          <w:p>
            <w:pPr>
              <w:pStyle w:val="TableContents"/>
              <w:bidi w:val="0"/>
              <w:spacing w:before="0" w:after="283"/>
              <w:jc w:val="left"/>
              <w:rPr/>
            </w:pPr>
            <w:r>
              <w:rPr/>
              <w:t>Recourse Against Certain Parties</w:t>
            </w:r>
          </w:p>
        </w:tc>
        <w:tc>
          <w:tcPr>
            <w:tcW w:w="456" w:type="dxa"/>
            <w:tcBorders/>
            <w:shd w:fill="EEEEEE" w:val="clear"/>
            <w:vAlign w:val="center"/>
          </w:tcPr>
          <w:p>
            <w:pPr>
              <w:pStyle w:val="TableContents"/>
              <w:bidi w:val="0"/>
              <w:spacing w:before="0" w:after="283"/>
              <w:jc w:val="right"/>
              <w:rPr/>
            </w:pPr>
            <w:r>
              <w:rPr/>
              <w:t>131</w:t>
            </w:r>
          </w:p>
        </w:tc>
      </w:tr>
      <w:tr>
        <w:trPr/>
        <w:tc>
          <w:tcPr>
            <w:tcW w:w="1392" w:type="dxa"/>
            <w:tcBorders/>
            <w:shd w:fill="FFFFFF" w:val="clear"/>
            <w:vAlign w:val="center"/>
          </w:tcPr>
          <w:p>
            <w:pPr>
              <w:pStyle w:val="TableContents"/>
              <w:bidi w:val="0"/>
              <w:spacing w:before="0" w:after="283"/>
              <w:jc w:val="left"/>
              <w:rPr/>
            </w:pPr>
            <w:r>
              <w:rPr/>
              <w:t xml:space="preserve">Section 15.11. </w:t>
            </w:r>
          </w:p>
        </w:tc>
        <w:tc>
          <w:tcPr>
            <w:tcW w:w="8357" w:type="dxa"/>
            <w:tcBorders/>
            <w:shd w:fill="FFFFFF" w:val="clear"/>
            <w:vAlign w:val="center"/>
          </w:tcPr>
          <w:p>
            <w:pPr>
              <w:pStyle w:val="TableContents"/>
              <w:bidi w:val="0"/>
              <w:spacing w:before="0" w:after="283"/>
              <w:jc w:val="left"/>
              <w:rPr/>
            </w:pPr>
            <w:r>
              <w:rPr/>
              <w:t>Patriot Act Compliance</w:t>
            </w:r>
          </w:p>
        </w:tc>
        <w:tc>
          <w:tcPr>
            <w:tcW w:w="456" w:type="dxa"/>
            <w:tcBorders/>
            <w:shd w:fill="FFFFFF" w:val="clear"/>
            <w:vAlign w:val="center"/>
          </w:tcPr>
          <w:p>
            <w:pPr>
              <w:pStyle w:val="TableContents"/>
              <w:bidi w:val="0"/>
              <w:spacing w:before="0" w:after="283"/>
              <w:jc w:val="right"/>
              <w:rPr/>
            </w:pPr>
            <w:r>
              <w:rPr/>
              <w:t>132</w:t>
            </w:r>
          </w:p>
        </w:tc>
      </w:tr>
      <w:tr>
        <w:trPr/>
        <w:tc>
          <w:tcPr>
            <w:tcW w:w="1392" w:type="dxa"/>
            <w:tcBorders/>
            <w:shd w:fill="EEEEEE" w:val="clear"/>
            <w:vAlign w:val="center"/>
          </w:tcPr>
          <w:p>
            <w:pPr>
              <w:pStyle w:val="TableContents"/>
              <w:bidi w:val="0"/>
              <w:spacing w:before="0" w:after="283"/>
              <w:jc w:val="left"/>
              <w:rPr/>
            </w:pPr>
            <w:r>
              <w:rPr/>
              <w:t xml:space="preserve">Section 15.12. </w:t>
            </w:r>
          </w:p>
        </w:tc>
        <w:tc>
          <w:tcPr>
            <w:tcW w:w="8357" w:type="dxa"/>
            <w:tcBorders/>
            <w:shd w:fill="EEEEEE" w:val="clear"/>
            <w:vAlign w:val="center"/>
          </w:tcPr>
          <w:p>
            <w:pPr>
              <w:pStyle w:val="TableContents"/>
              <w:bidi w:val="0"/>
              <w:spacing w:before="0" w:after="283"/>
              <w:jc w:val="left"/>
              <w:rPr/>
            </w:pPr>
            <w:r>
              <w:rPr/>
              <w:t>AML Compliance</w:t>
            </w:r>
          </w:p>
        </w:tc>
        <w:tc>
          <w:tcPr>
            <w:tcW w:w="456" w:type="dxa"/>
            <w:tcBorders/>
            <w:shd w:fill="EEEEEE" w:val="clear"/>
            <w:vAlign w:val="center"/>
          </w:tcPr>
          <w:p>
            <w:pPr>
              <w:pStyle w:val="TableContents"/>
              <w:bidi w:val="0"/>
              <w:spacing w:before="0" w:after="283"/>
              <w:jc w:val="right"/>
              <w:rPr/>
            </w:pPr>
            <w:r>
              <w:rPr/>
              <w:t>132</w:t>
            </w:r>
          </w:p>
        </w:tc>
      </w:tr>
      <w:tr>
        <w:trPr/>
        <w:tc>
          <w:tcPr>
            <w:tcW w:w="1392" w:type="dxa"/>
            <w:tcBorders/>
            <w:shd w:fill="FFFFFF" w:val="clear"/>
            <w:vAlign w:val="center"/>
          </w:tcPr>
          <w:p>
            <w:pPr>
              <w:pStyle w:val="TableContents"/>
              <w:bidi w:val="0"/>
              <w:spacing w:before="0" w:after="283"/>
              <w:jc w:val="left"/>
              <w:rPr/>
            </w:pPr>
            <w:r>
              <w:rPr/>
              <w:t xml:space="preserve">Section 15.13. </w:t>
            </w:r>
          </w:p>
        </w:tc>
        <w:tc>
          <w:tcPr>
            <w:tcW w:w="8357" w:type="dxa"/>
            <w:tcBorders/>
            <w:shd w:fill="FFFFFF" w:val="clear"/>
            <w:vAlign w:val="center"/>
          </w:tcPr>
          <w:p>
            <w:pPr>
              <w:pStyle w:val="TableContents"/>
              <w:bidi w:val="0"/>
              <w:spacing w:before="0" w:after="283"/>
              <w:jc w:val="left"/>
              <w:rPr/>
            </w:pPr>
            <w:r>
              <w:rPr/>
              <w:t>Recognition of the U.S. Special Resolution Regimes</w:t>
            </w:r>
          </w:p>
        </w:tc>
        <w:tc>
          <w:tcPr>
            <w:tcW w:w="456" w:type="dxa"/>
            <w:tcBorders/>
            <w:shd w:fill="FFFFFF" w:val="clear"/>
            <w:vAlign w:val="center"/>
          </w:tcPr>
          <w:p>
            <w:pPr>
              <w:pStyle w:val="TableContents"/>
              <w:bidi w:val="0"/>
              <w:spacing w:before="0" w:after="283"/>
              <w:jc w:val="right"/>
              <w:rPr/>
            </w:pPr>
            <w:r>
              <w:rPr/>
              <w:t>132</w:t>
            </w:r>
          </w:p>
        </w:tc>
      </w:tr>
      <w:tr>
        <w:trPr/>
        <w:tc>
          <w:tcPr>
            <w:tcW w:w="1392" w:type="dxa"/>
            <w:tcBorders/>
            <w:shd w:fill="EEEEEE" w:val="clear"/>
            <w:vAlign w:val="center"/>
          </w:tcPr>
          <w:p>
            <w:pPr>
              <w:pStyle w:val="TableContents"/>
              <w:bidi w:val="0"/>
              <w:spacing w:before="0" w:after="283"/>
              <w:jc w:val="left"/>
              <w:rPr/>
            </w:pPr>
            <w:r>
              <w:rPr/>
              <w:t xml:space="preserve">Section 15.14. </w:t>
            </w:r>
          </w:p>
        </w:tc>
        <w:tc>
          <w:tcPr>
            <w:tcW w:w="8357" w:type="dxa"/>
            <w:tcBorders/>
            <w:shd w:fill="EEEEEE" w:val="clear"/>
            <w:vAlign w:val="center"/>
          </w:tcPr>
          <w:p>
            <w:pPr>
              <w:pStyle w:val="TableContents"/>
              <w:bidi w:val="0"/>
              <w:spacing w:before="0" w:after="283"/>
              <w:jc w:val="left"/>
              <w:rPr/>
            </w:pPr>
            <w:r>
              <w:rPr/>
              <w:t>Execution in Counterparts; Severability; Integration</w:t>
            </w:r>
          </w:p>
        </w:tc>
        <w:tc>
          <w:tcPr>
            <w:tcW w:w="456" w:type="dxa"/>
            <w:tcBorders/>
            <w:shd w:fill="EEEEEE" w:val="clear"/>
            <w:vAlign w:val="center"/>
          </w:tcPr>
          <w:p>
            <w:pPr>
              <w:pStyle w:val="TableContents"/>
              <w:bidi w:val="0"/>
              <w:spacing w:before="0" w:after="283"/>
              <w:jc w:val="right"/>
              <w:rPr/>
            </w:pPr>
            <w:r>
              <w:rPr/>
              <w:t>133</w:t>
            </w:r>
          </w:p>
        </w:tc>
      </w:tr>
      <w:tr>
        <w:trPr/>
        <w:tc>
          <w:tcPr>
            <w:tcW w:w="1392" w:type="dxa"/>
            <w:tcBorders/>
            <w:shd w:fill="FFFFFF" w:val="clear"/>
            <w:vAlign w:val="center"/>
          </w:tcPr>
          <w:p>
            <w:pPr>
              <w:pStyle w:val="TableContents"/>
              <w:bidi w:val="0"/>
              <w:spacing w:before="0" w:after="283"/>
              <w:jc w:val="left"/>
              <w:rPr/>
            </w:pPr>
            <w:r>
              <w:rPr/>
              <w:t xml:space="preserve">Section 15.15. </w:t>
            </w:r>
          </w:p>
        </w:tc>
        <w:tc>
          <w:tcPr>
            <w:tcW w:w="8357" w:type="dxa"/>
            <w:tcBorders/>
            <w:shd w:fill="FFFFFF" w:val="clear"/>
            <w:vAlign w:val="center"/>
          </w:tcPr>
          <w:p>
            <w:pPr>
              <w:pStyle w:val="TableContents"/>
              <w:bidi w:val="0"/>
              <w:spacing w:before="0" w:after="283"/>
              <w:jc w:val="left"/>
              <w:rPr/>
            </w:pPr>
            <w:r>
              <w:rPr/>
              <w:t>Benchmark Replacement Setting</w:t>
            </w:r>
          </w:p>
        </w:tc>
        <w:tc>
          <w:tcPr>
            <w:tcW w:w="456" w:type="dxa"/>
            <w:tcBorders/>
            <w:shd w:fill="FFFFFF" w:val="clear"/>
            <w:vAlign w:val="center"/>
          </w:tcPr>
          <w:p>
            <w:pPr>
              <w:pStyle w:val="TableContents"/>
              <w:bidi w:val="0"/>
              <w:spacing w:before="0" w:after="283"/>
              <w:jc w:val="right"/>
              <w:rPr/>
            </w:pPr>
            <w:r>
              <w:rPr/>
              <w:t>133</w:t>
            </w:r>
          </w:p>
        </w:tc>
      </w:tr>
      <w:tr>
        <w:trPr/>
        <w:tc>
          <w:tcPr>
            <w:tcW w:w="1392" w:type="dxa"/>
            <w:tcBorders/>
            <w:shd w:fill="EEEEEE" w:val="clear"/>
            <w:vAlign w:val="center"/>
          </w:tcPr>
          <w:p>
            <w:pPr>
              <w:pStyle w:val="TableContents"/>
              <w:bidi w:val="0"/>
              <w:spacing w:before="0" w:after="283"/>
              <w:jc w:val="left"/>
              <w:rPr/>
            </w:pPr>
            <w:r>
              <w:rPr/>
              <w:t xml:space="preserve">Section 15.16. </w:t>
            </w:r>
          </w:p>
        </w:tc>
        <w:tc>
          <w:tcPr>
            <w:tcW w:w="8357" w:type="dxa"/>
            <w:tcBorders/>
            <w:shd w:fill="EEEEEE" w:val="clear"/>
            <w:vAlign w:val="center"/>
          </w:tcPr>
          <w:p>
            <w:pPr>
              <w:pStyle w:val="TableContents"/>
              <w:bidi w:val="0"/>
              <w:spacing w:before="0" w:after="283"/>
              <w:jc w:val="left"/>
              <w:rPr/>
            </w:pPr>
            <w:r>
              <w:rPr/>
              <w:t>[Reserved]</w:t>
            </w:r>
          </w:p>
        </w:tc>
        <w:tc>
          <w:tcPr>
            <w:tcW w:w="456" w:type="dxa"/>
            <w:tcBorders/>
            <w:shd w:fill="EEEEEE" w:val="clear"/>
            <w:vAlign w:val="center"/>
          </w:tcPr>
          <w:p>
            <w:pPr>
              <w:pStyle w:val="TableContents"/>
              <w:bidi w:val="0"/>
              <w:spacing w:before="0" w:after="283"/>
              <w:jc w:val="right"/>
              <w:rPr/>
            </w:pPr>
            <w:r>
              <w:rPr/>
              <w:t>135</w:t>
            </w:r>
          </w:p>
        </w:tc>
      </w:tr>
      <w:tr>
        <w:trPr/>
        <w:tc>
          <w:tcPr>
            <w:tcW w:w="1392" w:type="dxa"/>
            <w:tcBorders/>
            <w:shd w:fill="FFFFFF" w:val="clear"/>
            <w:vAlign w:val="center"/>
          </w:tcPr>
          <w:p>
            <w:pPr>
              <w:pStyle w:val="TableContents"/>
              <w:bidi w:val="0"/>
              <w:spacing w:before="0" w:after="283"/>
              <w:jc w:val="left"/>
              <w:rPr/>
            </w:pPr>
            <w:r>
              <w:rPr/>
              <w:t xml:space="preserve">Section 15.17. </w:t>
            </w:r>
          </w:p>
        </w:tc>
        <w:tc>
          <w:tcPr>
            <w:tcW w:w="8357" w:type="dxa"/>
            <w:tcBorders/>
            <w:shd w:fill="FFFFFF" w:val="clear"/>
            <w:vAlign w:val="center"/>
          </w:tcPr>
          <w:p>
            <w:pPr>
              <w:pStyle w:val="TableContents"/>
              <w:bidi w:val="0"/>
              <w:spacing w:before="0" w:after="283"/>
              <w:jc w:val="left"/>
              <w:rPr/>
            </w:pPr>
            <w:r>
              <w:rPr/>
              <w:t>Erroneous Payments</w:t>
            </w:r>
          </w:p>
        </w:tc>
        <w:tc>
          <w:tcPr>
            <w:tcW w:w="456" w:type="dxa"/>
            <w:tcBorders/>
            <w:shd w:fill="FFFFFF" w:val="clear"/>
            <w:vAlign w:val="center"/>
          </w:tcPr>
          <w:p>
            <w:pPr>
              <w:pStyle w:val="TableContents"/>
              <w:bidi w:val="0"/>
              <w:spacing w:before="0" w:after="283"/>
              <w:jc w:val="right"/>
              <w:rPr/>
            </w:pPr>
            <w:r>
              <w:rPr/>
              <w:t>135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SCHEDULES</w:t>
      </w:r>
    </w:p>
    <w:p>
      <w:pPr>
        <w:pStyle w:val="TextBody"/>
        <w:bidi w:val="0"/>
        <w:spacing w:before="0" w:after="0"/>
        <w:jc w:val="left"/>
        <w:rPr>
          <w:caps w:val="false"/>
          <w:smallCaps w:val="false"/>
        </w:rPr>
      </w:pPr>
      <w:r>
        <w:rPr>
          <w:caps w:val="false"/>
          <w:smallCaps w:val="false"/>
        </w:rPr>
        <w:t> </w:t>
      </w:r>
    </w:p>
    <w:tbl>
      <w:tblPr>
        <w:tblW w:w="7140" w:type="dxa"/>
        <w:jc w:val="left"/>
        <w:tblInd w:w="0" w:type="dxa"/>
        <w:tblLayout w:type="fixed"/>
        <w:tblCellMar>
          <w:top w:w="0" w:type="dxa"/>
          <w:left w:w="0" w:type="dxa"/>
          <w:bottom w:w="0" w:type="dxa"/>
          <w:right w:w="0" w:type="dxa"/>
        </w:tblCellMar>
      </w:tblPr>
      <w:tblGrid>
        <w:gridCol w:w="965"/>
        <w:gridCol w:w="140"/>
        <w:gridCol w:w="6035"/>
      </w:tblGrid>
      <w:tr>
        <w:trPr/>
        <w:tc>
          <w:tcPr>
            <w:tcW w:w="96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A</w:t>
            </w:r>
          </w:p>
        </w:tc>
        <w:tc>
          <w:tcPr>
            <w:tcW w:w="140" w:type="dxa"/>
            <w:tcBorders/>
            <w:shd w:fill="EEEEEE" w:val="clear"/>
            <w:vAlign w:val="center"/>
          </w:tcPr>
          <w:p>
            <w:pPr>
              <w:pStyle w:val="TableContents"/>
              <w:bidi w:val="0"/>
              <w:spacing w:before="0" w:after="283"/>
              <w:jc w:val="left"/>
              <w:rPr/>
            </w:pPr>
            <w:r>
              <w:rPr/>
              <w:t>–</w:t>
            </w:r>
          </w:p>
        </w:tc>
        <w:tc>
          <w:tcPr>
            <w:tcW w:w="603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Groups, Lender Group Agents, Conduits, Banks and Commitments</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B</w:t>
            </w:r>
          </w:p>
        </w:tc>
        <w:tc>
          <w:tcPr>
            <w:tcW w:w="140" w:type="dxa"/>
            <w:tcBorders/>
            <w:shd w:fill="FFFFFF" w:val="clear"/>
            <w:vAlign w:val="center"/>
          </w:tcPr>
          <w:p>
            <w:pPr>
              <w:pStyle w:val="TableContents"/>
              <w:bidi w:val="0"/>
              <w:spacing w:before="0" w:after="283"/>
              <w:jc w:val="left"/>
              <w:rPr/>
            </w:pPr>
            <w:r>
              <w:rPr/>
              <w:t>–</w:t>
            </w:r>
          </w:p>
        </w:tc>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Eligible Receivable Criteria</w:t>
            </w:r>
          </w:p>
        </w:tc>
      </w:tr>
      <w:tr>
        <w:trPr/>
        <w:tc>
          <w:tcPr>
            <w:tcW w:w="96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C</w:t>
            </w:r>
          </w:p>
        </w:tc>
        <w:tc>
          <w:tcPr>
            <w:tcW w:w="140" w:type="dxa"/>
            <w:tcBorders/>
            <w:shd w:fill="EEEEEE" w:val="clear"/>
            <w:vAlign w:val="center"/>
          </w:tcPr>
          <w:p>
            <w:pPr>
              <w:pStyle w:val="TableContents"/>
              <w:bidi w:val="0"/>
              <w:spacing w:before="0" w:after="283"/>
              <w:jc w:val="left"/>
              <w:rPr/>
            </w:pPr>
            <w:r>
              <w:rPr/>
              <w:t>–</w:t>
            </w:r>
          </w:p>
        </w:tc>
        <w:tc>
          <w:tcPr>
            <w:tcW w:w="603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Receivables Schedule</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D</w:t>
            </w:r>
          </w:p>
        </w:tc>
        <w:tc>
          <w:tcPr>
            <w:tcW w:w="140" w:type="dxa"/>
            <w:tcBorders/>
            <w:shd w:fill="FFFFFF" w:val="clear"/>
            <w:vAlign w:val="center"/>
          </w:tcPr>
          <w:p>
            <w:pPr>
              <w:pStyle w:val="TableContents"/>
              <w:bidi w:val="0"/>
              <w:spacing w:before="0" w:after="283"/>
              <w:jc w:val="left"/>
              <w:rPr/>
            </w:pPr>
            <w:r>
              <w:rPr/>
              <w:t>–</w:t>
            </w:r>
          </w:p>
        </w:tc>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Location of Custodian Files </w:t>
            </w:r>
          </w:p>
        </w:tc>
      </w:tr>
      <w:tr>
        <w:trPr/>
        <w:tc>
          <w:tcPr>
            <w:tcW w:w="96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E</w:t>
            </w:r>
          </w:p>
        </w:tc>
        <w:tc>
          <w:tcPr>
            <w:tcW w:w="140" w:type="dxa"/>
            <w:tcBorders/>
            <w:shd w:fill="EEEEEE" w:val="clear"/>
            <w:vAlign w:val="center"/>
          </w:tcPr>
          <w:p>
            <w:pPr>
              <w:pStyle w:val="TableContents"/>
              <w:bidi w:val="0"/>
              <w:spacing w:before="0" w:after="283"/>
              <w:jc w:val="left"/>
              <w:rPr/>
            </w:pPr>
            <w:r>
              <w:rPr/>
              <w:t>–</w:t>
            </w:r>
          </w:p>
        </w:tc>
        <w:tc>
          <w:tcPr>
            <w:tcW w:w="603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of Documents</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F</w:t>
            </w:r>
          </w:p>
        </w:tc>
        <w:tc>
          <w:tcPr>
            <w:tcW w:w="140" w:type="dxa"/>
            <w:tcBorders/>
            <w:shd w:fill="FFFFFF" w:val="clear"/>
            <w:vAlign w:val="center"/>
          </w:tcPr>
          <w:p>
            <w:pPr>
              <w:pStyle w:val="TableContents"/>
              <w:bidi w:val="0"/>
              <w:spacing w:before="0" w:after="283"/>
              <w:jc w:val="left"/>
              <w:rPr/>
            </w:pPr>
            <w:r>
              <w:rPr/>
              <w:t>–</w:t>
            </w:r>
          </w:p>
        </w:tc>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 Concerning Receivables</w:t>
            </w:r>
          </w:p>
        </w:tc>
      </w:tr>
      <w:tr>
        <w:trPr/>
        <w:tc>
          <w:tcPr>
            <w:tcW w:w="96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G</w:t>
            </w:r>
          </w:p>
        </w:tc>
        <w:tc>
          <w:tcPr>
            <w:tcW w:w="140" w:type="dxa"/>
            <w:tcBorders/>
            <w:shd w:fill="EEEEEE" w:val="clear"/>
            <w:vAlign w:val="center"/>
          </w:tcPr>
          <w:p>
            <w:pPr>
              <w:pStyle w:val="TableContents"/>
              <w:bidi w:val="0"/>
              <w:spacing w:before="0" w:after="283"/>
              <w:jc w:val="left"/>
              <w:rPr/>
            </w:pPr>
            <w:r>
              <w:rPr/>
              <w:t>–</w:t>
            </w:r>
          </w:p>
        </w:tc>
        <w:tc>
          <w:tcPr>
            <w:tcW w:w="603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Perfection Representations, Warranties and Covenants of the Borrower</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H</w:t>
            </w:r>
          </w:p>
        </w:tc>
        <w:tc>
          <w:tcPr>
            <w:tcW w:w="140" w:type="dxa"/>
            <w:tcBorders/>
            <w:shd w:fill="FFFFFF" w:val="clear"/>
            <w:vAlign w:val="center"/>
          </w:tcPr>
          <w:p>
            <w:pPr>
              <w:pStyle w:val="TableContents"/>
              <w:bidi w:val="0"/>
              <w:spacing w:before="0" w:after="283"/>
              <w:jc w:val="left"/>
              <w:rPr/>
            </w:pPr>
            <w:r>
              <w:rPr/>
              <w:t>–</w:t>
            </w:r>
          </w:p>
        </w:tc>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Contents of Data File and Image File</w:t>
            </w:r>
          </w:p>
        </w:tc>
      </w:tr>
      <w:tr>
        <w:trPr/>
        <w:tc>
          <w:tcPr>
            <w:tcW w:w="965"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035" w:type="dxa"/>
            <w:tcBorders/>
            <w:shd w:fill="EEEEEE"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EXHIBITS</w:t>
            </w:r>
          </w:p>
        </w:tc>
        <w:tc>
          <w:tcPr>
            <w:tcW w:w="140" w:type="dxa"/>
            <w:tcBorders/>
            <w:shd w:fill="FFFFFF" w:val="clear"/>
            <w:vAlign w:val="center"/>
          </w:tcPr>
          <w:p>
            <w:pPr>
              <w:pStyle w:val="TableContents"/>
              <w:bidi w:val="0"/>
              <w:spacing w:before="0" w:after="283"/>
              <w:jc w:val="left"/>
              <w:rPr/>
            </w:pPr>
            <w:r>
              <w:rPr/>
              <w:t> </w:t>
            </w:r>
          </w:p>
        </w:tc>
        <w:tc>
          <w:tcPr>
            <w:tcW w:w="6035" w:type="dxa"/>
            <w:tcBorders/>
            <w:shd w:fill="FFFFFF" w:val="clear"/>
            <w:vAlign w:val="center"/>
          </w:tcPr>
          <w:p>
            <w:pPr>
              <w:pStyle w:val="TableContents"/>
              <w:bidi w:val="0"/>
              <w:spacing w:before="0" w:after="283"/>
              <w:jc w:val="left"/>
              <w:rPr/>
            </w:pPr>
            <w:r>
              <w:rPr/>
              <w:t> </w:t>
            </w:r>
          </w:p>
        </w:tc>
      </w:tr>
      <w:tr>
        <w:trPr/>
        <w:tc>
          <w:tcPr>
            <w:tcW w:w="965"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035" w:type="dxa"/>
            <w:tcBorders/>
            <w:shd w:fill="EEEEEE"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140" w:type="dxa"/>
            <w:tcBorders/>
            <w:shd w:fill="FFFFFF" w:val="clear"/>
            <w:vAlign w:val="center"/>
          </w:tcPr>
          <w:p>
            <w:pPr>
              <w:pStyle w:val="TableContents"/>
              <w:bidi w:val="0"/>
              <w:spacing w:before="0" w:after="283"/>
              <w:jc w:val="left"/>
              <w:rPr/>
            </w:pPr>
            <w:r>
              <w:rPr/>
              <w:t>–</w:t>
            </w:r>
          </w:p>
        </w:tc>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Advance Request</w:t>
            </w:r>
          </w:p>
        </w:tc>
      </w:tr>
      <w:tr>
        <w:trPr/>
        <w:tc>
          <w:tcPr>
            <w:tcW w:w="96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140" w:type="dxa"/>
            <w:tcBorders/>
            <w:shd w:fill="EEEEEE" w:val="clear"/>
            <w:vAlign w:val="center"/>
          </w:tcPr>
          <w:p>
            <w:pPr>
              <w:pStyle w:val="TableContents"/>
              <w:bidi w:val="0"/>
              <w:spacing w:before="0" w:after="283"/>
              <w:jc w:val="left"/>
              <w:rPr/>
            </w:pPr>
            <w:r>
              <w:rPr/>
              <w:t>–</w:t>
            </w:r>
          </w:p>
        </w:tc>
        <w:tc>
          <w:tcPr>
            <w:tcW w:w="603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140" w:type="dxa"/>
            <w:tcBorders/>
            <w:shd w:fill="FFFFFF" w:val="clear"/>
            <w:vAlign w:val="center"/>
          </w:tcPr>
          <w:p>
            <w:pPr>
              <w:pStyle w:val="TableContents"/>
              <w:bidi w:val="0"/>
              <w:spacing w:before="0" w:after="283"/>
              <w:jc w:val="left"/>
              <w:rPr/>
            </w:pPr>
            <w:r>
              <w:rPr/>
              <w:t>–</w:t>
            </w:r>
          </w:p>
        </w:tc>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Assignment and Acceptance</w:t>
            </w:r>
          </w:p>
        </w:tc>
      </w:tr>
      <w:tr>
        <w:trPr/>
        <w:tc>
          <w:tcPr>
            <w:tcW w:w="96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140" w:type="dxa"/>
            <w:tcBorders/>
            <w:shd w:fill="EEEEEE" w:val="clear"/>
            <w:vAlign w:val="center"/>
          </w:tcPr>
          <w:p>
            <w:pPr>
              <w:pStyle w:val="TableContents"/>
              <w:bidi w:val="0"/>
              <w:spacing w:before="0" w:after="283"/>
              <w:jc w:val="left"/>
              <w:rPr/>
            </w:pPr>
            <w:r>
              <w:rPr/>
              <w:t>–</w:t>
            </w:r>
          </w:p>
        </w:tc>
        <w:tc>
          <w:tcPr>
            <w:tcW w:w="603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Servicing Guidelines</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140" w:type="dxa"/>
            <w:tcBorders/>
            <w:shd w:fill="FFFFFF" w:val="clear"/>
            <w:vAlign w:val="center"/>
          </w:tcPr>
          <w:p>
            <w:pPr>
              <w:pStyle w:val="TableContents"/>
              <w:bidi w:val="0"/>
              <w:spacing w:before="0" w:after="283"/>
              <w:jc w:val="left"/>
              <w:rPr/>
            </w:pPr>
            <w:r>
              <w:rPr/>
              <w:t>–</w:t>
            </w:r>
          </w:p>
        </w:tc>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Purchase Guidelines</w:t>
            </w:r>
          </w:p>
        </w:tc>
      </w:tr>
      <w:tr>
        <w:trPr/>
        <w:tc>
          <w:tcPr>
            <w:tcW w:w="96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140" w:type="dxa"/>
            <w:tcBorders/>
            <w:shd w:fill="EEEEEE" w:val="clear"/>
            <w:vAlign w:val="center"/>
          </w:tcPr>
          <w:p>
            <w:pPr>
              <w:pStyle w:val="TableContents"/>
              <w:bidi w:val="0"/>
              <w:spacing w:before="0" w:after="283"/>
              <w:jc w:val="left"/>
              <w:rPr/>
            </w:pPr>
            <w:r>
              <w:rPr/>
              <w:t>–</w:t>
            </w:r>
          </w:p>
        </w:tc>
        <w:tc>
          <w:tcPr>
            <w:tcW w:w="603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Power of Attorney</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140" w:type="dxa"/>
            <w:tcBorders/>
            <w:shd w:fill="FFFFFF" w:val="clear"/>
            <w:vAlign w:val="center"/>
          </w:tcPr>
          <w:p>
            <w:pPr>
              <w:pStyle w:val="TableContents"/>
              <w:bidi w:val="0"/>
              <w:spacing w:before="0" w:after="283"/>
              <w:jc w:val="left"/>
              <w:rPr/>
            </w:pPr>
            <w:r>
              <w:rPr/>
              <w:t>–</w:t>
            </w:r>
          </w:p>
        </w:tc>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Permitted Take-Out Release</w:t>
            </w:r>
          </w:p>
        </w:tc>
      </w:tr>
      <w:tr>
        <w:trPr/>
        <w:tc>
          <w:tcPr>
            <w:tcW w:w="96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w:t>
            </w:r>
          </w:p>
        </w:tc>
        <w:tc>
          <w:tcPr>
            <w:tcW w:w="140" w:type="dxa"/>
            <w:tcBorders/>
            <w:shd w:fill="EEEEEE" w:val="clear"/>
            <w:vAlign w:val="center"/>
          </w:tcPr>
          <w:p>
            <w:pPr>
              <w:pStyle w:val="TableContents"/>
              <w:bidi w:val="0"/>
              <w:spacing w:before="0" w:after="283"/>
              <w:jc w:val="left"/>
              <w:rPr/>
            </w:pPr>
            <w:r>
              <w:rPr/>
              <w:t>–</w:t>
            </w:r>
          </w:p>
        </w:tc>
        <w:tc>
          <w:tcPr>
            <w:tcW w:w="603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I</w:t>
            </w:r>
          </w:p>
        </w:tc>
        <w:tc>
          <w:tcPr>
            <w:tcW w:w="140" w:type="dxa"/>
            <w:tcBorders/>
            <w:shd w:fill="FFFFFF" w:val="clear"/>
            <w:vAlign w:val="center"/>
          </w:tcPr>
          <w:p>
            <w:pPr>
              <w:pStyle w:val="TableContents"/>
              <w:bidi w:val="0"/>
              <w:spacing w:before="0" w:after="283"/>
              <w:jc w:val="left"/>
              <w:rPr/>
            </w:pPr>
            <w:r>
              <w:rPr/>
              <w:t>–</w:t>
            </w:r>
          </w:p>
        </w:tc>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Monthly Servicer Report</w:t>
            </w:r>
          </w:p>
        </w:tc>
      </w:tr>
      <w:tr>
        <w:trPr/>
        <w:tc>
          <w:tcPr>
            <w:tcW w:w="96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J</w:t>
            </w:r>
          </w:p>
        </w:tc>
        <w:tc>
          <w:tcPr>
            <w:tcW w:w="140" w:type="dxa"/>
            <w:tcBorders/>
            <w:shd w:fill="EEEEEE" w:val="clear"/>
            <w:vAlign w:val="center"/>
          </w:tcPr>
          <w:p>
            <w:pPr>
              <w:pStyle w:val="TableContents"/>
              <w:bidi w:val="0"/>
              <w:spacing w:before="0" w:after="283"/>
              <w:jc w:val="left"/>
              <w:rPr/>
            </w:pPr>
            <w:r>
              <w:rPr/>
              <w:t>–</w:t>
            </w:r>
          </w:p>
        </w:tc>
        <w:tc>
          <w:tcPr>
            <w:tcW w:w="603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Request for Release of Custodian File</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L</w:t>
            </w:r>
          </w:p>
        </w:tc>
        <w:tc>
          <w:tcPr>
            <w:tcW w:w="140" w:type="dxa"/>
            <w:tcBorders/>
            <w:shd w:fill="FFFFFF" w:val="clear"/>
            <w:vAlign w:val="center"/>
          </w:tcPr>
          <w:p>
            <w:pPr>
              <w:pStyle w:val="TableContents"/>
              <w:bidi w:val="0"/>
              <w:spacing w:before="0" w:after="283"/>
              <w:jc w:val="left"/>
              <w:rPr/>
            </w:pPr>
            <w:r>
              <w:rPr/>
              <w:t>–</w:t>
            </w:r>
          </w:p>
        </w:tc>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Receivable Receipt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AND SECURITY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Loan and Security Agreement, dated as of October 17, 2025 (this “</w:t>
      </w:r>
      <w:r>
        <w:rPr>
          <w:rFonts w:ascii="Times New Roman;Times;Serif" w:hAnsi="Times New Roman;Times;Serif"/>
          <w:b w:val="false"/>
          <w:i/>
          <w:caps w:val="false"/>
          <w:smallCaps w:val="false"/>
          <w:sz w:val="20"/>
          <w:u w:val="single"/>
        </w:rPr>
        <w:t>Agreement</w:t>
      </w:r>
      <w:r>
        <w:rPr>
          <w:rFonts w:ascii="Times New Roman;Times;Serif" w:hAnsi="Times New Roman;Times;Serif"/>
          <w:b w:val="false"/>
          <w:i w:val="false"/>
          <w:caps w:val="false"/>
          <w:smallCaps w:val="false"/>
          <w:sz w:val="20"/>
        </w:rPr>
        <w:t>” or the “</w:t>
      </w:r>
      <w:r>
        <w:rPr>
          <w:rFonts w:ascii="Times New Roman;Times;Serif" w:hAnsi="Times New Roman;Times;Serif"/>
          <w:b w:val="false"/>
          <w:i/>
          <w:caps w:val="false"/>
          <w:smallCaps w:val="false"/>
          <w:sz w:val="20"/>
          <w:u w:val="single"/>
        </w:rPr>
        <w:t>Loan and Security Agreement</w:t>
      </w:r>
      <w:r>
        <w:rPr>
          <w:rFonts w:ascii="Times New Roman;Times;Serif" w:hAnsi="Times New Roman;Times;Serif"/>
          <w:b w:val="false"/>
          <w:i w:val="false"/>
          <w:caps w:val="false"/>
          <w:smallCaps w:val="false"/>
          <w:sz w:val="20"/>
        </w:rPr>
        <w:t>”), is among PAGE ELEVEN FUNDING LLC, a Delaware limited liability company, as borrower (the “</w:t>
      </w:r>
      <w:r>
        <w:rPr>
          <w:rFonts w:ascii="Times New Roman;Times;Serif" w:hAnsi="Times New Roman;Times;Serif"/>
          <w:b w:val="false"/>
          <w:i/>
          <w:caps w:val="false"/>
          <w:smallCaps w:val="false"/>
          <w:sz w:val="20"/>
          <w:u w:val="single"/>
        </w:rPr>
        <w:t>Borrower</w:t>
      </w:r>
      <w:r>
        <w:rPr>
          <w:rFonts w:ascii="Times New Roman;Times;Serif" w:hAnsi="Times New Roman;Times;Serif"/>
          <w:b w:val="false"/>
          <w:i w:val="false"/>
          <w:caps w:val="false"/>
          <w:smallCaps w:val="false"/>
          <w:sz w:val="20"/>
        </w:rPr>
        <w:t>”), CONSUMER PORTFOLIO SERVICES, INC., a California corporation (“</w:t>
      </w:r>
      <w:r>
        <w:rPr>
          <w:rFonts w:ascii="Times New Roman;Times;Serif" w:hAnsi="Times New Roman;Times;Serif"/>
          <w:b w:val="false"/>
          <w:i w:val="false"/>
          <w:caps w:val="false"/>
          <w:smallCaps w:val="false"/>
          <w:sz w:val="20"/>
          <w:u w:val="single"/>
        </w:rPr>
        <w:t>CPS</w:t>
      </w:r>
      <w:r>
        <w:rPr>
          <w:rFonts w:ascii="Times New Roman;Times;Serif" w:hAnsi="Times New Roman;Times;Serif"/>
          <w:b w:val="false"/>
          <w:i w:val="false"/>
          <w:caps w:val="false"/>
          <w:smallCaps w:val="false"/>
          <w:sz w:val="20"/>
        </w:rPr>
        <w:t>”), as servicer (in such capacity, the “</w:t>
      </w:r>
      <w:r>
        <w:rPr>
          <w:rFonts w:ascii="Times New Roman;Times;Serif" w:hAnsi="Times New Roman;Times;Serif"/>
          <w:b w:val="false"/>
          <w:i/>
          <w:caps w:val="false"/>
          <w:smallCaps w:val="false"/>
          <w:sz w:val="20"/>
          <w:u w:val="single"/>
        </w:rPr>
        <w:t>Servicer</w:t>
      </w:r>
      <w:r>
        <w:rPr>
          <w:rFonts w:ascii="Times New Roman;Times;Serif" w:hAnsi="Times New Roman;Times;Serif"/>
          <w:b w:val="false"/>
          <w:i w:val="false"/>
          <w:caps w:val="false"/>
          <w:smallCaps w:val="false"/>
          <w:sz w:val="20"/>
        </w:rPr>
        <w:t>”) and as seller (“</w:t>
      </w:r>
      <w:r>
        <w:rPr>
          <w:rFonts w:ascii="Times New Roman;Times;Serif" w:hAnsi="Times New Roman;Times;Serif"/>
          <w:b w:val="false"/>
          <w:i/>
          <w:caps w:val="false"/>
          <w:smallCaps w:val="false"/>
          <w:sz w:val="20"/>
          <w:u w:val="single"/>
        </w:rPr>
        <w:t>Seller</w:t>
      </w:r>
      <w:r>
        <w:rPr>
          <w:rFonts w:ascii="Times New Roman;Times;Serif" w:hAnsi="Times New Roman;Times;Serif"/>
          <w:b w:val="false"/>
          <w:i w:val="false"/>
          <w:caps w:val="false"/>
          <w:smallCaps w:val="false"/>
          <w:sz w:val="20"/>
        </w:rPr>
        <w:t>”), Computershare Trust Company, N.A., a national banking association (“</w:t>
      </w:r>
      <w:r>
        <w:rPr>
          <w:rFonts w:ascii="Times New Roman;Times;Serif" w:hAnsi="Times New Roman;Times;Serif"/>
          <w:b w:val="false"/>
          <w:i/>
          <w:caps w:val="false"/>
          <w:smallCaps w:val="false"/>
          <w:sz w:val="20"/>
          <w:u w:val="single"/>
        </w:rPr>
        <w:t>Computershar</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as Custodian (in such capacity, “</w:t>
      </w:r>
      <w:r>
        <w:rPr>
          <w:rFonts w:ascii="Times New Roman;Times;Serif" w:hAnsi="Times New Roman;Times;Serif"/>
          <w:b w:val="false"/>
          <w:i/>
          <w:caps w:val="false"/>
          <w:smallCaps w:val="false"/>
          <w:sz w:val="20"/>
          <w:u w:val="single"/>
        </w:rPr>
        <w:t>Custodian</w:t>
      </w:r>
      <w:r>
        <w:rPr>
          <w:rFonts w:ascii="Times New Roman;Times;Serif" w:hAnsi="Times New Roman;Times;Serif"/>
          <w:b w:val="false"/>
          <w:i w:val="false"/>
          <w:caps w:val="false"/>
          <w:smallCaps w:val="false"/>
          <w:sz w:val="20"/>
        </w:rPr>
        <w:t>”), backup servicer (in such capacity, “</w:t>
      </w:r>
      <w:r>
        <w:rPr>
          <w:rFonts w:ascii="Times New Roman;Times;Serif" w:hAnsi="Times New Roman;Times;Serif"/>
          <w:b w:val="false"/>
          <w:i/>
          <w:caps w:val="false"/>
          <w:smallCaps w:val="false"/>
          <w:sz w:val="20"/>
          <w:u w:val="single"/>
        </w:rPr>
        <w:t>Backup Servicer</w:t>
      </w:r>
      <w:r>
        <w:rPr>
          <w:rFonts w:ascii="Times New Roman;Times;Serif" w:hAnsi="Times New Roman;Times;Serif"/>
          <w:b w:val="false"/>
          <w:i w:val="false"/>
          <w:caps w:val="false"/>
          <w:smallCaps w:val="false"/>
          <w:sz w:val="20"/>
        </w:rPr>
        <w:t>”) and Paying Agent(in such capacity, the “</w:t>
      </w:r>
      <w:r>
        <w:rPr>
          <w:rFonts w:ascii="Times New Roman;Times;Serif" w:hAnsi="Times New Roman;Times;Serif"/>
          <w:b w:val="false"/>
          <w:i/>
          <w:caps w:val="false"/>
          <w:smallCaps w:val="false"/>
          <w:sz w:val="20"/>
          <w:u w:val="single"/>
        </w:rPr>
        <w:t>Paying Agent</w:t>
      </w:r>
      <w:r>
        <w:rPr>
          <w:rFonts w:ascii="Times New Roman;Times;Serif" w:hAnsi="Times New Roman;Times;Serif"/>
          <w:b w:val="false"/>
          <w:i w:val="false"/>
          <w:caps w:val="false"/>
          <w:smallCaps w:val="false"/>
          <w:sz w:val="20"/>
        </w:rPr>
        <w:t>”) and Capital One, National Association, (“</w:t>
      </w:r>
      <w:r>
        <w:rPr>
          <w:rFonts w:ascii="Times New Roman;Times;Serif" w:hAnsi="Times New Roman;Times;Serif"/>
          <w:b w:val="false"/>
          <w:i/>
          <w:caps w:val="false"/>
          <w:smallCaps w:val="false"/>
          <w:sz w:val="20"/>
          <w:u w:val="single"/>
        </w:rPr>
        <w:t>Capital One</w:t>
      </w:r>
      <w:r>
        <w:rPr>
          <w:rFonts w:ascii="Times New Roman;Times;Serif" w:hAnsi="Times New Roman;Times;Serif"/>
          <w:b w:val="false"/>
          <w:i w:val="false"/>
          <w:caps w:val="false"/>
          <w:smallCaps w:val="false"/>
          <w:sz w:val="20"/>
        </w:rPr>
        <w:t>”), a national banking association, as administrative agent for the Lenders (the “</w:t>
      </w:r>
      <w:r>
        <w:rPr>
          <w:rFonts w:ascii="Times New Roman;Times;Serif" w:hAnsi="Times New Roman;Times;Serif"/>
          <w:b w:val="false"/>
          <w:i/>
          <w:caps w:val="false"/>
          <w:smallCaps w:val="false"/>
          <w:sz w:val="20"/>
          <w:u w:val="single"/>
        </w:rPr>
        <w:t>Administrative Agent</w:t>
      </w:r>
      <w:r>
        <w:rPr>
          <w:rFonts w:ascii="Times New Roman;Times;Serif" w:hAnsi="Times New Roman;Times;Serif"/>
          <w:b w:val="false"/>
          <w:i w:val="false"/>
          <w:caps w:val="false"/>
          <w:smallCaps w:val="false"/>
          <w:sz w:val="20"/>
        </w:rPr>
        <w:t>”), and as a Bank and as a Lender Group Agent.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desires that the Lenders extend financing to the Borrower on the terms and subject to the conditions set forth in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Lenders are willing to provide such financing on the terms and subject to the conditions set forth in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other mutual covenants contained herein, the parties hereto agree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1.1. </w:t>
      </w:r>
      <w:r>
        <w:rPr>
          <w:rFonts w:ascii="Times New Roman;Times;Serif" w:hAnsi="Times New Roman;Times;Serif"/>
          <w:b/>
          <w:i w:val="false"/>
          <w:caps w:val="false"/>
          <w:smallCaps w:val="false"/>
          <w:sz w:val="20"/>
          <w:u w:val="single"/>
        </w:rPr>
        <w:t>Definitions</w:t>
      </w: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used herein, unless the context otherwise requires, the following words and phrases shall have the following meanings: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w:t>
      </w:r>
      <w:r>
        <w:rPr>
          <w:rFonts w:ascii="Times New Roman;Times;Serif" w:hAnsi="Times New Roman;Times;Serif"/>
          <w:b w:val="false"/>
          <w:i w:val="false"/>
          <w:caps w:val="false"/>
          <w:smallCaps w:val="false"/>
          <w:sz w:val="20"/>
        </w:rPr>
        <w:t>”: The Collection Account and the Reserve Account.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Interest</w:t>
      </w:r>
      <w:r>
        <w:rPr>
          <w:rFonts w:ascii="Times New Roman;Times;Serif" w:hAnsi="Times New Roman;Times;Serif"/>
          <w:b w:val="false"/>
          <w:i w:val="false"/>
          <w:caps w:val="false"/>
          <w:smallCaps w:val="false"/>
          <w:sz w:val="20"/>
        </w:rPr>
        <w:t>”: For any Collection Period, the sum of the Interest for each day during the Collection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Borrowing Base Percentage</w:t>
      </w:r>
      <w:r>
        <w:rPr>
          <w:rFonts w:ascii="Times New Roman;Times;Serif" w:hAnsi="Times New Roman;Times;Serif"/>
          <w:b w:val="false"/>
          <w:i w:val="false"/>
          <w:caps w:val="false"/>
          <w:smallCaps w:val="false"/>
          <w:sz w:val="20"/>
        </w:rPr>
        <w:t>”: For any date of determination, the percentage equivalent to a fraction the numerator of which is the Principal Amount Outstanding and the denominator of which is the Net Eligible Receivables on such day.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 Date</w:t>
      </w:r>
      <w:r>
        <w:rPr>
          <w:rFonts w:ascii="Times New Roman;Times;Serif" w:hAnsi="Times New Roman;Times;Serif"/>
          <w:b w:val="false"/>
          <w:i w:val="false"/>
          <w:caps w:val="false"/>
          <w:smallCaps w:val="false"/>
          <w:sz w:val="20"/>
        </w:rPr>
        <w:t>”: Each date when Subsequent Receivables are added to the Collateral in connection with a Subsequent Advance.</w:t>
      </w:r>
    </w:p>
    <w:p>
      <w:pPr>
        <w:pStyle w:val="TextBody"/>
        <w:bidi w:val="0"/>
        <w:spacing w:before="0" w:after="0"/>
        <w:ind w:left="1440" w:right="444" w:firstLine="72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Amount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i w:val="false"/>
          <w:caps w:val="false"/>
          <w:smallCaps w:val="false"/>
          <w:strike/>
          <w:color w:val="FF0000"/>
          <w:sz w:val="20"/>
        </w:rPr>
        <w:t>Error! Reference source not found.</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rPr>
        <w:t xml:space="preserve">Section </w:t>
      </w:r>
      <w:r>
        <w:rPr>
          <w:rFonts w:ascii="Times New Roman;Times;Serif" w:hAnsi="Times New Roman;Times;Serif"/>
          <w:b w:val="false"/>
          <w:i w:val="false"/>
          <w:caps w:val="false"/>
          <w:smallCaps w:val="false"/>
          <w:color w:val="0000FF"/>
          <w:sz w:val="20"/>
          <w:u w:val="single"/>
        </w:rPr>
        <w:t>2.12(a).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defined in the preamble.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w:t>
      </w:r>
      <w:r>
        <w:rPr>
          <w:rFonts w:ascii="Times New Roman;Times;Serif" w:hAnsi="Times New Roman;Times;Serif"/>
          <w:b w:val="false"/>
          <w:i w:val="false"/>
          <w:caps w:val="false"/>
          <w:smallCaps w:val="false"/>
          <w:sz w:val="20"/>
        </w:rPr>
        <w:t>”: A borrowing hereunder consisting of the aggregate principal amount of the several Loans made by the Lender Groups on the same Advance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Date</w:t>
      </w:r>
      <w:r>
        <w:rPr>
          <w:rFonts w:ascii="Times New Roman;Times;Serif" w:hAnsi="Times New Roman;Times;Serif"/>
          <w:b w:val="false"/>
          <w:i w:val="false"/>
          <w:caps w:val="false"/>
          <w:smallCaps w:val="false"/>
          <w:sz w:val="20"/>
        </w:rPr>
        <w:t>”: Each Business Day on which an Advance is made.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Request</w:t>
      </w:r>
      <w:r>
        <w:rPr>
          <w:rFonts w:ascii="Times New Roman;Times;Serif" w:hAnsi="Times New Roman;Times;Serif"/>
          <w:b w:val="false"/>
          <w:i w:val="false"/>
          <w:caps w:val="false"/>
          <w:smallCaps w:val="false"/>
          <w:sz w:val="20"/>
        </w:rPr>
        <w:t xml:space="preserve">”: A written notice from the Borrower to the Administrative Agent and each Lender Group Agent requesting an Advance and including the items required by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Advisors</w:t>
      </w:r>
      <w:r>
        <w:rPr>
          <w:rFonts w:ascii="Times New Roman;Times;Serif" w:hAnsi="Times New Roman;Times;Serif"/>
          <w:b w:val="false"/>
          <w:i w:val="false"/>
          <w:caps w:val="false"/>
          <w:smallCaps w:val="false"/>
          <w:sz w:val="20"/>
        </w:rPr>
        <w:t>”: Accountants, attorneys, consultants, advisors, credit enhancers, liquidity providers and Persons similar to the foregoing and the respective directors, officers, employees and managers of each of the foregoing.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With respect to a Person, any other Person controlling, controlled by or under common control with such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Unpaids</w:t>
      </w:r>
      <w:r>
        <w:rPr>
          <w:rFonts w:ascii="Times New Roman;Times;Serif" w:hAnsi="Times New Roman;Times;Serif"/>
          <w:b w:val="false"/>
          <w:i w:val="false"/>
          <w:caps w:val="false"/>
          <w:smallCaps w:val="false"/>
          <w:sz w:val="20"/>
        </w:rPr>
        <w:t>”: With respect to any date, an amount equal to the sum of (i) the Principal Amount Outstanding, (ii) all accrued but unpaid Interest and (iii) all Unused Fees and, without duplication, all other Obligations owed (whether due and payable or accrued as of such date of determination) by the Borrower to the Secured Parties under this Agreement and the other Transaction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As defined in the preamble. “</w:t>
      </w:r>
      <w:r>
        <w:rPr>
          <w:rFonts w:ascii="Times New Roman;Times;Serif" w:hAnsi="Times New Roman;Times;Serif"/>
          <w:b w:val="false"/>
          <w:i w:val="false"/>
          <w:caps w:val="false"/>
          <w:smallCaps w:val="false"/>
          <w:sz w:val="20"/>
          <w:u w:val="single"/>
        </w:rPr>
        <w:t>Amortization Event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Amortization Period</w:t>
      </w:r>
      <w:r>
        <w:rPr>
          <w:rFonts w:ascii="Times New Roman;Times;Serif" w:hAnsi="Times New Roman;Times;Serif"/>
          <w:b w:val="false"/>
          <w:i w:val="false"/>
          <w:caps w:val="false"/>
          <w:smallCaps w:val="false"/>
          <w:sz w:val="20"/>
        </w:rPr>
        <w:t>”: The period beginning on the Commitment Termination Date and ending upon the occurrence of a Termination Event.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Amount Financed</w:t>
      </w:r>
      <w:r>
        <w:rPr>
          <w:rFonts w:ascii="Times New Roman;Times;Serif" w:hAnsi="Times New Roman;Times;Serif"/>
          <w:b w:val="false"/>
          <w:i w:val="false"/>
          <w:caps w:val="false"/>
          <w:smallCaps w:val="false"/>
          <w:sz w:val="20"/>
        </w:rPr>
        <w:t>”: With respect to a Receivable means the amount advanced under the Receivable toward either (i) the purchase price of the Financed Vehicle and any related costs or (ii) the satisfaction of the indebtedness which was refinanced with the proceeds of such Receivable.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 Percentage Rate or APR</w:t>
      </w:r>
      <w:r>
        <w:rPr>
          <w:rFonts w:ascii="Times New Roman;Times;Serif" w:hAnsi="Times New Roman;Times;Serif"/>
          <w:b w:val="false"/>
          <w:i w:val="false"/>
          <w:caps w:val="false"/>
          <w:smallCaps w:val="false"/>
          <w:sz w:val="20"/>
        </w:rPr>
        <w:t>”: With respect to a Receivable, the annual rate of finance charges stated in the Contract relating to the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Annualized Net Loss Ratio</w:t>
      </w:r>
      <w:r>
        <w:rPr>
          <w:rFonts w:ascii="Times New Roman;Times;Serif" w:hAnsi="Times New Roman;Times;Serif"/>
          <w:b w:val="false"/>
          <w:i w:val="false"/>
          <w:caps w:val="false"/>
          <w:smallCaps w:val="false"/>
          <w:sz w:val="20"/>
        </w:rPr>
        <w:t>”: On any day, 12 times the ratio (expressed as a percentage) of (i) (1) the aggregate Principal Balance of all Receivables which became Liquidated Receivables during the immediately preceding Collection Period minus (2) Liquidation Proceeds received during such preceding Collection Period and allocable to principal over (ii) an amount equal to (a) the sum of (1) the aggregate Principal Balance of all Receivables as of the beginning of such Collection Period and (2) the aggregate Principal Balance of all Receivables as of the end of such Collection Period divided by (b) two.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All laws, rules, and regulations of any jurisdiction applicable to the Entity Parties or their respective subsidiaries from time to time concerning or relating to bribery, money-laundering or corruption.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Applicable laws or regulations in any jurisdiction in which the Borrower or any member of the Borrower Group is located or doing business that relates to money laundering, any predicate crime to money laundering, or any financial record keeping and reporting requirements related thereto.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Interest Rate</w:t>
      </w:r>
      <w:r>
        <w:rPr>
          <w:rFonts w:ascii="Times New Roman;Times;Serif" w:hAnsi="Times New Roman;Times;Serif"/>
          <w:b w:val="false"/>
          <w:i w:val="false"/>
          <w:caps w:val="false"/>
          <w:smallCaps w:val="false"/>
          <w:sz w:val="20"/>
        </w:rPr>
        <w:t>”: (i) in the case of Class A Loans, the sum of (i) Class A Drawn Margin and (ii) the Benchmark, and (ii) in the case of Class B Loans, the sum of (i) Class B Drawn Margin and (ii) the Benchmark.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For any Person, all existing and future applicable laws, rules, regulations (including proposed, temporary and final income tax regulations), statutes, treaties, codes, ordinances, permits, certificates, orders and licenses of and interpretations by any Governmental Authority (including usury laws, the Federal Truth-in-Lending Act, Regulation Z and Regulation B of the Federal Reserve Board, the Securities Act and the Exchange Act), and applicable judgments, decrees, injunctions, writs, orders or line action of any court, arbitrator or other administrative, judicial or quasi-judicial tribunal or agency of competent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Subsidiary</w:t>
      </w:r>
      <w:r>
        <w:rPr>
          <w:rFonts w:ascii="Times New Roman;Times;Serif" w:hAnsi="Times New Roman;Times;Serif"/>
          <w:b w:val="false"/>
          <w:i w:val="false"/>
          <w:caps w:val="false"/>
          <w:smallCaps w:val="false"/>
          <w:sz w:val="20"/>
        </w:rPr>
        <w:t>”: Any Subsidiary of the Seller approved in writing by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xml:space="preserve">”: An assignment and acceptance agreement between the applicable Lender or Lender Group, as applicable, and an Eligible Assignee,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Assumption Date</w:t>
      </w:r>
      <w:r>
        <w:rPr>
          <w:rFonts w:ascii="Times New Roman;Times;Serif" w:hAnsi="Times New Roman;Times;Serif"/>
          <w:b w:val="false"/>
          <w:i w:val="false"/>
          <w:caps w:val="false"/>
          <w:smallCaps w:val="false"/>
          <w:sz w:val="20"/>
        </w:rPr>
        <w:t>” has the meaning specified in Section 7.10(c)</w:t>
      </w:r>
      <w:r>
        <w:rPr>
          <w:rFonts w:ascii="Times New Roman;Times;Serif" w:hAnsi="Times New Roman;Times;Serif"/>
          <w:b w:val="false"/>
          <w:i w:val="false"/>
          <w:caps w:val="false"/>
          <w:smallCaps w:val="false"/>
          <w:color w:val="0000FF"/>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Authoritative Copy</w:t>
      </w:r>
      <w:r>
        <w:rPr>
          <w:rFonts w:ascii="Times New Roman;Times;Serif" w:hAnsi="Times New Roman;Times;Serif"/>
          <w:b w:val="false"/>
          <w:i w:val="false"/>
          <w:caps w:val="false"/>
          <w:smallCaps w:val="false"/>
          <w:sz w:val="20"/>
        </w:rPr>
        <w:t>”: with respect to any Electronic Contract that constitutes Electronic Chattel Paper, a copy of such Electronic Contract that is unique, identifiable and, except as otherwise provided in Section 9-105 of the UCC, unalterable, any perceivable rendering of which is marked “View of Authoritative Copy” and has no watermark or other marking that would indicate that it is a “copy” or “duplicate” or not an original or not an “authoritative” copy.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Officer</w:t>
      </w:r>
      <w:r>
        <w:rPr>
          <w:rFonts w:ascii="Times New Roman;Times;Serif" w:hAnsi="Times New Roman;Times;Serif"/>
          <w:b w:val="false"/>
          <w:i w:val="false"/>
          <w:caps w:val="false"/>
          <w:smallCaps w:val="false"/>
          <w:sz w:val="20"/>
        </w:rPr>
        <w:t>”: Any officer, including any president, vice president, assistant vice president, treasurer, assistant treasurer, secretary or assistant secretary or any other officer performing functions similar to those performed by such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Amount</w:t>
      </w:r>
      <w:r>
        <w:rPr>
          <w:rFonts w:ascii="Times New Roman;Times;Serif" w:hAnsi="Times New Roman;Times;Serif"/>
          <w:b w:val="false"/>
          <w:i w:val="false"/>
          <w:caps w:val="false"/>
          <w:smallCaps w:val="false"/>
          <w:sz w:val="20"/>
        </w:rPr>
        <w:t>”: The Class A Available Amount or the Class B Available Amount, as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Collections</w:t>
      </w:r>
      <w:r>
        <w:rPr>
          <w:rFonts w:ascii="Times New Roman;Times;Serif" w:hAnsi="Times New Roman;Times;Serif"/>
          <w:b w:val="false"/>
          <w:i w:val="false"/>
          <w:caps w:val="false"/>
          <w:smallCaps w:val="false"/>
          <w:sz w:val="20"/>
        </w:rPr>
        <w:t xml:space="preserve">”: With respect to each Remittance Date, all Collections received by the Servicer with respect to the Receivables, from whatever source, during or with respect to the prior Collection Period. For the avoidance of doubt, all proceeds received as a result of (a) mandatory repurchase by the Seller pursuant to Sections 6.2 of the Purchase Agreement or (b) mandatory purchase by the Servicer pursuant to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xml:space="preserve"> of this Agreement, shall be deemed Available Collections.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Liquidity</w:t>
      </w:r>
      <w:r>
        <w:rPr>
          <w:rFonts w:ascii="Times New Roman;Times;Serif" w:hAnsi="Times New Roman;Times;Serif"/>
          <w:b w:val="false"/>
          <w:i w:val="false"/>
          <w:caps w:val="false"/>
          <w:smallCaps w:val="false"/>
          <w:sz w:val="20"/>
        </w:rPr>
        <w:t>”: As of the end of any calendar month, the sum of (a) unrestricted cash and cash equivalents and (b) undrawn commitments under this warehouse or other credit facilities of the Servicer or its consolidated subsidiaries for which the Servicer or any such subsidiary can meet all conditions precedent to borrowing such amounts.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xml:space="preserve">”: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15.15(d)</w:t>
      </w:r>
      <w:r>
        <w:rPr>
          <w:rFonts w:ascii="Times New Roman;Times;Serif" w:hAnsi="Times New Roman;Times;Serif"/>
          <w:b w:val="false"/>
          <w:i w:val="false"/>
          <w:caps w:val="false"/>
          <w:smallCaps w:val="false"/>
          <w:color w:val="0000FF"/>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60+ Delinquency Ratio</w:t>
      </w:r>
      <w:r>
        <w:rPr>
          <w:rFonts w:ascii="Times New Roman;Times;Serif" w:hAnsi="Times New Roman;Times;Serif"/>
          <w:b w:val="false"/>
          <w:i w:val="false"/>
          <w:caps w:val="false"/>
          <w:smallCaps w:val="false"/>
          <w:sz w:val="20"/>
        </w:rPr>
        <w:t>”: With respect to any Collection Period, the percentage equivalent of a fraction, (i) the numerator of which is equal to the aggregate Principal Balance of all Delinquent Receivables which remain Delinquent for a period greater than sixty (60) calendar days from the scheduled due date for such payment, and (ii) the denominator of which is equal to the aggregate Principal Balance of all Receivables as of the end of such Collection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Backup Servicer</w:t>
      </w:r>
      <w:r>
        <w:rPr>
          <w:rFonts w:ascii="Times New Roman;Times;Serif" w:hAnsi="Times New Roman;Times;Serif"/>
          <w:b w:val="false"/>
          <w:i w:val="false"/>
          <w:caps w:val="false"/>
          <w:smallCaps w:val="false"/>
          <w:sz w:val="20"/>
        </w:rPr>
        <w:t>”: As defined in the preamble.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Backup Servicing Fee</w:t>
      </w:r>
      <w:r>
        <w:rPr>
          <w:rFonts w:ascii="Times New Roman;Times;Serif" w:hAnsi="Times New Roman;Times;Serif"/>
          <w:b w:val="false"/>
          <w:i w:val="false"/>
          <w:caps w:val="false"/>
          <w:smallCaps w:val="false"/>
          <w:sz w:val="20"/>
        </w:rPr>
        <w:t>”: The amounts to be paid to the Backup Servicer in accordance with the Custodian Fee Letter.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For any Lender Group, each Person designated as a Bank from time to time for such Lender Group pursuant to this Agreement or the related Assignment and Acceptance.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The United States Bankruptcy Code (Title 11 of the United States Code).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w:t>
      </w:r>
      <w:r>
        <w:rPr>
          <w:rFonts w:ascii="Times New Roman;Times;Serif" w:hAnsi="Times New Roman;Times;Serif"/>
          <w:b w:val="false"/>
          <w:i w:val="false"/>
          <w:caps w:val="false"/>
          <w:smallCaps w:val="false"/>
          <w:sz w:val="20"/>
        </w:rPr>
        <w:t>”: For any day, a rate per annum equal to the highest of (i) the Prime Rate in effect on such day, and (ii) the Federal Funds Rate in effect on such day plus [***]. Any change in the Base Rate due to a change in the Prime Rate or the Federal Funds Rate shall be effective as of the opening of business on the effective day of such change in the Prime Rate or the Federal Funds Rate, respectively. Changes in the rate of interest on that portion of the Loan maintained as a Base Rate Loan will take effect simultaneously with each change in the Base Rate.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 Loan</w:t>
      </w:r>
      <w:r>
        <w:rPr>
          <w:rFonts w:ascii="Times New Roman;Times;Serif" w:hAnsi="Times New Roman;Times;Serif"/>
          <w:b w:val="false"/>
          <w:i w:val="false"/>
          <w:caps w:val="false"/>
          <w:smallCaps w:val="false"/>
          <w:sz w:val="20"/>
        </w:rPr>
        <w:t>”: A Loan bearing interest by reference to the Base Rate.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15.15(a).</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SOFR Floor, such Benchmark Replacement will be deemed to be the SOFR Floor for the purposes of this Agreement and the other Transaction Documents.</w:t>
      </w:r>
    </w:p>
    <w:p>
      <w:pPr>
        <w:pStyle w:val="TextBody"/>
        <w:bidi w:val="0"/>
        <w:spacing w:before="0" w:after="0"/>
        <w:ind w:left="1439" w:right="404" w:firstLine="72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Rate with the applicable Unadjusted Benchmark Replacement for Dollar-denominated syndicated or bilateral credit facilities at such time.</w:t>
      </w:r>
    </w:p>
    <w:p>
      <w:pPr>
        <w:pStyle w:val="TextBody"/>
        <w:bidi w:val="0"/>
        <w:spacing w:before="0" w:after="0"/>
        <w:ind w:left="1439" w:right="436" w:firstLine="72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The earliest to occur of the following events with respect to the then-current Benchmark:</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The occurrence of one or more of the following events with respect to the then-current Benchmark:</w:t>
      </w:r>
    </w:p>
    <w:p>
      <w:pPr>
        <w:pStyle w:val="TextBody"/>
        <w:bidi w:val="0"/>
        <w:spacing w:before="0" w:after="0"/>
        <w:ind w:left="1440" w:right="437" w:firstLine="72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r>
        <w:rPr>
          <w:rFonts w:ascii="Times New Roman;Times;Serif" w:hAnsi="Times New Roman;Times;Serif"/>
          <w:b w:val="false"/>
          <w:i w:val="false"/>
          <w:caps w:val="false"/>
          <w:smallCaps w:val="false"/>
          <w:color w:val="0000FF"/>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Start Date</w:t>
      </w:r>
      <w:r>
        <w:rPr>
          <w:rFonts w:ascii="Times New Roman;Times;Serif" w:hAnsi="Times New Roman;Times;Serif"/>
          <w:b w:val="false"/>
          <w:i w:val="false"/>
          <w:caps w:val="false"/>
          <w:smallCaps w:val="false"/>
          <w:sz w:val="20"/>
        </w:rPr>
        <w:t>”: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The period (if any) (a) beginning at the time that a Benchmark Replacement Date has occurred if, at such time, no Benchmark Replacement has replaced the then-current Benchmark for all purposes hereunder and under any Transaction Document in accordance with </w:t>
      </w:r>
      <w:r>
        <w:rPr>
          <w:rFonts w:ascii="Times New Roman;Times;Serif" w:hAnsi="Times New Roman;Times;Serif"/>
          <w:b w:val="false"/>
          <w:i w:val="false"/>
          <w:caps w:val="false"/>
          <w:smallCaps w:val="false"/>
          <w:sz w:val="20"/>
          <w:u w:val="single"/>
        </w:rPr>
        <w:t>Section 15.15</w:t>
      </w:r>
      <w:r>
        <w:rPr>
          <w:rFonts w:ascii="Times New Roman;Times;Serif" w:hAnsi="Times New Roman;Times;Serif"/>
          <w:b w:val="false"/>
          <w:i w:val="false"/>
          <w:caps w:val="false"/>
          <w:smallCaps w:val="false"/>
          <w:sz w:val="20"/>
        </w:rPr>
        <w:t xml:space="preserve"> and (b) ending at the time that a Benchmark Replacement has replaced the then-current Benchmark for all purposes hereunder and under any Transaction Document in accordance with </w:t>
      </w:r>
      <w:r>
        <w:rPr>
          <w:rFonts w:ascii="Times New Roman;Times;Serif" w:hAnsi="Times New Roman;Times;Serif"/>
          <w:b w:val="false"/>
          <w:i w:val="false"/>
          <w:caps w:val="false"/>
          <w:smallCaps w:val="false"/>
          <w:sz w:val="20"/>
          <w:u w:val="single"/>
        </w:rPr>
        <w:t>Section 15.15</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§1841(k).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As defined in the preamble.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Group</w:t>
      </w:r>
      <w:r>
        <w:rPr>
          <w:rFonts w:ascii="Times New Roman;Times;Serif" w:hAnsi="Times New Roman;Times;Serif"/>
          <w:b w:val="false"/>
          <w:i w:val="false"/>
          <w:caps w:val="false"/>
          <w:smallCaps w:val="false"/>
          <w:sz w:val="20"/>
        </w:rPr>
        <w:t>”: (a) The Borrower, (b) CPS, ((a) and (b), collectively, the “</w:t>
      </w:r>
      <w:r>
        <w:rPr>
          <w:rFonts w:ascii="Times New Roman;Times;Serif" w:hAnsi="Times New Roman;Times;Serif"/>
          <w:b w:val="false"/>
          <w:i w:val="false"/>
          <w:caps w:val="false"/>
          <w:smallCaps w:val="false"/>
          <w:sz w:val="20"/>
          <w:u w:val="single"/>
        </w:rPr>
        <w:t>Entity Group</w:t>
      </w:r>
      <w:r>
        <w:rPr>
          <w:rFonts w:ascii="Times New Roman;Times;Serif" w:hAnsi="Times New Roman;Times;Serif"/>
          <w:b w:val="false"/>
          <w:i w:val="false"/>
          <w:caps w:val="false"/>
          <w:smallCaps w:val="false"/>
          <w:sz w:val="20"/>
        </w:rPr>
        <w:t>”), (c) any affiliate or subsidiary of any of the Persons referred to in clauses (a) and (b), (d) any guarantor, (e) the owner of any collateral securing any part of the Obligations, any guaranty, or this Agreement, and (f) any officer, director or agent acting on behalf of any of the Persons referred to in items (a) through (f) with respect to the Obligations, this Agreement or any of the other Transaction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w:t>
      </w:r>
      <w:r>
        <w:rPr>
          <w:rFonts w:ascii="Times New Roman;Times;Serif" w:hAnsi="Times New Roman;Times;Serif"/>
          <w:b w:val="false"/>
          <w:i w:val="false"/>
          <w:caps w:val="false"/>
          <w:smallCaps w:val="false"/>
          <w:sz w:val="20"/>
        </w:rPr>
        <w:t>”: The sum of the Class A Borrowing Base and the Class B Borrowing Base.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Breakage Costs</w:t>
      </w:r>
      <w:r>
        <w:rPr>
          <w:rFonts w:ascii="Times New Roman;Times;Serif" w:hAnsi="Times New Roman;Times;Serif"/>
          <w:b w:val="false"/>
          <w:i w:val="false"/>
          <w:caps w:val="false"/>
          <w:smallCaps w:val="false"/>
          <w:sz w:val="20"/>
        </w:rPr>
        <w:t>”: Such amount or amounts as shall compensate a Lender for any loss, cost or expense incurred by such Lender (as determined by such Lender (and by the Administrative Agent on behalf of such Lender) in such Person’s sole discretion) as a result of a prepayment by the Borrower of the Interest or the Principal Amount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Broken Funding Costs</w:t>
      </w:r>
      <w:r>
        <w:rPr>
          <w:rFonts w:ascii="Times New Roman;Times;Serif" w:hAnsi="Times New Roman;Times;Serif"/>
          <w:b w:val="false"/>
          <w:i w:val="false"/>
          <w:caps w:val="false"/>
          <w:smallCaps w:val="false"/>
          <w:sz w:val="20"/>
        </w:rPr>
        <w:t>”: For any Lender Group on any day, as defined in the related Pricing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(i) Any day (excluding Saturday or Sunday) on which banks are open for business in Minnesota, California or New York and (ii) if the term “Business Day” is used in connection with Term SOFR, such day must also be a U.S. Government Securities Business Day.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One</w:t>
      </w:r>
      <w:r>
        <w:rPr>
          <w:rFonts w:ascii="Times New Roman;Times;Serif" w:hAnsi="Times New Roman;Times;Serif"/>
          <w:b w:val="false"/>
          <w:i w:val="false"/>
          <w:caps w:val="false"/>
          <w:smallCaps w:val="false"/>
          <w:sz w:val="20"/>
        </w:rPr>
        <w:t>”: Capital One, National Association, and its successors and assigns.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Carrying Costs</w:t>
      </w:r>
      <w:r>
        <w:rPr>
          <w:rFonts w:ascii="Times New Roman;Times;Serif" w:hAnsi="Times New Roman;Times;Serif"/>
          <w:b w:val="false"/>
          <w:i w:val="false"/>
          <w:caps w:val="false"/>
          <w:smallCaps w:val="false"/>
          <w:sz w:val="20"/>
        </w:rPr>
        <w:t xml:space="preserve">”: For any Collection Period the sum of: (a) the Accrued Interest for such Collection Period; (b) any past due amounts not paid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(c) the Yield Protection Reimbursement Amount; (d) the Interest and Unused Fee accrued from the first day through the last day of such Collection Period whether or not such amount is payable during such Collection Period and (e) any Broken Funding Costs.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Title</w:t>
      </w:r>
      <w:r>
        <w:rPr>
          <w:rFonts w:ascii="Times New Roman;Times;Serif" w:hAnsi="Times New Roman;Times;Serif"/>
          <w:b w:val="false"/>
          <w:i w:val="false"/>
          <w:caps w:val="false"/>
          <w:smallCaps w:val="false"/>
          <w:sz w:val="20"/>
        </w:rPr>
        <w:t>”: With respect to a Financed Vehicle, an original certificate of title, certificate of lien or other notification issued by the Registrar of Titles of the applicable State to a secured party that indicates that the Lien of the secured party on the Financed Vehicle is recorded with the State for purposes of establishing the existence and priority of a secured party’s Lien in such Financed Vehicle.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The occurrence of any of the following: (a) any Person shall, at any time following the Closing Date, acquire [***] or more of the total outstanding shares of Seller; or (b) any Person shall, at any time following the Closing Date, acquire directly or indirectly [***] or more of the voting control with respect to the total outstanding shares of Seller.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Advance Rate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0000FF"/>
          <w:sz w:val="20"/>
        </w:rPr>
        <w:t>***</w:t>
      </w:r>
      <w:r>
        <w:rPr>
          <w:rFonts w:ascii="Times New Roman;Times;Serif" w:hAnsi="Times New Roman;Times;Serif"/>
          <w:b w:val="false"/>
          <w:i w:val="false"/>
          <w:caps w:val="false"/>
          <w:smallCaps w:val="false"/>
          <w:sz w:val="20"/>
        </w:rPr>
        <w:t>] of gross unpaid Principal Balance for all Eligible Receivables, provided however, if a Level I Trigger Event has occurred and is continuing, the applicable Advance Rate immediately prior to such Level I Trigger Event minus [***] (without duplication if more than one such Level I Trigger Event has occurred and is then continuing).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Available Amount</w:t>
      </w:r>
      <w:r>
        <w:rPr>
          <w:rFonts w:ascii="Times New Roman;Times;Serif" w:hAnsi="Times New Roman;Times;Serif"/>
          <w:b w:val="false"/>
          <w:i w:val="false"/>
          <w:caps w:val="false"/>
          <w:smallCaps w:val="false"/>
          <w:sz w:val="20"/>
        </w:rPr>
        <w:t>” With respect to any day, the positive amount, if any, by which the Class A Borrowing Base exceeds the Principal Amount Outstanding of the Class A Loan on such day.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Borrowing Base</w:t>
      </w:r>
      <w:r>
        <w:rPr>
          <w:rFonts w:ascii="Times New Roman;Times;Serif" w:hAnsi="Times New Roman;Times;Serif"/>
          <w:b w:val="false"/>
          <w:i w:val="false"/>
          <w:caps w:val="false"/>
          <w:smallCaps w:val="false"/>
          <w:sz w:val="20"/>
        </w:rPr>
        <w:t>”: The lesser of (a</w:t>
      </w:r>
      <w:r>
        <w:rPr>
          <w:rFonts w:ascii="Times New Roman;Times;Serif" w:hAnsi="Times New Roman;Times;Serif"/>
          <w:b w:val="false"/>
          <w:i w:val="false"/>
          <w:caps w:val="false"/>
          <w:smallCaps w:val="false"/>
          <w:color w:val="0000FF"/>
          <w:sz w:val="20"/>
          <w:u w:val="single"/>
        </w:rPr>
        <w:t>) the sum of (i</w:t>
      </w:r>
      <w:r>
        <w:rPr>
          <w:rFonts w:ascii="Times New Roman;Times;Serif" w:hAnsi="Times New Roman;Times;Serif"/>
          <w:b w:val="false"/>
          <w:i w:val="false"/>
          <w:caps w:val="false"/>
          <w:smallCaps w:val="false"/>
          <w:sz w:val="20"/>
        </w:rPr>
        <w:t xml:space="preserve">) the product of the applicable Class A Advance Rate and the aggregate principal balance of all Eligible Receivables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any Excess Concentration Amounts, </w:t>
      </w:r>
      <w:r>
        <w:rPr>
          <w:rFonts w:ascii="Times New Roman;Times;Serif" w:hAnsi="Times New Roman;Times;Serif"/>
          <w:b w:val="false"/>
          <w:i w:val="false"/>
          <w:caps w:val="false"/>
          <w:smallCaps w:val="false"/>
          <w:color w:val="0000FF"/>
          <w:sz w:val="20"/>
          <w:u w:val="single"/>
        </w:rPr>
        <w:t>plus (ii) the aggregate amount then on deposit in the Collection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Account over all accrued but unpaid interest, fees, expenses and indemnified amounts due and payable on the following Remittance Date</w:t>
      </w:r>
      <w:r>
        <w:rPr>
          <w:rFonts w:ascii="Times New Roman;Times;Serif" w:hAnsi="Times New Roman;Times;Serif"/>
          <w:b w:val="false"/>
          <w:i w:val="false"/>
          <w:caps w:val="false"/>
          <w:smallCaps w:val="false"/>
          <w:sz w:val="20"/>
        </w:rPr>
        <w:t xml:space="preserve"> and (b) the aggregate Class A Commitment.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Borrowing Base Deficiency</w:t>
      </w:r>
      <w:r>
        <w:rPr>
          <w:rFonts w:ascii="Times New Roman;Times;Serif" w:hAnsi="Times New Roman;Times;Serif"/>
          <w:b w:val="false"/>
          <w:i w:val="false"/>
          <w:caps w:val="false"/>
          <w:smallCaps w:val="false"/>
          <w:sz w:val="20"/>
        </w:rPr>
        <w:t>”: The amount by which the Principal Amount Outstanding of the Class A Loans exceeds the Class A Borrowing Base.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Commitment</w:t>
      </w:r>
      <w:r>
        <w:rPr>
          <w:rFonts w:ascii="Times New Roman;Times;Serif" w:hAnsi="Times New Roman;Times;Serif"/>
          <w:b w:val="false"/>
          <w:i w:val="false"/>
          <w:caps w:val="false"/>
          <w:smallCaps w:val="false"/>
          <w:sz w:val="20"/>
        </w:rPr>
        <w:t>”: As defined in Schedule A hereto. “</w:t>
      </w:r>
      <w:r>
        <w:rPr>
          <w:rFonts w:ascii="Times New Roman;Times;Serif" w:hAnsi="Times New Roman;Times;Serif"/>
          <w:b w:val="false"/>
          <w:i w:val="false"/>
          <w:caps w:val="false"/>
          <w:smallCaps w:val="false"/>
          <w:sz w:val="20"/>
          <w:u w:val="single"/>
        </w:rPr>
        <w:t>Class A Drawn Margin</w:t>
      </w:r>
      <w:r>
        <w:rPr>
          <w:rFonts w:ascii="Times New Roman;Times;Serif" w:hAnsi="Times New Roman;Times;Serif"/>
          <w:b w:val="false"/>
          <w:i w:val="false"/>
          <w:caps w:val="false"/>
          <w:smallCaps w:val="false"/>
          <w:sz w:val="20"/>
        </w:rPr>
        <w:t>”: As defined in the Class A Fee Letter.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Fee Letter</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color w:val="0000FF"/>
          <w:sz w:val="20"/>
          <w:u w:val="single"/>
        </w:rPr>
        <w:t>amended and restated</w:t>
      </w:r>
      <w:r>
        <w:rPr>
          <w:rFonts w:ascii="Times New Roman;Times;Serif" w:hAnsi="Times New Roman;Times;Serif"/>
          <w:b w:val="false"/>
          <w:i w:val="false"/>
          <w:caps w:val="false"/>
          <w:smallCaps w:val="false"/>
          <w:sz w:val="20"/>
        </w:rPr>
        <w:t xml:space="preserve"> letter, dated as of </w:t>
      </w:r>
      <w:r>
        <w:rPr>
          <w:rFonts w:ascii="Times New Roman;Times;Serif" w:hAnsi="Times New Roman;Times;Serif"/>
          <w:b w:val="false"/>
          <w:i w:val="false"/>
          <w:caps w:val="false"/>
          <w:smallCaps w:val="false"/>
          <w:strike/>
          <w:color w:val="FF0000"/>
          <w:sz w:val="20"/>
        </w:rPr>
        <w:t>October 17</w:t>
      </w:r>
      <w:r>
        <w:rPr>
          <w:rFonts w:ascii="Times New Roman;Times;Serif" w:hAnsi="Times New Roman;Times;Serif"/>
          <w:b w:val="false"/>
          <w:i w:val="false"/>
          <w:caps w:val="false"/>
          <w:smallCaps w:val="false"/>
          <w:color w:val="0000FF"/>
          <w:sz w:val="20"/>
          <w:u w:val="single"/>
        </w:rPr>
        <w:t>April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2025</w:t>
      </w:r>
      <w:r>
        <w:rPr>
          <w:rFonts w:ascii="Times New Roman;Times;Serif" w:hAnsi="Times New Roman;Times;Serif"/>
          <w:b w:val="false"/>
          <w:i w:val="false"/>
          <w:caps w:val="false"/>
          <w:smallCaps w:val="false"/>
          <w:color w:val="0000FF"/>
          <w:sz w:val="20"/>
          <w:u w:val="single"/>
        </w:rPr>
        <w:t>2026</w:t>
      </w:r>
      <w:r>
        <w:rPr>
          <w:rFonts w:ascii="Times New Roman;Times;Serif" w:hAnsi="Times New Roman;Times;Serif"/>
          <w:b w:val="false"/>
          <w:i w:val="false"/>
          <w:caps w:val="false"/>
          <w:smallCaps w:val="false"/>
          <w:sz w:val="20"/>
        </w:rPr>
        <w:t>, among the Borrower, CPS, and the Administrative Agent, setting forth, among other things, the Class A Upfront Fee and the Class A Unused Fee.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Lender</w:t>
      </w:r>
      <w:r>
        <w:rPr>
          <w:rFonts w:ascii="Times New Roman;Times;Serif" w:hAnsi="Times New Roman;Times;Serif"/>
          <w:b w:val="false"/>
          <w:i w:val="false"/>
          <w:caps w:val="false"/>
          <w:smallCaps w:val="false"/>
          <w:sz w:val="20"/>
        </w:rPr>
        <w:t>”: Capital One, National Association.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Lenders’ Interest Distributable Amount</w:t>
      </w:r>
      <w:r>
        <w:rPr>
          <w:rFonts w:ascii="Times New Roman;Times;Serif" w:hAnsi="Times New Roman;Times;Serif"/>
          <w:b w:val="false"/>
          <w:i w:val="false"/>
          <w:caps w:val="false"/>
          <w:smallCaps w:val="false"/>
          <w:sz w:val="20"/>
        </w:rPr>
        <w:t>” means, with respect to any Remittance Date, the sum of the interest amounts accrued on the Class A Loans on each day during the related Collection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Lenders’ Principal Distributable Amount</w:t>
      </w:r>
      <w:r>
        <w:rPr>
          <w:rFonts w:ascii="Times New Roman;Times;Serif" w:hAnsi="Times New Roman;Times;Serif"/>
          <w:b w:val="false"/>
          <w:i w:val="false"/>
          <w:caps w:val="false"/>
          <w:smallCaps w:val="false"/>
          <w:sz w:val="20"/>
        </w:rPr>
        <w:t>”: With respect to any Remittance Date (A) prior to the Commitment Termination Date, the lesser of (i) the Class A Borrowing Base Deficiency, if any, and (ii) the Class A Loan Balance, and (B) upon and after the Commitment Termination Date, all remaining Available Collections up to the Class A Loan Balance.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Loan</w:t>
      </w:r>
      <w:r>
        <w:rPr>
          <w:rFonts w:ascii="Times New Roman;Times;Serif" w:hAnsi="Times New Roman;Times;Serif"/>
          <w:b w:val="false"/>
          <w:i w:val="false"/>
          <w:caps w:val="false"/>
          <w:smallCaps w:val="false"/>
          <w:sz w:val="20"/>
        </w:rPr>
        <w:t xml:space="preserve">”: A loan made by a Class A Lender to Borrower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Loan Balance</w:t>
      </w:r>
      <w:r>
        <w:rPr>
          <w:rFonts w:ascii="Times New Roman;Times;Serif" w:hAnsi="Times New Roman;Times;Serif"/>
          <w:b w:val="false"/>
          <w:i w:val="false"/>
          <w:caps w:val="false"/>
          <w:smallCaps w:val="false"/>
          <w:sz w:val="20"/>
        </w:rPr>
        <w:t>”: With respect to any date of determination, the aggregate outstanding principal amount (including all Class A Loans to be made on such date of determination) of the Class A Loans at such date of determination.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Unused Fee</w:t>
      </w:r>
      <w:r>
        <w:rPr>
          <w:rFonts w:ascii="Times New Roman;Times;Serif" w:hAnsi="Times New Roman;Times;Serif"/>
          <w:b w:val="false"/>
          <w:i w:val="false"/>
          <w:caps w:val="false"/>
          <w:smallCaps w:val="false"/>
          <w:sz w:val="20"/>
        </w:rPr>
        <w:t>”: As defined in the Class A Fee Letter. “</w:t>
      </w:r>
      <w:r>
        <w:rPr>
          <w:rFonts w:ascii="Times New Roman;Times;Serif" w:hAnsi="Times New Roman;Times;Serif"/>
          <w:b w:val="false"/>
          <w:i w:val="false"/>
          <w:caps w:val="false"/>
          <w:smallCaps w:val="false"/>
          <w:sz w:val="20"/>
          <w:u w:val="single"/>
        </w:rPr>
        <w:t>Class A Upfront Fee</w:t>
      </w:r>
      <w:r>
        <w:rPr>
          <w:rFonts w:ascii="Times New Roman;Times;Serif" w:hAnsi="Times New Roman;Times;Serif"/>
          <w:b w:val="false"/>
          <w:i w:val="false"/>
          <w:caps w:val="false"/>
          <w:smallCaps w:val="false"/>
          <w:sz w:val="20"/>
        </w:rPr>
        <w:t>”: As defined in the Class A Fee Letter.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Advance Rate</w:t>
      </w:r>
      <w:r>
        <w:rPr>
          <w:rFonts w:ascii="Times New Roman;Times;Serif" w:hAnsi="Times New Roman;Times;Serif"/>
          <w:b w:val="false"/>
          <w:i w:val="false"/>
          <w:caps w:val="false"/>
          <w:smallCaps w:val="false"/>
          <w:sz w:val="20"/>
        </w:rPr>
        <w:t>”: [***], provided however, if a Level I Trigger Event has occurred and is continuing, the applicable Advance Rate immediately prior to such Level I Trigger Event minus [***] (without duplication if more than one such Level I Trigger Event has occurred and is then continuing).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Available Amount</w:t>
      </w:r>
      <w:r>
        <w:rPr>
          <w:rFonts w:ascii="Times New Roman;Times;Serif" w:hAnsi="Times New Roman;Times;Serif"/>
          <w:b w:val="false"/>
          <w:i w:val="false"/>
          <w:caps w:val="false"/>
          <w:smallCaps w:val="false"/>
          <w:sz w:val="20"/>
        </w:rPr>
        <w:t>” With respect to any day, the positive amount, if any, by which the Class B Borrowing Base exceeds the Principal Amount Outstanding of the Class B Loan on such day.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Borrowing Base</w:t>
      </w:r>
      <w:r>
        <w:rPr>
          <w:rFonts w:ascii="Times New Roman;Times;Serif" w:hAnsi="Times New Roman;Times;Serif"/>
          <w:b w:val="false"/>
          <w:i w:val="false"/>
          <w:caps w:val="false"/>
          <w:smallCaps w:val="false"/>
          <w:sz w:val="20"/>
        </w:rPr>
        <w:t xml:space="preserve">”: The lesser of (1)(a) the product of (i) the sum of (x) the applicable Class A Advance Rate and (y) the Class B Loan Thickness, provided that such sum shall not exceed the Class B Advance Rate and (ii) the aggregate principal balance of all Eligible Receivables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any Excess Concentration Amounts,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Class A Borrowing Base </w:t>
      </w:r>
      <w:r>
        <w:rPr>
          <w:rFonts w:ascii="Times New Roman;Times;Serif" w:hAnsi="Times New Roman;Times;Serif"/>
          <w:b w:val="false"/>
          <w:i w:val="false"/>
          <w:caps w:val="false"/>
          <w:smallCaps w:val="false"/>
          <w:color w:val="0000FF"/>
          <w:sz w:val="20"/>
          <w:u w:val="single"/>
        </w:rPr>
        <w:t>plus (c) the aggregate amount then on deposit in the Collection Account over all accrued but unpaid interest, fees, expenses and indemnified amounts due and payable on the following Remittance Date</w:t>
      </w:r>
      <w:r>
        <w:rPr>
          <w:rFonts w:ascii="Times New Roman;Times;Serif" w:hAnsi="Times New Roman;Times;Serif"/>
          <w:b w:val="false"/>
          <w:i w:val="false"/>
          <w:caps w:val="false"/>
          <w:smallCaps w:val="false"/>
          <w:sz w:val="20"/>
        </w:rPr>
        <w:t xml:space="preserve"> and (2) the aggregate Class B Commitment.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Borrowing Base Deficiency</w:t>
      </w:r>
      <w:r>
        <w:rPr>
          <w:rFonts w:ascii="Times New Roman;Times;Serif" w:hAnsi="Times New Roman;Times;Serif"/>
          <w:b w:val="false"/>
          <w:i w:val="false"/>
          <w:caps w:val="false"/>
          <w:smallCaps w:val="false"/>
          <w:sz w:val="20"/>
        </w:rPr>
        <w:t>”: The amount by which the Principal Amount Outstanding of the Class B Loans exceeds the Class B Borrowing Base.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Commitment</w:t>
      </w:r>
      <w:r>
        <w:rPr>
          <w:rFonts w:ascii="Times New Roman;Times;Serif" w:hAnsi="Times New Roman;Times;Serif"/>
          <w:b w:val="false"/>
          <w:i w:val="false"/>
          <w:caps w:val="false"/>
          <w:smallCaps w:val="false"/>
          <w:sz w:val="20"/>
        </w:rPr>
        <w:t>”: As defined in Schedule A hereto. “</w:t>
      </w:r>
      <w:r>
        <w:rPr>
          <w:rFonts w:ascii="Times New Roman;Times;Serif" w:hAnsi="Times New Roman;Times;Serif"/>
          <w:b w:val="false"/>
          <w:i w:val="false"/>
          <w:caps w:val="false"/>
          <w:smallCaps w:val="false"/>
          <w:sz w:val="20"/>
          <w:u w:val="single"/>
        </w:rPr>
        <w:t>Class B Commitment</w:t>
      </w:r>
      <w:r>
        <w:rPr>
          <w:rFonts w:ascii="Times New Roman;Times;Serif" w:hAnsi="Times New Roman;Times;Serif"/>
          <w:b w:val="false"/>
          <w:i w:val="false"/>
          <w:caps w:val="false"/>
          <w:smallCaps w:val="false"/>
          <w:sz w:val="20"/>
        </w:rPr>
        <w:t>”: As defined in Schedule A hereto. “</w:t>
      </w:r>
      <w:r>
        <w:rPr>
          <w:rFonts w:ascii="Times New Roman;Times;Serif" w:hAnsi="Times New Roman;Times;Serif"/>
          <w:b w:val="false"/>
          <w:i w:val="false"/>
          <w:caps w:val="false"/>
          <w:smallCaps w:val="false"/>
          <w:sz w:val="20"/>
          <w:u w:val="single"/>
        </w:rPr>
        <w:t>Class B Drawn Margin</w:t>
      </w:r>
      <w:r>
        <w:rPr>
          <w:rFonts w:ascii="Times New Roman;Times;Serif" w:hAnsi="Times New Roman;Times;Serif"/>
          <w:b w:val="false"/>
          <w:i w:val="false"/>
          <w:caps w:val="false"/>
          <w:smallCaps w:val="false"/>
          <w:sz w:val="20"/>
        </w:rPr>
        <w:t>”: As defined in the Class B Fee Letter.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Fee Letter</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color w:val="0000FF"/>
          <w:sz w:val="20"/>
          <w:u w:val="single"/>
        </w:rPr>
        <w:t xml:space="preserve">amended and restated </w:t>
      </w:r>
      <w:r>
        <w:rPr>
          <w:rFonts w:ascii="Times New Roman;Times;Serif" w:hAnsi="Times New Roman;Times;Serif"/>
          <w:b w:val="false"/>
          <w:i w:val="false"/>
          <w:caps w:val="false"/>
          <w:smallCaps w:val="false"/>
          <w:sz w:val="20"/>
        </w:rPr>
        <w:t xml:space="preserve">letter, dated as of </w:t>
      </w:r>
      <w:r>
        <w:rPr>
          <w:rFonts w:ascii="Times New Roman;Times;Serif" w:hAnsi="Times New Roman;Times;Serif"/>
          <w:b w:val="false"/>
          <w:i w:val="false"/>
          <w:caps w:val="false"/>
          <w:smallCaps w:val="false"/>
          <w:strike/>
          <w:color w:val="FF0000"/>
          <w:sz w:val="20"/>
        </w:rPr>
        <w:t>October 17, 2025,</w:t>
      </w:r>
      <w:r>
        <w:rPr>
          <w:rFonts w:ascii="Times New Roman;Times;Serif" w:hAnsi="Times New Roman;Times;Serif"/>
          <w:b w:val="false"/>
          <w:i w:val="false"/>
          <w:caps w:val="false"/>
          <w:smallCaps w:val="false"/>
          <w:color w:val="0000FF"/>
          <w:sz w:val="20"/>
          <w:u w:val="single"/>
        </w:rPr>
        <w:t>April 3, 2026</w:t>
      </w:r>
      <w:r>
        <w:rPr>
          <w:rFonts w:ascii="Times New Roman;Times;Serif" w:hAnsi="Times New Roman;Times;Serif"/>
          <w:b w:val="false"/>
          <w:i w:val="false"/>
          <w:caps w:val="false"/>
          <w:smallCaps w:val="false"/>
          <w:sz w:val="20"/>
        </w:rPr>
        <w:t xml:space="preserve"> among the Borrower, CPS, and the Class B Lenders, setting forth, among other things, the Class B Upfront Fee and the Class B Unused Fee.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Lender</w:t>
      </w:r>
      <w:r>
        <w:rPr>
          <w:rFonts w:ascii="Times New Roman;Times;Serif" w:hAnsi="Times New Roman;Times;Serif"/>
          <w:b w:val="false"/>
          <w:i w:val="false"/>
          <w:caps w:val="false"/>
          <w:smallCaps w:val="false"/>
          <w:sz w:val="20"/>
        </w:rPr>
        <w:t>”: As defined in Schedule A 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Lenders’ Interest Distributable Amount</w:t>
      </w:r>
      <w:r>
        <w:rPr>
          <w:rFonts w:ascii="Times New Roman;Times;Serif" w:hAnsi="Times New Roman;Times;Serif"/>
          <w:b w:val="false"/>
          <w:i w:val="false"/>
          <w:caps w:val="false"/>
          <w:smallCaps w:val="false"/>
          <w:sz w:val="20"/>
        </w:rPr>
        <w:t>” means, with respect to any Remittance Date, the sum of the interest amounts accrued on the Class B Loans on each day during the related Collection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Lenders’ Principal Distributable Amount</w:t>
      </w:r>
      <w:r>
        <w:rPr>
          <w:rFonts w:ascii="Times New Roman;Times;Serif" w:hAnsi="Times New Roman;Times;Serif"/>
          <w:b w:val="false"/>
          <w:i w:val="false"/>
          <w:caps w:val="false"/>
          <w:smallCaps w:val="false"/>
          <w:sz w:val="20"/>
        </w:rPr>
        <w:t>”: With respect to any Remittance Date (A) prior to the Commitment Termination Date, the lesser of (i) the Class B Borrowing Base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Deficiency, if any, (ii) the Class B Loan Balance, and (B) upon and after the Commitment Termination Date, all remaining Available Collections up to the Class B Loan Balance.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Loan</w:t>
      </w:r>
      <w:r>
        <w:rPr>
          <w:rFonts w:ascii="Times New Roman;Times;Serif" w:hAnsi="Times New Roman;Times;Serif"/>
          <w:b w:val="false"/>
          <w:i w:val="false"/>
          <w:caps w:val="false"/>
          <w:smallCaps w:val="false"/>
          <w:sz w:val="20"/>
        </w:rPr>
        <w:t xml:space="preserve">”: A loan made by a Class B Lender to Borrower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Loan Balance</w:t>
      </w:r>
      <w:r>
        <w:rPr>
          <w:rFonts w:ascii="Times New Roman;Times;Serif" w:hAnsi="Times New Roman;Times;Serif"/>
          <w:b w:val="false"/>
          <w:i w:val="false"/>
          <w:caps w:val="false"/>
          <w:smallCaps w:val="false"/>
          <w:sz w:val="20"/>
        </w:rPr>
        <w:t>”: With respect to any date of determination, the aggregate outstanding principal amount (including all Class B Loans to be made on such date of determination) of the Class B Loans at such date of determination.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Loan Thickness</w:t>
      </w:r>
      <w:r>
        <w:rPr>
          <w:rFonts w:ascii="Times New Roman;Times;Serif" w:hAnsi="Times New Roman;Times;Serif"/>
          <w:b w:val="false"/>
          <w:i w:val="false"/>
          <w:caps w:val="false"/>
          <w:smallCaps w:val="false"/>
          <w:sz w:val="20"/>
        </w:rPr>
        <w:t>”: (a) on the Closing Date, [</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0000FF"/>
          <w:sz w:val="20"/>
        </w:rPr>
        <w:t>***</w:t>
      </w:r>
      <w:r>
        <w:rPr>
          <w:rFonts w:ascii="Times New Roman;Times;Serif" w:hAnsi="Times New Roman;Times;Serif"/>
          <w:b w:val="false"/>
          <w:i w:val="false"/>
          <w:caps w:val="false"/>
          <w:smallCaps w:val="false"/>
          <w:sz w:val="20"/>
        </w:rPr>
        <w:t>] and (b) thereafter, the excess of (i) [***], or if a Level I Trigger Event has occurred and is continuing, [***] over (i) the then applicable Class A Advance Rate; provided, that, after the occurrence of the Commitment Termination Date the Class B Loan Thickness shall be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Unused Fee</w:t>
      </w:r>
      <w:r>
        <w:rPr>
          <w:rFonts w:ascii="Times New Roman;Times;Serif" w:hAnsi="Times New Roman;Times;Serif"/>
          <w:b w:val="false"/>
          <w:i w:val="false"/>
          <w:caps w:val="false"/>
          <w:smallCaps w:val="false"/>
          <w:sz w:val="20"/>
        </w:rPr>
        <w:t>”: As defined in the Class B Fee Letter.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Upfront Fee</w:t>
      </w:r>
      <w:r>
        <w:rPr>
          <w:rFonts w:ascii="Times New Roman;Times;Serif" w:hAnsi="Times New Roman;Times;Serif"/>
          <w:b w:val="false"/>
          <w:i w:val="false"/>
          <w:caps w:val="false"/>
          <w:smallCaps w:val="false"/>
          <w:sz w:val="20"/>
        </w:rPr>
        <w:t>”: As defined in the Class B Fee Letter.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October 17,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The Internal Revenue Code of 1986.</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Period</w:t>
      </w:r>
      <w:r>
        <w:rPr>
          <w:rFonts w:ascii="Times New Roman;Times;Serif" w:hAnsi="Times New Roman;Times;Serif"/>
          <w:b w:val="false"/>
          <w:i w:val="false"/>
          <w:caps w:val="false"/>
          <w:smallCaps w:val="false"/>
          <w:sz w:val="20"/>
        </w:rPr>
        <w:t>”: With respect to any Remittance Date, the immediately preceding calendar month.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Collections</w:t>
      </w:r>
      <w:r>
        <w:rPr>
          <w:rFonts w:ascii="Times New Roman;Times;Serif" w:hAnsi="Times New Roman;Times;Serif"/>
          <w:b w:val="false"/>
          <w:i w:val="false"/>
          <w:caps w:val="false"/>
          <w:smallCaps w:val="false"/>
          <w:sz w:val="20"/>
        </w:rPr>
        <w:t>”: All Principal Collections and Finance Charge Collections received by the Servicer in respect of the Collateral in the form of cash, checks, wire transfers or other form of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xml:space="preserve">”: For each Bank, the commitment of such Bank to make Bank Loans to the Borrower hereunder in an aggregate principal amount at any one time outstanding not to exceed the amount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(in the case of the initial Banks) or the amount set forth opposite such Bank’s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to the related Assignment and Acceptance.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Percentage</w:t>
      </w:r>
      <w:r>
        <w:rPr>
          <w:rFonts w:ascii="Times New Roman;Times;Serif" w:hAnsi="Times New Roman;Times;Serif"/>
          <w:b w:val="false"/>
          <w:i w:val="false"/>
          <w:caps w:val="false"/>
          <w:smallCaps w:val="false"/>
          <w:sz w:val="20"/>
        </w:rPr>
        <w:t>”: With respect to each Bank, the percentage equivalent of a fraction the numerator of which is the Commitment of such Bank and the denominator of which is the Lender Group Limit of such Bank’s Lender Group.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Termination Date</w:t>
      </w:r>
      <w:r>
        <w:rPr>
          <w:rFonts w:ascii="Times New Roman;Times;Serif" w:hAnsi="Times New Roman;Times;Serif"/>
          <w:b w:val="false"/>
          <w:i w:val="false"/>
          <w:caps w:val="false"/>
          <w:smallCaps w:val="false"/>
          <w:sz w:val="20"/>
        </w:rPr>
        <w:t xml:space="preserve">”: The earlier of: (a) October 18, 2027, or such later date to which the Commitment Termination Date may be extended in accordance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(b) the occurrence of an Amortization Event or (c) the occurrence of a Termination Event.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Computershare</w:t>
      </w:r>
      <w:r>
        <w:rPr>
          <w:rFonts w:ascii="Times New Roman;Times;Serif" w:hAnsi="Times New Roman;Times;Serif"/>
          <w:b w:val="false"/>
          <w:i w:val="false"/>
          <w:caps w:val="false"/>
          <w:smallCaps w:val="false"/>
          <w:sz w:val="20"/>
        </w:rPr>
        <w:t>”: As defined in the preamble.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Concentration Requirements</w:t>
      </w:r>
      <w:r>
        <w:rPr>
          <w:rFonts w:ascii="Times New Roman;Times;Serif" w:hAnsi="Times New Roman;Times;Serif"/>
          <w:b w:val="false"/>
          <w:i w:val="false"/>
          <w:caps w:val="false"/>
          <w:smallCaps w:val="false"/>
          <w:sz w:val="20"/>
        </w:rPr>
        <w:t>”: With respect to Eligible Receivables:</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p>
    <w:p>
      <w:pPr>
        <w:pStyle w:val="TextBody"/>
        <w:bidi w:val="0"/>
        <w:spacing w:before="0" w:after="0"/>
        <w:ind w:left="800" w:right="0" w:hanging="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Includes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Confidential Information does not include, with respect to a Person,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lawfully disclosed to such Person without restriction on disclosure by a third party, (d) is or was developed independently by such Person or (e) is or was lawfully and independently provided to such Person prior to disclosure hereunder, from a third party who is not known by such Person to be subject to an obligation of confidentiality or otherwise prohibited from transmitting such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Other Connection Taxes that are imposed on or measured by net income (however denominated) or that are franchise Taxes or branch profits Taxes.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Consumer Lender</w:t>
      </w:r>
      <w:r>
        <w:rPr>
          <w:rFonts w:ascii="Times New Roman;Times;Serif" w:hAnsi="Times New Roman;Times;Serif"/>
          <w:b w:val="false"/>
          <w:i w:val="false"/>
          <w:caps w:val="false"/>
          <w:smallCaps w:val="false"/>
          <w:sz w:val="20"/>
        </w:rPr>
        <w:t>”: A Person that is licensed under applicable law to originate loans to natural persons resident in one or more of the United States of America and authorized by CPS to participate in its direct lending program, and includes the Seller.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Consumer Lender Receivable</w:t>
      </w:r>
      <w:r>
        <w:rPr>
          <w:rFonts w:ascii="Times New Roman;Times;Serif" w:hAnsi="Times New Roman;Times;Serif"/>
          <w:b w:val="false"/>
          <w:i w:val="false"/>
          <w:caps w:val="false"/>
          <w:smallCaps w:val="false"/>
          <w:sz w:val="20"/>
        </w:rPr>
        <w:t>”: Any Receivable originated by the Seller or acquired by the Seller in the ordinary course of business from a Consumer Lender unaffiliated with the Seller and that is not a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Lender Group</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A motor vehicle retail installment sale contract or an installment promissory note and security agreement, in each case relating to the sale or refinancing of new or used automobiles, light duty trucks, vans or minivans, and any other documents related thereto from time to time, including all Supporting Obligations of such Contract.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 Purchase Guidelines</w:t>
      </w:r>
      <w:r>
        <w:rPr>
          <w:rFonts w:ascii="Times New Roman;Times;Serif" w:hAnsi="Times New Roman;Times;Serif"/>
          <w:b w:val="false"/>
          <w:i w:val="false"/>
          <w:caps w:val="false"/>
          <w:smallCaps w:val="false"/>
          <w:sz w:val="20"/>
        </w:rPr>
        <w:t xml:space="preserve">”: Policies and procedures of the Seller, relating to the operation of the automotive financing business of the Seller, including the policies and procedures for determining the creditworthiness of Contract customers and the extension of credit to such customers, as such policies and procedures may be amended from time to time and which shall be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xml:space="preserve">”: The office of the Custodian, the Paying Agent or the Backup Servicer, as applicable, at which its corporate trust business shall be principally administered, which office shall be the office specified in </w:t>
      </w:r>
      <w:r>
        <w:rPr>
          <w:rFonts w:ascii="Times New Roman;Times;Serif" w:hAnsi="Times New Roman;Times;Serif"/>
          <w:b w:val="false"/>
          <w:i w:val="false"/>
          <w:caps w:val="false"/>
          <w:smallCaps w:val="false"/>
          <w:sz w:val="20"/>
          <w:u w:val="single"/>
        </w:rPr>
        <w:t>Section 15.2</w:t>
      </w:r>
      <w:r>
        <w:rPr>
          <w:rFonts w:ascii="Times New Roman;Times;Serif" w:hAnsi="Times New Roman;Times;Serif"/>
          <w:b w:val="false"/>
          <w:i w:val="false"/>
          <w:caps w:val="false"/>
          <w:smallCaps w:val="false"/>
          <w:sz w:val="20"/>
        </w:rPr>
        <w:t>, or such office at some other address which the Custodian, the Paying Agent or the Backup Servicer shall designate from time to time by notice to the Borrower, the Lenders and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Cram Down Loss</w:t>
      </w:r>
      <w:r>
        <w:rPr>
          <w:rFonts w:ascii="Times New Roman;Times;Serif" w:hAnsi="Times New Roman;Times;Serif"/>
          <w:b w:val="false"/>
          <w:i w:val="false"/>
          <w:caps w:val="false"/>
          <w:smallCaps w:val="false"/>
          <w:sz w:val="20"/>
        </w:rPr>
        <w:t>”: With respect to a Receivable, if a court of appropriate jurisdiction in an insolvency proceeding shall have issued an order reducing the amount owed on a Receivable or otherwise modifying or restructuring Scheduled Payment to be made on a Receivable, an amount equal to such reduction in the Principal Balance of such Receivable or the reduction in the net present value (using as the discount rate the lower of the contract rate or the rate of interest specified by the court in such order) of the Scheduled Payments as so modified or restructured. A “Cram Down Loss” shall be deemed to have occurred on the date such order is entered.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Score</w:t>
      </w:r>
      <w:r>
        <w:rPr>
          <w:rFonts w:ascii="Times New Roman;Times;Serif" w:hAnsi="Times New Roman;Times;Serif"/>
          <w:b w:val="false"/>
          <w:i w:val="false"/>
          <w:caps w:val="false"/>
          <w:smallCaps w:val="false"/>
          <w:sz w:val="20"/>
        </w:rPr>
        <w:t>”: Credit bureau score (FICO score or VantageScore) used by the Seller in underwriting the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Custodial Agent</w:t>
      </w:r>
      <w:r>
        <w:rPr>
          <w:rFonts w:ascii="Times New Roman;Times;Serif" w:hAnsi="Times New Roman;Times;Serif"/>
          <w:b w:val="false"/>
          <w:i w:val="false"/>
          <w:caps w:val="false"/>
          <w:smallCaps w:val="false"/>
          <w:sz w:val="20"/>
        </w:rPr>
        <w:t>”: As defined in Section 9.1. “</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As defined in the preamble.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 Fee</w:t>
      </w:r>
      <w:r>
        <w:rPr>
          <w:rFonts w:ascii="Times New Roman;Times;Serif" w:hAnsi="Times New Roman;Times;Serif"/>
          <w:b w:val="false"/>
          <w:i w:val="false"/>
          <w:caps w:val="false"/>
          <w:smallCaps w:val="false"/>
          <w:sz w:val="20"/>
        </w:rPr>
        <w:t>”: The amounts to be paid to the Custodian in accordance with the Custodian Fee Letter.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 Fee Letter</w:t>
      </w:r>
      <w:r>
        <w:rPr>
          <w:rFonts w:ascii="Times New Roman;Times;Serif" w:hAnsi="Times New Roman;Times;Serif"/>
          <w:b w:val="false"/>
          <w:i w:val="false"/>
          <w:caps w:val="false"/>
          <w:smallCaps w:val="false"/>
          <w:sz w:val="20"/>
        </w:rPr>
        <w:t xml:space="preserve">”: The schedule of fees setting forth the fees and expenses of the Custodian, Backup Servicer and Paying Agent, executed by the Borrower and dated September 11, 2025, a copy of which is attached hereto as </w:t>
      </w:r>
      <w:r>
        <w:rPr>
          <w:rFonts w:ascii="Times New Roman;Times;Serif" w:hAnsi="Times New Roman;Times;Serif"/>
          <w:b w:val="false"/>
          <w:i w:val="false"/>
          <w:caps w:val="false"/>
          <w:smallCaps w:val="false"/>
          <w:sz w:val="20"/>
          <w:u w:val="single"/>
        </w:rPr>
        <w:t>Exhibit L</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 File</w:t>
      </w:r>
      <w:r>
        <w:rPr>
          <w:rFonts w:ascii="Times New Roman;Times;Serif" w:hAnsi="Times New Roman;Times;Serif"/>
          <w:b w:val="false"/>
          <w:i w:val="false"/>
          <w:caps w:val="false"/>
          <w:smallCaps w:val="false"/>
          <w:sz w:val="20"/>
        </w:rPr>
        <w:t>”: With respect to each Receivable, and the related Contract or Electronic Contract, the sole original counterpart of the Contract or authoritative copy of Electronic Contract, the Certificate of Title or evidence that such Certificate of Title has been applied for, and the original endorsements or assignments showing the chain of ownership of such Contract or Electronic Contract.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Cut-off Date</w:t>
      </w:r>
      <w:r>
        <w:rPr>
          <w:rFonts w:ascii="Times New Roman;Times;Serif" w:hAnsi="Times New Roman;Times;Serif"/>
          <w:b w:val="false"/>
          <w:i w:val="false"/>
          <w:caps w:val="false"/>
          <w:smallCaps w:val="false"/>
          <w:sz w:val="20"/>
        </w:rPr>
        <w:t>”: With respect to any Receivable, the date identified as the Cut-off Date in the related Advance Request.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For any day, SOFR, with the conventions for this rate (which will include a lookback) being established by the Administrative Agent in accordance with the conventions for this rate recommended by the Governmental Authority for determining “Daily Simple SOFR” for syndicated or bilateral business loans; provided, that if the Administrative Agent decides that any such convention is not administratively feasible for the Administrative Agent, then the Administrative Agent may establish another convention in its reasonable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File</w:t>
      </w:r>
      <w:r>
        <w:rPr>
          <w:rFonts w:ascii="Times New Roman;Times;Serif" w:hAnsi="Times New Roman;Times;Serif"/>
          <w:b w:val="false"/>
          <w:i w:val="false"/>
          <w:caps w:val="false"/>
          <w:smallCaps w:val="false"/>
          <w:sz w:val="20"/>
        </w:rPr>
        <w:t>”: with respect to each Contract, an electronic systems data file that provides information for each item listed on Schedule H to this Agreement, to the extent that the Seller/Servicer maintains such items in its electronic systems data file for a given Contract.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Dealer</w:t>
      </w:r>
      <w:r>
        <w:rPr>
          <w:rFonts w:ascii="Times New Roman;Times;Serif" w:hAnsi="Times New Roman;Times;Serif"/>
          <w:b w:val="false"/>
          <w:i w:val="false"/>
          <w:caps w:val="false"/>
          <w:smallCaps w:val="false"/>
          <w:sz w:val="20"/>
        </w:rPr>
        <w:t>” means, with respect to a Receivable, the seller of the related Financed Vehicle, who originated and assigned such Receivable to the Seller, which Dealer shall not be an Affiliate of the Seller and shall have been approved by the Seller in accordance with its Contract Purchase Guidelines.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Dealer Agreement</w:t>
      </w:r>
      <w:r>
        <w:rPr>
          <w:rFonts w:ascii="Times New Roman;Times;Serif" w:hAnsi="Times New Roman;Times;Serif"/>
          <w:b w:val="false"/>
          <w:i w:val="false"/>
          <w:caps w:val="false"/>
          <w:smallCaps w:val="false"/>
          <w:sz w:val="20"/>
        </w:rPr>
        <w:t>”: Each agreement between the Seller and a Dealer with respect to the origination of Receivables and providing for full recourse to such Dealer for any fraud or misrepresentation on the part of such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to Income Ratio</w:t>
      </w:r>
      <w:r>
        <w:rPr>
          <w:rFonts w:ascii="Times New Roman;Times;Serif" w:hAnsi="Times New Roman;Times;Serif"/>
          <w:b w:val="false"/>
          <w:i w:val="false"/>
          <w:caps w:val="false"/>
          <w:smallCaps w:val="false"/>
          <w:sz w:val="20"/>
        </w:rPr>
        <w:t>”: For any Receivable, “VLDGIR” as reflected in the data tape fields delivered prior to each Addition Date, which amount shall represent the ratio, at the time of origination or acquisition by the Seller, of the total monthly debt payments of the Obligor, over the total gross monthly income of the Obligor.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§§252.81, 47.2 or 382.1, as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Defaulted Receivable</w:t>
      </w:r>
      <w:r>
        <w:rPr>
          <w:rFonts w:ascii="Times New Roman;Times;Serif" w:hAnsi="Times New Roman;Times;Serif"/>
          <w:b w:val="false"/>
          <w:i w:val="false"/>
          <w:caps w:val="false"/>
          <w:smallCaps w:val="false"/>
          <w:sz w:val="20"/>
        </w:rPr>
        <w:t>”: Each Receivable with respect to which (i) more than 10% of its Scheduled Payment is more than ninety (90) days past due as of the end of the immediately preceding Collection Period, (ii) the Servicer has repossessed the related Financed Vehicle (and any applicable redemption or acceleration period has expired) as of the end of the immediately preceding Collection Period, or (iii) such Receivable has been written off by the Servicer as uncollectible in accordance with the Servicer’s policies or the Servicer has determined in good faith that payments thereunder are not likely to be resumed. For purposes of this definition, a Receivable shall be deemed a “Defaulted Receivable” upon the first to occur of the events specified in items (i) through (iii) of the previous sentence.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Defective Receivable</w:t>
      </w:r>
      <w:r>
        <w:rPr>
          <w:rFonts w:ascii="Times New Roman;Times;Serif" w:hAnsi="Times New Roman;Times;Serif"/>
          <w:b w:val="false"/>
          <w:i w:val="false"/>
          <w:caps w:val="false"/>
          <w:smallCaps w:val="false"/>
          <w:sz w:val="20"/>
        </w:rPr>
        <w:t xml:space="preserve">”: A Receivable that is subject to (a) mandatory repurchase by the Seller pursuant to </w:t>
      </w:r>
      <w:r>
        <w:rPr>
          <w:rFonts w:ascii="Times New Roman;Times;Serif" w:hAnsi="Times New Roman;Times;Serif"/>
          <w:b w:val="false"/>
          <w:i w:val="false"/>
          <w:caps w:val="false"/>
          <w:smallCaps w:val="false"/>
          <w:sz w:val="20"/>
          <w:u w:val="single"/>
        </w:rPr>
        <w:t xml:space="preserve">Sections 6.2 </w:t>
      </w:r>
      <w:r>
        <w:rPr>
          <w:rFonts w:ascii="Times New Roman;Times;Serif" w:hAnsi="Times New Roman;Times;Serif"/>
          <w:b w:val="false"/>
          <w:i w:val="false"/>
          <w:caps w:val="false"/>
          <w:smallCaps w:val="false"/>
          <w:sz w:val="20"/>
        </w:rPr>
        <w:t xml:space="preserve">of the Purchase Agreement or (b) mandatory purchase by the Servicer pursuant to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xml:space="preserve">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Delinquent Receivable</w:t>
      </w:r>
      <w:r>
        <w:rPr>
          <w:rFonts w:ascii="Times New Roman;Times;Serif" w:hAnsi="Times New Roman;Times;Serif"/>
          <w:b w:val="false"/>
          <w:i w:val="false"/>
          <w:caps w:val="false"/>
          <w:smallCaps w:val="false"/>
          <w:sz w:val="20"/>
        </w:rPr>
        <w:t>”: Each Receivable (i) as to which more than [***] of any Scheduled Payment thereon remains unpaid for more than thirty (30) days from the due date for such payment, including any contract for which the related financed vehicle has been repossessed and the proceeds thereof have not yet been realized by the Servicer.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Deliver</w:t>
      </w:r>
      <w:r>
        <w:rPr>
          <w:rFonts w:ascii="Times New Roman;Times;Serif" w:hAnsi="Times New Roman;Times;Serif"/>
          <w:b w:val="false"/>
          <w:i w:val="false"/>
          <w:caps w:val="false"/>
          <w:smallCaps w:val="false"/>
          <w:sz w:val="20"/>
        </w:rPr>
        <w:t>”: With respect to the Custodian Files, (x) with respect to a tangible Contract or other document in the Custodian File other than Electronic Chattel Paper or an electronic Lien Certificate, to deliver physical possession of such tangible Contract or other document via reputable overnight delivery service, (y) with respect to Electronic Chattel Paper, to direct the transfer of such Electronic Chattel Paper to the Electronic Vault and (z) with respect to electronic Lien Certificates, to cause the applicable title intermediary to provide the Administrative Agent with full electronic access to view such Electronic Certificates of Title on the records of the title intermediary. The term “Delivered” shall have a corollary meaning.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Derivatives</w:t>
      </w:r>
      <w:r>
        <w:rPr>
          <w:rFonts w:ascii="Times New Roman;Times;Serif" w:hAnsi="Times New Roman;Times;Serif"/>
          <w:b w:val="false"/>
          <w:i w:val="false"/>
          <w:caps w:val="false"/>
          <w:smallCaps w:val="false"/>
          <w:sz w:val="20"/>
        </w:rPr>
        <w:t>”: Any (i) exchange-traded or over-the-counter forward, future, option, swap, cap, collar, floor or foreign exchange contract or any combination of the foregoing, whether for physical delivery or cash settlement, relating to any interest rate, interest rate index, currency, currency exchange rate, currency exchange rate index, debt instrument, debt price, debt index, depository instrument, depository price, depository index, equity instrument, equity price, equity index, commodity, commodity price or commodity index, (ii) similar transaction, contract, instrument, undertaking or security or (iii) transaction, contract, instrument, undertaking or security containing any of the foregoing.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Persons</w:t>
      </w:r>
      <w:r>
        <w:rPr>
          <w:rFonts w:ascii="Times New Roman;Times;Serif" w:hAnsi="Times New Roman;Times;Serif"/>
          <w:b w:val="false"/>
          <w:i w:val="false"/>
          <w:caps w:val="false"/>
          <w:smallCaps w:val="false"/>
          <w:sz w:val="20"/>
        </w:rPr>
        <w:t>”: A Person or entity: (i) listed in the annex to, or otherwise the subject of the provisions of, any Executive Order; (ii) named as a “Specially Designated National and Blocked Person” (“</w:t>
      </w:r>
      <w:r>
        <w:rPr>
          <w:rFonts w:ascii="Times New Roman;Times;Serif" w:hAnsi="Times New Roman;Times;Serif"/>
          <w:b w:val="false"/>
          <w:i/>
          <w:caps w:val="false"/>
          <w:smallCaps w:val="false"/>
          <w:sz w:val="20"/>
          <w:u w:val="single"/>
        </w:rPr>
        <w:t>SDN</w:t>
      </w:r>
      <w:r>
        <w:rPr>
          <w:rFonts w:ascii="Times New Roman;Times;Serif" w:hAnsi="Times New Roman;Times;Serif"/>
          <w:b w:val="false"/>
          <w:i w:val="false"/>
          <w:caps w:val="false"/>
          <w:smallCaps w:val="false"/>
          <w:sz w:val="20"/>
        </w:rPr>
        <w:t>”) on the most current list published by OFAC at its official website or any replacement website or other replacement official publication of such list (“</w:t>
      </w:r>
      <w:r>
        <w:rPr>
          <w:rFonts w:ascii="Times New Roman;Times;Serif" w:hAnsi="Times New Roman;Times;Serif"/>
          <w:b w:val="false"/>
          <w:i/>
          <w:caps w:val="false"/>
          <w:smallCaps w:val="false"/>
          <w:sz w:val="20"/>
          <w:u w:val="single"/>
        </w:rPr>
        <w:t>SDN List</w:t>
      </w:r>
      <w:r>
        <w:rPr>
          <w:rFonts w:ascii="Times New Roman;Times;Serif" w:hAnsi="Times New Roman;Times;Serif"/>
          <w:b w:val="false"/>
          <w:i w:val="false"/>
          <w:caps w:val="false"/>
          <w:smallCaps w:val="false"/>
          <w:sz w:val="20"/>
        </w:rPr>
        <w:t>”) or is otherwise the subject of any Sanctions Laws and Regulations; or (iii) in which an entity or person on the SDN List has [***] or greater ownership interest or that is otherwise controlled by an SDN.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Determination Date</w:t>
      </w:r>
      <w:r>
        <w:rPr>
          <w:rFonts w:ascii="Times New Roman;Times;Serif" w:hAnsi="Times New Roman;Times;Serif"/>
          <w:b w:val="false"/>
          <w:i w:val="false"/>
          <w:caps w:val="false"/>
          <w:smallCaps w:val="false"/>
          <w:sz w:val="20"/>
        </w:rPr>
        <w:t>”: With respect to any Remittance Date and the related Collection Period, the last day of the related Collection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 or $</w:t>
      </w:r>
      <w:r>
        <w:rPr>
          <w:rFonts w:ascii="Times New Roman;Times;Serif" w:hAnsi="Times New Roman;Times;Serif"/>
          <w:b w:val="false"/>
          <w:i w:val="false"/>
          <w:caps w:val="false"/>
          <w:smallCaps w:val="false"/>
          <w:sz w:val="20"/>
        </w:rPr>
        <w:t>”: The lawful currency of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Chattel Paper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10101"/>
          <w:sz w:val="20"/>
        </w:rPr>
        <w:t xml:space="preserve">“Electronic chattel paper” under and as defined in </w:t>
      </w:r>
      <w:r>
        <w:rPr>
          <w:rFonts w:ascii="Times New Roman;Times;Serif" w:hAnsi="Times New Roman;Times;Serif"/>
          <w:b w:val="false"/>
          <w:i w:val="false"/>
          <w:caps w:val="false"/>
          <w:smallCaps w:val="false"/>
          <w:sz w:val="20"/>
        </w:rPr>
        <w:t>Article 9 of the UCC.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Collateral</w:t>
      </w:r>
      <w:r>
        <w:rPr>
          <w:rFonts w:ascii="Times New Roman;Times;Serif" w:hAnsi="Times New Roman;Times;Serif"/>
          <w:b w:val="false"/>
          <w:i w:val="false"/>
          <w:caps w:val="false"/>
          <w:smallCaps w:val="false"/>
          <w:sz w:val="20"/>
        </w:rPr>
        <w:t>”: The meaning specified in the Master Electronic Collateral Control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Contract</w:t>
      </w:r>
      <w:r>
        <w:rPr>
          <w:rFonts w:ascii="Times New Roman;Times;Serif" w:hAnsi="Times New Roman;Times;Serif"/>
          <w:b w:val="false"/>
          <w:i w:val="false"/>
          <w:caps w:val="false"/>
          <w:smallCaps w:val="false"/>
          <w:sz w:val="20"/>
        </w:rPr>
        <w:t xml:space="preserve">”: A Contract that was electronically executed and authenticated;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 Electronic Contract that has been Exported shall not constitute an Electronic Contract; provided, that an Electronic Contract that has been Exported shall not constitute an Electronic Contract.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Vault</w:t>
      </w:r>
      <w:r>
        <w:rPr>
          <w:rFonts w:ascii="Times New Roman;Times;Serif" w:hAnsi="Times New Roman;Times;Serif"/>
          <w:b w:val="false"/>
          <w:i w:val="false"/>
          <w:caps w:val="false"/>
          <w:smallCaps w:val="false"/>
          <w:sz w:val="20"/>
        </w:rPr>
        <w:t>”: An electronic vault in the name of the Borrower wherein custody of Electronic Contracts shall be maintained in electronic form by the Custodian on behalf of the Administrative Agent through the Electronic Vault Provider.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Vault Provider</w:t>
      </w:r>
      <w:r>
        <w:rPr>
          <w:rFonts w:ascii="Times New Roman;Times;Serif" w:hAnsi="Times New Roman;Times;Serif"/>
          <w:b w:val="false"/>
          <w:i w:val="false"/>
          <w:caps w:val="false"/>
          <w:smallCaps w:val="false"/>
          <w:sz w:val="20"/>
        </w:rPr>
        <w:t>”: (x) eOriginal, Inc. or (y) any third-party provider of a technology platform on which the Electronic Vault operates acting in such capacity with the consent of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Vault Services Agreement</w:t>
      </w:r>
      <w:r>
        <w:rPr>
          <w:rFonts w:ascii="Times New Roman;Times;Serif" w:hAnsi="Times New Roman;Times;Serif"/>
          <w:b w:val="false"/>
          <w:i w:val="false"/>
          <w:caps w:val="false"/>
          <w:smallCaps w:val="false"/>
          <w:sz w:val="20"/>
        </w:rPr>
        <w:t>”: (i) That certain Master Terms and Conditions dated September 1, 2022, by and between eOriginal, Inc. and Computershare Trust Company, National Association, and (ii) each other access agreement between an E-Vault Provider and Computershare Trust Company, National Association, in each case, as the same may be amended, restated, supplemented or otherwise modified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Vault System</w:t>
      </w:r>
      <w:r>
        <w:rPr>
          <w:rFonts w:ascii="Times New Roman;Times;Serif" w:hAnsi="Times New Roman;Times;Serif"/>
          <w:b w:val="false"/>
          <w:i w:val="false"/>
          <w:caps w:val="false"/>
          <w:smallCaps w:val="false"/>
          <w:sz w:val="20"/>
        </w:rPr>
        <w:t>”: The electronic vault system provided by the Electronic Vault Provider pursuant to the Electronic Vault Services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A Person either (x) who is an Affiliate of any Lender or (y) (i) who is any commercial bank, insurance company, investment or mutual fund or other entity that is a “qualified institutional buyer” (as defined under Rule 144A), that extends credit or buys loans as one of its businesses and that has total assets in excess of [***] or (ii) who is satisfactory to the Required Lenders.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Investments</w:t>
      </w:r>
      <w:r>
        <w:rPr>
          <w:rFonts w:ascii="Times New Roman;Times;Serif" w:hAnsi="Times New Roman;Times;Serif"/>
          <w:b w:val="false"/>
          <w:i w:val="false"/>
          <w:caps w:val="false"/>
          <w:smallCaps w:val="false"/>
          <w:sz w:val="20"/>
        </w:rPr>
        <w:t>”: Negotiable instruments or securities or other investments that (x) as of any date of determination, mature by their terms on or prior to the Business Day preceding the next succeeding Remittance Date, and (y) evidence: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marketable obligations of the United States, the full and timely payment of which are backed by the full faith and credit of the United States and which have a maturity of not more than two hundred seventy (270) days from the date of acquisition;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bankers’ acceptances and certificates of deposit and other interest-bearing obligations (in each case having a maturity of not more than two hundred seventy (270) days from the date of acquisition) denominated in Dollars and issued by any bank with capital, surplus and undivided profits aggregating at least [***], the short-term obligations of which meet or exceed the Short Term Rating Requirement;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repurchase obligations with a term of not more than ten (10) days for underlying securities of the types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entered into with any bank of the type described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above;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commercial paper rated at least A-1 by Standard &amp; Poor’s and Prime-1 by Moody’s;</w:t>
      </w:r>
    </w:p>
    <w:p>
      <w:pPr>
        <w:pStyle w:val="TextBody"/>
        <w:bidi w:val="0"/>
        <w:spacing w:before="0" w:after="0"/>
        <w:ind w:left="800" w:right="0" w:hanging="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money market funds registered under the Investment Company Act having a rating, at the time of such investment, of not less than Aaa by Moody’s and AAA by Standard &amp; Poor’s;</w:t>
      </w:r>
    </w:p>
    <w:p>
      <w:pPr>
        <w:pStyle w:val="TextBody"/>
        <w:bidi w:val="0"/>
        <w:spacing w:before="0" w:after="0"/>
        <w:ind w:left="800" w:right="0" w:hanging="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demand deposits, time deposits or certificates of deposit (having original maturities of no more than 365 days) of depository institutions or trust companies incorporated under the laws of the United States or any State (or domestic branches of any foreign bank) and subject to supervision and examination by federal or State banking or depository institution authorities;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the time such investment, or the commitment to make such investment, is entered into, the short-term debt rating of such depository institution or trust company shall meet or exceed the Short Term Rating Requirement; 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any other investments approved in writing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so long as the Paying Agent holds any accounts established hereunder, each of the Eligible Investments may be purchased by the Paying Agent or through an Affiliate of the Paying Agent.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Receivable</w:t>
      </w:r>
      <w:r>
        <w:rPr>
          <w:rFonts w:ascii="Times New Roman;Times;Serif" w:hAnsi="Times New Roman;Times;Serif"/>
          <w:b w:val="false"/>
          <w:i w:val="false"/>
          <w:caps w:val="false"/>
          <w:smallCaps w:val="false"/>
          <w:sz w:val="20"/>
        </w:rPr>
        <w:t xml:space="preserve">”: On any date of determination, any Receivable which, upon the transfer thereof to the Borrower and becoming a part of the Collateral hereunder, satisfied (a) each of the eligibility requirements set forth on Schedule B hereto as of the date it was acquired by the Borrower and (b) the requirements of </w:t>
      </w:r>
      <w:r>
        <w:rPr>
          <w:rFonts w:ascii="Times New Roman;Times;Serif" w:hAnsi="Times New Roman;Times;Serif"/>
          <w:b w:val="false"/>
          <w:i w:val="false"/>
          <w:caps w:val="false"/>
          <w:smallCaps w:val="false"/>
          <w:sz w:val="20"/>
          <w:u w:val="single"/>
        </w:rPr>
        <w:t>Section 4.2(g)</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Servicer</w:t>
      </w:r>
      <w:r>
        <w:rPr>
          <w:rFonts w:ascii="Times New Roman;Times;Serif" w:hAnsi="Times New Roman;Times;Serif"/>
          <w:b w:val="false"/>
          <w:i w:val="false"/>
          <w:caps w:val="false"/>
          <w:smallCaps w:val="false"/>
          <w:sz w:val="20"/>
        </w:rPr>
        <w:t xml:space="preserve">”: CPS, as the Servicer, the Backup Servicer, or any entity which, at the time of its appointment as Servicer (a) is legally qualified and has the capacity to service the Receivables, (b) has demonstrated the ability to professionally and competently service a portfolio of motor vehicle retain installment obligations in accordance with high standards of skill and care and (c) is approved in writing by the Administrative Agent on behalf of the Lenders. The determination of the qualifications specified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definition shall be made at the sole and absolute discretion of the Administrative Agent on behalf of the Lenders.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The Employee Retirement Income Security Act of 1974, as amended, and the regulations promulgated and rulings issued thereunder.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E-Vault Provider</w:t>
      </w:r>
      <w:r>
        <w:rPr>
          <w:rFonts w:ascii="Times New Roman;Times;Serif" w:hAnsi="Times New Roman;Times;Serif"/>
          <w:b w:val="false"/>
          <w:i w:val="false"/>
          <w:caps w:val="false"/>
          <w:smallCaps w:val="false"/>
          <w:sz w:val="20"/>
        </w:rPr>
        <w:t>”: (x) eOriginal, Inc. or (y) any third-party provider of a technology platform on which the Electronic Vault operates acting in such capacity with the consent of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Concentration Amount</w:t>
      </w:r>
      <w:r>
        <w:rPr>
          <w:rFonts w:ascii="Times New Roman;Times;Serif" w:hAnsi="Times New Roman;Times;Serif"/>
          <w:b w:val="false"/>
          <w:i w:val="false"/>
          <w:caps w:val="false"/>
          <w:smallCaps w:val="false"/>
          <w:sz w:val="20"/>
        </w:rPr>
        <w:t xml:space="preserve">”: The aggregate amount by which (without duplication) the aggregate Principal Balance of Eligible Receivables sold to the Borrower under the Purchase Agreement exceeds any of the Concentration Requirements;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determining which Receivables to exclude for purposes of complying with any Concentration Requirement, the Borrower shall exclude Receivables starting with those having the most recent origination dates.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Spread</w:t>
      </w:r>
      <w:r>
        <w:rPr>
          <w:rFonts w:ascii="Times New Roman;Times;Serif" w:hAnsi="Times New Roman;Times;Serif"/>
          <w:b w:val="false"/>
          <w:i w:val="false"/>
          <w:caps w:val="false"/>
          <w:smallCaps w:val="false"/>
          <w:sz w:val="20"/>
        </w:rPr>
        <w:t>”: For any date of determination, an annualized rate equal to</w:t>
      </w:r>
      <w:r>
        <w:rPr>
          <w:rFonts w:ascii="Times New Roman;Times;Serif" w:hAnsi="Times New Roman;Times;Serif"/>
          <w:b w:val="false"/>
          <w:i w:val="false"/>
          <w:caps w:val="false"/>
          <w:smallCaps w:val="false"/>
          <w:color w:val="0000FF"/>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2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weighted average APR of all Eligible Receivables, </w:t>
      </w:r>
      <w:r>
        <w:rPr>
          <w:rFonts w:ascii="Times New Roman;Times;Serif" w:hAnsi="Times New Roman;Times;Serif"/>
          <w:b w:val="false"/>
          <w:i w:val="false"/>
          <w:caps w:val="false"/>
          <w:smallCaps w:val="false"/>
          <w:sz w:val="20"/>
          <w:u w:val="single"/>
        </w:rPr>
        <w:t>minus</w:t>
      </w:r>
    </w:p>
    <w:p>
      <w:pPr>
        <w:pStyle w:val="TextBody"/>
        <w:bidi w:val="0"/>
        <w:spacing w:before="0" w:after="0"/>
        <w:ind w:left="1200" w:right="0" w:hanging="0"/>
        <w:jc w:val="left"/>
        <w:rPr>
          <w:caps w:val="false"/>
          <w:smallCaps w:val="false"/>
        </w:rPr>
      </w:pPr>
      <w:r>
        <w:rPr>
          <w:caps w:val="false"/>
          <w:smallCaps w:val="false"/>
        </w:rPr>
        <w:t> </w:t>
      </w:r>
    </w:p>
    <w:p>
      <w:pPr>
        <w:pStyle w:val="TextBody"/>
        <w:bidi w:val="0"/>
        <w:spacing w:before="0" w:after="0"/>
        <w:ind w:left="12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blended average Applicable Interest Rate, </w:t>
      </w:r>
      <w:r>
        <w:rPr>
          <w:rFonts w:ascii="Times New Roman;Times;Serif" w:hAnsi="Times New Roman;Times;Serif"/>
          <w:b w:val="false"/>
          <w:i w:val="false"/>
          <w:caps w:val="false"/>
          <w:smallCaps w:val="false"/>
          <w:sz w:val="20"/>
          <w:u w:val="single"/>
        </w:rPr>
        <w:t>minus</w:t>
      </w:r>
    </w:p>
    <w:p>
      <w:pPr>
        <w:pStyle w:val="TextBody"/>
        <w:bidi w:val="0"/>
        <w:spacing w:before="0" w:after="0"/>
        <w:ind w:left="1200" w:right="0" w:hanging="0"/>
        <w:jc w:val="left"/>
        <w:rPr>
          <w:caps w:val="false"/>
          <w:smallCaps w:val="false"/>
        </w:rPr>
      </w:pPr>
      <w:r>
        <w:rPr>
          <w:caps w:val="false"/>
          <w:smallCaps w:val="false"/>
        </w:rPr>
        <w:t> </w:t>
      </w:r>
    </w:p>
    <w:p>
      <w:pPr>
        <w:pStyle w:val="TextBody"/>
        <w:bidi w:val="0"/>
        <w:spacing w:before="0" w:after="0"/>
        <w:ind w:left="12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Servicing Fee Percentage.</w:t>
      </w:r>
    </w:p>
    <w:p>
      <w:pPr>
        <w:pStyle w:val="TextBody"/>
        <w:bidi w:val="0"/>
        <w:spacing w:before="0" w:after="0"/>
        <w:ind w:left="120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Receivables</w:t>
      </w:r>
      <w:r>
        <w:rPr>
          <w:rFonts w:ascii="Times New Roman;Times;Serif" w:hAnsi="Times New Roman;Times;Serif"/>
          <w:b w:val="false"/>
          <w:i w:val="false"/>
          <w:caps w:val="false"/>
          <w:smallCaps w:val="false"/>
          <w:sz w:val="20"/>
        </w:rPr>
        <w:t>”: Any Receivables for which the Servicer or any of its Affiliates performs third party servicing functions and any bulk purchased Receivables that would not qualify as Eligible Receivables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withholding Taxes imposed on amounts payable to or for the account of a Recipient pursuant to a law in effect on the date on which such Recipient acquires such interest in the Loan or Commitment or changes its lending or other business office, except in each case to the extent that amounts with respect to such Taxes were payable either to such </w:t>
      </w:r>
      <w:r>
        <w:rPr>
          <w:rFonts w:ascii="Times New Roman;Times;Serif" w:hAnsi="Times New Roman;Times;Serif"/>
          <w:b w:val="false"/>
          <w:i w:val="false"/>
          <w:caps w:val="false"/>
          <w:smallCaps w:val="false"/>
          <w:strike/>
          <w:color w:val="FF0000"/>
          <w:sz w:val="20"/>
        </w:rPr>
        <w:t>Recipient's</w:t>
      </w:r>
      <w:r>
        <w:rPr>
          <w:rFonts w:ascii="Times New Roman;Times;Serif" w:hAnsi="Times New Roman;Times;Serif"/>
          <w:b w:val="false"/>
          <w:i w:val="false"/>
          <w:caps w:val="false"/>
          <w:smallCaps w:val="false"/>
          <w:color w:val="0000FF"/>
          <w:sz w:val="20"/>
          <w:u w:val="single"/>
        </w:rPr>
        <w:t>Recipient’s</w:t>
      </w:r>
      <w:r>
        <w:rPr>
          <w:rFonts w:ascii="Times New Roman;Times;Serif" w:hAnsi="Times New Roman;Times;Serif"/>
          <w:b w:val="false"/>
          <w:i w:val="false"/>
          <w:caps w:val="false"/>
          <w:smallCaps w:val="false"/>
          <w:sz w:val="20"/>
        </w:rPr>
        <w:t xml:space="preserve"> assignor immediately before such Recipient became a party hereto or to such Recipient immediately before it changed its lending or business office, (c) Taxes attributable to such Recipient’s failure to comply with Section 2.12(d) and (d) any withholding Taxes imposed under FATCA.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Exported</w:t>
      </w:r>
      <w:r>
        <w:rPr>
          <w:rFonts w:ascii="Times New Roman;Times;Serif" w:hAnsi="Times New Roman;Times;Serif"/>
          <w:b w:val="false"/>
          <w:i w:val="false"/>
          <w:caps w:val="false"/>
          <w:smallCaps w:val="false"/>
          <w:sz w:val="20"/>
        </w:rPr>
        <w:t>”: With respect to a Contract, the Servicer (acting at the written direction of the Administrative Agent) or the Administrative Agent has decommissioned the related Electronic Contract and the Authoritative Copy (in the case of an Electronic Contract that constitutes Electronic Chattel Paper) or the electronically authenticated original record (in the case of an Electronic Contract that does not constitute Electronic Chattel Paper), as applicable, of such Contract is printed out pursuant to a “Paper Out”™ within the meaning specified in the System Description. “</w:t>
      </w:r>
      <w:r>
        <w:rPr>
          <w:rFonts w:ascii="Times New Roman;Times;Serif" w:hAnsi="Times New Roman;Times;Serif"/>
          <w:b w:val="false"/>
          <w:i w:val="false"/>
          <w:caps w:val="false"/>
          <w:smallCaps w:val="false"/>
          <w:sz w:val="20"/>
          <w:u w:val="single"/>
        </w:rPr>
        <w:t>Export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Exporting</w:t>
      </w:r>
      <w:r>
        <w:rPr>
          <w:rFonts w:ascii="Times New Roman;Times;Serif" w:hAnsi="Times New Roman;Times;Serif"/>
          <w:b w:val="false"/>
          <w:i w:val="false"/>
          <w:caps w:val="false"/>
          <w:smallCaps w:val="false"/>
          <w:sz w:val="20"/>
        </w:rPr>
        <w:t>” shall have corollary meanings.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Limit</w:t>
      </w:r>
      <w:r>
        <w:rPr>
          <w:rFonts w:ascii="Times New Roman;Times;Serif" w:hAnsi="Times New Roman;Times;Serif"/>
          <w:b w:val="false"/>
          <w:i w:val="false"/>
          <w:caps w:val="false"/>
          <w:smallCaps w:val="false"/>
          <w:sz w:val="20"/>
        </w:rPr>
        <w:t>”: On any date of determination, the sum of each Lender’s Commitment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Termination Date</w:t>
      </w:r>
      <w:r>
        <w:rPr>
          <w:rFonts w:ascii="Times New Roman;Times;Serif" w:hAnsi="Times New Roman;Times;Serif"/>
          <w:b w:val="false"/>
          <w:i w:val="false"/>
          <w:caps w:val="false"/>
          <w:smallCaps w:val="false"/>
          <w:sz w:val="20"/>
        </w:rPr>
        <w:t>”: With respect to any Lender Group, the date following the Termination Date on which all Aggregate Unpaids owing to such Lender Group have been indefeasibly paid in full, which in no event shall be later than the date that is eighteen (18) months following the Commitment Termination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Sections 1471 through 1474 of the Code as in effect on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Rate</w:t>
      </w:r>
      <w:r>
        <w:rPr>
          <w:rFonts w:ascii="Times New Roman;Times;Serif" w:hAnsi="Times New Roman;Times;Serif"/>
          <w:b w:val="false"/>
          <w:i w:val="false"/>
          <w:caps w:val="false"/>
          <w:smallCaps w:val="false"/>
          <w:sz w:val="20"/>
        </w:rPr>
        <w:t>”: For any specified period, a fluctuating interest rate per annum equal for each day during such period to the weighted average of the overnight federal funds rates as published in Federal Reserve Board Statistical Release H.15(519) or any successor or substitute publication selected by the Administrative Agent (or, if such day is not a Business Day, for the next preceding Business Day), or if, for any reason, such rate is not available on any day, the rate determined, in the reasonable opinion of the Administrative Agent, to be the rate at which overnight federal funds are being offered in the national federal funds market at 9:00 a.m. (New York City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The Class A Fee Letter and/or the Class B Fee Letter, as applicable. “</w:t>
      </w:r>
      <w:r>
        <w:rPr>
          <w:rFonts w:ascii="Times New Roman;Times;Serif" w:hAnsi="Times New Roman;Times;Serif"/>
          <w:b w:val="false"/>
          <w:i w:val="false"/>
          <w:caps w:val="false"/>
          <w:smallCaps w:val="false"/>
          <w:sz w:val="20"/>
          <w:u w:val="single"/>
        </w:rPr>
        <w:t>Finance Charge Collections</w:t>
      </w:r>
      <w:r>
        <w:rPr>
          <w:rFonts w:ascii="Times New Roman;Times;Serif" w:hAnsi="Times New Roman;Times;Serif"/>
          <w:b w:val="false"/>
          <w:i w:val="false"/>
          <w:caps w:val="false"/>
          <w:smallCaps w:val="false"/>
          <w:sz w:val="20"/>
        </w:rPr>
        <w:t>”: With respect to any Collection Period, the sum of the following amounts: (i) that portion of all collections on Receivables allocable to interest, late fees, insufficient funds check charges and related charges assessed against Obligors, (ii) Liquidation Proceeds to the extent allocable to interest due thereon in accordance with the Servicer’s customary servicing procedures, and (iii) the portion of the Release Prices representing accrued and unpaid interest received from the Borrower in respect of any Receivable that became an Ineligible Receivable during such Collection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Financed Vehicle</w:t>
      </w:r>
      <w:r>
        <w:rPr>
          <w:rFonts w:ascii="Times New Roman;Times;Serif" w:hAnsi="Times New Roman;Times;Serif"/>
          <w:b w:val="false"/>
          <w:i w:val="false"/>
          <w:caps w:val="false"/>
          <w:smallCaps w:val="false"/>
          <w:sz w:val="20"/>
        </w:rPr>
        <w:t>”: An automobile, light truck, minivan or sport utility vehicle, together with all accessions thereto, securing an Obligor’s indebtedness under the respective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 xml:space="preserve">”: The Servicer’s obligation to maintain, (x) as of each Determination Date, Available Liquidity of at least [***] and (y) as of the last Determination Date in each calendar quarter, Tangible Net Worth of at least an amount equal to the sum of (a) [***], plus (b) [***] of the positive net income of Seller and its consolidated Subsidiaries for each fiscal quarter in which net income was earned (not to be reduced with any net losses) during the period from June 30, 2025 through the date of determination. Any additional interest expense caused by derivative accounting treatment for any warrants issued by CPS shall be factored out of the positive net income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above.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Formation Documents</w:t>
      </w:r>
      <w:r>
        <w:rPr>
          <w:rFonts w:ascii="Times New Roman;Times;Serif" w:hAnsi="Times New Roman;Times;Serif"/>
          <w:b w:val="false"/>
          <w:i w:val="false"/>
          <w:caps w:val="false"/>
          <w:smallCaps w:val="false"/>
          <w:sz w:val="20"/>
        </w:rPr>
        <w:t>”: The Certificate of Formation of the Borrower, dated as of July 17, 2025, filed with the Secretary of State of Delaware and the Limited Liability Company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Funded Debt</w:t>
      </w:r>
      <w:r>
        <w:rPr>
          <w:rFonts w:ascii="Times New Roman;Times;Serif" w:hAnsi="Times New Roman;Times;Serif"/>
          <w:b w:val="false"/>
          <w:i w:val="false"/>
          <w:caps w:val="false"/>
          <w:smallCaps w:val="false"/>
          <w:sz w:val="20"/>
        </w:rPr>
        <w:t>”: With respect to Seller, all items that, in accordance with GAAP, consistently applied, would be included in determining total liabilities as shown on the liability side of a balance sheet of such Person as of the date as of which Funded Debt is to be determined and which includes (i) indebtedness for borrowed money, (ii) obligations representing the deferred purchase price of property other than accounts payable arising in the ordinary course of such Person’s business on terms customary in the trade, (iii) obligations, whether or not assumed, secured by liens or payable out of the proceeds or products of property now or hereafter owned or acquired by such Person, (iv) obligations which are evidenced by notes, acceptances (including bankers acceptances), or other instruments, (v) reimbursement obligations with respect to any letters of credit and (vi) all amounts owing or to become owing in connection therewith.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Generally accepted accounting principles as in effect from time to time in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With respect to any Person, any nation or government, any State or other political subdivision thereof, any entity exercising executive, legislative, judicial,regulatory or administrative functions of or pertaining to government and any court or arbitrator having jurisdiction over such Person.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Image File</w:t>
      </w:r>
      <w:r>
        <w:rPr>
          <w:rFonts w:ascii="Times New Roman;Times;Serif" w:hAnsi="Times New Roman;Times;Serif"/>
          <w:b w:val="false"/>
          <w:i w:val="false"/>
          <w:caps w:val="false"/>
          <w:smallCaps w:val="false"/>
          <w:sz w:val="20"/>
        </w:rPr>
        <w:t>” means, with respect to each Contract, an electronic system data file that provides information for each item listed on Schedule H attached to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With respect to any Person and any day, without duplication, (i) all indebtedness of such Person for borrowed money or for the deferred purchase price of property or services (other than current liabilities incurred in the ordinary course of business and payable in accordance with customary trade practices) or which is evidenced by a note, bond, debenture or similar instrument, (ii) all obligations of such Person under capital leases, (iii) all obligations of such Person in respect of acceptances issued or created for the account of such Person, (iv) all liabilities secured by any Lien on any property owned by such Person even though such Person has not assumed or otherwise become liable for the payment thereof and (v) all indebtedness, obligations or liabilities of that Person in respect of Derivatives.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Taxes, other than Excluded Taxes, imposed on or with respect to any payment made by the Borrower or the Servicer in respect of any Loan and all other payments made by the Borrower under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Receivable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Advance</w:t>
      </w:r>
      <w:r>
        <w:rPr>
          <w:rFonts w:ascii="Times New Roman;Times;Serif" w:hAnsi="Times New Roman;Times;Serif"/>
          <w:b w:val="false"/>
          <w:i w:val="false"/>
          <w:caps w:val="false"/>
          <w:smallCaps w:val="false"/>
          <w:sz w:val="20"/>
        </w:rPr>
        <w:t>”: The principal amount of Loans outstanding as of the Closing Date. “</w:t>
      </w:r>
      <w:r>
        <w:rPr>
          <w:rFonts w:ascii="Times New Roman;Times;Serif" w:hAnsi="Times New Roman;Times;Serif"/>
          <w:b w:val="false"/>
          <w:i w:val="false"/>
          <w:caps w:val="false"/>
          <w:smallCaps w:val="false"/>
          <w:sz w:val="20"/>
          <w:u w:val="single"/>
        </w:rPr>
        <w:t>Initial Cut-off Date</w:t>
      </w:r>
      <w:r>
        <w:rPr>
          <w:rFonts w:ascii="Times New Roman;Times;Serif" w:hAnsi="Times New Roman;Times;Serif"/>
          <w:b w:val="false"/>
          <w:i w:val="false"/>
          <w:caps w:val="false"/>
          <w:smallCaps w:val="false"/>
          <w:sz w:val="20"/>
        </w:rPr>
        <w:t>”: October 14,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Receivable</w:t>
      </w:r>
      <w:r>
        <w:rPr>
          <w:rFonts w:ascii="Times New Roman;Times;Serif" w:hAnsi="Times New Roman;Times;Serif"/>
          <w:b w:val="false"/>
          <w:i w:val="false"/>
          <w:caps w:val="false"/>
          <w:smallCaps w:val="false"/>
          <w:sz w:val="20"/>
        </w:rPr>
        <w:t>”: Each Receivable that is part of the Collateral on the Closing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Event</w:t>
      </w:r>
      <w:r>
        <w:rPr>
          <w:rFonts w:ascii="Times New Roman;Times;Serif" w:hAnsi="Times New Roman;Times;Serif"/>
          <w:b w:val="false"/>
          <w:i w:val="false"/>
          <w:caps w:val="false"/>
          <w:smallCaps w:val="false"/>
          <w:sz w:val="20"/>
        </w:rPr>
        <w:t>”: With respect to a specified Person, (i) the filing of a decree or order for relief by a court having jurisdiction in the premises in respect of such Person or any substantial part of its property in an involuntary case under any applicable Insolvency Law now or hereafter in effect, or appointing a receiver, conservator, liquidator, assignee, custodian, trustee, sequestrator or similar official for such Person in any insolvency, readjustment of debt, marshalling of assets and liabilities or similar proceedings or for any substantial part of its property, or ordering the winding-up or liquidation of such Person’s affairs, and such decree or order shall remain unstayed and in effect for a period of sixty (60)consecutive days; or (ii) the commencement by such Person of a voluntary case under any Insolvency Law now or hereafter in effect, or the consent by such Person to the entry of an order for relief in an involuntary case under any such law, or the consent by such Person to the appointment of or taking possession by a receiver, conservator, liquidator, assignee, custodian, trustee, sequestrator or similar official for such Person or for any substantial part of its property, or the making by such Person of any general assignment for the benefit of creditors, or such Person shall admit in writing its inability to pay its debts generally as they become due or the failure by such Person generally to pay its debts as such debts become due, or the voluntary suspension of payment of such Person’s obligations, or the taking of action by such Person in furtherance of any of the foregoing.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Laws</w:t>
      </w:r>
      <w:r>
        <w:rPr>
          <w:rFonts w:ascii="Times New Roman;Times;Serif" w:hAnsi="Times New Roman;Times;Serif"/>
          <w:b w:val="false"/>
          <w:i w:val="false"/>
          <w:caps w:val="false"/>
          <w:smallCaps w:val="false"/>
          <w:sz w:val="20"/>
        </w:rPr>
        <w:t>”: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Proceeding</w:t>
      </w:r>
      <w:r>
        <w:rPr>
          <w:rFonts w:ascii="Times New Roman;Times;Serif" w:hAnsi="Times New Roman;Times;Serif"/>
          <w:b w:val="false"/>
          <w:i w:val="false"/>
          <w:caps w:val="false"/>
          <w:smallCaps w:val="false"/>
          <w:sz w:val="20"/>
        </w:rPr>
        <w:t>”: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Instrument</w:t>
      </w:r>
      <w:r>
        <w:rPr>
          <w:rFonts w:ascii="Times New Roman;Times;Serif" w:hAnsi="Times New Roman;Times;Serif"/>
          <w:b w:val="false"/>
          <w:i w:val="false"/>
          <w:caps w:val="false"/>
          <w:smallCaps w:val="false"/>
          <w:sz w:val="20"/>
        </w:rPr>
        <w:t>”: Any “instrument” (as defined in Article 9 of the UCC), other than an instrument that constitutes part of chattel paper.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Policy</w:t>
      </w:r>
      <w:r>
        <w:rPr>
          <w:rFonts w:ascii="Times New Roman;Times;Serif" w:hAnsi="Times New Roman;Times;Serif"/>
          <w:b w:val="false"/>
          <w:i w:val="false"/>
          <w:caps w:val="false"/>
          <w:smallCaps w:val="false"/>
          <w:sz w:val="20"/>
        </w:rPr>
        <w:t>”: Insurance policy covering the Financed Vehicles or the Obligors. “</w:t>
      </w:r>
      <w:r>
        <w:rPr>
          <w:rFonts w:ascii="Times New Roman;Times;Serif" w:hAnsi="Times New Roman;Times;Serif"/>
          <w:b w:val="false"/>
          <w:i w:val="false"/>
          <w:caps w:val="false"/>
          <w:smallCaps w:val="false"/>
          <w:sz w:val="20"/>
          <w:u w:val="single"/>
        </w:rPr>
        <w:t>Insurance Proceeds</w:t>
      </w:r>
      <w:r>
        <w:rPr>
          <w:rFonts w:ascii="Times New Roman;Times;Serif" w:hAnsi="Times New Roman;Times;Serif"/>
          <w:b w:val="false"/>
          <w:i w:val="false"/>
          <w:caps w:val="false"/>
          <w:smallCaps w:val="false"/>
          <w:sz w:val="20"/>
        </w:rPr>
        <w:t>”: Any amounts payable or any payments made under any Insurance Policy.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For any Collection Period and each Loan outstanding during such Collection Period, interest on the outstanding principal amount of such Loan computed pursuant to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no provision of this Agreement shall require or permit the collection of Interest in excess of the Maximum Lawful Rate and (ii) no portion of any payment of Interest shall be considered to have been paid by any distribution if at any time such portion of such distribution is rescinded or must otherwise be returned for any reason.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Rate Conforming Changes</w:t>
      </w:r>
      <w:r>
        <w:rPr>
          <w:rFonts w:ascii="Times New Roman;Times;Serif" w:hAnsi="Times New Roman;Times;Serif"/>
          <w:b w:val="false"/>
          <w:i w:val="false"/>
          <w:caps w:val="false"/>
          <w:smallCaps w:val="false"/>
          <w:sz w:val="20"/>
        </w:rPr>
        <w:t>”: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 decides is reasonably necessary in connection with the administration of this Agreement and the other Transaction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Investment Company Act of 1940.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Each Bank.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Group</w:t>
      </w:r>
      <w:r>
        <w:rPr>
          <w:rFonts w:ascii="Times New Roman;Times;Serif" w:hAnsi="Times New Roman;Times;Serif"/>
          <w:b w:val="false"/>
          <w:i w:val="false"/>
          <w:caps w:val="false"/>
          <w:smallCaps w:val="false"/>
          <w:sz w:val="20"/>
        </w:rPr>
        <w:t>”: Any group of one or more related Banks, together with the related Lender Group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Group Agent</w:t>
      </w:r>
      <w:r>
        <w:rPr>
          <w:rFonts w:ascii="Times New Roman;Times;Serif" w:hAnsi="Times New Roman;Times;Serif"/>
          <w:b w:val="false"/>
          <w:i w:val="false"/>
          <w:caps w:val="false"/>
          <w:smallCaps w:val="false"/>
          <w:sz w:val="20"/>
        </w:rPr>
        <w:t>”: For any Lender Group, the Person designated as the Lender Group Agent from time to time for such Lender Group pursuant to this Agreement or the related Assignment and Acceptance.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Group Agent Account</w:t>
      </w:r>
      <w:r>
        <w:rPr>
          <w:rFonts w:ascii="Times New Roman;Times;Serif" w:hAnsi="Times New Roman;Times;Serif"/>
          <w:b w:val="false"/>
          <w:i w:val="false"/>
          <w:caps w:val="false"/>
          <w:smallCaps w:val="false"/>
          <w:sz w:val="20"/>
        </w:rPr>
        <w:t>”: For any Lender Group, the account maintained by the Lender Group Agent for such Lender Group, as set forth in the related Pricing Supplement and as changed from time to time by such Lender Group Agent in a written notice to the Borrower and the Servicer.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Group Limit</w:t>
      </w:r>
      <w:r>
        <w:rPr>
          <w:rFonts w:ascii="Times New Roman;Times;Serif" w:hAnsi="Times New Roman;Times;Serif"/>
          <w:b w:val="false"/>
          <w:i w:val="false"/>
          <w:caps w:val="false"/>
          <w:smallCaps w:val="false"/>
          <w:sz w:val="20"/>
        </w:rPr>
        <w:t xml:space="preserve">”: For any Lender Group, the amount set forth therefor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as such Schedule may be updated from time to time or the amount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to the related Assignment and Acceptance.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Group Principal Amount Outstanding</w:t>
      </w:r>
      <w:r>
        <w:rPr>
          <w:rFonts w:ascii="Times New Roman;Times;Serif" w:hAnsi="Times New Roman;Times;Serif"/>
          <w:b w:val="false"/>
          <w:i w:val="false"/>
          <w:caps w:val="false"/>
          <w:smallCaps w:val="false"/>
          <w:sz w:val="20"/>
        </w:rPr>
        <w:t>”: On any date of determination, the aggregate principal amount outstanding on such day of the Loans made by the Lenders that are members of the related Lender Group.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Group Share</w:t>
      </w:r>
      <w:r>
        <w:rPr>
          <w:rFonts w:ascii="Times New Roman;Times;Serif" w:hAnsi="Times New Roman;Times;Serif"/>
          <w:b w:val="false"/>
          <w:i w:val="false"/>
          <w:caps w:val="false"/>
          <w:smallCaps w:val="false"/>
          <w:sz w:val="20"/>
        </w:rPr>
        <w:t>”: For any Lender Group on any day, the percentage equivalent of a fraction the numerator of which is such Lender Group’s Lender Group Limit and the denominator of which is the Facility Limit on such day.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Principal Amount Outstanding</w:t>
      </w:r>
      <w:r>
        <w:rPr>
          <w:rFonts w:ascii="Times New Roman;Times;Serif" w:hAnsi="Times New Roman;Times;Serif"/>
          <w:b w:val="false"/>
          <w:i w:val="false"/>
          <w:caps w:val="false"/>
          <w:smallCaps w:val="false"/>
          <w:sz w:val="20"/>
        </w:rPr>
        <w:t>”: For any Lender on any day, the aggregate principal amount of all Loans outstanding on such day owing to such Lender.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Level I Trigger Event</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Level II Trigger Event</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Level III Trigger Event</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Any duty, responsibility, obligation or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Any mortgage, deed of trust, pledge, hypothecation, assignment, deposit arrangement, encumbrance, lien (statutory or other), preference, priority or other security agreement or preferential arrangement of any kind or nature whatsoever, including any conditional sale or other title retention agreement, any financing lease having substantially the same economic effect as any of the foregoing and the filing of any financing statement under the Uniform Commercial Code (other than any such financing statement filed for informational purposes only) or comparable law of any jurisdiction to evidence any of the foregoing.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Liability Company Agreement</w:t>
      </w:r>
      <w:r>
        <w:rPr>
          <w:rFonts w:ascii="Times New Roman;Times;Serif" w:hAnsi="Times New Roman;Times;Serif"/>
          <w:b w:val="false"/>
          <w:i w:val="false"/>
          <w:caps w:val="false"/>
          <w:smallCaps w:val="false"/>
          <w:sz w:val="20"/>
        </w:rPr>
        <w:t>”: The Amended and Restated Limited Liability Company Agreement of Page Eleven Funding LLC, dated as of the date hereof, by and among CPS, as sole equity member and the independent manager.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Liquidated Receivable</w:t>
      </w:r>
      <w:r>
        <w:rPr>
          <w:rFonts w:ascii="Times New Roman;Times;Serif" w:hAnsi="Times New Roman;Times;Serif"/>
          <w:b w:val="false"/>
          <w:i w:val="false"/>
          <w:caps w:val="false"/>
          <w:smallCaps w:val="false"/>
          <w:sz w:val="20"/>
        </w:rPr>
        <w:t>”: Any Receivable (i) which has been liquidated by the Servicer through the sale of the Financed Vehicle or (ii) for which the related Financed Vehicle has been repossessed and 90 days have elapsed since the date of such repossession or (iii) as to which more than [***] of a Scheduled Payment of more than ten dollars shall have become 120 (or, if the related Financed Vehicle has been repossessed, 210) or more days delinquent as of the end of an Accrual Period, (iv) with respect to which proceeds have been received which, in the Servicer’s judgment, constitute the final amounts recoverable in respect of such Receivable or (v) the related Obligor has filed for bankruptcy under Federal or state law and the Servicer has determined that its loss is known. For purposes of this definition, a Receivable shall be deemed a “Liquidated Receivable” upon the first to occur of the events specified in items (i) through (v) of the previous sentence.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 Proceeds</w:t>
      </w:r>
      <w:r>
        <w:rPr>
          <w:rFonts w:ascii="Times New Roman;Times;Serif" w:hAnsi="Times New Roman;Times;Serif"/>
          <w:b w:val="false"/>
          <w:i w:val="false"/>
          <w:caps w:val="false"/>
          <w:smallCaps w:val="false"/>
          <w:sz w:val="20"/>
        </w:rPr>
        <w:t>”: All monies collected in connection with the disposition of any Financed Vehicle, from whatever source, securing a Liquidated Receivable, net of the sum of (x) any amounts reasonably expended by the Servicer in connection with the liquidation of such Financed Vehicle for the account of the Obligor and (y) any such amounts required by law to be remitted to the Obligor.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Any funding made by a Lender to the Borrower pursuant to this Agreement including any Bank Loan.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and Security Agreement</w:t>
      </w:r>
      <w:r>
        <w:rPr>
          <w:rFonts w:ascii="Times New Roman;Times;Serif" w:hAnsi="Times New Roman;Times;Serif"/>
          <w:b w:val="false"/>
          <w:i w:val="false"/>
          <w:caps w:val="false"/>
          <w:smallCaps w:val="false"/>
          <w:sz w:val="20"/>
        </w:rPr>
        <w:t>”: As defined in the preamble</w:t>
      </w:r>
      <w:r>
        <w:rPr>
          <w:rFonts w:ascii="Times New Roman;Times;Serif" w:hAnsi="Times New Roman;Times;Serif"/>
          <w:b w:val="false"/>
          <w:i w:val="false"/>
          <w:caps w:val="false"/>
          <w:smallCaps w:val="false"/>
          <w:color w:val="0000FF"/>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Loan-to-Value Ratio</w:t>
      </w:r>
      <w:r>
        <w:rPr>
          <w:rFonts w:ascii="Times New Roman;Times;Serif" w:hAnsi="Times New Roman;Times;Serif"/>
          <w:b w:val="false"/>
          <w:i w:val="false"/>
          <w:caps w:val="false"/>
          <w:smallCaps w:val="false"/>
          <w:sz w:val="20"/>
        </w:rPr>
        <w:t>”: With respect to any Receivable, the ratio, at the time of origination or acquisition by the Seller, of (i) the unpaid Principal Balance of such Receivable to (ii) (A) for used Financed Vehicles, the wholesale book value of the related Financed Vehicle as set forth in the Kelly Blue Book®, the NADA Official Used Car Guide® or the Black Book Wholesale Average Condition or (B) for new Financed Vehicles, the manufacturer’s invoice price.</w:t>
      </w:r>
    </w:p>
    <w:p>
      <w:pPr>
        <w:pStyle w:val="TextBody"/>
        <w:bidi w:val="0"/>
        <w:spacing w:before="0" w:after="0"/>
        <w:ind w:left="1440" w:right="437" w:hanging="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Lockbox</w:t>
      </w:r>
      <w:r>
        <w:rPr>
          <w:rFonts w:ascii="Times New Roman;Times;Serif" w:hAnsi="Times New Roman;Times;Serif"/>
          <w:b w:val="false"/>
          <w:i w:val="false"/>
          <w:caps w:val="false"/>
          <w:smallCaps w:val="false"/>
          <w:sz w:val="20"/>
        </w:rPr>
        <w:t>”: A “Lockbox” described in a Lockbox Agreement, established by the Servicer with a Lockbox Processor, to which the Obligors with respect to all Receivables that are part of the Collateral send payment thereon, to be processed by the Lockbox Processor and deposited into the Collection Account within two (2) Business Days of receipt in the Lockbox.</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Lockbox Account:</w:t>
      </w:r>
      <w:r>
        <w:rPr>
          <w:rFonts w:ascii="Times New Roman;Times;Serif" w:hAnsi="Times New Roman;Times;Serif"/>
          <w:b w:val="false"/>
          <w:i w:val="false"/>
          <w:caps w:val="false"/>
          <w:smallCaps w:val="false"/>
          <w:sz w:val="20"/>
        </w:rPr>
        <w:t xml:space="preserve">” The account maintained pursuant to </w:t>
      </w:r>
      <w:r>
        <w:rPr>
          <w:rFonts w:ascii="Times New Roman;Times;Serif" w:hAnsi="Times New Roman;Times;Serif"/>
          <w:b w:val="false"/>
          <w:i w:val="false"/>
          <w:caps w:val="false"/>
          <w:smallCaps w:val="false"/>
          <w:sz w:val="20"/>
          <w:u w:val="single"/>
        </w:rPr>
        <w:t>Section 7.3(l)</w:t>
      </w:r>
      <w:r>
        <w:rPr>
          <w:rFonts w:ascii="Times New Roman;Times;Serif" w:hAnsi="Times New Roman;Times;Serif"/>
          <w:b w:val="false"/>
          <w:i w:val="false"/>
          <w:caps w:val="false"/>
          <w:smallCaps w:val="false"/>
          <w:sz w:val="20"/>
        </w:rPr>
        <w:t xml:space="preserve"> of the Loan and Security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Lockbox Agreement</w:t>
      </w:r>
      <w:r>
        <w:rPr>
          <w:rFonts w:ascii="Times New Roman;Times;Serif" w:hAnsi="Times New Roman;Times;Serif"/>
          <w:b w:val="false"/>
          <w:i w:val="false"/>
          <w:caps w:val="false"/>
          <w:smallCaps w:val="false"/>
          <w:sz w:val="20"/>
        </w:rPr>
        <w:t>”: A remittance processing services agreement to be established on or prior to the Closing Date among the Servicer and the Lockbox Processor.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Lockbox Processor</w:t>
      </w:r>
      <w:r>
        <w:rPr>
          <w:rFonts w:ascii="Times New Roman;Times;Serif" w:hAnsi="Times New Roman;Times;Serif"/>
          <w:b w:val="false"/>
          <w:i w:val="false"/>
          <w:caps w:val="false"/>
          <w:smallCaps w:val="false"/>
          <w:sz w:val="20"/>
        </w:rPr>
        <w:t>”: The remittance processing agent which provides a Lockbox pursuant to a Lockbox Agreement, initially, Wells Fargo Bank, National Association, together with its successors and assigns in such capacity.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Long-Term Rating Requirement</w:t>
      </w:r>
      <w:r>
        <w:rPr>
          <w:rFonts w:ascii="Times New Roman;Times;Serif" w:hAnsi="Times New Roman;Times;Serif"/>
          <w:b w:val="false"/>
          <w:i w:val="false"/>
          <w:caps w:val="false"/>
          <w:smallCaps w:val="false"/>
          <w:sz w:val="20"/>
        </w:rPr>
        <w:t>”: A long-term unsecured debt rating of not less than A by Standard &amp; Poor’s and not less than A2 by Moody’s.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Majority-In-Interest</w:t>
      </w:r>
      <w:r>
        <w:rPr>
          <w:rFonts w:ascii="Times New Roman;Times;Serif" w:hAnsi="Times New Roman;Times;Serif"/>
          <w:b w:val="false"/>
          <w:i w:val="false"/>
          <w:caps w:val="false"/>
          <w:smallCaps w:val="false"/>
          <w:sz w:val="20"/>
        </w:rPr>
        <w:t>”: At any time, (i) with respect to a Lender Group, any combination of Lenders that are members of such Lender Group whose aggregate Commitments [***] of such Lender Group’s Lender Group Limit and (ii) with respect to the Lenders, generally, any combination of Lenders whose aggregate Commitments exceed [***] of the Facility Limit.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Managed Portfolio</w:t>
      </w:r>
      <w:r>
        <w:rPr>
          <w:rFonts w:ascii="Times New Roman;Times;Serif" w:hAnsi="Times New Roman;Times;Serif"/>
          <w:b w:val="false"/>
          <w:i w:val="false"/>
          <w:caps w:val="false"/>
          <w:smallCaps w:val="false"/>
          <w:sz w:val="20"/>
        </w:rPr>
        <w:t>”: All Receivables owned and serviced by the Borrower Group, provided, that “Managed Portfolio” consists of subprime auto loans originated and serviced by CPS that have been originated under CPS loan programs (First Time Buyer, Mercury/Delta, Standard, Alpha, Alpha Plus, Super Alpha, Preferred and Meta) with similar characteristics as the auto loans securitized under the CPS 144A Securitization shelf.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Master Electronic Collateral Control Agreement</w:t>
      </w:r>
      <w:r>
        <w:rPr>
          <w:rFonts w:ascii="Times New Roman;Times;Serif" w:hAnsi="Times New Roman;Times;Serif"/>
          <w:b w:val="false"/>
          <w:i w:val="false"/>
          <w:caps w:val="false"/>
          <w:smallCaps w:val="false"/>
          <w:sz w:val="20"/>
        </w:rPr>
        <w:t>”: That certain Master Electronic Collateral Control Agreement, dated as of July 11, 2024, by and among Computershare Trust Company, National Association as custodian, each contract owner joined thereto, each secured party joined thereto, CPS and eOriginal, Inc. as electronic vault provider.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With respect to any Person and to any event or circumstance, a material adverse effect on (i) the business, condition (financial or otherwise), operations, performance, properties or prospects of such Person, (ii) the validity or enforceability of this Agreement or any other Transaction Document or the validity, enforceability or collectability of (a) a material portion of the Contracts, (b) a material portion of the Receivables, or (c) a material portion of the Collections or the security interests in the Financed Vehicles, (iii) the rights and remedies of the Administrative Agent and Secured Parties, (iv) the ability of such Person to perform its obligations under this Agreement or any Transaction Document to which it is a party or (v) the status, existence, perfection, priority or enforceability of the Administrative Agent’s or the Lenders’ interest in the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 Extension</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7.3(b)(i)</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Lawful Rate</w:t>
      </w:r>
      <w:r>
        <w:rPr>
          <w:rFonts w:ascii="Times New Roman;Times;Serif" w:hAnsi="Times New Roman;Times;Serif"/>
          <w:b w:val="false"/>
          <w:i w:val="false"/>
          <w:caps w:val="false"/>
          <w:smallCaps w:val="false"/>
          <w:sz w:val="20"/>
        </w:rPr>
        <w:t>”: The highest rate of interest permissible under Applicable Law.</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MECCA Joinder</w:t>
      </w:r>
      <w:r>
        <w:rPr>
          <w:rFonts w:ascii="Times New Roman;Times;Serif" w:hAnsi="Times New Roman;Times;Serif"/>
          <w:b w:val="false"/>
          <w:i w:val="false"/>
          <w:caps w:val="false"/>
          <w:smallCaps w:val="false"/>
          <w:sz w:val="20"/>
        </w:rPr>
        <w:t>”: that certain Joinder to the Master Electronic Collateral Control Agreement, entered into by the Borrower and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Monthly Extension Rate</w:t>
      </w:r>
      <w:r>
        <w:rPr>
          <w:rFonts w:ascii="Times New Roman;Times;Serif" w:hAnsi="Times New Roman;Times;Serif"/>
          <w:b w:val="false"/>
          <w:i w:val="false"/>
          <w:caps w:val="false"/>
          <w:smallCaps w:val="false"/>
          <w:sz w:val="20"/>
        </w:rPr>
        <w:t>”: The number of extensions to the term of any Contracts granted during any Collection Period divided by the aggregate number of Contracts owned by the Borrower at the beginning of the Collection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Monthly Servicer Report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 xml:space="preserve">, such report to be in substantially the form of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w:t>
      </w:r>
    </w:p>
    <w:p>
      <w:pPr>
        <w:pStyle w:val="TextBody"/>
        <w:bidi w:val="0"/>
        <w:spacing w:before="0" w:after="0"/>
        <w:ind w:left="1440" w:right="434" w:firstLine="72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Moody’s Investors Service, Inc.</w:t>
      </w:r>
    </w:p>
    <w:p>
      <w:pPr>
        <w:pStyle w:val="TextBody"/>
        <w:bidi w:val="0"/>
        <w:spacing w:before="0" w:after="0"/>
        <w:ind w:left="2159" w:right="0" w:hanging="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Eligible Receivables</w:t>
      </w:r>
      <w:r>
        <w:rPr>
          <w:rFonts w:ascii="Times New Roman;Times;Serif" w:hAnsi="Times New Roman;Times;Serif"/>
          <w:b w:val="false"/>
          <w:i w:val="false"/>
          <w:caps w:val="false"/>
          <w:smallCaps w:val="false"/>
          <w:sz w:val="20"/>
        </w:rPr>
        <w:t>”: As of any day, an amount equal to the positive excess, if any, of (i) the aggregate Principal Balance of all Eligible Receivables on such day over (ii) the Excess Concentration Amount for the Eligible Receivables.</w:t>
      </w:r>
    </w:p>
    <w:p>
      <w:pPr>
        <w:pStyle w:val="TextBody"/>
        <w:bidi w:val="0"/>
        <w:spacing w:before="0" w:after="0"/>
        <w:ind w:left="1440" w:right="420" w:firstLine="72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Liquidation Proceeds</w:t>
      </w:r>
      <w:r>
        <w:rPr>
          <w:rFonts w:ascii="Times New Roman;Times;Serif" w:hAnsi="Times New Roman;Times;Serif"/>
          <w:b w:val="false"/>
          <w:i w:val="false"/>
          <w:caps w:val="false"/>
          <w:smallCaps w:val="false"/>
          <w:sz w:val="20"/>
        </w:rPr>
        <w:t>”: With respect to a Liquidated Receivable, all amounts realized with respect to such Receivable during the Collection Period in which such Receivable became a Liquidated Receivable, net of (i) reasonable expenses incurred by the Servicer in connection with the collection of such Receivable and the repossession and disposition of the Financed Vehicle and the reasonable cost of legal counsel with the enforcement of a Liquidated Receivable and (ii) amounts that are required to be refunded to the Obligor on such Receivable; provided, however, that the Net Liquidation Proceeds with respect to any Receivable shall in no event be less than zero.</w:t>
      </w:r>
    </w:p>
    <w:p>
      <w:pPr>
        <w:pStyle w:val="TextBody"/>
        <w:bidi w:val="0"/>
        <w:spacing w:before="0" w:after="0"/>
        <w:ind w:left="1439" w:right="443" w:firstLine="72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All loans, advances, debts, liabilities and obligations for monetary amounts owing by the Borrower to the Secured Parties, the Administrative Agent, the Backup Servicer, the Custodian, the Paying Agent or any of their respective assigns, as the case may be, whether due or to become due, matured or unmatured, liquidated or unliquidated, contingent or non-contingent and all covenants and duties regarding such amounts, of any kind or nature, present or future, arising under or in respect of any of the Loans, whether or not evidenced by any separate note, agreement or other instrument, including all principal, interest (including interest that accrues after the commencement against the Borrower of any action under the Bankruptcy Code), Breakage Costs, fees, including any and all arrangement fees, loan fees, Interest, Unused Fees, and any and all other fees, expenses, costs or other sums (including attorney fees and disbursements) chargeable to the Borrower under the Transaction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For any Receivable, each and every Person who purchased, co-purchased or refinanced a Financed Vehicle or any other person who owes payments under such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U.S. Department of the Treasury’s Office of Foreign Assets Control.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With respect to any Person, a certificate signed by any officer of such Person, and delivered to the Administrative Agent, or other applicable party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With respect to any Person, a written opinion of counsel, who is reasonably acceptable to the Administrative Agent or any other addressee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Owner of Record</w:t>
      </w:r>
      <w:r>
        <w:rPr>
          <w:rFonts w:ascii="Times New Roman;Times;Serif" w:hAnsi="Times New Roman;Times;Serif"/>
          <w:b w:val="false"/>
          <w:i w:val="false"/>
          <w:caps w:val="false"/>
          <w:smallCaps w:val="false"/>
          <w:sz w:val="20"/>
        </w:rPr>
        <w:t>”: The owner of an Authoritative Copy (in the case of an Electronic Contract that constitutes Electronic Chattel Paper) or an electronically authenticated original record of an executed Contract (in the case of an Electronic Contract that does not constitute Electronic Chattel Paper), which, within the Electronic Vault System, is the Borrower.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The USA PATRIOT Act (Title III of Pub. L. 107-56 (signed into law October 26, 2001)).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As defined in the preamble.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 Fee</w:t>
      </w:r>
      <w:r>
        <w:rPr>
          <w:rFonts w:ascii="Times New Roman;Times;Serif" w:hAnsi="Times New Roman;Times;Serif"/>
          <w:b w:val="false"/>
          <w:i w:val="false"/>
          <w:caps w:val="false"/>
          <w:smallCaps w:val="false"/>
          <w:sz w:val="20"/>
        </w:rPr>
        <w:t>”: The amounts to be paid to the Paying Agent in accordance with the Custodian Fee Letter.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to Income Ratio</w:t>
      </w:r>
      <w:r>
        <w:rPr>
          <w:rFonts w:ascii="Times New Roman;Times;Serif" w:hAnsi="Times New Roman;Times;Serif"/>
          <w:b w:val="false"/>
          <w:i w:val="false"/>
          <w:caps w:val="false"/>
          <w:smallCaps w:val="false"/>
          <w:sz w:val="20"/>
        </w:rPr>
        <w:t>”: For any Receivable, “VLPGIR” as reflected in the data tape fields delivered prior to each Addition Date, which amount shall represent the ratio, at the time of origination or acquisition by the Seller, of the contractual monthly payment amount of the Receivable, over the total gross monthly income of the Obligor.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Perfection Date”:</w:t>
      </w:r>
      <w:r>
        <w:rPr>
          <w:rFonts w:ascii="Times New Roman;Times;Serif" w:hAnsi="Times New Roman;Times;Serif"/>
          <w:b w:val="false"/>
          <w:i w:val="false"/>
          <w:caps w:val="false"/>
          <w:smallCaps w:val="false"/>
          <w:sz w:val="20"/>
        </w:rPr>
        <w:t xml:space="preserve"> With respect to Consumer Lender Receivables, the date upon which the Seller has first priority perfected security interest in favor of the Seller in the related Financed Vehicle, which security interest has been validly assigned by the Seller to the Borrower which shall be no more than 120 days after the Closing Date or the Addition Date for such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The meaning specified in the definition of “Term SOFR Loan.”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(i) Liens in favor of the Administrative Agent, as agent for the Secured Parties, created pursuant to this Agreement or any other Transaction Document and (ii) Liens for taxes and other governmental charges if such taxes or governmental charges shall not at the time be due and payable or if the Borrower shall currently be contesting the validity thereof in good faith by appropriate proceedings and shall have set aside on its books adequate reserves with respect thereto.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Take-Out</w:t>
      </w:r>
      <w:r>
        <w:rPr>
          <w:rFonts w:ascii="Times New Roman;Times;Serif" w:hAnsi="Times New Roman;Times;Serif"/>
          <w:b w:val="false"/>
          <w:i w:val="false"/>
          <w:caps w:val="false"/>
          <w:smallCaps w:val="false"/>
          <w:sz w:val="20"/>
        </w:rPr>
        <w:t xml:space="preserve">”: Any transaction, including a Securitization Transaction, undertaken by the Borrower in accordance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with any other Person that provides for, directly or indirectly, the sale, assignment or other transfer by the Borrower of all or a portion of the Collateral to any other Person.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Take-Out Date</w:t>
      </w:r>
      <w:r>
        <w:rPr>
          <w:rFonts w:ascii="Times New Roman;Times;Serif" w:hAnsi="Times New Roman;Times;Serif"/>
          <w:b w:val="false"/>
          <w:i w:val="false"/>
          <w:caps w:val="false"/>
          <w:smallCaps w:val="false"/>
          <w:sz w:val="20"/>
        </w:rPr>
        <w:t>”: With respect to any Permitted Take-Out, the date upon which collateral is released from the Lien created under this Agreement in connection therewith.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Take-Out Date Certificate</w:t>
      </w:r>
      <w:r>
        <w:rPr>
          <w:rFonts w:ascii="Times New Roman;Times;Serif" w:hAnsi="Times New Roman;Times;Serif"/>
          <w:b w:val="false"/>
          <w:i w:val="false"/>
          <w:caps w:val="false"/>
          <w:smallCaps w:val="false"/>
          <w:sz w:val="20"/>
        </w:rPr>
        <w:t xml:space="preserve">”: A Certificate delivered by an Authorized Officer of the initial Servicer on the Permitted Take-Out Date (x) indicating that the requirements set forth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this Agreement for a Permitted Take-Out have been satisfied and (y) illustrating that, after giving effect to the proposed Permitted Take-Out, the Principal Amount Outstanding will not exceed the Borrowing Base.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Take-Out Release</w:t>
      </w:r>
      <w:r>
        <w:rPr>
          <w:rFonts w:ascii="Times New Roman;Times;Serif" w:hAnsi="Times New Roman;Times;Serif"/>
          <w:b w:val="false"/>
          <w:i w:val="false"/>
          <w:caps w:val="false"/>
          <w:smallCaps w:val="false"/>
          <w:sz w:val="20"/>
        </w:rPr>
        <w:t xml:space="preserve">”: A release executed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An individual, partnership, corporation (including a business or statutory trust), limited liability company, joint stock company, trust, unincorporated association, sole proprietorship, joint venture, government (or any agency or political subdivision thereof) or other entity.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Pledged Portfolio</w:t>
      </w:r>
      <w:r>
        <w:rPr>
          <w:rFonts w:ascii="Times New Roman;Times;Serif" w:hAnsi="Times New Roman;Times;Serif"/>
          <w:b w:val="false"/>
          <w:i w:val="false"/>
          <w:caps w:val="false"/>
          <w:smallCaps w:val="false"/>
          <w:sz w:val="20"/>
        </w:rPr>
        <w:t>”: Each of the Receivables owned by the Borrower and pledged as Collateral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Post-Petition Receivable</w:t>
      </w:r>
      <w:r>
        <w:rPr>
          <w:rFonts w:ascii="Times New Roman;Times;Serif" w:hAnsi="Times New Roman;Times;Serif"/>
          <w:b w:val="false"/>
          <w:i w:val="false"/>
          <w:caps w:val="false"/>
          <w:smallCaps w:val="false"/>
          <w:sz w:val="20"/>
        </w:rPr>
        <w:t>”: A Receivable that was originated while the Obligor under such Receivable was the subject of any federal, state or other bankruptcy, insolvency or similar proceeding.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Potential Amortization Event</w:t>
      </w:r>
      <w:r>
        <w:rPr>
          <w:rFonts w:ascii="Times New Roman;Times;Serif" w:hAnsi="Times New Roman;Times;Serif"/>
          <w:b w:val="false"/>
          <w:i w:val="false"/>
          <w:caps w:val="false"/>
          <w:smallCaps w:val="false"/>
          <w:sz w:val="20"/>
        </w:rPr>
        <w:t>”: An event which, but for the lapse of time or the giving of notice, or both, would constitute an Amortization Event.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Potential Termination Event</w:t>
      </w:r>
      <w:r>
        <w:rPr>
          <w:rFonts w:ascii="Times New Roman;Times;Serif" w:hAnsi="Times New Roman;Times;Serif"/>
          <w:b w:val="false"/>
          <w:i w:val="false"/>
          <w:caps w:val="false"/>
          <w:smallCaps w:val="false"/>
          <w:sz w:val="20"/>
        </w:rPr>
        <w:t>”: Any event that, with the giving of notice or the lapse of time, or both, would become a Termination Event.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Amount Outstanding</w:t>
      </w:r>
      <w:r>
        <w:rPr>
          <w:rFonts w:ascii="Times New Roman;Times;Serif" w:hAnsi="Times New Roman;Times;Serif"/>
          <w:b w:val="false"/>
          <w:i w:val="false"/>
          <w:caps w:val="false"/>
          <w:smallCaps w:val="false"/>
          <w:sz w:val="20"/>
        </w:rPr>
        <w:t xml:space="preserve">”: On any date of determination, the positive excess, if any, of the sum of (i) the Initial Advance and (ii) the amount of any Subsequent Advance occurring on or prior to such date over the sum of (x) all Collections distributed to the Lenders in reduction of the Principal Amount Outstanding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hereof on or prior to such date of determination and (y) draws from the Reserve Account distributed to the Lenders in reduction of the Principal Amount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Balance</w:t>
      </w:r>
      <w:r>
        <w:rPr>
          <w:rFonts w:ascii="Times New Roman;Times;Serif" w:hAnsi="Times New Roman;Times;Serif"/>
          <w:b w:val="false"/>
          <w:i w:val="false"/>
          <w:caps w:val="false"/>
          <w:smallCaps w:val="false"/>
          <w:sz w:val="20"/>
        </w:rPr>
        <w:t xml:space="preserve">”: With respect to any Receivable, as of the close of business on the last day of a Collection Period, means the Amount Financed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all Collections collected by the Servicer to and including such day with respect to such Receivable and applied by the Servicer in accordance with the Servicer’s customary servicing procedures to reduce the principal balance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Principal Balance of any Receivable which is a “Defaulted Receivable” as defined herein shall be zero.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Collections</w:t>
      </w:r>
      <w:r>
        <w:rPr>
          <w:rFonts w:ascii="Times New Roman;Times;Serif" w:hAnsi="Times New Roman;Times;Serif"/>
          <w:b w:val="false"/>
          <w:i w:val="false"/>
          <w:caps w:val="false"/>
          <w:smallCaps w:val="false"/>
          <w:sz w:val="20"/>
        </w:rPr>
        <w:t>”: For any Remittance Date, the sum of the following amounts with respect to the preceding Collection Period: (i) that portion of all collections on Receivables allocable to principal, (ii) Liquidation Proceeds attributable to principal in accordance with the Servicer’s customary servicing procedures, (iii) partial prepayments of any refunded item included in the Amount Financed, such as extended warranty protection plan costs, or physical damage, credit life, or disability insurance premiums, and (iv) the portion of the Release Prices representing the Principal Balance of each Receivable that became an Ineligible Receivable during such Collection Period, to the extent received from the Borrower during such Collection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The Purchase Agreement, dated as of the Closing Date, between the Seller and the Borrower, as such agreement may be amended from time to time pursuant to the terms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Discount</w:t>
      </w:r>
      <w:r>
        <w:rPr>
          <w:rFonts w:ascii="Times New Roman;Times;Serif" w:hAnsi="Times New Roman;Times;Serif"/>
          <w:b w:val="false"/>
          <w:i w:val="false"/>
          <w:caps w:val="false"/>
          <w:smallCaps w:val="false"/>
          <w:sz w:val="20"/>
        </w:rPr>
        <w:t>”: For any Receivable, “NETACQFEE” as reflected in the data tape fields delivered prior to each Addition Date, which amount shall represent the difference between the original Principal Balance of the related Receivable and the amount paid by the Seller to the Dealer for such Receivable (without giving effect to the Seller netting from such amount the first payment due with respect to such Receivable), taken as a percentage of the original Principal Balance of the related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Institution</w:t>
      </w:r>
      <w:r>
        <w:rPr>
          <w:rFonts w:ascii="Times New Roman;Times;Serif" w:hAnsi="Times New Roman;Times;Serif"/>
          <w:b w:val="false"/>
          <w:i w:val="false"/>
          <w:caps w:val="false"/>
          <w:smallCaps w:val="false"/>
          <w:sz w:val="20"/>
        </w:rPr>
        <w:t>”: Means (a) the corporate trust department of any depository institution or trust company with a long-term issuer rating from S&amp;P and Moody’s signifying investment grade, or (b) any depository institution or trust company organized under the laws of the United States or any State (or any domestic branch of a foreign bank), (i) (A) that meets or the parent of which meets, either (1) the Long-Term Rating Requirement or (2) the Short-Term Rating Requirement or (B) is otherwise acceptable to the Administrative Agent and (ii) in the case of a depository institution whose deposits are insured by the Federal Deposit Insurance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System</w:t>
      </w:r>
      <w:r>
        <w:rPr>
          <w:rFonts w:ascii="Times New Roman;Times;Serif" w:hAnsi="Times New Roman;Times;Serif"/>
          <w:b w:val="false"/>
          <w:i w:val="false"/>
          <w:caps w:val="false"/>
          <w:smallCaps w:val="false"/>
          <w:sz w:val="20"/>
        </w:rPr>
        <w:t>”: Any of (i) an internal system maintained by and directly under the control of any of the Entity Group, (ii) the e-vault system maintained by E-Vault Provider 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ii</w:t>
      </w: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sz w:val="20"/>
        </w:rPr>
        <w:t>) any other electronic vaulting system for electronic chattel paper which is satisfactory to the Administrative Agent.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Ramp-up Period</w:t>
      </w:r>
      <w:r>
        <w:rPr>
          <w:rFonts w:ascii="Times New Roman;Times;Serif" w:hAnsi="Times New Roman;Times;Serif"/>
          <w:b w:val="false"/>
          <w:i w:val="false"/>
          <w:caps w:val="false"/>
          <w:smallCaps w:val="false"/>
          <w:sz w:val="20"/>
        </w:rPr>
        <w:t xml:space="preserve">”: The period beginning on the date of any Securitization </w:t>
      </w:r>
      <w:r>
        <w:rPr>
          <w:rFonts w:ascii="Times New Roman;Times;Serif" w:hAnsi="Times New Roman;Times;Serif"/>
          <w:b w:val="false"/>
          <w:i w:val="false"/>
          <w:caps w:val="false"/>
          <w:smallCaps w:val="false"/>
          <w:color w:val="0000FF"/>
          <w:sz w:val="20"/>
          <w:u w:val="single"/>
        </w:rPr>
        <w:t>Transaction</w:t>
      </w:r>
      <w:r>
        <w:rPr>
          <w:rFonts w:ascii="Times New Roman;Times;Serif" w:hAnsi="Times New Roman;Times;Serif"/>
          <w:b w:val="false"/>
          <w:i w:val="false"/>
          <w:caps w:val="false"/>
          <w:smallCaps w:val="false"/>
          <w:sz w:val="20"/>
        </w:rPr>
        <w:t xml:space="preserve"> and ending on the conclusion of the Collection Period relating to the third Remittance Date following the date of such Securitization </w:t>
      </w:r>
      <w:r>
        <w:rPr>
          <w:rFonts w:ascii="Times New Roman;Times;Serif" w:hAnsi="Times New Roman;Times;Serif"/>
          <w:b w:val="false"/>
          <w:i w:val="false"/>
          <w:caps w:val="false"/>
          <w:smallCaps w:val="false"/>
          <w:color w:val="0000FF"/>
          <w:sz w:val="20"/>
          <w:u w:val="single"/>
        </w:rPr>
        <w:t>Transaction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w:t>
      </w:r>
      <w:r>
        <w:rPr>
          <w:rFonts w:ascii="Times New Roman;Times;Serif" w:hAnsi="Times New Roman;Times;Serif"/>
          <w:b w:val="false"/>
          <w:i w:val="false"/>
          <w:caps w:val="false"/>
          <w:smallCaps w:val="false"/>
          <w:sz w:val="20"/>
        </w:rPr>
        <w:t xml:space="preserve">”: Indebtedness owed to the Seller or the Borrower by an Obligor (without giving effect to any transfer hereunder) under a Contract included on the Receivables Schedule, whether constituting an account, chattel paper, instrument or general intangible, arising out of or in connection with the sale, refinancing or loan made with respect to a Financed Vehicle, and includes the right of payment of any finance charges and other obligations of the Obligor with respect thereto. Notwithstanding the foregoing, once the Administrative Agent has released its security interest in a Receivable and the related Contract in accordance with the terms of this Agreement, such Receivable shall no longer be a Receivable hereunder;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no Receivable shall be released without the consent of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 Receipt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 xml:space="preserve">, such receipt to be substantially in the form attached hereto as </w:t>
      </w:r>
      <w:r>
        <w:rPr>
          <w:rFonts w:ascii="Times New Roman;Times;Serif" w:hAnsi="Times New Roman;Times;Serif"/>
          <w:b w:val="false"/>
          <w:i w:val="false"/>
          <w:caps w:val="false"/>
          <w:smallCaps w:val="false"/>
          <w:sz w:val="20"/>
          <w:u w:val="single"/>
        </w:rPr>
        <w:t>Exhibit K</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Schedule</w:t>
      </w:r>
      <w:r>
        <w:rPr>
          <w:rFonts w:ascii="Times New Roman;Times;Serif" w:hAnsi="Times New Roman;Times;Serif"/>
          <w:b w:val="false"/>
          <w:i w:val="false"/>
          <w:caps w:val="false"/>
          <w:smallCaps w:val="false"/>
          <w:sz w:val="20"/>
        </w:rPr>
        <w:t xml:space="preserve">”: The schedule of Receivables attached hereto as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as updated from time to time in connection with each Advance.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A Lender Group Agent, a Lender, the Administrative Agent or other recipient of payments made by the Borrower in respect of any Loan or any other payments made by the Borrower under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Reduction Notice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13.1(d)</w:t>
      </w:r>
      <w:r>
        <w:rPr>
          <w:rFonts w:ascii="Times New Roman;Times;Serif" w:hAnsi="Times New Roman;Times;Serif"/>
          <w:b w:val="false"/>
          <w:i w:val="false"/>
          <w:caps w:val="false"/>
          <w:smallCaps w:val="false"/>
          <w:sz w:val="20"/>
        </w:rPr>
        <w:t>.</w:t>
      </w:r>
    </w:p>
    <w:p>
      <w:pPr>
        <w:pStyle w:val="TextBody"/>
        <w:bidi w:val="0"/>
        <w:spacing w:before="0" w:after="0"/>
        <w:ind w:left="2160" w:right="4219" w:hanging="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Registrar of Titles</w:t>
      </w:r>
      <w:r>
        <w:rPr>
          <w:rFonts w:ascii="Times New Roman;Times;Serif" w:hAnsi="Times New Roman;Times;Serif"/>
          <w:b w:val="false"/>
          <w:i w:val="false"/>
          <w:caps w:val="false"/>
          <w:smallCaps w:val="false"/>
          <w:sz w:val="20"/>
        </w:rPr>
        <w:t>”: With respect to any State, the governmental agency or body responsible for the registration of, and the issuance of certificates of title relating to, motor vehicles and liens thereon.</w:t>
      </w:r>
    </w:p>
    <w:p>
      <w:pPr>
        <w:pStyle w:val="TextBody"/>
        <w:bidi w:val="0"/>
        <w:spacing w:before="0" w:after="0"/>
        <w:ind w:left="1440" w:right="434" w:firstLine="72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Reinstated Receivable</w:t>
      </w:r>
      <w:r>
        <w:rPr>
          <w:rFonts w:ascii="Times New Roman;Times;Serif" w:hAnsi="Times New Roman;Times;Serif"/>
          <w:b w:val="false"/>
          <w:i w:val="false"/>
          <w:caps w:val="false"/>
          <w:smallCaps w:val="false"/>
          <w:sz w:val="20"/>
        </w:rPr>
        <w:t>”: Any Receivable which previously became a Defaulted Receivable, the Obligor of which has made payments on such Receivable sufficient to include all amounts previously delinquent and unpaid. A Receivable may only be determined to be a Reinstated Receivable once.</w:t>
      </w:r>
    </w:p>
    <w:p>
      <w:pPr>
        <w:pStyle w:val="TextBody"/>
        <w:bidi w:val="0"/>
        <w:spacing w:before="0" w:after="0"/>
        <w:ind w:left="1440" w:right="402" w:firstLine="72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 Price</w:t>
      </w:r>
      <w:r>
        <w:rPr>
          <w:rFonts w:ascii="Times New Roman;Times;Serif" w:hAnsi="Times New Roman;Times;Serif"/>
          <w:b w:val="false"/>
          <w:i w:val="false"/>
          <w:caps w:val="false"/>
          <w:smallCaps w:val="false"/>
          <w:sz w:val="20"/>
        </w:rPr>
        <w:t xml:space="preserve">”: An amount equal to the Principal Balance of each Receivable retransferred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accrued and unpaid interest on such Receivable (at the related APR) and all Breakage Costs.</w:t>
      </w:r>
    </w:p>
    <w:p>
      <w:pPr>
        <w:pStyle w:val="TextBody"/>
        <w:bidi w:val="0"/>
        <w:spacing w:before="0" w:after="0"/>
        <w:ind w:left="1440" w:right="430" w:firstLine="72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UCC State</w:t>
      </w:r>
      <w:r>
        <w:rPr>
          <w:rFonts w:ascii="Times New Roman;Times;Serif" w:hAnsi="Times New Roman;Times;Serif"/>
          <w:b w:val="false"/>
          <w:i w:val="false"/>
          <w:caps w:val="false"/>
          <w:smallCaps w:val="false"/>
          <w:sz w:val="20"/>
        </w:rPr>
        <w:t>”: The States of Delaware, New York, California and Minnesota. “</w:t>
      </w:r>
      <w:r>
        <w:rPr>
          <w:rFonts w:ascii="Times New Roman;Times;Serif" w:hAnsi="Times New Roman;Times;Serif"/>
          <w:b w:val="false"/>
          <w:i w:val="false"/>
          <w:caps w:val="false"/>
          <w:smallCaps w:val="false"/>
          <w:sz w:val="20"/>
          <w:u w:val="single"/>
        </w:rPr>
        <w:t>Remittance Date</w:t>
      </w:r>
      <w:r>
        <w:rPr>
          <w:rFonts w:ascii="Times New Roman;Times;Serif" w:hAnsi="Times New Roman;Times;Serif"/>
          <w:b w:val="false"/>
          <w:i w:val="false"/>
          <w:caps w:val="false"/>
          <w:smallCaps w:val="false"/>
          <w:sz w:val="20"/>
        </w:rPr>
        <w:t>”: The 15th day of each calendar month or, if any such day is not a Business Day, the next Business Day, starting in November 2025.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Any of the events set forth in Section 4043(c) of ERISA for which the thirty (30) day notice provision has not been waived.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 for Release of Custodian File</w:t>
      </w:r>
      <w:r>
        <w:rPr>
          <w:rFonts w:ascii="Times New Roman;Times;Serif" w:hAnsi="Times New Roman;Times;Serif"/>
          <w:b w:val="false"/>
          <w:i w:val="false"/>
          <w:caps w:val="false"/>
          <w:smallCaps w:val="false"/>
          <w:sz w:val="20"/>
        </w:rPr>
        <w:t xml:space="preserve">”: A request to the Custodian for the release of physical Custodian Files in the form of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attached 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Legend</w:t>
      </w:r>
      <w:r>
        <w:rPr>
          <w:rFonts w:ascii="Times New Roman;Times;Serif" w:hAnsi="Times New Roman;Times;Serif"/>
          <w:b w:val="false"/>
          <w:i w:val="false"/>
          <w:caps w:val="false"/>
          <w:smallCaps w:val="false"/>
          <w:sz w:val="20"/>
        </w:rPr>
        <w:t>” shall mean a watermark notation applied by the Electronic Vault System to every page of an Electronic Contract that reads “Page Eleven Funding LLC, with Capital One, as the Administrative Agent, as secured party through its designated custodian Computershare Trust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(a) At any time that the Class A Loans are outstanding, Lender Groups whose Lender Group Shares are, in the aggregate, in excess of two thirds of the Class A Commitment, (b) after the Class A Loans have been paid in full, Lender Groups whose Lender Group Shares are, in the aggregate, in excess of two thirds of the Class B Commitment.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Reserve Account Balance</w:t>
      </w:r>
      <w:r>
        <w:rPr>
          <w:rFonts w:ascii="Times New Roman;Times;Serif" w:hAnsi="Times New Roman;Times;Serif"/>
          <w:b w:val="false"/>
          <w:i w:val="false"/>
          <w:caps w:val="false"/>
          <w:smallCaps w:val="false"/>
          <w:sz w:val="20"/>
        </w:rPr>
        <w:t>”: An amount equal to the greater of (a) [***] of the aggregate Principal Balance of all Eligible Receivables, minus any Excess Concentration Amounts, and (b) [***]; provided further, however, on any day on which the Principal Amount Outstanding is [***], the Required Reserve Account Balance shall be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Reserve Account Balance Shortfall</w:t>
      </w:r>
      <w:r>
        <w:rPr>
          <w:rFonts w:ascii="Times New Roman;Times;Serif" w:hAnsi="Times New Roman;Times;Serif"/>
          <w:b w:val="false"/>
          <w:i w:val="false"/>
          <w:caps w:val="false"/>
          <w:smallCaps w:val="false"/>
          <w:sz w:val="20"/>
        </w:rPr>
        <w:t>”: On any Remittance Date, an amount equal to the greater of (x) [***] and (y) the amount by which the Required Reserve Account Balance exceeds the amount on deposit in the Reserve Account on such Remittance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Requirements of Law</w:t>
      </w:r>
      <w:r>
        <w:rPr>
          <w:rFonts w:ascii="Times New Roman;Times;Serif" w:hAnsi="Times New Roman;Times;Serif"/>
          <w:b w:val="false"/>
          <w:i w:val="false"/>
          <w:caps w:val="false"/>
          <w:smallCaps w:val="false"/>
          <w:sz w:val="20"/>
        </w:rPr>
        <w:t>”: For any Person shall mean the certificate of incorporation or articles of association and by-laws or other organizational or governing documents of such Person, and any law, treaty, rule or regulation, or determination of an arbitrator or Governmental Authority, in each case applicable to or binding upon such Person or to which such Person is subject, whether Federal, state or local (including usury laws, the Federal Truth in Lending Act and Regulation Z and Regulation B of the Board of Governors of the Federal Reserve System).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 Account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 Account Amount</w:t>
      </w:r>
      <w:r>
        <w:rPr>
          <w:rFonts w:ascii="Times New Roman;Times;Serif" w:hAnsi="Times New Roman;Times;Serif"/>
          <w:b w:val="false"/>
          <w:i w:val="false"/>
          <w:caps w:val="false"/>
          <w:smallCaps w:val="false"/>
          <w:sz w:val="20"/>
        </w:rPr>
        <w:t>”: On any day, the amount on deposit in the Reserve Account.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When used with respect to any Person, any officer of such Person, including any president, vice president, assistant vice president, secretary, assistant secretary or any other officer thereof customarily performing functions similar to those performed by the individuals who at the time shall be such officers, (and which, in the case of the Backup Servicer, Custodian and Paying Agent, shall be in the Corporate Trust Office of such Person), respectively, having direct responsibility for the administration of the Transaction Documents or to whom any matter is referred because of such officer’s knowledge of or familiarity with the particular subject.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Retiring Lender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Period</w:t>
      </w:r>
      <w:r>
        <w:rPr>
          <w:rFonts w:ascii="Times New Roman;Times;Serif" w:hAnsi="Times New Roman;Times;Serif"/>
          <w:b w:val="false"/>
          <w:i w:val="false"/>
          <w:caps w:val="false"/>
          <w:smallCaps w:val="false"/>
          <w:sz w:val="20"/>
        </w:rPr>
        <w:t>”: The period commencing on the Closing Date and ending on the day immediately preceding the Commitment Termination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Economic or financial sanctions or trade embargoes imposed, administered or enforced from time to time by (a) the U.S. government, including those administered by the OFAC or the U.S. Department of State, or (b) the United Nations Security Council, the European Union, any European Union member state, His Majesty’s Treasury of the United Kingdom or other relevant sanctions authority.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At any time, a country or territory which is the subject or target of any Sanctions.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At any time, (a) any Person listed in any Sanctions-related list of Designated Persons maintained by OFAC, the U.S. Department of State, or by the United Nations Security Council, the European Union, any EU member state, His Majesty’s Treasury of the United Kingdom or other relevant sanctions authority, (b) any Person operating, organized or resident in a Sanctioned Country, (c) any Person controlled by any such Person or Persons described in the foregoing clauses (a) or (b), or (d) any Person otherwise the subject of any Sanctions.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Target</w:t>
      </w:r>
      <w:r>
        <w:rPr>
          <w:rFonts w:ascii="Times New Roman;Times;Serif" w:hAnsi="Times New Roman;Times;Serif"/>
          <w:b w:val="false"/>
          <w:i w:val="false"/>
          <w:caps w:val="false"/>
          <w:smallCaps w:val="false"/>
          <w:sz w:val="20"/>
        </w:rPr>
        <w:t>”: Any target of Sanctions, including: (a) Persons on any list of targets identified or designated pursuant to any Sanctions, (b) Persons, countries, or territories that are the target of any territorial or country-based Sanctions program, (c) Persons that are a target of Sanctions due to their ownership or control by any Sanctioned Target(s), or (d) otherwise a target of Sanctions, including vessels and aircraft, that are designated under any Sanctions program.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Laws and Regulations</w:t>
      </w:r>
      <w:r>
        <w:rPr>
          <w:rFonts w:ascii="Times New Roman;Times;Serif" w:hAnsi="Times New Roman;Times;Serif"/>
          <w:b w:val="false"/>
          <w:i w:val="false"/>
          <w:caps w:val="false"/>
          <w:smallCaps w:val="false"/>
          <w:sz w:val="20"/>
        </w:rPr>
        <w:t>”: (a) Any sanctions, prohibitions or requirements imposed by any executive order (an “</w:t>
      </w:r>
      <w:r>
        <w:rPr>
          <w:rFonts w:ascii="Times New Roman;Times;Serif" w:hAnsi="Times New Roman;Times;Serif"/>
          <w:b w:val="false"/>
          <w:i/>
          <w:caps w:val="false"/>
          <w:smallCaps w:val="false"/>
          <w:sz w:val="20"/>
        </w:rPr>
        <w:t>Executive Order</w:t>
      </w:r>
      <w:r>
        <w:rPr>
          <w:rFonts w:ascii="Times New Roman;Times;Serif" w:hAnsi="Times New Roman;Times;Serif"/>
          <w:b w:val="false"/>
          <w:i w:val="false"/>
          <w:caps w:val="false"/>
          <w:smallCaps w:val="false"/>
          <w:sz w:val="20"/>
        </w:rPr>
        <w:t>”) or by any sanctions program administered by OFAC or the U.S. Department of State, and (b) any sanctions measures imposed by the United Nations Security Council, European Union or the United Kingdom.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 of Documents</w:t>
      </w:r>
      <w:r>
        <w:rPr>
          <w:rFonts w:ascii="Times New Roman;Times;Serif" w:hAnsi="Times New Roman;Times;Serif"/>
          <w:b w:val="false"/>
          <w:i w:val="false"/>
          <w:caps w:val="false"/>
          <w:smallCaps w:val="false"/>
          <w:sz w:val="20"/>
        </w:rPr>
        <w:t xml:space="preserve">”: The schedule of documents attached hereto as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Scheduled Payments</w:t>
      </w:r>
      <w:r>
        <w:rPr>
          <w:rFonts w:ascii="Times New Roman;Times;Serif" w:hAnsi="Times New Roman;Times;Serif"/>
          <w:b w:val="false"/>
          <w:i w:val="false"/>
          <w:caps w:val="false"/>
          <w:smallCaps w:val="false"/>
          <w:sz w:val="20"/>
        </w:rPr>
        <w:t>”: Regularly scheduled payments to be made by an Obligor pursuant to the terms of the related Contract.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The Administrative Agent for the benefit of the Lenders.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Securities Act of 1933.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Transaction</w:t>
      </w:r>
      <w:r>
        <w:rPr>
          <w:rFonts w:ascii="Times New Roman;Times;Serif" w:hAnsi="Times New Roman;Times;Serif"/>
          <w:b w:val="false"/>
          <w:i w:val="false"/>
          <w:caps w:val="false"/>
          <w:smallCaps w:val="false"/>
          <w:sz w:val="20"/>
        </w:rPr>
        <w:t>”: A term securitization of Receivables.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As defined in the preamble.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 Contract</w:t>
      </w:r>
      <w:r>
        <w:rPr>
          <w:rFonts w:ascii="Times New Roman;Times;Serif" w:hAnsi="Times New Roman;Times;Serif"/>
          <w:b w:val="false"/>
          <w:i w:val="false"/>
          <w:caps w:val="false"/>
          <w:smallCaps w:val="false"/>
          <w:sz w:val="20"/>
        </w:rPr>
        <w:t>” means, with respect to a Financed Vehicle, any third-party service contracts entered in by, or on behalf of, the Seller or Servicer.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w:t>
      </w:r>
      <w:r>
        <w:rPr>
          <w:rFonts w:ascii="Times New Roman;Times;Serif" w:hAnsi="Times New Roman;Times;Serif"/>
          <w:b w:val="false"/>
          <w:i w:val="false"/>
          <w:caps w:val="false"/>
          <w:smallCaps w:val="false"/>
          <w:sz w:val="20"/>
        </w:rPr>
        <w:t>”: As defined in the preamble.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 File</w:t>
      </w:r>
      <w:r>
        <w:rPr>
          <w:rFonts w:ascii="Times New Roman;Times;Serif" w:hAnsi="Times New Roman;Times;Serif"/>
          <w:b w:val="false"/>
          <w:i w:val="false"/>
          <w:caps w:val="false"/>
          <w:smallCaps w:val="false"/>
          <w:sz w:val="20"/>
        </w:rPr>
        <w:t>”: Each of the following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true and correct copy of the fully executed original of the Receivable;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original credit application, or a physical or electronic copy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such Receivable was not originated in a state in which the Obligor may maintain possession of the certificate of title, a true and correct copy of the original certificate of title with respect to the related Financed Vehicle;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such Receivable was originated in a state that provides the Obligor may maintain possession of the certificate of title and the Custodian does not maintain possession of the certificate of title, a true and correct copy of the Lien Certificate showing the Seller as sole lienholder, provided, that if the original lien certificate has not yet been received by the Custodian, a copy of the application therefor showing the Seller as secured party or a dealer guaranty of title shall suffice for purposes of clauses (iii) and (iv);</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agreement(s) modifying the Receivable (including, without limitation, any extension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copy of the Receivable for any supplemental warranty purchased with respect to the Financed Vehicle;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acceptable vehicle valuation documentation consisting of the dealer invoice or sticker for new cars and reference to the most recently published National Automobile Dealers Association Used Car Price Guide or Kelly Blue Book or similar vehicle valuation document, based on year, make and model of the related Financed Vehicle for used cars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documents specifically relating to the Obligor or the Financed Vehicle maintained by the Seller or its designee in its servicing files as of the date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referred to above may be maintained in microfiche or electronic form.</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 Termination Event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As defined in Section 7.9</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 Termination Notice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Servicing Fee”: The fee payable to the Servicer in accordance with Section 2.11(a).</w:t>
      </w:r>
    </w:p>
    <w:p>
      <w:pPr>
        <w:pStyle w:val="TextBody"/>
        <w:bidi w:val="0"/>
        <w:spacing w:before="0" w:after="0"/>
        <w:ind w:left="0" w:right="0" w:firstLine="1600"/>
        <w:jc w:val="left"/>
        <w:rPr>
          <w:color w:val="0000FF"/>
        </w:rPr>
      </w:pPr>
      <w:r>
        <w:rPr>
          <w:color w:val="0000FF"/>
        </w:rPr>
        <w:t> </w:t>
      </w:r>
    </w:p>
    <w:p>
      <w:pPr>
        <w:pStyle w:val="TextBody"/>
        <w:bidi w:val="0"/>
        <w:spacing w:before="0" w:after="0"/>
        <w:ind w:left="0" w:right="0" w:firstLine="80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Servicing Fee Rate”: [***] provided, however, that if a Successor Servicer is appointed, the Servicing Fee Rate shall be equal to the greater of 3.50% per annum and such other percentage approved by the Administrative Agent.</w:t>
      </w:r>
    </w:p>
    <w:p>
      <w:pPr>
        <w:pStyle w:val="TextBody"/>
        <w:bidi w:val="0"/>
        <w:spacing w:before="0" w:after="0"/>
        <w:ind w:left="1440" w:right="360" w:hanging="0"/>
        <w:jc w:val="left"/>
        <w:rPr>
          <w:caps w:val="false"/>
          <w:smallCaps w:val="false"/>
          <w:color w:val="0000FF"/>
        </w:rPr>
      </w:pPr>
      <w:r>
        <w:rPr>
          <w:caps w:val="false"/>
          <w:smallCaps w:val="false"/>
          <w:color w:val="0000FF"/>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Guidelines</w:t>
      </w:r>
      <w:r>
        <w:rPr>
          <w:rFonts w:ascii="Times New Roman;Times;Serif" w:hAnsi="Times New Roman;Times;Serif"/>
          <w:b w:val="false"/>
          <w:i w:val="false"/>
          <w:caps w:val="false"/>
          <w:smallCaps w:val="false"/>
          <w:sz w:val="20"/>
        </w:rPr>
        <w:t xml:space="preserve">”: With respect to the initial Servicer, the policies of the Servicer relating to the maintenance of Contracts and collection of Contracts,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as amended, modified, restated, replaced or otherwise supplemented from time to time within the applicable limitations of this Agreement or, with respect to any Successor Servicer, the customary credit and collection policies of such Successor Servicer.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Servicing Fee</w:t>
      </w:r>
      <w:r>
        <w:rPr>
          <w:rFonts w:ascii="Times New Roman;Times;Serif" w:hAnsi="Times New Roman;Times;Serif"/>
          <w:b w:val="false"/>
          <w:i w:val="false"/>
          <w:caps w:val="false"/>
          <w:smallCaps w:val="false"/>
          <w:strike/>
          <w:color w:val="FF0000"/>
          <w:sz w:val="20"/>
        </w:rPr>
        <w:t xml:space="preserve">”: The fee payable to the Servicer in accordance with </w:t>
      </w:r>
      <w:r>
        <w:rPr>
          <w:rFonts w:ascii="Times New Roman;Times;Serif" w:hAnsi="Times New Roman;Times;Serif"/>
          <w:b w:val="false"/>
          <w:i w:val="false"/>
          <w:caps w:val="false"/>
          <w:smallCaps w:val="false"/>
          <w:strike/>
          <w:color w:val="FF0000"/>
          <w:sz w:val="20"/>
          <w:u w:val="single"/>
        </w:rPr>
        <w:t>Section 2.11(a)</w:t>
      </w:r>
      <w:r>
        <w:rPr>
          <w:rFonts w:ascii="Times New Roman;Times;Serif" w:hAnsi="Times New Roman;Times;Serif"/>
          <w:b w:val="false"/>
          <w:i w:val="false"/>
          <w:caps w:val="false"/>
          <w:smallCaps w:val="false"/>
          <w:strike/>
          <w:color w:val="FF0000"/>
          <w:sz w:val="20"/>
        </w:rPr>
        <w:t>.</w:t>
      </w:r>
    </w:p>
    <w:p>
      <w:pPr>
        <w:pStyle w:val="TextBody"/>
        <w:bidi w:val="0"/>
        <w:spacing w:before="0" w:after="0"/>
        <w:ind w:left="2160" w:right="432" w:hanging="2400"/>
        <w:jc w:val="both"/>
        <w:rPr>
          <w:caps w:val="false"/>
          <w:smallCaps w:val="false"/>
          <w:color w:val="FF0000"/>
        </w:rPr>
      </w:pPr>
      <w:r>
        <w:rPr>
          <w:caps w:val="false"/>
          <w:smallCaps w:val="false"/>
          <w:color w:val="FF0000"/>
        </w:rPr>
        <w:t> </w:t>
      </w:r>
    </w:p>
    <w:p>
      <w:pPr>
        <w:pStyle w:val="TextBody"/>
        <w:bidi w:val="0"/>
        <w:spacing w:before="0" w:after="0"/>
        <w:ind w:left="0" w:right="0" w:firstLine="80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Servicing Fee Rate</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u w:val="single"/>
        </w:rPr>
        <w:t>[***]; provided</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u w:val="single"/>
        </w:rPr>
        <w:t>however</w:t>
      </w:r>
      <w:r>
        <w:rPr>
          <w:rFonts w:ascii="Times New Roman;Times;Serif" w:hAnsi="Times New Roman;Times;Serif"/>
          <w:b w:val="false"/>
          <w:i w:val="false"/>
          <w:caps w:val="false"/>
          <w:smallCaps w:val="false"/>
          <w:strike/>
          <w:color w:val="FF0000"/>
          <w:sz w:val="20"/>
        </w:rPr>
        <w:t>, that if a Successor Servicer is appointed, the Servicing Fee Rate shall be equal to the greater of 3.50% per annum and such other percentage approved by the Administrative Agent.</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Short-Term Rating Requirement</w:t>
      </w:r>
      <w:r>
        <w:rPr>
          <w:rFonts w:ascii="Times New Roman;Times;Serif" w:hAnsi="Times New Roman;Times;Serif"/>
          <w:b w:val="false"/>
          <w:i w:val="false"/>
          <w:caps w:val="false"/>
          <w:smallCaps w:val="false"/>
          <w:sz w:val="20"/>
        </w:rPr>
        <w:t>”: A short-term unsecured debt rating of not less than A-1 by Standard &amp; Poor’s and not less than P-1 by Moody’s.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A rate equal to the secured overnight financing rate as administered by the SOFR Administrator.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The Federal Reserve Bank of New York (or a successor administrator of the secured overnight financing rate).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Floor</w:t>
      </w:r>
      <w:r>
        <w:rPr>
          <w:rFonts w:ascii="Times New Roman;Times;Serif" w:hAnsi="Times New Roman;Times;Serif"/>
          <w:b w:val="false"/>
          <w:i w:val="false"/>
          <w:caps w:val="false"/>
          <w:smallCaps w:val="false"/>
          <w:sz w:val="20"/>
        </w:rPr>
        <w:t>”: A rate of interest equal to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As to any Person at any time,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 fair salable value of the property owned by such Person in an orderly liquidation of such Person is not less than the amount that will be required to pay the probable Liabilities of such Person on its debts as they become absolute and matured; (iii) such Person is able to realize upon its property and pay its debts and other liabilities (including disputed, contingent and unliquidated liabilities)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a business or a transaction, for which such Person’s property would constitute unreasonably small capital.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&amp; Poor’s</w:t>
      </w:r>
      <w:r>
        <w:rPr>
          <w:rFonts w:ascii="Times New Roman;Times;Serif" w:hAnsi="Times New Roman;Times;Serif"/>
          <w:b w:val="false"/>
          <w:i w:val="false"/>
          <w:caps w:val="false"/>
          <w:smallCaps w:val="false"/>
          <w:sz w:val="20"/>
        </w:rPr>
        <w:t>”: Standard &amp; Poor’s Ratings Services, a Standard &amp; Poor’s Financial Services LLC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w:t>
      </w:r>
      <w:r>
        <w:rPr>
          <w:rFonts w:ascii="Times New Roman;Times;Serif" w:hAnsi="Times New Roman;Times;Serif"/>
          <w:b w:val="false"/>
          <w:i w:val="false"/>
          <w:caps w:val="false"/>
          <w:smallCaps w:val="false"/>
          <w:sz w:val="20"/>
        </w:rPr>
        <w:t>”: Any state of the United States or the District of Columbia. “</w:t>
      </w:r>
      <w:r>
        <w:rPr>
          <w:rFonts w:ascii="Times New Roman;Times;Serif" w:hAnsi="Times New Roman;Times;Serif"/>
          <w:b w:val="false"/>
          <w:i w:val="false"/>
          <w:caps w:val="false"/>
          <w:smallCaps w:val="false"/>
          <w:sz w:val="20"/>
          <w:u w:val="single"/>
        </w:rPr>
        <w:t>Subsequent Advance</w:t>
      </w:r>
      <w:r>
        <w:rPr>
          <w:rFonts w:ascii="Times New Roman;Times;Serif" w:hAnsi="Times New Roman;Times;Serif"/>
          <w:b w:val="false"/>
          <w:i w:val="false"/>
          <w:caps w:val="false"/>
          <w:smallCaps w:val="false"/>
          <w:sz w:val="20"/>
        </w:rPr>
        <w:t>”: Each Advance made after the Closing Date. “</w:t>
      </w:r>
      <w:r>
        <w:rPr>
          <w:rFonts w:ascii="Times New Roman;Times;Serif" w:hAnsi="Times New Roman;Times;Serif"/>
          <w:b w:val="false"/>
          <w:i w:val="false"/>
          <w:caps w:val="false"/>
          <w:smallCaps w:val="false"/>
          <w:sz w:val="20"/>
          <w:u w:val="single"/>
        </w:rPr>
        <w:t>Subsequent Receivable</w:t>
      </w:r>
      <w:r>
        <w:rPr>
          <w:rFonts w:ascii="Times New Roman;Times;Serif" w:hAnsi="Times New Roman;Times;Serif"/>
          <w:b w:val="false"/>
          <w:i w:val="false"/>
          <w:caps w:val="false"/>
          <w:smallCaps w:val="false"/>
          <w:sz w:val="20"/>
        </w:rPr>
        <w:t>”: Each Receivable other than an Initial Receivable. “</w:t>
      </w:r>
      <w:r>
        <w:rPr>
          <w:rFonts w:ascii="Times New Roman;Times;Serif" w:hAnsi="Times New Roman;Times;Serif"/>
          <w:b w:val="false"/>
          <w:i w:val="false"/>
          <w:caps w:val="false"/>
          <w:smallCaps w:val="false"/>
          <w:sz w:val="20"/>
          <w:u w:val="single"/>
        </w:rPr>
        <w:t>Subservicer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7.3(c)</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Subservicing Agreement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7.3(c)</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With respect to a Person, any entity with respect to which more than [***] of the outstanding voting securities shall at any time be owned or controlled, directly or indirectly, by such Person and/or one or more of its Subsidiaries, or any similar business organization which is so owned or controlled.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Substitute Receivable</w:t>
      </w:r>
      <w:r>
        <w:rPr>
          <w:rFonts w:ascii="Times New Roman;Times;Serif" w:hAnsi="Times New Roman;Times;Serif"/>
          <w:b w:val="false"/>
          <w:i w:val="false"/>
          <w:caps w:val="false"/>
          <w:smallCaps w:val="false"/>
          <w:sz w:val="20"/>
        </w:rPr>
        <w:t xml:space="preserve">”: One or more Eligible Receivables not previously a part of the Collateral substituted for an Ineligible Receivable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with an aggregate Principal Balance and APR at least equal to that of the Ineligible Receivable being so substituted.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Servicer</w:t>
      </w:r>
      <w:r>
        <w:rPr>
          <w:rFonts w:ascii="Times New Roman;Times;Serif" w:hAnsi="Times New Roman;Times;Serif"/>
          <w:b w:val="false"/>
          <w:i w:val="false"/>
          <w:caps w:val="false"/>
          <w:smallCaps w:val="false"/>
          <w:sz w:val="20"/>
        </w:rPr>
        <w:t>”: The Backup Servicer or any other Eligible Servicer who succeeds to the authority, power, obligations and responsibilities of the Servicer hereunder in accordance with the provisions of Article Seven.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Supporting Obligation</w:t>
      </w:r>
      <w:r>
        <w:rPr>
          <w:rFonts w:ascii="Times New Roman;Times;Serif" w:hAnsi="Times New Roman;Times;Serif"/>
          <w:b w:val="false"/>
          <w:i w:val="false"/>
          <w:caps w:val="false"/>
          <w:smallCaps w:val="false"/>
          <w:sz w:val="20"/>
        </w:rPr>
        <w:t>” has the meaning given to such term in Section 9-102(a)(77) of the UCC.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 Description</w:t>
      </w:r>
      <w:r>
        <w:rPr>
          <w:rFonts w:ascii="Times New Roman;Times;Serif" w:hAnsi="Times New Roman;Times;Serif"/>
          <w:b w:val="false"/>
          <w:i w:val="false"/>
          <w:caps w:val="false"/>
          <w:smallCaps w:val="false"/>
          <w:sz w:val="20"/>
        </w:rPr>
        <w:t>”: The written description of the Electronic Vault System provided by the Electronic Vault Provider and referenced in the Master Electronic Collateral Control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Tangible Net Worth</w:t>
      </w:r>
      <w:r>
        <w:rPr>
          <w:rFonts w:ascii="Times New Roman;Times;Serif" w:hAnsi="Times New Roman;Times;Serif"/>
          <w:b w:val="false"/>
          <w:i w:val="false"/>
          <w:caps w:val="false"/>
          <w:smallCaps w:val="false"/>
          <w:sz w:val="20"/>
        </w:rPr>
        <w:t>”: With respect to any Person, the net worth of such Person calculated in accordance with GAAP after subtracting therefrom the aggregate amount of such Person’s deferred tax assets and intangible assets, including goodwill, franchises, licenses, patents, trademarks, tradenames, copyrights and service marks.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Targeted Monthly Principal Payment</w:t>
      </w:r>
      <w:r>
        <w:rPr>
          <w:rFonts w:ascii="Times New Roman;Times;Serif" w:hAnsi="Times New Roman;Times;Serif"/>
          <w:b w:val="false"/>
          <w:i w:val="false"/>
          <w:caps w:val="false"/>
          <w:smallCaps w:val="false"/>
          <w:sz w:val="20"/>
        </w:rPr>
        <w:t>”: With respect to each Remittance Date (a) occurring prior to the occurrence of a Termination Event, the amount necessary to reduce the Principal Amount Outstanding to the Borrowing Base and (b) occurring on and after the occurrence of a Termination Event, an amount equal to the Principal Amount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or Taxes</w:t>
      </w:r>
      <w:r>
        <w:rPr>
          <w:rFonts w:ascii="Times New Roman;Times;Serif" w:hAnsi="Times New Roman;Times;Serif"/>
          <w:b w:val="false"/>
          <w:i w:val="false"/>
          <w:caps w:val="false"/>
          <w:smallCaps w:val="false"/>
          <w:sz w:val="20"/>
        </w:rPr>
        <w:t>”: Any present or future taxes, levies, imposts, duties, charges, assessments or fees of any nature (including interest, penalties and additions thereto) that are imposed by any Government Authority.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The earlier to occur of (i) the Commitment Termination Date, and (ii) the date of the declaration of the Termination Date pursuant to </w:t>
      </w:r>
      <w:r>
        <w:rPr>
          <w:rFonts w:ascii="Times New Roman;Times;Serif" w:hAnsi="Times New Roman;Times;Serif"/>
          <w:b w:val="false"/>
          <w:i w:val="false"/>
          <w:caps w:val="false"/>
          <w:smallCaps w:val="false"/>
          <w:sz w:val="20"/>
          <w:u w:val="single"/>
        </w:rPr>
        <w:t>Section 10.1(a)(i)</w:t>
      </w:r>
      <w:r>
        <w:rPr>
          <w:rFonts w:ascii="Times New Roman;Times;Serif" w:hAnsi="Times New Roman;Times;Serif"/>
          <w:b w:val="false"/>
          <w:i w:val="false"/>
          <w:caps w:val="false"/>
          <w:smallCaps w:val="false"/>
          <w:sz w:val="20"/>
        </w:rPr>
        <w:t>, following the occurrence of a Termination Event.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Event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Loan</w:t>
      </w:r>
      <w:r>
        <w:rPr>
          <w:rFonts w:ascii="Times New Roman;Times;Serif" w:hAnsi="Times New Roman;Times;Serif"/>
          <w:b w:val="false"/>
          <w:i w:val="false"/>
          <w:caps w:val="false"/>
          <w:smallCaps w:val="false"/>
          <w:sz w:val="20"/>
        </w:rPr>
        <w:t>”: The Term SOFR Reference Rate for an applicable tenor of one (1) month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that is two (2) U.S. Government Securities Business Days prior to the first day of such Collection Period, as such rate is published by the SOFR Administrator; provided, however, that if as of 5:00 p.m. (New York City time) on any Periodic Term SOFR Determination Day the Term SOFR Reference Rate for the applicable tenor has not been published by the SOFR Administrator and a Benchmark Replacement Date with respect to the Term SOFR Reference Rate has not occurred, then Term SOFR will be the Term SOFR Reference Rate for such tenor as published by the SOFR Administrator on the first preceding U.S. Government Securities Business Day for which such Term SOFR Reference Rate for such tenor was published by the SOFR Administrator so long as such first preceding U.S. Government Securities Business Day is not more than three (3) U.S. Government Securities Business Days prior to such Periodic Term SOFR Determination Day; provided, further, that if Term SOFR determined as provided above (including pursuant to the immediately preceding proviso) shall ever be less than the Floor Rate, then Term SOFR shall be deemed to be the Floor Rate.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Loan</w:t>
      </w:r>
      <w:r>
        <w:rPr>
          <w:rFonts w:ascii="Times New Roman;Times;Serif" w:hAnsi="Times New Roman;Times;Serif"/>
          <w:b w:val="false"/>
          <w:i w:val="false"/>
          <w:caps w:val="false"/>
          <w:smallCaps w:val="false"/>
          <w:sz w:val="20"/>
        </w:rPr>
        <w:t>” means any Loan that bears interest by reference to Term SOFR. “</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 for an applicable tenor of one (1) month.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This Agreement, the Limited Liability Company Agreement, the Purchase Agreement, the Fee Letter, the Custodian Fee Letter, the MECCA Joinder, and any other document, certificate, opinion, agreement or writing the execution of which is necessary or incidental to carrying out the transactions contemplated by this Agreement or any of the other foregoing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Turbo Event</w:t>
      </w:r>
      <w:r>
        <w:rPr>
          <w:rFonts w:ascii="Times New Roman;Times;Serif" w:hAnsi="Times New Roman;Times;Serif"/>
          <w:b w:val="false"/>
          <w:i w:val="false"/>
          <w:caps w:val="false"/>
          <w:smallCaps w:val="false"/>
          <w:sz w:val="20"/>
        </w:rPr>
        <w:t>”: Any of (i) the failure of the Borrower to comply with its obligations to engage in a Securitization Transaction beyond 270 days after the most recent Securitization Transaction or (ii) as of the last day of each calendar quarter during the Revolving Period, the failure of CPS to have sold to the Borrower, for inclusion in the Collateral, not less than [***] of all automobile receivables originated or acquired from Dealers by CPS or its Affiliates in the ordinary course of business consistent with CPS’s past securitizations (and which may include receivables acquired by CPS in a clean-up call of existing CPS-sponsored Securitizations).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The Benchmark Replacement excluding the Benchmark Replacement Adjustment.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Uniform Commercial Code or UCC</w:t>
      </w:r>
      <w:r>
        <w:rPr>
          <w:rFonts w:ascii="Times New Roman;Times;Serif" w:hAnsi="Times New Roman;Times;Serif"/>
          <w:b w:val="false"/>
          <w:i w:val="false"/>
          <w:caps w:val="false"/>
          <w:smallCaps w:val="false"/>
          <w:sz w:val="20"/>
        </w:rPr>
        <w:t>”: The Uniform Commercial Code as adopted in the Relevant UCC State.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The United States of America.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Unused Fee</w:t>
      </w:r>
      <w:r>
        <w:rPr>
          <w:rFonts w:ascii="Times New Roman;Times;Serif" w:hAnsi="Times New Roman;Times;Serif"/>
          <w:b w:val="false"/>
          <w:i w:val="false"/>
          <w:caps w:val="false"/>
          <w:smallCaps w:val="false"/>
          <w:sz w:val="20"/>
        </w:rPr>
        <w:t>”: The Class A Unused Fee together with the Class B Unused Fee.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 xml:space="preserve">U.S. Government Securities Business </w:t>
      </w:r>
      <w:r>
        <w:rPr>
          <w:rFonts w:ascii="Times New Roman;Times;Serif" w:hAnsi="Times New Roman;Times;Serif"/>
          <w:b w:val="false"/>
          <w:i w:val="false"/>
          <w:caps w:val="false"/>
          <w:smallCaps w:val="false"/>
          <w:sz w:val="20"/>
        </w:rPr>
        <w:t>Day”: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Yield Protection Reimbursement Amount</w:t>
      </w:r>
      <w:r>
        <w:rPr>
          <w:rFonts w:ascii="Times New Roman;Times;Serif" w:hAnsi="Times New Roman;Times;Serif"/>
          <w:b w:val="false"/>
          <w:i w:val="false"/>
          <w:caps w:val="false"/>
          <w:smallCaps w:val="false"/>
          <w:sz w:val="20"/>
        </w:rPr>
        <w:t xml:space="preserve">”: An increase in the cost to an Indemnified Party with respect to this Agreement, the Loans, the Principal Amount Outstanding, the Collateral or the obligations of such Indemnified Party hereunder by an amount deemed material to such Indemnified Party due to the occurrence of a Yield Protection Reimbursement Event. The Borrower shall, within thirty (30) days after demand by the related Indemnified Party, pay to such Indemnified Party such Yield Protection Reimbursement Amount on an after-tax basis (with respect to Taxes imposed by any jurisdiction);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no such amount shall be payable with respect to any period commencing more than thirty (30) days prior to the date such Indemnified Party first notified the Borrower of its intention to demand compensation therefor.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Yield Protection Reimbursement Event</w:t>
      </w:r>
      <w:r>
        <w:rPr>
          <w:rFonts w:ascii="Times New Roman;Times;Serif" w:hAnsi="Times New Roman;Times;Serif"/>
          <w:b w:val="false"/>
          <w:i w:val="false"/>
          <w:caps w:val="false"/>
          <w:smallCaps w:val="false"/>
          <w:sz w:val="20"/>
        </w:rPr>
        <w:t>”: The adoption of any Law or bank regulatory guideline or any amendment or change in the interpretation of any existing or future Law or bank regulatory guideline by any Official Body charged with the administration, interpretation or application thereof, or the compliance with any directive of any Official Body (in the case of any bank regulatory guideline, whether or not having the force of Law) which: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subjects any Indemnified Party to any tax, duty or other charge (other than Excluded Taxes, Indemnified Taxes and Connection Income Taxes) with respect to this Agreement, the Loans, the Principal Amount Outstanding, the Collateral or payments of amounts due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imposes, modifies or deems applicable any reserve, special deposit or similar requirement (including any such requirement imposed by the Board of Governors of the Federal Reserve System) against assets of, deposits with or for the account of, or credit extended by, any Indemnified Party or shall impose on any Indemnified Party or on the United States market for certificates of deposit or the London interbank market any other condition affecting, or</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imposes upon any Indemnified Party any other expense (including reasonable attorneys’ fees and expenses, and expenses of litigation or preparation therefor in contesting any of the foregoing), with respect to this Agreement, the Loans, the Principal Amount Outstanding, the Collateral or payments of amounts due hereunder or otherwise in respect of this Agreement, the Loans, the Principal Amount Outstanding or the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1.2. </w:t>
      </w:r>
      <w:r>
        <w:rPr>
          <w:rFonts w:ascii="Times New Roman;Times;Serif" w:hAnsi="Times New Roman;Times;Serif"/>
          <w:b/>
          <w:i w:val="false"/>
          <w:caps w:val="false"/>
          <w:smallCaps w:val="false"/>
          <w:sz w:val="20"/>
          <w:u w:val="single"/>
        </w:rPr>
        <w:t>Accounting Terms and Determinations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or specified herein, all accounting terms shall be construed herein, all accounting determinations hereunder shall be made, all financial statements required to be delivered hereunder shall be prepared and all financial records shall be maintained in accordance with GAAP.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1.3. </w:t>
      </w:r>
      <w:r>
        <w:rPr>
          <w:rFonts w:ascii="Times New Roman;Times;Serif" w:hAnsi="Times New Roman;Times;Serif"/>
          <w:b/>
          <w:i w:val="false"/>
          <w:caps w:val="false"/>
          <w:smallCaps w:val="false"/>
          <w:sz w:val="20"/>
          <w:u w:val="single"/>
        </w:rPr>
        <w:t>Computation of Time Periods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this Agreement, in the computation of a period of time from a specified date to a later specified date, the word “from” means “from and including” and the words “to” and “until” each mean “to but excluding”.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1.4. </w:t>
      </w:r>
      <w:r>
        <w:rPr>
          <w:rFonts w:ascii="Times New Roman;Times;Serif" w:hAnsi="Times New Roman;Times;Serif"/>
          <w:b/>
          <w:i w:val="false"/>
          <w:caps w:val="false"/>
          <w:smallCaps w:val="false"/>
          <w:sz w:val="20"/>
          <w:u w:val="single"/>
        </w:rPr>
        <w:t>Interpretation</w:t>
      </w:r>
      <w:r>
        <w:rPr>
          <w:rFonts w:ascii="Times New Roman;Times;Serif" w:hAnsi="Times New Roman;Times;Serif"/>
          <w:b/>
          <w:i w:val="false"/>
          <w:caps w:val="false"/>
          <w:smallCaps w:val="false"/>
          <w:sz w:val="20"/>
        </w:rPr>
        <w: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Agreement, unless a contrary intention appears: (i) a term has the meaning assigned to it; (ii) an accounting term not otherwise defined has the meaning assigned to it in accordance with GAAP; (iii) “or” is not exclusive; (iv) “including” means including without limitation; (v) words in the singular include the plural and words in the plural include the singular; (vi) 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(vii) references to a Person are also to its successors and permitted assigns; (viii) the words “hereof”, “herein” and “hereunder” and words of similar import when used in this Agreement shall refer to this Agreement as a whole and not to any particular provision hereof; (ix)  references contained herein to Section, Schedule and Exhibit, as applicable, are references to Sections, Schedules and Exhibits in this Agreement unless otherwise specified; (x) references to “writing” include printing, typing, lithography and other means of reproducing words in a visible form; and (xi) the term “proceeds” has the meaning set forth in the applicable UCC.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 </w:t>
      </w:r>
      <w:r>
        <w:rPr>
          <w:rFonts w:ascii="Times New Roman;Times;Serif" w:hAnsi="Times New Roman;Times;Serif"/>
          <w:b/>
          <w:i w:val="false"/>
          <w:caps w:val="false"/>
          <w:smallCaps w:val="false"/>
          <w:sz w:val="20"/>
          <w:u w:val="single"/>
        </w:rPr>
        <w:t>Coordination of Requests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and the Administrative Agent will make commercially reasonable efforts to coordinate any requests to the Borrower and/or the Servicer for information, reports, data, analyses, dates for any requested site visits or audits or any other deliverables or accommodations to be made by the Borrower and/or the Servicer to the Lenders and/or the Administrative Agent pursuant to the terms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i w:val="false"/>
          <w:caps w:val="false"/>
          <w:smallCaps w:val="false"/>
          <w:sz w:val="20"/>
          <w:u w:val="single"/>
        </w:rPr>
        <w:t>Advances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terms and conditions set forth herein, including this Section and Article Four, the Borrower may from time to time on any Business Day during the Revolving Period, request that an Advance under this Agreement be made to it on an Advance Date. No later than 1:00 p.m. (New York, New York time) one (1) Business Day prior to a proposed Advance Date, the Borrower shall notify the Administrative Agent and each Lender Group Agent of such proposed Advance Date and Advance by delivering to the Administrative Agent and each Lender Group Agent: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Advance Request, which will include, among other things, the proposed Advance Date, calculations of the Class A Borrowing Base and the Class B Borrowing Base (calculated as of the Determination Date occurring in the calendar month immediately preceding the calendar month during which such Advance Request is submitted, or with respect to Receivables added to the Collateral following such Determination Date, but prior to or on such date of submission of the related Advance Request, the related Cut-off Date) and the principal amount of the Advance requested, which shall be in an amount not less than [***];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updated Receivables Schedule that includes each Receivable that is the subject of the proposed Advance and such other information as any Lender Group Agent may reasonably request with respect to the related Advance;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Advance Request is delivered to any Lender Group Agent after 1:00 p.m. (New York, New York time) one (1)Business Day prior to the proposed Advance Date, such Advance Request shall be deemed to be received prior to 1:00 p.m. (New York, New York time) on the next Business Day and the proposed Advance Date of such proposed Advance shall be deemed to be the first Business Day following such deemed receipt. Each Advance Request shall include a representation by the Borrower that the requested Advance will not, on the Advance Date, exceed the applicable Available Amount and a representation that all conditions precedent to the making of such Advance have been satisfied. Any Advance Request shall be irrevocable.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Group shall advance an amount equal to the amount of any Advance requested by the Borrower multiplied by such Lender Group’s then-applicable Lender Group Share, subject to the conditions contained herein, such that the aggregate of all Lender Groups’ advances in response to such request equal the amount of the Advance so requested. Each Advance hereunder shall consist of Loans made by each Lender Group.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Group’s Loan with respect to a requested Advance shall be made available to the Borrower, subject to the fulfillment of the applicable conditions set forth in Article Four, at or prior to 1:00 p.m. (New York, New York time) on the applicable Advance Date, by deposit of immediately available funds to the account of the Borrower or to such other account, at the Borrower’s written direction. The amount of such Loan shall equal, for each Lender Group member, such Person’s Commitment Percentage of its Lender Group Share of the principal amount of the requested Advance. Any Lender Group Agent for a Lender Group that either (i) fails to make any Loan with respect to a requested Advance as of such time on the applicable Advance Date or (ii) intends not to make any funds available for any requested Advance shall promptly notify the Borrower of such failure or intention.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no event shall: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Lender be required on any date to fund a Loan that would cause (A) the Principal Amount Outstanding, determined after giving effect to such Advance, to exceed the Facility Limit or (B) such Lender Group’s portion of the Principal Amount Outstanding, determined in accordance with such Lender Group’s Lender Group Share, determined after giving effect to such Advance, to exceed such Lender Group’s Lender Group Limit;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Lender be obligated to fund any Advance, to the extent that the Principal Amount Outstanding after giving effect to such Advance would exceed the Borrowing Base (calculated as of the date of such Advance after giving effect to all additional Eligible Receivables to be acquired by the Borrower on such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amount of any Advance exceed the applicable Available Amount on such day;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more than one Advance be funded on any Business Day;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Lender be required to advance any Loan or portion thereof which was properly requested from and for which the advance thereof was the responsibility of another Lender Group, but which was not advanced by such Lender Group as of the requested Advance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Amounts repaid under this Agreement may be reborrowed during the Revolving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2.2.          </w:t>
      </w:r>
      <w:r>
        <w:rPr>
          <w:rFonts w:ascii="Times New Roman;Times;Serif" w:hAnsi="Times New Roman;Times;Serif"/>
          <w:b/>
          <w:i w:val="false"/>
          <w:caps w:val="false"/>
          <w:smallCaps w:val="false"/>
          <w:sz w:val="20"/>
          <w:u w:val="single"/>
        </w:rPr>
        <w:t>Reductions of the Facility Limit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the Borrower may, upon at least three (3) Business Days’ prior written notice to the Administrative Agent and each Lender Group Agent, reduce the unused portion of the Facility Limit (each such notice, a “</w:t>
      </w:r>
      <w:r>
        <w:rPr>
          <w:rFonts w:ascii="Times New Roman;Times;Serif" w:hAnsi="Times New Roman;Times;Serif"/>
          <w:b w:val="false"/>
          <w:i/>
          <w:caps w:val="false"/>
          <w:smallCaps w:val="false"/>
          <w:sz w:val="20"/>
          <w:u w:val="single"/>
        </w:rPr>
        <w:t>Reduction Notice</w:t>
      </w:r>
      <w:r>
        <w:rPr>
          <w:rFonts w:ascii="Times New Roman;Times;Serif" w:hAnsi="Times New Roman;Times;Serif"/>
          <w:b w:val="false"/>
          <w:i w:val="false"/>
          <w:caps w:val="false"/>
          <w:smallCaps w:val="false"/>
          <w:sz w:val="20"/>
        </w:rPr>
        <w:t xml:space="preserve">”). Each partial reduction shall be in a minimum aggregate amount of [***] or integral multiples of [***] in excess thereof; provided, however, that in no event shall the Facility Limit be reduced to less than [***]. Reductions of the Facility Limit pursuant to this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shall reduce the Lender Group Limit of each Lender Group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such that, after giving effect to a reduction, each Lender Group’s Lender Group Share is unchanged and, within each Lender Group, on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basis among the Lenders in such Lender Group with outstanding Loans. Any request for a reduction in the Facility Limit shall be irrevocable. Only one (1) Reduction Notice shall be outstanding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any date of determination on or after the Commitment Termination Date or after the occurrence of an Amortization Event and prior to the occurrence of a Termination Event, the Lender Group Limit of each Lender Group shall be automatically reduced to an amount equal to the Principal Amount Outstanding as of such date multiplied by such Lender Group’s Lender Group Share as of such date. Upon the occurrence of a Termination Event, the Lender Group Limit of each Lender Group shall be automatically reduced to zero.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2.3. </w:t>
      </w:r>
      <w:r>
        <w:rPr>
          <w:rFonts w:ascii="Times New Roman;Times;Serif" w:hAnsi="Times New Roman;Times;Serif"/>
          <w:b/>
          <w:i w:val="false"/>
          <w:caps w:val="false"/>
          <w:smallCaps w:val="false"/>
          <w:sz w:val="20"/>
          <w:u w:val="single"/>
        </w:rPr>
        <w:t>Extensions of Commitments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no Termination Event or Amortization Event has occurred, the Borrower may request in a writing sent to each Lender Group Agent (with a copy to the Administrative Agent) no more than 365 nor fewer than 120 days prior to the applicable Commitment Termination Date that each Lender extend the Commitment Termination Date for an additional period to a date specified in such request, which request will be granted or denied by each Lender in its sole discretion. Not later than thirty (30)days following receipt by a Lender Group Agent of any such request, each Lender Group Agent shall notify the Borrower of the willingness or refusal of the related Lenders to so extend the Commitment Termination Date. If all Lender Group Agents shall have agreed to extend the Commitment Termination Date and no Termination Event shall have occurred and be continuing prior to the then-applicable Commitment Termination Date, the Commitment Termination Date then in effect shall be extended to the date specified in such request.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refuses to extend the Commitment Termination Date (any such Lender, a “</w:t>
      </w:r>
      <w:r>
        <w:rPr>
          <w:rFonts w:ascii="Times New Roman;Times;Serif" w:hAnsi="Times New Roman;Times;Serif"/>
          <w:b w:val="false"/>
          <w:i/>
          <w:caps w:val="false"/>
          <w:smallCaps w:val="false"/>
          <w:sz w:val="20"/>
          <w:u w:val="single"/>
        </w:rPr>
        <w:t>Retiring Lender</w:t>
      </w:r>
      <w:r>
        <w:rPr>
          <w:rFonts w:ascii="Times New Roman;Times;Serif" w:hAnsi="Times New Roman;Times;Serif"/>
          <w:b w:val="false"/>
          <w:i w:val="false"/>
          <w:caps w:val="false"/>
          <w:smallCaps w:val="false"/>
          <w:sz w:val="20"/>
        </w:rPr>
        <w:t>”), then: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may propose an Eligible Assignee or multiple Eligible Assignees to be the assignee or assignees to which the Retiring Lender or Retiring Lenders shall assign the Retiring Lender’s Commitment or the Retiring Lenders’ Commitments, as applicable, in accordance with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but only if</w:t>
      </w:r>
      <w:r>
        <w:rPr>
          <w:rFonts w:ascii="Times New Roman;Times;Serif" w:hAnsi="Times New Roman;Times;Serif"/>
          <w:b w:val="false"/>
          <w:i w:val="false"/>
          <w:caps w:val="false"/>
          <w:smallCaps w:val="false"/>
          <w:sz w:val="20"/>
        </w:rPr>
        <w:t xml:space="preserve"> such Eligible Assignee is or such Eligible Assignees are (x) acceptable to the remaining Lender or Lenders who agreed to extend the Commitment Termination Date (each such Lender, a “</w:t>
      </w:r>
      <w:r>
        <w:rPr>
          <w:rFonts w:ascii="Times New Roman;Times;Serif" w:hAnsi="Times New Roman;Times;Serif"/>
          <w:b w:val="false"/>
          <w:i/>
          <w:caps w:val="false"/>
          <w:smallCaps w:val="false"/>
          <w:sz w:val="20"/>
          <w:u w:val="single"/>
        </w:rPr>
        <w:t>Continuing Lender</w:t>
      </w:r>
      <w:r>
        <w:rPr>
          <w:rFonts w:ascii="Times New Roman;Times;Serif" w:hAnsi="Times New Roman;Times;Serif"/>
          <w:b w:val="false"/>
          <w:i w:val="false"/>
          <w:caps w:val="false"/>
          <w:smallCaps w:val="false"/>
          <w:sz w:val="20"/>
        </w:rPr>
        <w:t>”) and (y) providing a Commitment amount which, in the aggregate, equals or exceeds that of the Retiring Lender or Retiring Lenders;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Available Amount attributable to the Continuing Lender or Continuing Lenders equals or exceeds the Lender Principal Amount Outstanding owing to the Retiring Lender or Retiring Lenders, then the Borrower may request that the Continuing Lender make a Loan or the Continuing Lenders make Loans, the proceeds of which shall be paid directly to the Retiring Lender or Retiring Lenders (in the case of multiple Retiring Lenders,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in accordance with each Retiring Lender’s Commitment Percentage in effect immediately prior to the advance of such Loan), in an amount equal to the outstanding principal amount of Loans then owing to each Retiring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such Continuing Lender shall be obligated to make such a Loan unless the Borrower has paid to the Retiring Lender or Retiring Lenders, in immediately available funds, all other Aggregate Unpaids then due and owing to such Retiring Lender or Retiring Lenders. The decision of each Continuing Lender to extend additional Loans to the Borrower and increase its Commitment under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shall be made in the sole and absolute discretion of each such Continuing Lender.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Retiring Lender is replaced pursuant to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 xml:space="preserve"> above, then the intended assignee of such Retiring Lender’s Loans and Commitments shall purchase the Loans of such Retiring Lender and such Retiring Lender’s rights hereunder, without recourse to or warranty by, or expense to, such Retiring Lender, for a purchase price equal to the Retiring Lender’s Lender Principal Amount Outstanding plus any accrued but unpaid Interest on such Loans and all other Aggregate Unpaids owed to such Retiring Lender and any other amounts payable to such Retiring Lender under this Agreement, which purchase price shall be payable to such Retiring Lender in immediately available funds, and shall enter into an Assignment and Acceptance pursuant to which the intended assignee shall assume all the obligations of such Retiring Lender hereunder (including such Retiring Lender’s Commitment), and, upon such purchase and assumption (pursuant to such Assignment and Acceptance), such Retiring Lender shall no longer be a party hereto or have any rights hereunder (other than rights with respect to indemnities and similar rights applicable to such Retiring Lender prior to the date of such purchase and assumption) and shall be relieved from all obligations to the Borrower hereunder, and the assignee of such Retiring Lender shall succeed to the rights and obligation of such Retiring Lender 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2.4. </w:t>
      </w:r>
      <w:r>
        <w:rPr>
          <w:rFonts w:ascii="Times New Roman;Times;Serif" w:hAnsi="Times New Roman;Times;Serif"/>
          <w:b/>
          <w:i w:val="false"/>
          <w:caps w:val="false"/>
          <w:smallCaps w:val="false"/>
          <w:sz w:val="20"/>
          <w:u w:val="single"/>
        </w:rPr>
        <w:t>[Reserved]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2.5. </w:t>
      </w:r>
      <w:r>
        <w:rPr>
          <w:rFonts w:ascii="Times New Roman;Times;Serif" w:hAnsi="Times New Roman;Times;Serif"/>
          <w:b/>
          <w:i w:val="false"/>
          <w:caps w:val="false"/>
          <w:smallCaps w:val="false"/>
          <w:sz w:val="20"/>
          <w:u w:val="single"/>
        </w:rPr>
        <w:t>Optional Principal Repayments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provisions of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the Borrower may, prior to the occurrence of a Termination Event, prepay all or a portion of the Principal Amount Outstanding on any Business Day, on two (2) Business Days’ prior notice to the Administrative Agent, each Lender Group Agent and the Paying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the Borrower pays to each Lender, on the date of any such prepayment, such Lender’s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allocable share of (a) Accrued Interest, and (b) all other Aggregate Unpaids (including all Breakage Costs) payable to any Indemnified Party under this Agreement through the date of such prepayment, including any fees or other amounts payable pursuant to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Any notice of a prepayment shall be irrevocable.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2.6. </w:t>
      </w:r>
      <w:r>
        <w:rPr>
          <w:rFonts w:ascii="Times New Roman;Times;Serif" w:hAnsi="Times New Roman;Times;Serif"/>
          <w:b/>
          <w:i w:val="false"/>
          <w:caps w:val="false"/>
          <w:smallCaps w:val="false"/>
          <w:sz w:val="20"/>
          <w:u w:val="single"/>
        </w:rPr>
        <w:t>Payments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pay interest on the outstanding principal amount of each Loan for the period from the related Advance Date until the date that such Loan shall be paid in full. Interest shall accrue on each day during each Collection Period on the Principal Amount Outstanding on such day at the Applicable Interest Rate and be payable on each Remittance Date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unless earlier paid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The Borrower shall pay all amounts of Interest due and owing for any Collection Period as of the related Remittance Date regardless of whether or not the amount of Available Collections applied using the Settlement Procedures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is sufficient.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Interest shall accrue on each day during each Collection Period on the Principal Amount Outstanding on such day and be payable on each Remittance Date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unless earlier paid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The Borrower shall pay all Interest due and owing for any Collection Period as of the related Remittance Date regardless of whether or not the amount of Available Collections applied using the settlement procedures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is sufficient.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principal of and Interest on each Loan shall be paid as provided herein.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other provision of this Agreement or the other Transaction Documents, if at any time the rate of interest payable by any Person under the Transaction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any Lender under this Agreement and the other Transaction Documents exceed the amount which such Lender could lawfully have received, had the Interest due been calculated from the Closing Date at the Maximum Lawful Rate.</w:t>
      </w:r>
    </w:p>
    <w:p>
      <w:pPr>
        <w:pStyle w:val="TextBody"/>
        <w:bidi w:val="0"/>
        <w:spacing w:before="0" w:after="0"/>
        <w:ind w:left="1440" w:right="403" w:firstLine="720"/>
        <w:jc w:val="both"/>
        <w:rPr>
          <w:caps w:val="false"/>
          <w:smallCaps w:val="false"/>
        </w:rPr>
      </w:pPr>
      <w:r>
        <w:rPr>
          <w:caps w:val="false"/>
          <w:smallCaps w:val="false"/>
        </w:rPr>
        <w:t> </w:t>
      </w:r>
    </w:p>
    <w:p>
      <w:pPr>
        <w:pStyle w:val="TextBody"/>
        <w:bidi w:val="0"/>
        <w:spacing w:before="0" w:after="0"/>
        <w:ind w:left="8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2.7. </w:t>
      </w:r>
      <w:r>
        <w:rPr>
          <w:rFonts w:ascii="Times New Roman;Times;Serif" w:hAnsi="Times New Roman;Times;Serif"/>
          <w:b/>
          <w:i w:val="false"/>
          <w:caps w:val="false"/>
          <w:smallCaps w:val="false"/>
          <w:sz w:val="20"/>
          <w:u w:val="single"/>
        </w:rPr>
        <w:t>Settlement Procedures</w:t>
      </w:r>
      <w:r>
        <w:rPr>
          <w:rFonts w:ascii="Times New Roman;Times;Serif" w:hAnsi="Times New Roman;Times;Serif"/>
          <w:b/>
          <w:i w:val="false"/>
          <w:caps w:val="false"/>
          <w:smallCaps w:val="false"/>
          <w:sz w:val="20"/>
        </w:rPr>
        <w: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each Remittance Date occurring prior to the acceleration of the Loans following a Termination Event, the Paying Agent shall distribute the Available Collections for the prior Collection Period pursuant to the Monthly Servicer Report in the following order of priority: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u w:val="single"/>
        </w:rPr>
        <w:t>First</w:t>
      </w:r>
      <w:r>
        <w:rPr>
          <w:rFonts w:ascii="Times New Roman;Times;Serif" w:hAnsi="Times New Roman;Times;Serif"/>
          <w:b w:val="false"/>
          <w:i w:val="false"/>
          <w:caps w:val="false"/>
          <w:smallCaps w:val="false"/>
          <w:sz w:val="20"/>
        </w:rPr>
        <w:t>, to the Servicer the Servicing Fee due with respect to the related Collection Period an amount equal to the amount of expenses due to be reimbursed pursuant to Section 7.2(e) hereof, and with respect to a Successor Servicer, any transition expenses due and owing to such Successor Servicer;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u w:val="single"/>
        </w:rPr>
        <w:t>Second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(A) to the Backup Servicer, the Backup Servicing Fee and any out-of-pocket expenses and indemnities owed to the Backup Servicer, (B) to the Custodian, the Custodian Fee and any out-of-pocket expenses and indemnities owed to the Custodian up to [***] per annum, (C) to the Paying Agent, the Paying Agent Fee and any out-of-pocket expenses and indemnities owed to the Paying Agent, and (D) to the Administrative Agent, any out of pocket expenses and indemnities or ancillary fees owed to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u w:val="single"/>
        </w:rPr>
        <w:t>Third</w:t>
      </w:r>
      <w:r>
        <w:rPr>
          <w:rFonts w:ascii="Times New Roman;Times;Serif" w:hAnsi="Times New Roman;Times;Serif"/>
          <w:b w:val="false"/>
          <w:i w:val="false"/>
          <w:caps w:val="false"/>
          <w:smallCaps w:val="false"/>
          <w:sz w:val="20"/>
        </w:rPr>
        <w:t xml:space="preserve">, to the Lenders,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any Breakage Costs or Carrying Costs then due and 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u w:val="single"/>
        </w:rPr>
        <w:t>Fourth</w:t>
      </w:r>
      <w:r>
        <w:rPr>
          <w:rFonts w:ascii="Times New Roman;Times;Serif" w:hAnsi="Times New Roman;Times;Serif"/>
          <w:b w:val="false"/>
          <w:i w:val="false"/>
          <w:caps w:val="false"/>
          <w:smallCaps w:val="false"/>
          <w:sz w:val="20"/>
        </w:rPr>
        <w:t xml:space="preserve">, to the Class A Lenders,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(i) in respect of the accrued and unpaid interest on the Class A Loans, the Class A Lenders’ Interest Distributable Amount and (ii) an amount equal to Carrying Costs for the related Collection Period, the portion thereof to each Person entitled to receive such portion pursuant to the definition of Carrying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u w:val="single"/>
        </w:rPr>
        <w:t>Fifth</w:t>
      </w:r>
      <w:r>
        <w:rPr>
          <w:rFonts w:ascii="Times New Roman;Times;Serif" w:hAnsi="Times New Roman;Times;Serif"/>
          <w:b w:val="false"/>
          <w:i w:val="false"/>
          <w:caps w:val="false"/>
          <w:smallCaps w:val="false"/>
          <w:sz w:val="20"/>
        </w:rPr>
        <w:t xml:space="preserve">, to the Class B Lenders,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(i) in respect of the accrued and unpaid interest on the Class B Loans, the Class B Lenders’ Interest Distributable Amount and (ii) an amount equal to Carrying Costs for the related Collection Period, the portion thereof to each Person entitled to receive such portion pursuant to the definition of Carrying Costs;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caps w:val="false"/>
          <w:smallCaps w:val="false"/>
          <w:sz w:val="20"/>
          <w:u w:val="single"/>
        </w:rPr>
        <w:t>Sixth</w:t>
      </w:r>
      <w:r>
        <w:rPr>
          <w:rFonts w:ascii="Times New Roman;Times;Serif" w:hAnsi="Times New Roman;Times;Serif"/>
          <w:b w:val="false"/>
          <w:i w:val="false"/>
          <w:caps w:val="false"/>
          <w:smallCaps w:val="false"/>
          <w:sz w:val="20"/>
        </w:rPr>
        <w:t>, to the Class A Lenders, the Class A Lenders’ Principal Distributable Amount for such Remittance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caps w:val="false"/>
          <w:smallCaps w:val="false"/>
          <w:sz w:val="20"/>
          <w:u w:val="single"/>
        </w:rPr>
        <w:t>Seventh</w:t>
      </w:r>
      <w:r>
        <w:rPr>
          <w:rFonts w:ascii="Times New Roman;Times;Serif" w:hAnsi="Times New Roman;Times;Serif"/>
          <w:b w:val="false"/>
          <w:i w:val="false"/>
          <w:caps w:val="false"/>
          <w:smallCaps w:val="false"/>
          <w:sz w:val="20"/>
        </w:rPr>
        <w:t>, to the Class B Lenders, the Class B Lenders’ Principal Distributable Amount for such Remittance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caps w:val="false"/>
          <w:smallCaps w:val="false"/>
          <w:sz w:val="20"/>
          <w:u w:val="single"/>
        </w:rPr>
        <w:t>Eighth</w:t>
      </w:r>
      <w:r>
        <w:rPr>
          <w:rFonts w:ascii="Times New Roman;Times;Serif" w:hAnsi="Times New Roman;Times;Serif"/>
          <w:b w:val="false"/>
          <w:i w:val="false"/>
          <w:caps w:val="false"/>
          <w:smallCaps w:val="false"/>
          <w:sz w:val="20"/>
        </w:rPr>
        <w:t>, to the Reserve Account, the Required Reserve Account Balance Shortfall;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caps w:val="false"/>
          <w:smallCaps w:val="false"/>
          <w:sz w:val="20"/>
          <w:u w:val="single"/>
        </w:rPr>
        <w:t>Ninth</w:t>
      </w:r>
      <w:r>
        <w:rPr>
          <w:rFonts w:ascii="Times New Roman;Times;Serif" w:hAnsi="Times New Roman;Times;Serif"/>
          <w:b w:val="false"/>
          <w:i w:val="false"/>
          <w:caps w:val="false"/>
          <w:smallCaps w:val="false"/>
          <w:sz w:val="20"/>
        </w:rPr>
        <w:t xml:space="preserve">, to the Backup Servicer, the Paying Agent and Custodian, as applicable,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respect of reasonable out of pocket expenses thereof (including counsel fees and expenses) and indemnity payments from prior Collection Periods to the extent not paid thereto pursuant to </w:t>
      </w:r>
      <w:r>
        <w:rPr>
          <w:rFonts w:ascii="Times New Roman;Times;Serif" w:hAnsi="Times New Roman;Times;Serif"/>
          <w:b w:val="false"/>
          <w:i w:val="false"/>
          <w:caps w:val="false"/>
          <w:smallCaps w:val="false"/>
          <w:sz w:val="20"/>
          <w:u w:val="single"/>
        </w:rPr>
        <w:t>Section 2.7(a)(ii)</w:t>
      </w:r>
      <w:r>
        <w:rPr>
          <w:rFonts w:ascii="Times New Roman;Times;Serif" w:hAnsi="Times New Roman;Times;Serif"/>
          <w:b w:val="false"/>
          <w:i w:val="false"/>
          <w:caps w:val="false"/>
          <w:smallCaps w:val="false"/>
          <w:sz w:val="20"/>
        </w:rPr>
        <w:t xml:space="preserve"> above;</w:t>
      </w:r>
    </w:p>
    <w:p>
      <w:pPr>
        <w:pStyle w:val="TextBody"/>
        <w:bidi w:val="0"/>
        <w:spacing w:before="0" w:after="0"/>
        <w:ind w:left="400" w:right="0" w:firstLine="80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caps w:val="false"/>
          <w:smallCaps w:val="false"/>
          <w:sz w:val="20"/>
          <w:u w:val="single"/>
        </w:rPr>
        <w:t>Tenth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to any applicable Person, all other Aggregate Unpaids; and amounts.</w:t>
      </w:r>
    </w:p>
    <w:p>
      <w:pPr>
        <w:pStyle w:val="TextBody"/>
        <w:bidi w:val="0"/>
        <w:spacing w:before="0" w:after="0"/>
        <w:ind w:left="400" w:right="0" w:firstLine="80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val="false"/>
          <w:i/>
          <w:caps w:val="false"/>
          <w:smallCaps w:val="false"/>
          <w:sz w:val="20"/>
          <w:u w:val="single"/>
        </w:rPr>
        <w:t>Eleventh</w:t>
      </w:r>
      <w:r>
        <w:rPr>
          <w:rFonts w:ascii="Times New Roman;Times;Serif" w:hAnsi="Times New Roman;Times;Serif"/>
          <w:b w:val="false"/>
          <w:i w:val="false"/>
          <w:caps w:val="false"/>
          <w:smallCaps w:val="false"/>
          <w:sz w:val="20"/>
        </w:rPr>
        <w:t>, to the Borrower, for its own account, any remaining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acceleration of the Loans after a Termination Event, any money or property collected by or on behalf of the Borrower pursuant hereto or any other Transaction Document, including amounts then on deposit in the Collection Account and the Reserve Account, shall be paid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u w:val="single"/>
        </w:rPr>
        <w:t>First</w:t>
      </w:r>
      <w:r>
        <w:rPr>
          <w:rFonts w:ascii="Times New Roman;Times;Serif" w:hAnsi="Times New Roman;Times;Serif"/>
          <w:b w:val="false"/>
          <w:i w:val="false"/>
          <w:caps w:val="false"/>
          <w:smallCaps w:val="false"/>
          <w:sz w:val="20"/>
        </w:rPr>
        <w:t>, to the Servicer the Servicing Fee due with respect to the related Collection Period, an amount equal to the amount of expenses due to be reimbursed pursuant to Section 7.2(b) hereof and with respect to the Successor Servicer, any transition expenses due and owing to such Successor Servicer;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u w:val="single"/>
        </w:rPr>
        <w:t>Second</w:t>
      </w:r>
      <w:r>
        <w:rPr>
          <w:rFonts w:ascii="Times New Roman;Times;Serif" w:hAnsi="Times New Roman;Times;Serif"/>
          <w:b w:val="false"/>
          <w:i w:val="false"/>
          <w:caps w:val="false"/>
          <w:smallCaps w:val="false"/>
          <w:sz w:val="20"/>
        </w:rPr>
        <w:t>, pro rata, (A) to the Backup Servicer, the Backup Servicing Fee and any out-of-pocket expenses and indemnities owed to the Backup Servicer, (B) to the Custodian, the Custodian Fee and, any out-of-pocket expenses and indemnities owed to the Custodian, (C) to the Paying Agent, the Paying Agent Fee and any out-of-pocket expenses and indemnities owed to the Paying Agent and (D) to the Administrative Agent, any out-of-pocket expenses and indemnities or ancillary fees owed to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u w:val="single"/>
        </w:rPr>
        <w:t>Third</w:t>
      </w:r>
      <w:r>
        <w:rPr>
          <w:rFonts w:ascii="Times New Roman;Times;Serif" w:hAnsi="Times New Roman;Times;Serif"/>
          <w:b w:val="false"/>
          <w:i w:val="false"/>
          <w:caps w:val="false"/>
          <w:smallCaps w:val="false"/>
          <w:sz w:val="20"/>
        </w:rPr>
        <w:t xml:space="preserve">, to the Lenders,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any Breakage Costs or Carrying Costs then due and 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u w:val="single"/>
        </w:rPr>
        <w:t>Fourth</w:t>
      </w:r>
      <w:r>
        <w:rPr>
          <w:rFonts w:ascii="Times New Roman;Times;Serif" w:hAnsi="Times New Roman;Times;Serif"/>
          <w:b w:val="false"/>
          <w:i w:val="false"/>
          <w:caps w:val="false"/>
          <w:smallCaps w:val="false"/>
          <w:sz w:val="20"/>
        </w:rPr>
        <w:t xml:space="preserve">, to the Class A Lenders, pro rata, (i) in respect of the accrued and unpaid interest on the Class A Loans, the </w:t>
      </w:r>
      <w:r>
        <w:rPr>
          <w:rFonts w:ascii="Times New Roman;Times;Serif" w:hAnsi="Times New Roman;Times;Serif"/>
          <w:b w:val="false"/>
          <w:i w:val="false"/>
          <w:caps w:val="false"/>
          <w:smallCaps w:val="false"/>
          <w:sz w:val="20"/>
          <w:u w:val="single"/>
        </w:rPr>
        <w:t>Class A Lenders’ Interest Distributable Amount</w:t>
      </w:r>
      <w:r>
        <w:rPr>
          <w:rFonts w:ascii="Times New Roman;Times;Serif" w:hAnsi="Times New Roman;Times;Serif"/>
          <w:b w:val="false"/>
          <w:i w:val="false"/>
          <w:caps w:val="false"/>
          <w:smallCaps w:val="false"/>
          <w:sz w:val="20"/>
        </w:rPr>
        <w:t xml:space="preserve"> and (ii) an amount equal to Carrying Costs for the related Collection Period, the portion thereof to each Person entitled to receive such portion pursuant to the definition of Carrying Costs;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u w:val="single"/>
        </w:rPr>
        <w:t>Fifth</w:t>
      </w:r>
      <w:r>
        <w:rPr>
          <w:rFonts w:ascii="Times New Roman;Times;Serif" w:hAnsi="Times New Roman;Times;Serif"/>
          <w:b w:val="false"/>
          <w:i w:val="false"/>
          <w:caps w:val="false"/>
          <w:smallCaps w:val="false"/>
          <w:sz w:val="20"/>
        </w:rPr>
        <w:t>, to the Class A Lenders for amounts due and unpaid on the Class A Loans in respect of principal, ratably, without preference or priority of any kind, according to the amounts due and payable on the Class A Loans in respect of principal, until the outstanding principal amount of the Class A Loans is reduced to zero;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caps w:val="false"/>
          <w:smallCaps w:val="false"/>
          <w:sz w:val="20"/>
          <w:u w:val="single"/>
        </w:rPr>
        <w:t>Sixth</w:t>
      </w:r>
      <w:r>
        <w:rPr>
          <w:rFonts w:ascii="Times New Roman;Times;Serif" w:hAnsi="Times New Roman;Times;Serif"/>
          <w:b w:val="false"/>
          <w:i w:val="false"/>
          <w:caps w:val="false"/>
          <w:smallCaps w:val="false"/>
          <w:sz w:val="20"/>
        </w:rPr>
        <w:t xml:space="preserve">, to the Class B Lenders, pro rata, (i) in respect of the accrued and unpaid interest on the Class B Loans, the </w:t>
      </w:r>
      <w:r>
        <w:rPr>
          <w:rFonts w:ascii="Times New Roman;Times;Serif" w:hAnsi="Times New Roman;Times;Serif"/>
          <w:b w:val="false"/>
          <w:i w:val="false"/>
          <w:caps w:val="false"/>
          <w:smallCaps w:val="false"/>
          <w:sz w:val="20"/>
          <w:u w:val="single"/>
        </w:rPr>
        <w:t>Class B Lenders’ Interest Distributable Amount</w:t>
      </w:r>
      <w:r>
        <w:rPr>
          <w:rFonts w:ascii="Times New Roman;Times;Serif" w:hAnsi="Times New Roman;Times;Serif"/>
          <w:b w:val="false"/>
          <w:i w:val="false"/>
          <w:caps w:val="false"/>
          <w:smallCaps w:val="false"/>
          <w:sz w:val="20"/>
        </w:rPr>
        <w:t xml:space="preserve"> and (ii) an amount equal to Carrying Costs for the related Collection Period, the portion thereof to each Person entitled to receive such portion pursuant to the definition of Carrying Costs;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caps w:val="false"/>
          <w:smallCaps w:val="false"/>
          <w:sz w:val="20"/>
          <w:u w:val="single"/>
        </w:rPr>
        <w:t>Seventh</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to the Class B Lenders for amounts due and unpaid on the Class B Loans in respect of principal, ratably, without preference or priority of any kind, according to the amounts due and payable on the Class B Loans in respect of principal, until the outstanding principal amount of the Class B Loans is reduced to zero;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caps w:val="false"/>
          <w:smallCaps w:val="false"/>
          <w:sz w:val="20"/>
          <w:u w:val="single"/>
        </w:rPr>
        <w:t>Eighth</w:t>
      </w:r>
      <w:r>
        <w:rPr>
          <w:rFonts w:ascii="Times New Roman;Times;Serif" w:hAnsi="Times New Roman;Times;Serif"/>
          <w:b w:val="false"/>
          <w:i w:val="false"/>
          <w:caps w:val="false"/>
          <w:smallCaps w:val="false"/>
          <w:sz w:val="20"/>
        </w:rPr>
        <w:t>, to the Backup Servicer, the Paying Agent and the Custodian as applicable, pro rata, in respect of reasonable out of pocket expenses thereof (including counsel fees and expenses) and indemnity payments from prior Collection Periods to the extent not paid thereto pursuant to Section 2.7(a)(ii) above;</w:t>
      </w:r>
    </w:p>
    <w:p>
      <w:pPr>
        <w:pStyle w:val="TextBody"/>
        <w:bidi w:val="0"/>
        <w:spacing w:before="0" w:after="0"/>
        <w:ind w:left="400" w:right="0" w:firstLine="80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caps w:val="false"/>
          <w:smallCaps w:val="false"/>
          <w:sz w:val="20"/>
          <w:u w:val="single"/>
        </w:rPr>
        <w:t>Ninth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to any applicable Person, all other Aggregate Unpaids; and amounts.</w:t>
      </w:r>
    </w:p>
    <w:p>
      <w:pPr>
        <w:pStyle w:val="TextBody"/>
        <w:bidi w:val="0"/>
        <w:spacing w:before="0" w:after="0"/>
        <w:ind w:left="400" w:right="0" w:firstLine="80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caps w:val="false"/>
          <w:smallCaps w:val="false"/>
          <w:sz w:val="20"/>
          <w:u w:val="single"/>
        </w:rPr>
        <w:t>Tenth</w:t>
      </w:r>
      <w:r>
        <w:rPr>
          <w:rFonts w:ascii="Times New Roman;Times;Serif" w:hAnsi="Times New Roman;Times;Serif"/>
          <w:b w:val="false"/>
          <w:i w:val="false"/>
          <w:caps w:val="false"/>
          <w:smallCaps w:val="false"/>
          <w:sz w:val="20"/>
        </w:rPr>
        <w:t>, to the Borrower, for its own account, any remaining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Available Collections in respect of a Remittance Date are insufficient to pay the sum of the amounts to be distributed on such Remittance Date pursuant to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 xml:space="preserve">, the Borrower (or the Servicer on its behalf) shall notify the Paying Agent and the Administrative Agent of such shortfall and shall direct the Paying Agent (in accordance with the Monthly Servicer Report) to cause the withdrawal of the amount of such shortfall from the Reserve Account, to the extent of amounts on deposit therein, and apply such amount to the payment of the items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2.8. </w:t>
      </w:r>
      <w:r>
        <w:rPr>
          <w:rFonts w:ascii="Times New Roman;Times;Serif" w:hAnsi="Times New Roman;Times;Serif"/>
          <w:b/>
          <w:i w:val="false"/>
          <w:caps w:val="false"/>
          <w:smallCaps w:val="false"/>
          <w:sz w:val="20"/>
          <w:u w:val="single"/>
        </w:rPr>
        <w:t>Repayment Obligation</w:t>
      </w: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promises to pay to each Lender, (i) upon the written request of such Lender’s Lender Group Agent, all Breakage Costs, the amount of which shall be determined by each Lender, set forth in a written notice to the Borrower and shall be conclusive absent manifest error and (ii) all other amounts required to be paid by the Borrower in accordance herewith in accordance with the terms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2.9. </w:t>
      </w:r>
      <w:r>
        <w:rPr>
          <w:rFonts w:ascii="Times New Roman;Times;Serif" w:hAnsi="Times New Roman;Times;Serif"/>
          <w:b/>
          <w:i w:val="false"/>
          <w:caps w:val="false"/>
          <w:smallCaps w:val="false"/>
          <w:sz w:val="20"/>
          <w:u w:val="single"/>
        </w:rPr>
        <w:t>Payments, Computations, Etc</w:t>
      </w: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expressly provided herein, all amounts to be paid or deposited by the Borrower hereunder shall be paid or deposited in accordance with the terms hereof no later than 12:00 p.m. (New York, New York time) on the day when due in Dollars in immediately available funds to each Lender Group Agent at such Lender Group Agent’s Lender Group Agent Account, the details of which appear on the signature page hereto for each Lender Group Agent (in the case of the initial Lender Group Agents) or on the signature page to the related Assignment and Acceptance (in the case of the other Lender Group Agents).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any payment hereunder (i) shall be stated to be due on a day other than a Business Day, such payment shall be made, without penalty, on the next succeeding Business Day, except in the case where the next succeeding Business Day would occur in the succeeding calendar month, in which case such payment shall be due on the preceding Business Day or (ii) is received after 12:00 p.m. (New York, New York time) such payment shall be deemed to have been received on the next succeeding Business Day, and any such extension of time shall in such case be included in the computation of payment of Interest, other interest or any fee payable hereunder, as the case may be.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Advance requested by the Borrower and approved by the Lender Group Agents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is not made or effectuated, as the case may be, due to the Borrower’s failure to satisfy, or continue to satisfy, the conditions to fund such Advance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on the date specified therefor, the Borrower shall indemnify each Lender Group Agent and each Lender against any reasonable loss, cost or expense incurred by such Lender Group Agent or such Lender, including any loss (including loss of anticipated profits, net of anticipated profits in the reemployment of such funds in the manner determined by such Lender Group Agent or Lender), cost or expense incurred by reason of the liquidation or reemployment of deposits or other funds acquired by such Lender to fund or maintain such Advance.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payments hereunder shall be made without set-off or counterclaim and in such amounts as may be necessary in order that all such payments shall not be less than the amounts otherwise specified to be paid under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that (i) any Person makes a payment to the Borrower, the Servicer, the Custodian, the Backup Servicer, the Paying Agent, any Lender Group Agent, any Lender or the Administrative Agent or (ii) the Borrower, the Servicer, the Custodian, the Backup Servicer, the Paying Agent, any Lender Group Agent, any Lender or the Administrative Agent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United States federal law, common law or for equitable cause, then, to the extent such payment or proceeds are set aside, the obligation or part thereof intended to be satisfied shall be revived and continue in full force and effect, as if such payment or proceeds had not been received or deemed received by the Borrower, the Servicer, the Custodian, the Backup Servicer, the Paying Agent, such Lender Group Agent, such Lender or the Administrative Agent, as the case may be.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2.10. </w:t>
      </w:r>
      <w:r>
        <w:rPr>
          <w:rFonts w:ascii="Times New Roman;Times;Serif" w:hAnsi="Times New Roman;Times;Serif"/>
          <w:b/>
          <w:i w:val="false"/>
          <w:caps w:val="false"/>
          <w:smallCaps w:val="false"/>
          <w:sz w:val="20"/>
          <w:u w:val="single"/>
        </w:rPr>
        <w:t>Collections and Allocations; Investment of Funds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shall be established on or before the Closing Date and maintained by the Paying Agent, for the benefit of the Administrative Agent on behalf of the Secured Parties, a segregated trust account to be named the “Collection Account” (the “</w:t>
      </w:r>
      <w:r>
        <w:rPr>
          <w:rFonts w:ascii="Times New Roman;Times;Serif" w:hAnsi="Times New Roman;Times;Serif"/>
          <w:b w:val="false"/>
          <w:i/>
          <w:caps w:val="false"/>
          <w:smallCaps w:val="false"/>
          <w:sz w:val="20"/>
          <w:u w:val="single"/>
        </w:rPr>
        <w:t>Collection Account</w:t>
      </w:r>
      <w:r>
        <w:rPr>
          <w:rFonts w:ascii="Times New Roman;Times;Serif" w:hAnsi="Times New Roman;Times;Serif"/>
          <w:b w:val="false"/>
          <w:i w:val="false"/>
          <w:caps w:val="false"/>
          <w:smallCaps w:val="false"/>
          <w:sz w:val="20"/>
        </w:rPr>
        <w:t>”), bearing a designation clearly indicating that all of the funds deposited therein are held for the benefit of the Administrative Agent on behalf of the Secured Parties. The parties hereto acknowledge that all amounts on deposit in the Collection Account shall be exclusively for the benefit of the Administrative Agent on behalf of the Secured Parties.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shall be established on or before the Closing Date, and maintained by the Paying Agent, for the benefit of the Administrative Agent on behalf of the Secured Parties, a segregated trust account to be named the “Reserve Account” (the “</w:t>
      </w:r>
      <w:r>
        <w:rPr>
          <w:rFonts w:ascii="Times New Roman;Times;Serif" w:hAnsi="Times New Roman;Times;Serif"/>
          <w:b w:val="false"/>
          <w:i/>
          <w:caps w:val="false"/>
          <w:smallCaps w:val="false"/>
          <w:sz w:val="20"/>
          <w:u w:val="single"/>
        </w:rPr>
        <w:t>Reserve Account</w:t>
      </w:r>
      <w:r>
        <w:rPr>
          <w:rFonts w:ascii="Times New Roman;Times;Serif" w:hAnsi="Times New Roman;Times;Serif"/>
          <w:b w:val="false"/>
          <w:i w:val="false"/>
          <w:caps w:val="false"/>
          <w:smallCaps w:val="false"/>
          <w:sz w:val="20"/>
        </w:rPr>
        <w:t>”), maintained by the Paying Agent, bearing a designation clearly indicating that all of the funds deposited therein are held for the benefit of the Administrative Agent on behalf of the Secured Parties. Subject to the terms hereof, the Paying Agent shall possess all right, title and interest in and to all funds deposited from time to time in the Reserve Account. Notwithstanding the foregoing, the Paying Agent shall not withdraw any funds from, or otherwise exercise control over, the Reserve Account, except as provided in this Agreement and the Paying Agent acknowledges that all amounts on deposit in the Reserve Account shall be held by the Paying Agent exclusively for the benefit of the Administrative Agent on behalf of the Lenders.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each Remittance Date during the Revolving Period, the Servicer shall direct the Paying Agent pursuant to the Monthly Servicer Report to withdraw from the Reserve Account the amount, if any, to be applied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On and after the Termination Date, all amounts on deposit in the Reserve Account shall be applied by the Paying Agent as directed in writing by the Administrative Agent. On and after the Facility Termination Date, all amounts on deposit in the Reserve Account shall be applied as directed by the Borrower.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there are uninvested amounts on deposit in the Collection Account and/or the Reserve Account, such amounts shall be invested in Eligible Investments that mature no later than the Business Day before the next Remittance Date, which Eligible Investments shall be selected (i) prior to the occurrence of any Termination Event, by the Borrower or (ii) from and after the occurrence of any Termination Event, by the Administrative Agent. Any earnings (and losses) on the foregoing investments shall be for the account of the Borrower.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earnings on amounts in the Collection Account shall remain on deposit in the Collection Account. All earnings on amounts in the Reserve Account shall (i) to the extent necessary, remain on deposit in the Reserve Account until the amount on deposit therein is equal to or greater than the Required Reserve Account Balance and (ii) be deposited into the Collection Account if the amount on deposit in the Reserve Account is greater than the Required Reserve Account Balance after giving effect to all withdrawals and deposits to the Reserve Account on any Remittance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parties hereto agree that (i) each of the Accounts is a “securities account” (within the meaning of Section 8-501(a) of the UCC), in respect of which the Paying Agent is the “securities intermediary” (within the meaning of Section 8-102(a)(14) of the UCC) and the Borrower is the “entitlement holder” (within the meaning of Section 8-102(a)(7) of the UCC);(ii) each item of property (including cash) of the Borrower credited to an Account shall be treated as a “financial asset” (within the meaning of Section 8-102(a)(9) of the UCC); (iii) the “securities intermediary’s jurisdiction” (within the meaning of Section 8-110(e) of the UCC) with respect to each of the Accounts shall be New York; and (iv) the law in force in the State of New York is applicable to all issues specified in Article 2(1) of “The Convention on the Law Applicable to Certain Rights in Respect of Securities Held with an Intermediary”, ratified Sept. 28, 2016, S. Treaty Doc. No. 112-6 (2012)</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(the “Hague Securities Convention”). The Paying Agent represents and warrants that at the time that this agreement is entered into, the Paying Agent had a physical office in the United States that satisfied the criteria set forth in Article 4(1)(a) or (b) of the Hague Securities Convention. The Paying Agent agrees that, at all times while this Agreement is in effect, it shall maintain a physical office in the United States that satisfies the criteria set forth in Article 4(1)(a) or (b) of the Hague Securities Convention. Notwithstanding the intent of the parties hereto, to the extent that any Account shall be determined to constitute a “deposit account” (within the meaning of Section 9-102(a)(29) of the UCC), the parties hereto agree that the Qualified Institution then holding the Accounts (A) shall treat the Paying Agent as such Qualified Institution’s sole “customer” (within the meaning of Section 9-104 of the UCC) with respect to such deposit account, and (B) shall comply with instructions from the Paying Agent, without any consent by the Borrower or any other Person. The parties hereto acknowledge and agree that each of the Accounts is subject to the sole dominion and control (within the meaning of Section 8-106 of the UCC) of Paying Agent, subject to the terms hereof. The Paying Agent shall have the sole right of withdrawal with respect to each Account in accordance with the terms of this Agreement. The Borrower shall not have a right of withdrawal with respect to any Account. The Paying Agent, subject to the terms of this Agreement, shall comply with all “entitlement orders” (as defined in Section 8-102(a)(8) of the UCC) with respect to all “securities entitlements” (as defined in Section 8-102(a)(17) of the UCC) related to the Accounts, including any entitlement orders and instructions directing disposition of funds financial assets, or other assets in each of the Accounts originated by the Paying Agent without further consent by the Borrower or any other party. The Paying Agent acknowledges and agrees that it has not entered into, and until the termination of this Agreement shall not enter into, any agreement with any Person other than the Borrower relating to any Account, and in each case any funds held therein, pursuant to which it has agreed, or will agree, to comply with orders or instructions of any other such Person. The parties hereto agree that this </w:t>
      </w:r>
      <w:r>
        <w:rPr>
          <w:rFonts w:ascii="Times New Roman;Times;Serif" w:hAnsi="Times New Roman;Times;Serif"/>
          <w:b w:val="false"/>
          <w:i w:val="false"/>
          <w:caps w:val="false"/>
          <w:smallCaps w:val="false"/>
          <w:sz w:val="20"/>
          <w:u w:val="single"/>
        </w:rPr>
        <w:t>Section 2.10(f)</w:t>
      </w:r>
      <w:r>
        <w:rPr>
          <w:rFonts w:ascii="Times New Roman;Times;Serif" w:hAnsi="Times New Roman;Times;Serif"/>
          <w:b w:val="false"/>
          <w:i w:val="false"/>
          <w:caps w:val="false"/>
          <w:smallCaps w:val="false"/>
          <w:sz w:val="20"/>
        </w:rPr>
        <w:t xml:space="preserve"> shall constitute an account agreement for the purposes of the UCC, including Section 8-501 thereof.</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or prior to the Closing Date or the applicable Advance Date (with respect to any Subsequent Receivables), the Borrower or the Servicer shall have instructed all Obligors to make all payments in respect of the related Receivables to the Lockbox.</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Servicer and the Borrower shall promptly (but in no event later than two (2) Business Days after the receipt thereof) deposit all Collections received by it in the Collection Account. The Servicer shall make such deposits or payments by electronic funds transfer, in immediately available funds.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Closing Date and on each Advance Date thereafter, the Servicer will deposit (in immediately available funds) into the Collection Account all Collections received after the applicable Cut-off Date and through and including the Closing Date or Advance Date, as the case may be, in respect of Receivables pledged on such date.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2.11. </w:t>
      </w:r>
      <w:r>
        <w:rPr>
          <w:rFonts w:ascii="Times New Roman;Times;Serif" w:hAnsi="Times New Roman;Times;Serif"/>
          <w:b/>
          <w:i w:val="false"/>
          <w:caps w:val="false"/>
          <w:smallCaps w:val="false"/>
          <w:sz w:val="20"/>
          <w:u w:val="single"/>
        </w:rPr>
        <w:t>Fees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Servicer shall be entitled to receive the Servicing Fee, monthly in arrears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which fee shall be equal to the product of (x) the Servicing Fee Rate, (y) the average of the aggregate Principal Balance of the Eligible Receivables on the first day of the related Collection Period and on the last day of such Collection Period, and (z) 1/12th.</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Custodian, Backup Servicer and Paying Agent shall be entitled to receive the Custodian Fee, Backup Servicing Fee and Paying Agent Fee, respectively, monthly in arrears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and the Custodian Fee Letter.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pay to the Administrative Agent, on the Closing Date, all other amounts due and payable on the Closing Date pursuant to the Fee Letter in immediately available funds.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 shall be ultimately responsible for and shall pay the full amount of any fee owing to any party under this Agreement as and when due if and to the extent that such fees are not fully paid after performing the settlement procedures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or otherwise under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2.12. </w:t>
      </w:r>
      <w:r>
        <w:rPr>
          <w:rFonts w:ascii="Times New Roman;Times;Serif" w:hAnsi="Times New Roman;Times;Serif"/>
          <w:b/>
          <w:i w:val="false"/>
          <w:caps w:val="false"/>
          <w:smallCaps w:val="false"/>
          <w:sz w:val="20"/>
          <w:u w:val="single"/>
        </w:rPr>
        <w:t>Taxes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made by the Borrower in respect of any Loan and all other payments made by the Borrower or the Servicer under this Agreement will be made free and clear of and without deduction or withholding for or on account of any Taxes, unless such withholding or deduction is required by law. In such event, the appropriate withholding agent shall withhold or deduct such required amount and pay to the appropriate taxing authority any such Taxes required to be deducted or withheld and the amount payable to a Lender Group Agent, a Lender or the Administrative Agent (as the case may be) will be increased (such increase, the “</w:t>
      </w:r>
      <w:r>
        <w:rPr>
          <w:rFonts w:ascii="Times New Roman;Times;Serif" w:hAnsi="Times New Roman;Times;Serif"/>
          <w:b w:val="false"/>
          <w:i/>
          <w:caps w:val="false"/>
          <w:smallCaps w:val="false"/>
          <w:sz w:val="20"/>
          <w:u w:val="single"/>
        </w:rPr>
        <w:t>Additional Amount</w:t>
      </w:r>
      <w:r>
        <w:rPr>
          <w:rFonts w:ascii="Times New Roman;Times;Serif" w:hAnsi="Times New Roman;Times;Serif"/>
          <w:b w:val="false"/>
          <w:i w:val="false"/>
          <w:caps w:val="false"/>
          <w:smallCaps w:val="false"/>
          <w:sz w:val="20"/>
        </w:rPr>
        <w:t>”) such that every net payment made under this Agreement after deduction or withholding for or on account of any Indemnified Taxes (including any Indemnified Taxes on such increase) is not less than the amount that would have been paid had no such deduction or withholding of Indemnified Taxes been deducted or withheld.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will indemnify any Recipient for the full amount of Indemnified Taxes in respect of which the Borrower is required to pay Additional Amounts (including any Indemnified Taxes imposed by any jurisdiction on such Additional Amounts) paid by a recipient (as the case may be) and any penalties, interest and reasonable expenses arising therefrom or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Recipient making a demand for indemnity payment hereunder shall provide the Borrower with a certificate from the relevant taxing authority or from a Responsible Officer of such Recipient stating or otherwise evidencing that such Recipient has made payment of such Taxes and will provide a copy of or extract from documentation, if available, furnished by such taxing authority evidencing assertion or payment of such Taxes. This indemnification shall be made on the Remittance Date in the calendar month following the calendar month during which a Recipient (as the case may be) makes written demand therefor.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soon as reasonably practicable after the date of any payment by the Borrower of any Taxes pursuant to this Section, the Borrower will furnish to each Lender Group Agent and the Administrative Agent, at its respective address set forth under its name on the signature pages hereof, appropriate evidence of payment thereof.</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Recipient, if requested by the Borrower or the Administrative Agent, shall deliver such other documentation as prescribed by applicable law or reasonably requested by the Borrower or the Administrative Agent as will enable the Borrower or the Administrative Agent to determine whether or not such Recipient is subject to backup withholding or information reporting requirements;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other than with respect to the IRS tax forms and other information in Sections 2.12(d)(i) and (ii) below</w:t>
      </w:r>
      <w:r>
        <w:rPr>
          <w:rFonts w:ascii="Times New Roman;Times;Serif" w:hAnsi="Times New Roman;Times;Serif"/>
          <w:b w:val="false"/>
          <w:i w:val="false"/>
          <w:caps w:val="false"/>
          <w:smallCaps w:val="false"/>
          <w:color w:val="FF0000"/>
          <w:sz w:val="20"/>
        </w:rPr>
        <w:t>)</w:t>
      </w:r>
      <w:r>
        <w:rPr>
          <w:rFonts w:ascii="Times New Roman;Times;Serif" w:hAnsi="Times New Roman;Times;Serif"/>
          <w:b w:val="false"/>
          <w:i w:val="false"/>
          <w:caps w:val="false"/>
          <w:smallCaps w:val="false"/>
          <w:sz w:val="20"/>
        </w:rPr>
        <w:t>, the Recipient shall not be required to deliver such certificates, forms or other documents if in its sole discretion it is determined that the deliverance of such certificate, form or other document would have a Material Adverse Effect on such Recipient. Without limiting the generality of the foregoing:</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Recipient that is a “United States person” (as defined in Section 7701(a)(30) of the Internal Revenue Code) shall deliver to the Borrower (and, in the case of a Lender Group Agent or a Lender, also to the Administrative Agent) on or before the date on which it becomes a party to this Agreement (and from time to time thereafter when required by law or upon the reasonable request of the Borrower or the Administrative Agent) two (2) properly completed and duly signed original copies of Internal Revenue Service Form W-9 (or any successor form) certifying that such Recipient is exempt from U.S. federal backup withholding.</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Recipient that is not a “United States person” (as defined in Section 7701(a)(30) of the Internal Revenue Code) shall, to the extent it is legally entitled to do so, deliver to the Borrower (and, in the case of a Lender Group Agent or a Lender, also to the Administrative Agent) on or before the date on which it becomes a party to this Agreement (and from time to time thereafter when required by law or upon the reasonable request of the Borrower or the Administrative Agent) whichever of the following is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two (2) duly completed copies of Internal Revenue Service Form W-8BEN (or any successor form) claiming eligibility for benefits of an income tax treaty to which the United States of America is a party,</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two (2) duly completed copies of Internal Revenue Service Form W-8ECI (or any successor forms),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 Recipient claiming the benefits of the exemption for portfolio interest under Section 881(c) of the Internal Revenue Code, (x) a tax certificate (any such certificate, a “</w:t>
      </w:r>
      <w:r>
        <w:rPr>
          <w:rFonts w:ascii="Times New Roman;Times;Serif" w:hAnsi="Times New Roman;Times;Serif"/>
          <w:b w:val="false"/>
          <w:i/>
          <w:caps w:val="false"/>
          <w:smallCaps w:val="false"/>
          <w:sz w:val="20"/>
          <w:u w:val="single"/>
        </w:rPr>
        <w:t>United States Tax Compliance Certificate</w:t>
      </w:r>
      <w:r>
        <w:rPr>
          <w:rFonts w:ascii="Times New Roman;Times;Serif" w:hAnsi="Times New Roman;Times;Serif"/>
          <w:b w:val="false"/>
          <w:i w:val="false"/>
          <w:caps w:val="false"/>
          <w:smallCaps w:val="false"/>
          <w:sz w:val="20"/>
        </w:rPr>
        <w:t>”), or any other form approved by the Administrative Agent, to the effect that such Lender is not (I) a “bank” extending credit pursuant to a loan agreement entered into in the ordinary course of its trade or business within the meaning of Section 881(c)(3)(A) of the Internal Revenue Code, (II) a “10 percent shareholder” within the meaning of Section 881(c)(3)(B) of the Internal Revenue Code, or (III) a “controlled foreign corporation” described in Section 881(c)(3)(C) of the Internal Revenue Code, and that no payments in connection with the Credit Documents are effectively connected with such Lender’s conduct of a U.S. trade or business and (y) two (2) duly completed copies of Internal Revenue Service Form W-8BEN (or any successor forms),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a Recipient is not the beneficial owner (for example, where such Lender or other recipient of payments is a partnership, or is a participant holding a participation granted by a participating Lender), Internal Revenue Service Form W-8IMY (or any successor forms) of such Lender, accompanied by a Form W-8ECI, W-8BEN, United States Tax Compliance Certificate, Form W-9 (or other successor forms) or any other required information from each beneficial owner, as applicable, or</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provide any forms, documentation or other information as shall be prescribed by the Internal Revenue Service to demonstrate that the relevant Lender has complied with the applicable reporting requirements of FATCA so that such payments made to such Lender hereunder would not be subject to U.S. Federal withholding taxes imposed by FATCA.</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Recipient agrees or is deemed to agree that, as promptly as practicable after it becomes aware of any circumstance referred to above that would result in any Additional Amounts or indemnification for Taxes, it shall, to the extent not inconsistent with its internal policies of general application, use commercially reasonable efforts to minimize costs, expenses and other amounts incurred by it and payable by the Borrower pursuant to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the Borrower becomes obligated to pay any Additional Amounts to any Lender pursuant to </w:t>
      </w:r>
      <w:r>
        <w:rPr>
          <w:rFonts w:ascii="Times New Roman;Times;Serif" w:hAnsi="Times New Roman;Times;Serif"/>
          <w:b/>
          <w:i w:val="false"/>
          <w:caps w:val="false"/>
          <w:smallCaps w:val="false"/>
          <w:strike/>
          <w:color w:val="FF0000"/>
          <w:sz w:val="20"/>
        </w:rPr>
        <w:t>Error! Reference source not found.</w:t>
      </w:r>
      <w:r>
        <w:rPr>
          <w:rFonts w:ascii="Times New Roman;Times;Serif" w:hAnsi="Times New Roman;Times;Serif"/>
          <w:b w:val="false"/>
          <w:i w:val="false"/>
          <w:caps w:val="false"/>
          <w:smallCaps w:val="false"/>
          <w:color w:val="0000FF"/>
          <w:sz w:val="20"/>
        </w:rPr>
        <w:t>Section 2.12(a)</w:t>
      </w:r>
      <w:r>
        <w:rPr>
          <w:rFonts w:ascii="Times New Roman;Times;Serif" w:hAnsi="Times New Roman;Times;Serif"/>
          <w:b w:val="false"/>
          <w:i w:val="false"/>
          <w:caps w:val="false"/>
          <w:smallCaps w:val="false"/>
          <w:sz w:val="20"/>
        </w:rPr>
        <w:t>, then the Borrower may, within five (5) days thereafter, designate another bank that is acceptable to the Required Lenders (such other bank being referred to as a “</w:t>
      </w:r>
      <w:r>
        <w:rPr>
          <w:rFonts w:ascii="Times New Roman;Times;Serif" w:hAnsi="Times New Roman;Times;Serif"/>
          <w:b w:val="false"/>
          <w:i/>
          <w:caps w:val="false"/>
          <w:smallCaps w:val="false"/>
          <w:sz w:val="20"/>
          <w:u w:val="single"/>
        </w:rPr>
        <w:t>Replacement Lender</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2.12(g)</w:t>
      </w:r>
      <w:r>
        <w:rPr>
          <w:rFonts w:ascii="Times New Roman;Times;Serif" w:hAnsi="Times New Roman;Times;Serif"/>
          <w:b w:val="false"/>
          <w:i w:val="false"/>
          <w:caps w:val="false"/>
          <w:smallCaps w:val="false"/>
          <w:sz w:val="20"/>
        </w:rPr>
        <w:t xml:space="preserve">) to purchase the Loans of such Lender and such Lender’s rights hereunder in accordance with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without recourse to or warranty by, or expense to, such Lender, for a purchase price equal to the Lender Principal Amount Outstanding for such Lender plus any accrued but unpaid Interest on such Loans and all other Aggregate Unpaids owed to such Lender and any other amounts payable to such Lender under this Agreement, which purchase price shall be payable to such Lender in immediately available funds, and shall enter into an Assignment and Acceptance pursuant to which the intended assignee shall assume all the obligations of such Lender hereunder (including such Lender’s Commitment), and, upon such purchase and assumption (pursuant to such Assignment and Acceptance), such Lender shall no longer be a party hereto or have any rights hereunder (other than rights with respect to indemnities and similar rights applicable to such Lender prior to the date of such purchase and assumption) and shall be relieved from all obligations to the Borrower hereunder, and the Replacement Lender shall succeed to the rights and obligation of such Lender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Recipient agrees that if any form or certification it previously delivered pursuant to </w:t>
      </w:r>
      <w:r>
        <w:rPr>
          <w:rFonts w:ascii="Times New Roman;Times;Serif" w:hAnsi="Times New Roman;Times;Serif"/>
          <w:b w:val="false"/>
          <w:i w:val="false"/>
          <w:caps w:val="false"/>
          <w:smallCaps w:val="false"/>
          <w:sz w:val="20"/>
          <w:u w:val="single"/>
        </w:rPr>
        <w:t>Section 2.12(d)</w:t>
      </w:r>
      <w:r>
        <w:rPr>
          <w:rFonts w:ascii="Times New Roman;Times;Serif" w:hAnsi="Times New Roman;Times;Serif"/>
          <w:b w:val="false"/>
          <w:i w:val="false"/>
          <w:caps w:val="false"/>
          <w:smallCaps w:val="false"/>
          <w:sz w:val="20"/>
        </w:rPr>
        <w:t xml:space="preserve">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Within ten (10) Business Days of the written request of the Borrower therefor, each Recipient, as appropriate, shall execute and deliver to the Borrower, such certificates, forms or other documents which can be furnished consistent with the facts and which are reasonably necessary to assist the Borrower in applying for refunds of Taxes remitted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a Recipient shall not be required to deliver such certificates, forms or other documents if in their respective sole discretion it is determined that the deliverance of such certificate, form or other document would have a Material Adverse Effect on the Administrative Agent, the applicable Lender Group Agent or the applicable Lender and (ii) the Borrower shall reimburse the Administrative Agent, the applicable Lender Group Agent or the applicable Lender for any reasonable expenses incurred in the delivery of such certificate, form or other document.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Recipient determines, in its sole discretion exercised in good faith, that it has received a refund of any Taxes as to which it has been indemnified pursuant to this Section (including by the payment of additional amounts pursuant to this Section), it shall pay to the Borrower an amount equal to such refund (but only to the extent of indemnity payments made under this Section with respect to the Taxes giving rise to such refund), net of all out-of-pocket expenses (including Taxes) of such Recipient and without interest (other than any interest paid by the relevant Governmental Authority with respect to such refund). Borrower, upon the request of such Recipient, shall repay to such Recipient the amount paid over pursuant to this paragraph (i) (plus any penalties, interest or other charges imposed by the relevant Governmental Authority) in the event that such Recipient is required to repay such refund to such Governmental Authority. Notwithstanding anything to the contrary in this paragraph (i), in no event will the Recipient be required to pay any amount to Borrower pursuant to this paragraph (i) the payment of which would place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Recipient to make available its Tax returns (or any other information relating to its Taxes that it deems confidential) to the indemnifying party or any other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Notwithstanding anything to the contrary in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if the Internal Revenue Service determines that any Recipient is a conduit entity participating in a conduit financing arrangement as defined in Section 7701(l) of the Code and the regulations thereunder (a “</w:t>
      </w:r>
      <w:r>
        <w:rPr>
          <w:rFonts w:ascii="Times New Roman;Times;Serif" w:hAnsi="Times New Roman;Times;Serif"/>
          <w:b w:val="false"/>
          <w:i/>
          <w:caps w:val="false"/>
          <w:smallCaps w:val="false"/>
          <w:sz w:val="20"/>
          <w:u w:val="single"/>
        </w:rPr>
        <w:t>Conduit Financing Arrangement</w:t>
      </w:r>
      <w:r>
        <w:rPr>
          <w:rFonts w:ascii="Times New Roman;Times;Serif" w:hAnsi="Times New Roman;Times;Serif"/>
          <w:b w:val="false"/>
          <w:i w:val="false"/>
          <w:caps w:val="false"/>
          <w:smallCaps w:val="false"/>
          <w:sz w:val="20"/>
        </w:rPr>
        <w:t xml:space="preserve">”), then (i) the Borrower shall have no obligation to pay Additional Amounts or indemnify such Recipient for any Taxes with respect to any payments hereunder to the extent that the amount of such Taxes exceeds the amount that would have otherwise been withheld or deducted had the Internal Revenue Service not made such a determination and (ii) such Recipient shall reimburse the Borrower for any U.S. federal withholding Taxes for which the Borrower is held directly liable by virtue of such Conduit Financing Arrangement (and which would not have been owed but for the Conduit Financing Arrangement);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Borrower (A) promptly forwards to the Recipient an official receipt of such documentation evidencing such payment, (B) contests such Taxes upon reasonable request of the Recipient and at such Recipient’s cost and (C) pays such Recipient within sixty days any refund of such Taxes (including interest thereon).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Upon request from Paying Agent, the Borrower will provide such information that it may have to assist the Paying Agent in making any withholdings or informational reports.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2.13. </w:t>
      </w:r>
      <w:r>
        <w:rPr>
          <w:rFonts w:ascii="Times New Roman;Times;Serif" w:hAnsi="Times New Roman;Times;Serif"/>
          <w:b/>
          <w:i w:val="false"/>
          <w:caps w:val="false"/>
          <w:smallCaps w:val="false"/>
          <w:sz w:val="20"/>
          <w:u w:val="single"/>
        </w:rPr>
        <w:t>[Reserved]</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2.14.  </w:t>
      </w:r>
      <w:r>
        <w:rPr>
          <w:rFonts w:ascii="Times New Roman;Times;Serif" w:hAnsi="Times New Roman;Times;Serif"/>
          <w:b/>
          <w:i w:val="false"/>
          <w:caps w:val="false"/>
          <w:smallCaps w:val="false"/>
          <w:sz w:val="20"/>
          <w:u w:val="single"/>
        </w:rPr>
        <w:t>Permitted Take-Outs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any Business Day, the Borrower shall have the right to prepay all or any portion of the Principal Amount Outstanding, together with accrued and unpaid Interest thereon and any Breakage Costs associated therewith, and require the Administrative Agent to release its security interest and Lien on the related Collateral in connection with a Permitted Take-Out, subject to the satisfaction of the following terms and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have given the Administrative Agent, each Lender Group Agent and the Secured Parties, the Paying Agent and the Custodian at least two (2)</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Business Days’ prior written notice of its intent to effect a Permitted Take-Out;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[Reserved].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unless a Permitted Take-Out is to be effected on a Remittance Date (in which case the relevant calculations with respect to such Permitted Take-Out shall be reflected on the applicable Monthly Servicer Report), the Servicer shall deliver to the Administrative Agent and each Lender Group Agent a Permitted Take-Out Date Certificate;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the date of a release of Collateral pursuant to this Section 2.14 in connection with a Permitted Take-Out, the following shall be true and correct and the Borrower shall be deemed to have certified that after giving effect to the release to the Borrower of the related Collateral on the related Permitted Take-Out Date, (A) the representations and warranties contained in Sections 5.1 and 5.2 and Schedules F and G are true and correct, except to the extent relating to an earlier date, (B) no Potential Termination Event, Potential Amortization Event, Termination Event or Amortization Event has occurred and is continuing, (C) no selection procedures were utilized by the Borrower in connection with the Permitted Take-Out that are adverse to the interests of the Administrative Agent, the Lender Group Agents or the Lenders, subject to customary Securitization selection criteria and (D) after giving effect to such Permitted Take-Out, the Principal Amount Outstanding does not exceed the Borrowing Base;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on the related Permitted Take-Out Date, each Secured Party shall have received, in immediately available funds, an amount equal to such Secured Party’s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allocable share of the sum of (A) the portion of the Principal Amount Outstanding to be prepaid, (B) an amount equal to all unpaid Interest to the extent reasonably determined by any Secured Party to be attributable to that portion of the Principal Amount Outstanding to be paid to such Secured Party in connection with the Permitted Take-Out, (C) an aggregate amount equal to the sum of all other amounts then due and owing to the Administrative Agent or any Secured Party, as applicable, under this Agreement and the other Transaction Documents, to the extent accrued to such date and to accrue thereafter (including Breakage Costs), to the extent reasonably determined by any Secured Party to be attributable to that portion of the Principal Amount Outstanding to be paid to such Secured Party in connection with the Permitted Take-Out and (D) all other Aggregate Unpaids then due and owing to the extent reasonably determined by any Secured Party to be attributable to that portion of the Principal Amount Outstanding to be paid to such Secured Party in connection with the Permitted Take-Out;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or prior to each Permitted Take-Out Date, the Borrower shall have delivered to the Administrative Agent, the Custodian, each Lender Group Agent and each Lender (x) a list specifying all Contracts under which the Receivables to be released pursuant to such Permitted Take-Out arose and (y) an updated Receivables Schedule giving effect to such Permitted Take-Out;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 Termination Event, Amortization Event, Potential Termination Event or Potential Amortization Event shall occur as a result of such Permitted Take-Out.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hereby agrees to pay the reasonable out-of-pocket legal fees and expenses of the Administrative Agent, the Lender Group Agents, the Lenders, the Custodian and the Paying Agent in connection with any Permitted Take-Out (including expenses incurred in connection with the release of the Lien of the Administrative Agent, the Lender Group Agents, the Lenders and any other party having such an interest in the Receivables in connection with such Permitted Take-Out).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connection with any Permitted Take-Out, on the related Permitted Take-Out Date, subject to satisfaction of the conditions referred to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the Administrative Agent shall, at the expense of the Borrower (i) execute and deliver such instruments of release with respect to the portion of the Receivables (and the other related Collateral) to be released to the Borrower, including a Permitted Take-Out Release, in favor of the Borrower as the Borrower may reasonably request, (ii) deliver (or cause to be delivered) any portion of the Receivables (and the other related Collateral) to be released to the Borrower in its possession to the Borrower and (iii) otherwise take such actions, and cause or permit the Custodian and the Servicer (or the Successor Servicer (as applicable)) to take such actions, as are necessary and appropriate torelease the Lien of the Administrative Agent on the portion of the Receivables (and the other related Collateral) to be released to the Borrower and deliver to the Borrower such Receivables and related Collateral.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2.15. </w:t>
      </w:r>
      <w:r>
        <w:rPr>
          <w:rFonts w:ascii="Times New Roman;Times;Serif" w:hAnsi="Times New Roman;Times;Serif"/>
          <w:b/>
          <w:i w:val="false"/>
          <w:caps w:val="false"/>
          <w:smallCaps w:val="false"/>
          <w:sz w:val="20"/>
          <w:u w:val="single"/>
        </w:rPr>
        <w:t>Electronic Documents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Electronic Contract, any other term or provision of this Agreement to the contrary notwithstanding: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requirement in this Agreement that the Borrower make delivery of, deliver, or provide an original or copy of any Custodian File document shall be deemed satisfied with respect to any Custodian File document which constitutes electronic chattel paper (as defined in the UCC) if and to the extent that the Borrower maintains the sole authoritative copy (as referred to in Section 9-105 of the UCC) of such Custodian File document on an Electronic Vault System over which the Custodian has and maintains “control” (as defined in Section 9-105 of the UCC as in effect in the State of New York) on behalf and for the benefit of the Administrative Agent as secured party.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the avoidance of doubt, if any Custodian File or Custodian File document is no longer maintained on the Electronic Vault System, then the terms and conditions of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shall no longer be applicable to such Custodian File or Custodian File document.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2.16. </w:t>
      </w:r>
      <w:r>
        <w:rPr>
          <w:rFonts w:ascii="Times New Roman;Times;Serif" w:hAnsi="Times New Roman;Times;Serif"/>
          <w:b/>
          <w:i w:val="false"/>
          <w:caps w:val="false"/>
          <w:smallCaps w:val="false"/>
          <w:sz w:val="20"/>
          <w:u w:val="single"/>
        </w:rPr>
        <w:t>[Reserved]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2.17. </w:t>
      </w:r>
      <w:r>
        <w:rPr>
          <w:rFonts w:ascii="Times New Roman;Times;Serif" w:hAnsi="Times New Roman;Times;Serif"/>
          <w:b/>
          <w:i w:val="false"/>
          <w:caps w:val="false"/>
          <w:smallCaps w:val="false"/>
          <w:sz w:val="20"/>
          <w:u w:val="single"/>
        </w:rPr>
        <w:t>Illegality</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Lender determines that any federal, state or local law has made it unlawful, or that any Governmental Authority has asserted that it is unlawful, for any Lender or its applicable lending office to make, maintain or fund Loans whose interest is determined by reference to Term SOFR, or to determine or charge interest based upon Term SOFR, then, upon notice thereof by such Lender to the Borrower (through the Administrative Agent) (an “</w:t>
      </w:r>
      <w:r>
        <w:rPr>
          <w:rFonts w:ascii="Times New Roman;Times;Serif" w:hAnsi="Times New Roman;Times;Serif"/>
          <w:b w:val="false"/>
          <w:i w:val="false"/>
          <w:caps w:val="false"/>
          <w:smallCaps w:val="false"/>
          <w:sz w:val="20"/>
          <w:u w:val="single"/>
        </w:rPr>
        <w:t>Illegality Notice</w:t>
      </w:r>
      <w:r>
        <w:rPr>
          <w:rFonts w:ascii="Times New Roman;Times;Serif" w:hAnsi="Times New Roman;Times;Serif"/>
          <w:b w:val="false"/>
          <w:i w:val="false"/>
          <w:caps w:val="false"/>
          <w:smallCaps w:val="false"/>
          <w:sz w:val="20"/>
        </w:rPr>
        <w:t>”), (a) any obligation of the Lenders to make Term SOFR Loans, and any right of the Borrower to continue Term SOFR Loans or to convert Base Rate Loans to Term SOFR Loans, shall be suspended, and (b) the interest rate on which Base Rate Loans shall, if necessary to avoid such illegality, be determined by the Administrative Agent without reference to clause (c) of the definition of “Base Rate”,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Term SOFR Loans to Base Rate Loans, on the last day of the Collection Period therefor, if all affected Lenders may lawfully continue to maintain such Term SOFR Loans to such day, or immediately, if any Lender may not lawfully continue to maintain such Term SOFR Loans to such day. Upon any such prepayment or conversion, the Borrower shall also pay Accrued Interest on the amount so prepaid or converted, together with any additional amounts required pursuant to Section 2.8.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 </w:t>
      </w:r>
      <w:r>
        <w:rPr>
          <w:rFonts w:ascii="Times New Roman;Times;Serif" w:hAnsi="Times New Roman;Times;Serif"/>
          <w:b/>
          <w:i w:val="false"/>
          <w:caps w:val="false"/>
          <w:smallCaps w:val="false"/>
          <w:sz w:val="20"/>
          <w:u w:val="single"/>
        </w:rPr>
        <w:t>Collateral</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hereto intend that this Agreement constitute a security agreement and the transactions effected hereby constitute secured loans by the Lenders to the Borrower under Applicable Law. As security for the prompt and complete payment of the Loans and the performance of all of the Borrower’s Obligations under the Loans, this Agreement and the other Transaction Documents, the Borrower hereby grants to the Administrative Agent, for the benefit of the Secured Parties, a security interest in and continuing Lien on all of the Borrower’s right, title and interest in, to and under, whether now owned or hereafter acquired: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Receivables listed in the Receivables Schedule attached hereto as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executed and delivered by the Seller on the Closing Date, or any Addition Date, (including, without limitation, (A) all Scheduled Payments and other amounts received with respect to the Contracts from the opening of business on the day after the Cut-Off Date and (B) the right to service such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monies received under the Receivables after the related Cutoff Date and all Net Liquidation Proceeds received with respect to the Receivables after the related Cutoff Date;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security interests in the Financed Vehicles and any accessions thereto granted by Obligors pursuant to the related Contracts and any other interest of the Seller in such Financed Vehicles, including, without limitation, the Certificates of Title with respect to such Financed Vehicles;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security deposits and other collateral provided by an Obligor as collateral security for its obligation under the related Contract;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proceeds from claims on any Insurance Policies or certificates relating to the Financed Vehicles securing the Receivables or the Obligors thereunder;</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proceeds from recourse against Dealers with respect to the Receivables and all other rights (but none of the obligations) of the Seller arising out of or with respect to the Receivables under any agreements with Dealers;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refunds for the costs of extended service contracts with respect to Financed Vehicles securing the Receivables, refunds of unearned premiums with respect to credit life and credit accident and health insurance policies or certificates covering an Obligor or Financed Vehicle under a Receivable or his or her obligations with respect to a Financed Vehicle and any recourse to Dealers for any of the foregoing;</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instruments, chattel paper, Certificates of Title and other documents contained in the Custodian Files and Servicing Files relating to the Contracts, together with the Custodian File related to each Receivable and all other documents that the Seller keeps on file in accordance with its customary procedures relating to the Receivables for Obligors of the Financed Vehicles;</w:t>
      </w:r>
    </w:p>
    <w:p>
      <w:pPr>
        <w:pStyle w:val="TextBody"/>
        <w:bidi w:val="0"/>
        <w:spacing w:before="0" w:after="0"/>
        <w:ind w:left="800" w:right="0" w:hanging="0"/>
        <w:jc w:val="both"/>
        <w:rPr>
          <w:caps w:val="false"/>
          <w:smallCaps w:val="false"/>
        </w:rPr>
      </w:pPr>
      <w:r>
        <w:rPr>
          <w:caps w:val="false"/>
          <w:smallCaps w:val="false"/>
        </w:rPr>
        <w:t> </w:t>
      </w:r>
    </w:p>
    <w:p>
      <w:pPr>
        <w:pStyle w:val="TextBody"/>
        <w:bidi w:val="0"/>
        <w:spacing w:before="0" w:after="0"/>
        <w:ind w:left="800" w:right="0" w:hanging="0"/>
        <w:jc w:val="both"/>
        <w:rPr>
          <w:caps w:val="false"/>
          <w:smallCaps w:val="false"/>
        </w:rPr>
      </w:pPr>
      <w:r>
        <w:rPr>
          <w:caps w:val="false"/>
          <w:smallCaps w:val="false"/>
        </w:rPr>
        <w:t> </w:t>
      </w:r>
    </w:p>
    <w:p>
      <w:pPr>
        <w:pStyle w:val="TextBody"/>
        <w:bidi w:val="0"/>
        <w:spacing w:before="0" w:after="0"/>
        <w:ind w:left="80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800" w:right="0" w:hanging="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Data File and the Image File;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amounts and property from time to time held in or credited to the Collection Account or Lockbox Account;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all property (including the right to receive future Net Liquidation Proceeds) that secures a Receivable that has been acquired by or on behalf of the Seller or the Purchaser pursuant to a liquidation of such Receivable;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proceeds from any Servicer’s errors and omissions policy or fidelity bond, to the extent such proceeds relate to any Receivable, Financed Vehicle or other Collateral;</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right to recover any Cram Down Losses;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all Service Contracts; and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all present and future claims, demands, causes and choses in action in respect of any or all of the foregoing and all payments on or under and all proceeds of every kind and nature whatsoever in respect of any or all of the foregoing, including all proceeds of the conversion, voluntary or involuntary, into cash or other liquid property, all cash proceeds, accounts, accounts receivable, notes, drafts, acceptances, chattel paper, checks, deposit accounts, insurance proceeds, condemnation awards, rights to payment of any and every kind and other forms of obligations and receivables, instruments and other property which at any time constitute all or part of or are included in the proceeds of any of the foregoing. ((i) through (xv), collectively, the “</w:t>
      </w:r>
      <w:r>
        <w:rPr>
          <w:rFonts w:ascii="Times New Roman;Times;Serif" w:hAnsi="Times New Roman;Times;Serif"/>
          <w:b w:val="false"/>
          <w:i/>
          <w:caps w:val="false"/>
          <w:smallCaps w:val="false"/>
          <w:sz w:val="20"/>
          <w:u w:val="single"/>
        </w:rPr>
        <w:t>Collateral</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security for the prompt and complete payment of the Loans and the performance of all of Borrower’s Obligations under the Loans, this Agreement and the other Transaction Documents, the Borrower hereby grants to the Administrative Agent for the benefit of the Secured Parties, a security interest in and continuing Lien on all of Borrower’s right, title and interest in, to and under the Reserve Account and all Eligible Investments, securities, instruments and other financial assets (as defined in Section 8-102(a)(9) of the UCC) credited to the Reserve Account and the proceeds thereof. The foregoing pledge does not constitute an assumption by the Administrative Agent of any obligations of the Borrower to Obligors or any other Person in connection with the Collateral or under any agreement and instrument relating to the Collateral, including any obligation to make future advances to or on behalf of such Obligors.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connection with such pledge, the Borrower agrees to allow the Administrative Agent to record and file, at Borrower’s expense, financing statements with respect to the Collateral now existing and hereafter created for the transfer of chattel paper, accounts and general intangibles (each as defined in Article 9 of the UCC) meeting the requirements of applicable state law in such manner and in such jurisdictions as are necessary to perfect the first priority security interest of the Administrative Agent in the Collateral, and to deliver a file-stamped copy of such financing statements or other evidence of such filing (which may, for purposes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consist of telephone confirmation of such filing) to the Administrative Agent, the Lender Group Agents and the Lenders on or prior to the Closing Date. In addition, the Borrower agrees to clearly and unambiguously mark its general ledger and all accounting records and documents and all computer tapes and records to show that the Receivables have been pledged to the Administrative Agent 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connection with the grant of the security interest pursuant to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the Borrower agrees to direct CPS, as the Servicer, to clearly and unambiguously mark in its computer files described in the preceding paragraph that an undivided interest in the Receivables created in connection with the Receivables has been pledged to the Administrative Agent pursuant to this Agreement. The Borrower shall deliver to the Administrative Agent a computer file or microfiche list containing a true and complete list of all such Receivables, identified by account number and principal balance as of the end of the Collection Period ending immediately prior to the Closing Date. Such file or list shall be marked as the Receivables Schedule attached hereto as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delivered to the Administrative Agent as confidential and proprietary information, and is hereby incorporated into and made a part of this Agreement. The Borrower agrees to deliver to the Administrative Agent at such times as requested by the Administrative Agent in connection with a third-party’s request to review the Receivables Schedule, as provided in the financing statement filed by the Administrative Agent under the UCC, a computer file or microfiche list containing a true and complete list of all Receivables, including all Receivables created on or after the Initial Cut-Off Date, in existence as of the later of (x) the last day of the prior Collection Period, (y) the most recent Addition Date or (z) the most recent Take-Out Date by account number and by Principal Balance as of such day or date. Such updated and revised file or list shall be marked as the Receivables Schedule, delivered to the Administrative Agent as confidential and proprietary information, shall replace the previously delivered Receivables Schedule, and shall be incorporated into and made a part of this Agreement. The Borrower agrees to direct the Servicer, by the end of each Collection Period to indicate clearly and unambiguously in its computer files that an undivided interest in the Receivables has been pledged to the Administrative Agent pursuant to this Agreement. The Secured Parties shall have the right to request the Borrower to deliver or cause to be delivered to such parties a new perfection opinion with respect to the Collateral in the event of a change in the law addressed pursuant to such opinion. Each Lender Group Agent shall be upon request by such Lender Group Agent provided with each of the Receivables Schedules delivered 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grant under this Section does not constitute and is not intended to result in a creation or an assumption by the Administrative Agent or any of the Secured Parties of any obligation of the Borrower or any other Person in connection with any or all of the Collateral or under any agreement or instrument relating thereto. Anything herein to the contrary notwithstanding, (i) the Borrower shall remain liable under the Contracts to the extent set forth therein to perform all of its duties and obligations thereunder to the same extent as if this Agreement had not been executed, (ii) the exercise by the Administrative Agent of any of its rights in the Collateral shall not release the Borrower from any of its duties or obligations under the Collateral and (iii) none of the Administrative Agent or any Secured Party shall have any obligations or liability under the Collateral by reason of this Agreement, nor shall the Administrative Agent or any Secured Party be obligated to perform any of the obligations or duties of the Borrower thereunder or to take any action to collect or enforce any claim for payment assigned 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grant of security interest, no account, instrument, chattel paper or other obligation or property of any kind due from, owned by or belonging to a Sanctioned Person shall be Collateral.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3.2. </w:t>
      </w:r>
      <w:r>
        <w:rPr>
          <w:rFonts w:ascii="Times New Roman;Times;Serif" w:hAnsi="Times New Roman;Times;Serif"/>
          <w:b/>
          <w:i w:val="false"/>
          <w:caps w:val="false"/>
          <w:smallCaps w:val="false"/>
          <w:sz w:val="20"/>
          <w:u w:val="single"/>
        </w:rPr>
        <w:t>Release of Collateral; No Legal Title</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the same time as any Contract (i) expires by its terms and all amounts in respect thereof have been paid by the related Obligor and deposited in the Collection Account or (ii) has been prepaid in full and all amounts in respect thereof have been paid by the related Obligor and deposited in the Collection Account, the Administrative Agent will, to the extent requested by the Servicer, release its interest in such Contract and the related Collateral. In connection with any sale of a related Financed Vehicle on or after the occurrence of an event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after the deposit by the Servicer of the proceeds of such sale into the Collection Account, the Administrative Agent will at the sole expense of the Servicer, execute and deliver to the Servicer any assignments, bills of sale, termination statements and any other releases and instruments as the Servicer may reasonably request in order to effect the release and transfer of such Financed Vehicle;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the Administrative Agent will make no representation or warranty, express or implied, with respect to any such Financed Vehicle in connection with such sale or transfer and assignment. Nothing in this Section shall diminish the Servicer’s obligations pursuant to </w:t>
      </w:r>
      <w:r>
        <w:rPr>
          <w:rFonts w:ascii="Times New Roman;Times;Serif" w:hAnsi="Times New Roman;Times;Serif"/>
          <w:b w:val="false"/>
          <w:i w:val="false"/>
          <w:caps w:val="false"/>
          <w:smallCaps w:val="false"/>
          <w:sz w:val="20"/>
          <w:u w:val="single"/>
        </w:rPr>
        <w:t>Section 7.3(h)</w:t>
      </w:r>
      <w:r>
        <w:rPr>
          <w:rFonts w:ascii="Times New Roman;Times;Serif" w:hAnsi="Times New Roman;Times;Serif"/>
          <w:b w:val="false"/>
          <w:i w:val="false"/>
          <w:caps w:val="false"/>
          <w:smallCaps w:val="false"/>
          <w:sz w:val="20"/>
        </w:rPr>
        <w:t xml:space="preserve"> with respect to the proceeds of any such sale.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Facility Termination Date, the Administrative Agent, at the Borrower’s expense, upon payment in full of the related Aggregate Unpaids, shall execute and file such partial or full releases or partial or full assignments of financing statements and other documents and instruments as may be reasonably requested by the Borrower to effectuate the release of the relevant portion of the Collateral.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will not (except as may result from the exercise of its remedies hereunder), have legal title to any part of the Collateral on the Facility Termination Date and will have no further interest in or rights with respect to the Collateral.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3.3. </w:t>
      </w:r>
      <w:r>
        <w:rPr>
          <w:rFonts w:ascii="Times New Roman;Times;Serif" w:hAnsi="Times New Roman;Times;Serif"/>
          <w:b/>
          <w:i w:val="false"/>
          <w:caps w:val="false"/>
          <w:smallCaps w:val="false"/>
          <w:sz w:val="20"/>
          <w:u w:val="single"/>
        </w:rPr>
        <w:t>Protection of Security Interest; Administrative Agent, as Attorney-in-Fact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that from time to time, at its expense, it will promptly execute and deliver all instruments and documents, and take all actions, that may reasonably be necessary or desirable, or that the Administrative Agent may deem necessary, to perfect, protect or more fully evidence the security interest granted to the Administrative Agent in the Receivables and the other Collateral, or to enable the Administrative Agent or the Secured Parties to exercise and enforce their rights and remedies hereunder and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Borrower fails to perform any of its obligations under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after notice from the Administrative Agent or any Secured Party, the Administrative Agent or any Secured Party may (but shall not be required to) perform, or cause performance of, such obligation; and the Administrative Agent’s or such Secured Party’s reasonable costs and expenses incurred in connection therewith shall be payable by the Borrower as provided herein. The Borrower irrevocably authorizes the Administrative Agent and appoints the Administrative Agent, as its attorney-in-fact to act on behalf of the Borrower, (i) to execute on behalf of the Borrower as debtor and to file financing statements necessary or desirable in the Administrative Agent’s sole discretion to perfect and to maintain the perfection and priority of the interest of the Secured Parties in the Receivables and the other Collateral and (ii) to file a carbon, photographic or other reproduction of this Agreement or any financing statement with respect to the Receivables and the other Collateral, as a financing statement in such offices as the Administrative Agent in its sole discretion deems necessary or desirable to perfect and to maintain the perfection and priority of the interests of the Secured Parties in the Receivables and the other Collateral. This appointment is coupled with an interest and is irrevocable.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3.4. </w:t>
      </w:r>
      <w:r>
        <w:rPr>
          <w:rFonts w:ascii="Times New Roman;Times;Serif" w:hAnsi="Times New Roman;Times;Serif"/>
          <w:b/>
          <w:i w:val="false"/>
          <w:caps w:val="false"/>
          <w:smallCaps w:val="false"/>
          <w:sz w:val="20"/>
          <w:u w:val="single"/>
        </w:rPr>
        <w:t>Collateral Assignment of the Purchase Agreement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hereby represents, warrants and confirms to the Administrative Agent that the Borrower has collaterally assigned to the Administrative Agent, for the ratable benefit of the Secured Parties hereunder, all of the Borrower’s right and title to and interest in the Purchase Agreement. The Borrower confirms that the Administrative Agent shall have the sole right to enforce the Borrower’s rights and remedies under the Purchase Agreement for the benefit of the Secured Parties, but without any obligation on the part of the Administrative Agent, the Secured Parties or any of their respective Affiliates, to perform any of the obligations of the Borrower under the Purchase Agreement. The Borrower further confirms and agrees that such collateral assignment to the Administrative Agent shall terminate upon the Facility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rights of the Administrative Agent and the Secured Parties pursuant to such collateral assignment with respect to rights and remedies in connection with any indemnities and any breach of any representation, warranty or covenants made by the Seller pursuant to the Purchase Agreement, which rights and remedies survive the termination of the Purchase Agreement shall be continuing and shall survive any termination of such collateral assignment.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3.5. </w:t>
      </w:r>
      <w:r>
        <w:rPr>
          <w:rFonts w:ascii="Times New Roman;Times;Serif" w:hAnsi="Times New Roman;Times;Serif"/>
          <w:b/>
          <w:i w:val="false"/>
          <w:caps w:val="false"/>
          <w:smallCaps w:val="false"/>
          <w:sz w:val="20"/>
          <w:u w:val="single"/>
        </w:rPr>
        <w:t>Waiver of Certain Laws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Borrower and the Servicer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of the Borrower and the Servicer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or any court having jurisdiction to foreclosure the security interests granted in this Agreement may sell the Collateral as an entirety or in such parcels as the Administrative Agent or such court may determine.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of Closing Date and Advances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8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4.1. </w:t>
      </w:r>
      <w:r>
        <w:rPr>
          <w:rFonts w:ascii="Times New Roman;Times;Serif" w:hAnsi="Times New Roman;Times;Serif"/>
          <w:b/>
          <w:i w:val="false"/>
          <w:caps w:val="false"/>
          <w:smallCaps w:val="false"/>
          <w:sz w:val="20"/>
          <w:u w:val="single"/>
        </w:rPr>
        <w:t>Conditions to Closing Date</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Date shall not occur, nor shall any Lender Group Agent, any Lender, the Administrative Agent or the Custodian be obligated to take, fulfill or perform any other action hereunder, until, all of the following conditions have been satisfied, in the sole discretion of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Transaction Document, together with all amendments thereto, shall have been duly executed by, and delivered to, the parties hereto and thereto and the Administrative Agent shall have received such other documents, instruments, agreements and legal opinions as the Administrative Agent shall request in connection with the transactions contemplated by this Agreement, including all those specified in the Schedule of Documents, each in form and substance satisfactory to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(i) satisfactory evidence, which may be in the form of an Opinion of Counsel or Officer’s Certificate, that the Borrower, the Servicer, the Seller and the Custodian have obtained all required consents and approvals of all Persons, including all requisite Governmental Authorities, to the execution, delivery and performance of this Agreement, and each Transaction Documents to which each is a party and the consummation of the transactions contemplated hereby or thereby or (ii) an Officer’s Certificate from each of the Borrower, the Servicer, the Seller and the Custodian in form and substance satisfactory to the Administrative Agent affirming that no such consents or approvals are required; it being understood that the acceptance of such evidence or officer’s certificate shall in no way limit the recourse of the Administrative Agent or any Secured Party against the Seller or the Borrower for a breach or the Seller’s as the Borrower’s representation or warranty that all such consents and approvals have, in fact, been obtained.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an Officer’s Certificate of (1) the Borrower certifying as to the incumbency and genuineness of the signature of each officer of the Borrower executing this Agreement and certifying that attached thereto is a true, correct and complete copy of (i) the certificate of formation or comparable Governing Documents, if any, of the Borrower and all amendments thereto, certified as of a recent date by the appropriate Governmental Authority in the Borrower’s jurisdiction of organization, (ii) the Governing Documents of the Borrower as in effect on the date of such certifications, (iii) resolutions duly adopted by the board of directors or comparable governing body of the Borrower authorizing, as applicable, the transactions contemplated hereunder and the execution, delivery and performance of this Agreement, and (iv) certificates as of a recent date of the good standing or active status, as applicable, of the Borrower under the laws of its jurisdiction of organization, and (2) the Servicer and the Seller certifying as to the incumbency and genuineness of the signature of each officer of the Servicer and the Seller, as applicable, executing this Agreement and/or the other Transaction Documents as applicable and certifying that attached thereto is a true, correct and complete copy of (i) the certificate of formation or comparable Governing Documents, if any, of the Servicer or the Seller and all amendments thereto, certified as of a recent date by theappropriate Governmental Authority in the Servicer’s or the Seller’s jurisdiction of organization, (ii) the Governing Documents of the Servicer and the Seller as in effect on the date of such certifications, (iii) resolutions duly adopted by the board of directors or comparable governing body of the Servicer and the Seller authorizing, as applicable, the transactions contemplated hereunder and the execution, delivery and performance of this Agreement and/or the other Transaction Documents as applicable, and (iv) certificates as of a recent date of the good standing or active status, as applicable, of the Servicer and the Seller under the laws of its jurisdiction of organization.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the Servicer and the Seller shall each be in compliance in all material respects with all Applicable Laws and shall have delivered an Officer’s Certificate to the Administrative Agent as to such compliance and other closing matters.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have paid all fees, if any, required to be paid by it on the Closing Date, including all fees required hereunder and under the Fee Letter.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Termination Event, Amortization Event, Potential Termination Event or Potential Amortization Event shall have occurred.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Servicer Termination Event or any event that, with the giving of notice or the lapse of time, or both, would become a Servicer Termination Event shall have occurred.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Entity Group has implemented and maintains in effect policies and procedures reasonably designed to promote compliance by it and its respective subsidiaries, directors, officers, employees and agents with Anti-Corruption Laws and applicable Sanctions, and each of the Entity Group and, to the knowledge of each of the Entity Group, its respective subsidiaries, directors, senior executive officers or any officer with the ability to direct or control the Entity Group’s operations, are in compliance with Anti-Corruption Laws and applicable Sanctions in all material respects, except where it is not required to be disclosed or has been publicly disclosed. None of the Entity Group or, to the knowledge of the Entity Group, any of the Entity Group’s respective subsidiaries, directors, senior executive officers or any officer with the ability to direct or control the Entity Group’s operations is a Sanctioned Person. None of the Entity Group’s use of any Advance, use of proceeds or other transaction contemplated by this Agreement will directly (or to the Entity Group’s knowledge, indirectly) violate Anti-Corruption Laws or applicable Sanctions. The Borrower shall notify Lender in writing promptly after (x) receipt of written notice or (y) actual knowledge, in each case of any breach of this Section 4.1(h).</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4.2. </w:t>
      </w:r>
      <w:r>
        <w:rPr>
          <w:rFonts w:ascii="Times New Roman;Times;Serif" w:hAnsi="Times New Roman;Times;Serif"/>
          <w:b/>
          <w:i w:val="false"/>
          <w:caps w:val="false"/>
          <w:smallCaps w:val="false"/>
          <w:sz w:val="20"/>
          <w:u w:val="single"/>
        </w:rPr>
        <w:t>Conditions Precedent to All Advances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request for an Advance by the Borrower to the Lender Group Agents shall be subject to the conditions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and the further conditions precedent that: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Advance (including the Initial Advance), the Borrower shall have delivered to each Lender Group Agent, on or prior to the date of such Advance in form and substance satisfactory to each Lender Group Agent, (i) an Advance Request and (ii) in the case of Receivables being added to the Collateral, a Receivables Schedule related thereto dated within no later than 1:00 p.m., New York City time on the day prior to the date of such Advance (other than the Initial Advance, in which case such items shall be dated within one (1) day prior to the date of such Initial Advance) and containing such additional information as may be reasonably requested by the Administrative Agent or any Lender Group Agent.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date of such Advance, the following shall be true and correct and the Borrower shall be deemed to have certified that, after giving effect to the proposed Advance and pledge of Receivables: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and warranties contained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Schedules F and G are true and correct on and as of such day as though made on and as of such day and shall be deemed to have been made on such day (except to the extent any such representation and warranty expressly refers to an earlier date);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event has occurred and is continuing, or would result from such transaction that constitutes (x) a Termination Event, Amortization Event, Potential Termination Event or Potential Amortization Event or (y) a Servicer Termination Event or any event that with the giving of notice of the lapse of time, or both, would constitute a Servicer Termination Event;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on and as of such day, after giving effect to such Advance, the principal amount of such Advance and the aggregate Principal Amount Outstanding of all Loans (taking into account any pending reductions to the aggregate Principal Amount Outstanding of Loans described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hereof) does not exceed the Borrowing Base (calculated as of the date of such Advance after giving effect to all additional Eligible Receivables to be acquired by the Borrower on such date); and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and as of each such day, the Borrower and the Servicer each has performed all of the agreements contained in this Agreement and the other Transaction Documents to be performed by it at or prior to such day;</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law or regulation shall prohibit, and no order, judgment or decree of any federal, state or local court or governmental body, agency or instrumentality shall prohibit or enjoin, the making of such Loan by any Lender in accordance with the provisions hereof.</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adverse selection procedures were used by the Borrower with respect to the Receivables.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has deposited into the Reserve Account an amount equal to the excess of (i) the Required Reserve Account Balance over (ii) the Reserve Account Amount, in each case calculated after giving effect to the conveyance of Receivables relating to such requested Advance.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 the date of such transaction, the Administrative Agent shall have received such other approvals, opinions, information or documents as the Administrative Agent may reasonably require.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have delivered within five (5) Business Days following the date of such Advance each related physical Custodian File to the Custodian and the Administrative Agent shall have received the related executed Receivable Receipt following the delivery of the Custodian Files.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5.1. </w:t>
      </w:r>
      <w:r>
        <w:rPr>
          <w:rFonts w:ascii="Times New Roman;Times;Serif" w:hAnsi="Times New Roman;Times;Serif"/>
          <w:b/>
          <w:i w:val="false"/>
          <w:caps w:val="false"/>
          <w:smallCaps w:val="false"/>
          <w:sz w:val="20"/>
          <w:u w:val="single"/>
        </w:rPr>
        <w:t>Representations and Warranties of the Borrower</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as of the Closing Date and as of each Addition Date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Good Standing</w:t>
      </w:r>
      <w:r>
        <w:rPr>
          <w:rFonts w:ascii="Times New Roman;Times;Serif" w:hAnsi="Times New Roman;Times;Serif"/>
          <w:b w:val="false"/>
          <w:i w:val="false"/>
          <w:caps w:val="false"/>
          <w:smallCaps w:val="false"/>
          <w:sz w:val="20"/>
        </w:rPr>
        <w:t>. The Borrower is a corporation duly organized and validly existing in good standing under the laws of the jurisdiction of its incorporation, and has full corporate power, authority and legal right to own its properties and conduct its business as such properties are presently owned and such business is presently conducted, and to execute, deliver and perform its obligations under this Agreement and the other Transaction Documents.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Due Qualification</w:t>
      </w:r>
      <w:r>
        <w:rPr>
          <w:rFonts w:ascii="Times New Roman;Times;Serif" w:hAnsi="Times New Roman;Times;Serif"/>
          <w:b w:val="false"/>
          <w:i w:val="false"/>
          <w:caps w:val="false"/>
          <w:smallCaps w:val="false"/>
          <w:sz w:val="20"/>
        </w:rPr>
        <w:t>. The Borrower is duly qualified to do business and is in good standing as a foreign corporation in any state required in order to conduct its business, and has obtained all necessary licenses and approvals, in each jurisdiction in which failure to so qualify or to obtain such licenses and approvals would have a Material Adverse Effect on the conduct of the Borrower’s business.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Power and Authority; Due Authorization</w:t>
      </w:r>
      <w:r>
        <w:rPr>
          <w:rFonts w:ascii="Times New Roman;Times;Serif" w:hAnsi="Times New Roman;Times;Serif"/>
          <w:b w:val="false"/>
          <w:i w:val="false"/>
          <w:caps w:val="false"/>
          <w:smallCaps w:val="false"/>
          <w:sz w:val="20"/>
        </w:rPr>
        <w:t>. The Borrower has the power and authority to execute and deliver this Agreement and the other Transaction Documents. The execution and delivery of this Agreement and the other Transaction Documents by the Borrower and the consummation of the transactions provided for in this Agreement and the other Transaction Documents have been duly authorized by the Borrower by all necessary corporate action on the part of the Borrower.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and delivery of this Agreement and the other Transaction Documents, the performance of the transactions contemplated by this Agreement and the other Transaction Documents and the fulfillment of the terms hereof will not conflict with, result in any breach of any of the terms and provisions of, or constitute (with or without notice or lapse of time or both) a default under, any Requirement of Law applicable to the Borrower or any Contractual Obligation of the Borrower.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Proceedings</w:t>
      </w:r>
      <w:r>
        <w:rPr>
          <w:rFonts w:ascii="Times New Roman;Times;Serif" w:hAnsi="Times New Roman;Times;Serif"/>
          <w:b w:val="false"/>
          <w:i w:val="false"/>
          <w:caps w:val="false"/>
          <w:smallCaps w:val="false"/>
          <w:sz w:val="20"/>
        </w:rPr>
        <w:t>. There are no proceedings or investigations pending or, to the best knowledge of the Borrower, threatened, before any court, regulatory body, administrative agency, arbitrator or other tribunal or governmental instrumentality (i) asserting the invalidity of this Agreement or the other Transaction Documents, (ii) seeking to prevent the consummation of any of the transactions contemplated by this Agreement, the other Transaction Documents or the Loans, (iii) seeking any determination or ruling that, individually or in the aggregate, in the reasonable judgment of the Borrower, would materially and adversely affect the performance by the Borrower of its obligations under this Agreement or the other Transaction Documents, or (iv) seeking any determination or ruling that would materially and adversely affect the validity or enforceability of this Agreement or the other Transaction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All Consents Required</w:t>
      </w:r>
      <w:r>
        <w:rPr>
          <w:rFonts w:ascii="Times New Roman;Times;Serif" w:hAnsi="Times New Roman;Times;Serif"/>
          <w:b w:val="false"/>
          <w:i w:val="false"/>
          <w:caps w:val="false"/>
          <w:smallCaps w:val="false"/>
          <w:sz w:val="20"/>
        </w:rPr>
        <w:t>. All approvals, authorizations, consents, orders or other actions of any Person or of any governmental body or official required to be obtained on or prior to the date hereof in connection with the execution and delivery of this Agreement and the other Transaction Documents, the performance by the Borrower of the transactions contemplated by this Agreement, the other Transaction Documents and the fulfillment by the Borrower of the terms hereof, have been obtained.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Borrower is Solvent and will not be rendered insolvent immediately following the consummation on the Closing Date of the transactions contemplated by this Agreement and the other Transaction Documents, including the pledge by the Borrower to the Administrative Agent of the Collateral.</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After giving effect to the Initial Advance, no Termination Event, Potential Termination Event, Amortization Event or Potential Amortization Event exists.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Information Furnished to the Administrative Agent</w:t>
      </w:r>
      <w:r>
        <w:rPr>
          <w:rFonts w:ascii="Times New Roman;Times;Serif" w:hAnsi="Times New Roman;Times;Serif"/>
          <w:b w:val="false"/>
          <w:i w:val="false"/>
          <w:caps w:val="false"/>
          <w:smallCaps w:val="false"/>
          <w:sz w:val="20"/>
        </w:rPr>
        <w:t>. All information furnished by or on behalf of the Borrower to the Administrative Agent will be true and complete in all material respects.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Borrower has filed all tax returns required to be filed and has paid or made adequate provision for the payment of all its taxes, assessments and other governmental charges other than (i) any amount of tax the validity of which the Borrower is contesting in good faith by appropriate proceedings and with respect to which the Borrower retains appropriate reserves in accordance with GAAP on the books of the Borrower or (ii) to the extent that the failure to do so could not reasonably be expected to have a Material Adverse Effect.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Borrower has complied in all material respects with all Requirements of Law in respect of the conduct of its business and the ownership of its property.</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Borrower is not an “investment company” within the meaning of the Investment Company Act or is exempt from the provisions of such act.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The Borrower is in compliance with ERISA in all material respects. No Reportable Event has occurred or is expected to occur that might result, directly or indirectly, in any lien being imposed on the property of the Borrower.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Bulk Sales</w:t>
      </w:r>
      <w:r>
        <w:rPr>
          <w:rFonts w:ascii="Times New Roman;Times;Serif" w:hAnsi="Times New Roman;Times;Serif"/>
          <w:b w:val="false"/>
          <w:i w:val="false"/>
          <w:caps w:val="false"/>
          <w:smallCaps w:val="false"/>
          <w:sz w:val="20"/>
        </w:rPr>
        <w:t xml:space="preserve">. The execution, delivery and performance of this Agreement do not require compliance with any </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bulk sales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act or similar law by the Borrower.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Exchange Act Compliance; Regulations T, U and X</w:t>
      </w:r>
      <w:r>
        <w:rPr>
          <w:rFonts w:ascii="Times New Roman;Times;Serif" w:hAnsi="Times New Roman;Times;Serif"/>
          <w:b w:val="false"/>
          <w:i w:val="false"/>
          <w:caps w:val="false"/>
          <w:smallCaps w:val="false"/>
          <w:sz w:val="20"/>
        </w:rPr>
        <w:t xml:space="preserve">. None of the transactions contemplated herein (including the use of the proceeds from the Loans and the pledge of the Collateral) will violate or result in a violation of Section 7 of the Exchange Act, or any regulations issued pursuant thereto, including Regulations T, U and X of the Federal Reserve Board, 12 C.F.R., Chapter II. The Borrower does not own or intend to carry or purchase, and no proceeds from the pledge of the Collateral will be used to carry or purchase, any </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Margin Stock</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within the meaning of Regulation U or to extend </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Purchase Credit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within the meaning of Regulation U.</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Reports Accurate</w:t>
      </w:r>
      <w:r>
        <w:rPr>
          <w:rFonts w:ascii="Times New Roman;Times;Serif" w:hAnsi="Times New Roman;Times;Serif"/>
          <w:b w:val="false"/>
          <w:i w:val="false"/>
          <w:caps w:val="false"/>
          <w:smallCaps w:val="false"/>
          <w:sz w:val="20"/>
        </w:rPr>
        <w:t>. All Monthly Servicer Reports (if prepared by the Borrower, or to the extent that information contained therein is supplied by the Borrower, such portion supplied by the Borrower), information, exhibits, financial statements, documents, books, records or reports (including the data file indicating characteristics of the initial Receivables immediately prior to the Closing Date) furnished or to be furnished by the Borrower to the Administrative Agent or any Secured Party under this Agreement are true, complete and correct in all material respects as of the date specified therein or the date so furnished (as applicable).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Lockbox; Collection Account</w:t>
      </w:r>
      <w:r>
        <w:rPr>
          <w:rFonts w:ascii="Times New Roman;Times;Serif" w:hAnsi="Times New Roman;Times;Serif"/>
          <w:b w:val="false"/>
          <w:i w:val="false"/>
          <w:caps w:val="false"/>
          <w:smallCaps w:val="false"/>
          <w:sz w:val="20"/>
        </w:rPr>
        <w:t>. None of the Lockbox, the Lockbox Account, the Collection Account or any interest therein has been pledged or assigned to any party other than as provided herein or in the other Transaction Documents.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The Purchase Agreement is the only agreement pursuant to which the Borrower purchases Receivables and the related Contracts.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Value Given</w:t>
      </w:r>
      <w:r>
        <w:rPr>
          <w:rFonts w:ascii="Times New Roman;Times;Serif" w:hAnsi="Times New Roman;Times;Serif"/>
          <w:b w:val="false"/>
          <w:i w:val="false"/>
          <w:caps w:val="false"/>
          <w:smallCaps w:val="false"/>
          <w:sz w:val="20"/>
        </w:rPr>
        <w:t>. The Borrower shall have given reasonably equivalent value to the Seller in consideration for the transfer by the Seller to the Borrower of the Receivables and the related Collateral under the Purchase Agreement, no such transfer shall have been made for or on account of an antecedent debt owed by the Seller to the Borrower and no such transfer is or may be voidable or subject to avoidance under any section of the Bankruptcy Code.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Accounting</w:t>
      </w:r>
      <w:r>
        <w:rPr>
          <w:rFonts w:ascii="Times New Roman;Times;Serif" w:hAnsi="Times New Roman;Times;Serif"/>
          <w:b w:val="false"/>
          <w:i w:val="false"/>
          <w:caps w:val="false"/>
          <w:smallCaps w:val="false"/>
          <w:sz w:val="20"/>
        </w:rPr>
        <w:t>. The Borrower accounts for the transfers to it from the Seller of Receivables and related Collateral under the Purchase Agreement as sales of such Receivables and related Collateral in its books, records and financial statements, in each case consistent with GAAP and with the requirements set forth herein, other than for federal tax and consolidated accounting purposes.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Special Purpose Entity</w:t>
      </w:r>
      <w:r>
        <w:rPr>
          <w:rFonts w:ascii="Times New Roman;Times;Serif" w:hAnsi="Times New Roman;Times;Serif"/>
          <w:b w:val="false"/>
          <w:i w:val="false"/>
          <w:caps w:val="false"/>
          <w:smallCaps w:val="false"/>
          <w:sz w:val="20"/>
        </w:rPr>
        <w:t>. The Borrower is in compliance with Section 6.1(m).</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Accuracy of Representations and Warranties</w:t>
      </w:r>
      <w:r>
        <w:rPr>
          <w:rFonts w:ascii="Times New Roman;Times;Serif" w:hAnsi="Times New Roman;Times;Serif"/>
          <w:b w:val="false"/>
          <w:i w:val="false"/>
          <w:caps w:val="false"/>
          <w:smallCaps w:val="false"/>
          <w:sz w:val="20"/>
        </w:rPr>
        <w:t>. Each representation or warranty by the Borrower contained herein, in any other Transaction Document or in any certificate or other document furnished by the Borrower pursuant hereto or thereto or in connection herewith or therewith is true and correct in all material respects.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5.1A. </w:t>
      </w:r>
      <w:r>
        <w:rPr>
          <w:rFonts w:ascii="Times New Roman;Times;Serif" w:hAnsi="Times New Roman;Times;Serif"/>
          <w:b/>
          <w:i w:val="false"/>
          <w:caps w:val="false"/>
          <w:smallCaps w:val="false"/>
          <w:sz w:val="20"/>
          <w:u w:val="single"/>
        </w:rPr>
        <w:t>Compliance with Anti-Corruption Laws and Sanctions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Entity Group will maintain in effect and enforce policies and procedures reasonably designed to promote compliance by the Entity Group and each of their respective subsidiaries and their respective directors, officers, employees and agents with Anti-Corruption Laws and applicable Sanctions.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Entity Group shall request an Advance, and shall not directly (or to the Entity Group’s knowledge, indirectly) use, and shall procure that its subsidiaries and its or their respective directors, officers, employees and agents shall not directly (or knowingly indirectly) use, the proceeds of any Loan in any manner that would result in the violation of any Sanctions applicable to any party hereto.</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5.1B. </w:t>
      </w:r>
      <w:r>
        <w:rPr>
          <w:rFonts w:ascii="Times New Roman;Times;Serif" w:hAnsi="Times New Roman;Times;Serif"/>
          <w:b/>
          <w:i w:val="false"/>
          <w:caps w:val="false"/>
          <w:smallCaps w:val="false"/>
          <w:sz w:val="20"/>
          <w:u w:val="single"/>
        </w:rPr>
        <w:t>Anti-Money Laundering and 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represents and warrants continuously throughout the term of this Agreement that: (a) each member of the Borrower Group has instituted, maintains and complies with policies, procedures and controls reasonably designed to assure compliance with Anti-Money Laundering Laws and Anti-Corruption Laws; and (b) to the best of Borrower’s knowledge, after due care and inquiry, no member of the Borrower Group is under investigation for an alleged violation of Anti-Money Laundering Laws or Anti-Corruption Laws by a governmental authority that enforces such laws. Anti-Corruption Laws and Sanctions. Each of the Borrower Group has implemented and maintains in effect policies and procedures reasonably designed to promote compliance by it and its respective subsidiaries, directors, officers, employees and agents with Anti-Corruption Laws and applicable Sanctions, and each of the Borrower Group and, to the knowledge of each of the Borrower Group, its respective subsidiaries, directors, senior executive officers or any officer with the ability to direct or control the Borrower Group’s operations, are in compliance with Anti-Corruption Laws and applicable Sanctions in all material respects, except where it is not required to be disclosed or has been publicly disclosed. None of the Borrower Group or, to the knowledge of the Borrower Group, any of the Borrower Group’s respective subsidiaries, directors, senior executive officers or any officer with the ability to direct or control the Borrower Group’s operations is a Sanctioned Person. None of the Borrower Group’s use of any Advance, use of proceeds or other transaction contemplated by this Agreement will directly (or knowingly indirectly) violate Anti-Corruption Laws or applicable Sanctions.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5.2. </w:t>
      </w:r>
      <w:r>
        <w:rPr>
          <w:rFonts w:ascii="Times New Roman;Times;Serif" w:hAnsi="Times New Roman;Times;Serif"/>
          <w:b/>
          <w:i w:val="false"/>
          <w:caps w:val="false"/>
          <w:smallCaps w:val="false"/>
          <w:sz w:val="20"/>
          <w:u w:val="single"/>
        </w:rPr>
        <w:t>Representations and Warranties of the Borrower relating to this Agreement and the Receivables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represents and warrants, as of the Closing Date and as of each Addition Date: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Binding Obligation</w:t>
      </w:r>
      <w:r>
        <w:rPr>
          <w:rFonts w:ascii="Times New Roman;Times;Serif" w:hAnsi="Times New Roman;Times;Serif"/>
          <w:b w:val="false"/>
          <w:i w:val="false"/>
          <w:caps w:val="false"/>
          <w:smallCaps w:val="false"/>
          <w:sz w:val="20"/>
        </w:rPr>
        <w:t>. This Agreement and each other Transaction Document to which the Borrower is a party each constitute a legal, valid and binding obligation of the Borrower, enforceable against the Borrower in accordance with its respective terms, except as such enforceability may be limited by Insolvency Laws and except as such enforceability may be limited by general principles of equity (whether considered in a suit at law or in equity).</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Security Interest</w:t>
      </w:r>
      <w:r>
        <w:rPr>
          <w:rFonts w:ascii="Times New Roman;Times;Serif" w:hAnsi="Times New Roman;Times;Serif"/>
          <w:b w:val="false"/>
          <w:i w:val="false"/>
          <w:caps w:val="false"/>
          <w:smallCaps w:val="false"/>
          <w:sz w:val="20"/>
        </w:rPr>
        <w:t>. This Agreement constitutes a grant of a security interest by the Borrower to the Administrative Agent for the benefit of the Secured Parties in all Collateral which upon the filing of financing statements in the applicable jurisdictions and, in the case of Subsequent Receivables in connection with the applicable Subsequent Advance, shall be a first priority perfected security interest in all Collateral, subject only to Permitted Liens. All filings (including such UCC filings) as are necessary in any jurisdiction to perfect the security interest of the Administrative Agent, for the benefit of the Secured Parties, in the Collateral have been made. No effective financing statement or other instrument similar in effect covering any portion of the Collateral shall at any time be on file in any recording office except such as may be filed in favor of (A) the Borrower in accordance with the Purchase Agreement or (B) the Administrative Agent in accordance with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Eligibility of Receivables</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 of the Closing Date (A)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and the information contained in the Advance Request delivered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is an accurate and complete listing in all material respects of the Receivables constituting a portion of the Collateral as of the date of the Initial Advance and the information contained therein with respect to the identity of such Receivables and the amounts owing thereunder is true and correct in all material respects as of the related Cut-off Date, and (B) each of the representations and warranties set forth on Schedules F and G hereto are true and correct.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On each Addition Date, (A)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and the information contained in the Advance Request delivered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is an accurate and complete listing in all material respects of the Receivables (including the Subsequent Receivables being transferred on such Addition Date) constituting a portion of the Collateral as of the date of the Subsequent Advance and the information contained therein with respect to the identity of such Receivables and the amounts owing thereunder is true and correct in all material respects as of the related Cut-off Date, and (B) each of the representations and warranties set forth on Schedules F and G hereto are true and correct.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5.3. </w:t>
      </w:r>
      <w:r>
        <w:rPr>
          <w:rFonts w:ascii="Times New Roman;Times;Serif" w:hAnsi="Times New Roman;Times;Serif"/>
          <w:b/>
          <w:i w:val="false"/>
          <w:caps w:val="false"/>
          <w:smallCaps w:val="false"/>
          <w:sz w:val="20"/>
          <w:u w:val="single"/>
        </w:rPr>
        <w:t>Representations and Warranties of the Initial Servicer</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Servicer hereby represents, warrants and covenants to the Borrower, the Administrative Agent, the Secured Parties, the Paying Agent, the Backup Servicer and the Custodian that as of the Closing Date and, for so long as the initial Servicer shall continue to act as Servicer hereunder: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Servicer is a corporation duly organized, validly existing and in good standing under the laws of the State of California;</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necessary corporate, regulatory or other similar action has been taken to authorize and empower the Servicer and the officers or representatives acting on the Servicer’s behalf, and the Servicer has full power and authority to execute, deliver and perform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has been duly authorized, executed and delivered by the Servicer and the performance and compliance with the terms of this Agreement will not violate the Servicer’s certificate of incorporation or bylaws or constitute a default (or an event which, with notice or lapse of time, or both, would constitute a default) under, or result in the breach of, any Transaction Document or any other contract, loan, lease, credit agreement or any other agreement or instrument to which the Servicer is a party or which may be applicable to the Servicer or any of its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Servicer is duly licensed and qualified to perform the functions specified herein and this Agreement constitutes a valid, legal and binding obligation of the Servicer, enforceable in accordance with its terms, subject to applicable bankruptcy, insolvency, reorganization, moratorium and other laws affecting the enforcement of creditors’ rights generally and to general principles of equity;</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Servicer is not in violation of, and the execution, delivery and performance of this Agreement by the Servicer will not constitute a violation with respect to any order or decree of any court or any order, regulation or demand of any federal, state, municipal or governmental agency, which violation might have consequences that would materially and adversely affect the condition (financial or other) or operations of the Servicer or its properties or might have consequences that would affect the performance of its duties hereunder;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proceeding of any kind, including but not limited to litigation, arbitration, judicial or administrative, is pending or threatened against or contemplated by the Servicer which would under any circumstance have a Material Adverse Effect on the execution, delivery, performance or enforceability of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 Monthly Servicer Report, information, officer’s certificate or statement furnished in writing or report delivered to the Paying Agent, the Backup Servicer, the Custodian, the Borrower, the Administrative Agent, any Lender Group Agent or any Lender by the Servicer required under this Agreement contains any untrue statement of a material fact or omits a material fact necessary to make the information, certificate, statement or report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the Servicer makes no representation or warranty with respect to any information incorporated into or forming the basis of any officer’s certificate, information, statement or report provided by the Servicer that is provided to the Servicer by any other Person;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Servicer has the knowledge, the experience and the systems, financial and operational capacity available to timely perform each of its obligations hereunder;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Servicer has, with respect to the Receivables, complied in all material respects with the Servicing Guidelines; and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 the event that the Servicer realizes upon any Receivable, the methods utilized by the Servicer to realize upon such Receivable or otherwise enforce any provisions of the Receivable, will not subject the Servicer, the Borrower, any Lender Group Agent, any Lender, the Administrative Agent, the Paying Agent, the Backup Servicer or the Custodian to liability under any Applicable Law, and that such enforcement by the Servicer will be conducted in accordance with the provisions of this Agreement and the standard of care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hereof including the Servicing Guidelines.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5.4. </w:t>
      </w:r>
      <w:r>
        <w:rPr>
          <w:rFonts w:ascii="Times New Roman;Times;Serif" w:hAnsi="Times New Roman;Times;Serif"/>
          <w:b/>
          <w:i w:val="false"/>
          <w:caps w:val="false"/>
          <w:smallCaps w:val="false"/>
          <w:sz w:val="20"/>
          <w:u w:val="single"/>
        </w:rPr>
        <w:t>[Reserved]</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5.5. </w:t>
      </w:r>
      <w:r>
        <w:rPr>
          <w:rFonts w:ascii="Times New Roman;Times;Serif" w:hAnsi="Times New Roman;Times;Serif"/>
          <w:b/>
          <w:i w:val="false"/>
          <w:caps w:val="false"/>
          <w:smallCaps w:val="false"/>
          <w:sz w:val="20"/>
          <w:u w:val="single"/>
        </w:rPr>
        <w:t>Ineligible Receivables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discovered that a Receivable was not an Eligible Receivable on the date such Receivable was pledged by the Borrower to the Administrative Agent for the benefit of the Secured Parties hereunder (any such Receivable, an “</w:t>
      </w:r>
      <w:r>
        <w:rPr>
          <w:rFonts w:ascii="Times New Roman;Times;Serif" w:hAnsi="Times New Roman;Times;Serif"/>
          <w:b w:val="false"/>
          <w:i/>
          <w:caps w:val="false"/>
          <w:smallCaps w:val="false"/>
          <w:sz w:val="20"/>
          <w:u w:val="single"/>
        </w:rPr>
        <w:t>Ineligible Receivable</w:t>
      </w:r>
      <w:r>
        <w:rPr>
          <w:rFonts w:ascii="Times New Roman;Times;Serif" w:hAnsi="Times New Roman;Times;Serif"/>
          <w:b w:val="false"/>
          <w:i w:val="false"/>
          <w:caps w:val="false"/>
          <w:smallCaps w:val="false"/>
          <w:sz w:val="20"/>
        </w:rPr>
        <w:t xml:space="preserve">”), no later than the earlier of (i) knowledge by the Borrower of such Receivable having been an Ineligible Receivable and (ii) receipt by the Borrower from the Administrative Agent or Servicer of written notice thereof, the Borrower shall either (A) accept the release of each such Ineligible Receivable, and the Administrative Agent shall be deemed, upon receipt of the Release Price, to convey to the Borrower, without recourse, representation or warranty, all of its right, title and interest in such Ineligible Receivable, (B) subject to confirmation of such Substitute Receivable being an Eligible Receivable, substitute for such Ineligible Receivable a Substitute Receivable, or (C) reduce the Borrowing Base by the Principal Balance of such Ineligible Receivable, unless and until it becomes an Eligible Receivable. In any of the foregoing instances, the Borrower shall accept the release of each such Ineligible Receivable from the Administrative Agent, and the Principal Balance of all Receivables shall be reduced by the Principal Balance (as of the end of the most recent Collection Period) of each such Ineligible Receivable and, if applicable, increased by the Principal Balance of each such Substitute Receivable. On and after the date of release, the Ineligible Receivable so released shall not be included in the Collateral and, as applicable, the Substitute Receivable shall be included in the Collateral. In consideration of a release not involving any substitution, the Borrower shall, on the date of release of such Ineligible Receivable, make a deposit of the Release Price to the Collection Account in immediately available funds. Upon each release to the Borrower of such Ineligible Receivable, the Administrative Agent shall automatically and without further action be deemed to transfer, assign and set-over to the Borrower, without recourse, representation or warranty, all the right, title and interest of the Administrative Agent in, to and under such Ineligible Receivable and all future monies due or to become due with respect thereto, all proceeds of such Ineligible Receivable and Liquidation Proceeds and Insurance Proceeds relating thereto, all rights to security for any such Ineligible Receivable, and all proceeds and products of the foregoing. The Administrative Agent shall, at the sole expense of the Servicer, execute such documents and instruments of release as may be prepared by the Servicer on behalf of the Borrower and take other such actions as shall reasonably be requested by the Borrower to effect the release of such Ineligible Receivable pursuant to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5.4</w:t>
      </w:r>
      <w:r>
        <w:rPr>
          <w:rFonts w:ascii="Times New Roman;Times;Serif" w:hAnsi="Times New Roman;Times;Serif"/>
          <w:b w:val="false"/>
          <w:i w:val="false"/>
          <w:caps w:val="false"/>
          <w:smallCaps w:val="false"/>
          <w:color w:val="0000FF"/>
          <w:sz w:val="20"/>
        </w:rPr>
        <w:t>5.5</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5.6. </w:t>
      </w:r>
      <w:r>
        <w:rPr>
          <w:rFonts w:ascii="Times New Roman;Times;Serif" w:hAnsi="Times New Roman;Times;Serif"/>
          <w:b/>
          <w:i w:val="false"/>
          <w:caps w:val="false"/>
          <w:smallCaps w:val="false"/>
          <w:sz w:val="20"/>
          <w:u w:val="single"/>
        </w:rPr>
        <w:t>Dividend of Ineligible Receivables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may on the last day of the month in which any Receivables are sold into a Securitization distribute any Ineligible Receivables to the Seller as a dividend, free of the deemed security interest referred to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this Agreement and Section 2.1(e) of the Purchase Agreement; provided that there is no Borrowing Base Deficiency immediately after such dividend.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6.1. </w:t>
      </w:r>
      <w:r>
        <w:rPr>
          <w:rFonts w:ascii="Times New Roman;Times;Serif" w:hAnsi="Times New Roman;Times;Serif"/>
          <w:b/>
          <w:i w:val="false"/>
          <w:caps w:val="false"/>
          <w:smallCaps w:val="false"/>
          <w:sz w:val="20"/>
          <w:u w:val="single"/>
        </w:rPr>
        <w:t>Covenants of the Borrower</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Closing Date until the Facility Termination Date: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The Borrower will preserve and maintain its existence as a corporation duly organized and existing under the laws of the jurisdiction of its incorporation and will remain duly qualified as a foreign corporation under the laws of each other jurisdictionin which the failure to so qualify would have a Material Adverse Effect on the ability of the Borrower to perform its obligations under this Agreement or any other Transaction Document.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Losses, Etc</w:t>
      </w:r>
      <w:r>
        <w:rPr>
          <w:rFonts w:ascii="Times New Roman;Times;Serif" w:hAnsi="Times New Roman;Times;Serif"/>
          <w:b w:val="false"/>
          <w:i w:val="false"/>
          <w:caps w:val="false"/>
          <w:smallCaps w:val="false"/>
          <w:sz w:val="20"/>
        </w:rPr>
        <w:t>. In any suit, proceeding or action brought by the Administrative Agent, the Custodian, the Backup Servicer, the Paying Agent or any Secured Party for any sum owing thereto, the Borrower shall save, indemnify and keep the Administrative Agent, the Custodian, the Backup Servicer, the Paying Agent and the Secured Parties harmless from and against all expense, loss or damage suffered by reason of any defense, setoff, counterclaim, recoupment or reduction of liability whatsoever of the Obligor under such Receivable, arising out of a breach by the Borrower of any obligation under the related Receivable or arising out of any other agreement, Indebtedness or Liability at any time owing to or in favor of such Obligor or its successor from the Borrower, and all such obligations of the Borrower shall be and remain enforceable against and only against the Borrower and shall not be enforceable against the Administrative Agent, the Custodian, the Backup Servicer, the Paying Agent or any Secured Party.</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xml:space="preserve">. The Borrower will comply in all material respects with all Applicable Laws, including those with respect to the Receivables and related Financed Vehicles;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Borrower may contest any act, rule, regulation, order, decree or direction in any reasonable manner which will not materially and adversely affect the rights of the Administrative Agent in the Receivables or the collectability of the Receivables.</w:t>
      </w:r>
    </w:p>
    <w:p>
      <w:pPr>
        <w:pStyle w:val="TextBody"/>
        <w:bidi w:val="0"/>
        <w:spacing w:before="0" w:after="0"/>
        <w:ind w:left="1440" w:right="408"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Instruments</w:t>
      </w:r>
      <w:r>
        <w:rPr>
          <w:rFonts w:ascii="Times New Roman;Times;Serif" w:hAnsi="Times New Roman;Times;Serif"/>
          <w:b w:val="false"/>
          <w:i w:val="false"/>
          <w:caps w:val="false"/>
          <w:smallCaps w:val="false"/>
          <w:sz w:val="20"/>
        </w:rPr>
        <w:t>. The Borrower will take no action to cause any Receivable to be evidenced by an Instrument, except in connection with the enforcement or collection of such Receivable.</w:t>
      </w:r>
    </w:p>
    <w:p>
      <w:pPr>
        <w:pStyle w:val="TextBody"/>
        <w:bidi w:val="0"/>
        <w:spacing w:before="0" w:after="0"/>
        <w:ind w:left="1440" w:right="438"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Liens</w:t>
      </w:r>
      <w:r>
        <w:rPr>
          <w:rFonts w:ascii="Times New Roman;Times;Serif" w:hAnsi="Times New Roman;Times;Serif"/>
          <w:b w:val="false"/>
          <w:i w:val="false"/>
          <w:caps w:val="false"/>
          <w:smallCaps w:val="false"/>
          <w:sz w:val="20"/>
        </w:rPr>
        <w:t xml:space="preserve">. Except for the conveyances contemplated hereunder, the Borrower will not sell, pledge, assign or transfer to any other Person, or grant, create, incur, assume or suffer to exist any Lien on any Receivable or any interest therein. The Borrower will notify the Administrative Agent of the existence of any Lien on any Receivable immediately upon discovery thereof; and the Borrower shall defend the right, title and interest of the Administrative Agent on behalf of the Secured Parties in, to and under the applicable Receivables against all claims of third parties claiming through or under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subsection (c)</w:t>
      </w:r>
      <w:r>
        <w:rPr>
          <w:rFonts w:ascii="Times New Roman;Times;Serif" w:hAnsi="Times New Roman;Times;Serif"/>
          <w:b w:val="false"/>
          <w:i w:val="false"/>
          <w:caps w:val="false"/>
          <w:smallCaps w:val="false"/>
          <w:sz w:val="20"/>
        </w:rPr>
        <w:t xml:space="preserve"> shall prevent or be deemed to prohibit the Borrower from suffering to exist any Permitted Liens.</w:t>
      </w:r>
    </w:p>
    <w:p>
      <w:pPr>
        <w:pStyle w:val="TextBody"/>
        <w:bidi w:val="0"/>
        <w:spacing w:before="0" w:after="0"/>
        <w:ind w:left="1439" w:right="387"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Administrative Agent</w:t>
      </w:r>
      <w:r>
        <w:rPr>
          <w:rFonts w:ascii="Times New Roman;Times;Serif" w:hAnsi="Times New Roman;Times;Serif"/>
          <w:b w:val="false"/>
          <w:i w:val="false"/>
          <w:caps w:val="false"/>
          <w:smallCaps w:val="false"/>
          <w:sz w:val="20"/>
        </w:rPr>
        <w:t>. The Borrower will advise the Administrative Agent promptly, in reasonable detail, (i) of any Lien asserted or claim made against any of the Receivables, (ii) of the occurrence of any breach by the Borrower of any of its representations, warranties and covenants contained herein and (iii) of the occurrence of any other event which would have a Material Adverse Effect on the Administrative Agent’s security interest on behalf of the Secured Parties in the Receivables or the collectability thereof, or which would have a Material Adverse Effect on the interests of the Secured Parties.</w:t>
      </w:r>
    </w:p>
    <w:p>
      <w:pPr>
        <w:pStyle w:val="TextBody"/>
        <w:bidi w:val="0"/>
        <w:spacing w:before="0" w:after="0"/>
        <w:ind w:left="1440" w:right="433"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Administrative Agent and the Secured Parties and their agents and representatives shall at all times have full and free access during normal business hours to all the computer tapes, books, correspondence and records of the Borrower insofar as they relate to the Receivables, and the Administrative Agent and its agents and representatives may examine the same, take extracts therefrom and make photocopies thereof, and the Borrower agrees to render to the Administrative Agent or its agents and representatives, at the Borrower’s cost and expense, such clerical and other assistance as may be reasonably requested with regard thereto. The Borrower hereby assigns to the Administrative Agent and its agents and representatives all rights the Borrower has or shall have to examine computer tapes, books, correspondence and records relating to Receivables serviced by the Servicer or any successor servicer thereto. The Administrative Agent acknowledges that in exercising the rights and privileges conferred in this Section it, or its agents and representatives, may from time to time obtain knowledge of information and practices set forth in such computer tapes, books, correspondence and records (whether in the possession of the Borrower or the Servicer) of a confidential nature and in which the Borrower has a proprietary interest. The Administrative Agent and the Secured Parties agree that all such information, practices, books, correspondence and records are to be regarded as Confidential Information and that (i) it shall retain in strict confidence and shall use its best efforts to ensure that its agents and representatives retain in strict confidence and will not disclose without the prior written consent of the Borrower any or all of such information, practices, books, correspondence and records furnished to them and (ii) it will not, and will use its best efforts to ensure that its agents and representatives, make any use whatsoever (other than for the purposes contemplated by this Agreement) of any of such information, practices, computer tapes, books, correspondence and records without the prior written consent of the Borrower, unless such information is required by law to be disclosed or is requested by any Governmental Authority having authority over the Administrative Agent or the Secured Parties.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Administrative Procedures</w:t>
      </w:r>
      <w:r>
        <w:rPr>
          <w:rFonts w:ascii="Times New Roman;Times;Serif" w:hAnsi="Times New Roman;Times;Serif"/>
          <w:b w:val="false"/>
          <w:i w:val="false"/>
          <w:caps w:val="false"/>
          <w:smallCaps w:val="false"/>
          <w:sz w:val="20"/>
        </w:rPr>
        <w:t>. The Borrower will maintain and implement administrative and operating procedures (including an ability to recreate records evidencing the Receivables in the event of the destruction of the originals thereof) and keep and maintain all documents, books, records and other information customarily maintained in the servicing of sub-prime auto loans.</w:t>
      </w:r>
    </w:p>
    <w:p>
      <w:pPr>
        <w:pStyle w:val="TextBody"/>
        <w:bidi w:val="0"/>
        <w:spacing w:before="0" w:after="0"/>
        <w:ind w:left="1440" w:right="432"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UCC Filings</w:t>
      </w:r>
      <w:r>
        <w:rPr>
          <w:rFonts w:ascii="Times New Roman;Times;Serif" w:hAnsi="Times New Roman;Times;Serif"/>
          <w:b w:val="false"/>
          <w:i w:val="false"/>
          <w:caps w:val="false"/>
          <w:smallCaps w:val="false"/>
          <w:sz w:val="20"/>
        </w:rPr>
        <w:t>. The Borrower hereby authorizes and shall prepare or take such other steps as may be necessary to allow, the Administrative Agent to file or cause to be filed such continuation statements and any other documents requested by a Secured Party, a Lender Group Agent or the Administrative Agent or which may be required by law to fully preserve and protect the interest of each Secured Party and the Administrative Agent hereunder in and to the Receivables.</w:t>
      </w:r>
    </w:p>
    <w:p>
      <w:pPr>
        <w:pStyle w:val="TextBody"/>
        <w:bidi w:val="0"/>
        <w:spacing w:before="0" w:after="0"/>
        <w:ind w:left="1439" w:right="437"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Change of Location, Name</w:t>
      </w:r>
      <w:r>
        <w:rPr>
          <w:rFonts w:ascii="Times New Roman;Times;Serif" w:hAnsi="Times New Roman;Times;Serif"/>
          <w:b w:val="false"/>
          <w:i w:val="false"/>
          <w:caps w:val="false"/>
          <w:smallCaps w:val="false"/>
          <w:sz w:val="20"/>
        </w:rPr>
        <w:t>. The Borrower will not, without providing thirty (30) days’ notice to each Lender Group Agent, each Lender and the Administrative Agent and without filing or causing the filing of such amendments to any previously filed financing statements as the Administrative Agent may require, (i) change its jurisdiction of organization, (ii) permit the documents and records evidencing the Financed Receivables to be moved out of its jurisdiction of organization unless the Borrower shall have taken such action to maintain the title or ownership of the Borrower and any security interest of the Administrative Agent for the benefit of the Secured Parties in the Collateral at all times fully perfected and in full force and effect or (</w:t>
      </w: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sz w:val="20"/>
        </w:rPr>
        <w:t>) change its name, identity or corporate structure in any manner which would, could or might make any financing statement or continuation statement filed by the Borrower in accordance with this Agreement seriously misleading within the meaning of Section 9-506 of the UCC. The Borrower shall file any necessary or appropriate financing statement or continuation statement, as applicable, to continue the perfected security interest of the Administrative Agent, for the benefit of the Secured Parties in the Collateral within five (5) Business Days of any such name change or trade name change.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Reporting</w:t>
      </w:r>
      <w:r>
        <w:rPr>
          <w:rFonts w:ascii="Times New Roman;Times;Serif" w:hAnsi="Times New Roman;Times;Serif"/>
          <w:b w:val="false"/>
          <w:i w:val="false"/>
          <w:caps w:val="false"/>
          <w:smallCaps w:val="false"/>
          <w:sz w:val="20"/>
        </w:rPr>
        <w:t>. The Borrower will furnish, or cause to be furnished to the Administrative Agent, the Custodian, the Backup Servicer, the Paying Agent, each Lender Group Agent and each Lender (unless otherwise provided to the Paying Agent, the Administrative Agent, the Lender Group Agents and the Lenders):</w:t>
      </w:r>
    </w:p>
    <w:p>
      <w:pPr>
        <w:pStyle w:val="TextBody"/>
        <w:bidi w:val="0"/>
        <w:spacing w:before="0" w:after="0"/>
        <w:ind w:left="1440" w:right="394" w:firstLine="72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Notice of Termination Event or Amortization Event</w:t>
      </w:r>
      <w:r>
        <w:rPr>
          <w:rFonts w:ascii="Times New Roman;Times;Serif" w:hAnsi="Times New Roman;Times;Serif"/>
          <w:b w:val="false"/>
          <w:i w:val="false"/>
          <w:caps w:val="false"/>
          <w:smallCaps w:val="false"/>
          <w:sz w:val="20"/>
        </w:rPr>
        <w:t>. As soon as possible and in any event within two (2) Business Days of becoming aware of the occurrence of each Termination Event, Amortization Event or Servicer Termination Event, a statement of the chief financial officer or chief accounting officer of the Borrower setting forth details of such Termination Event, Amortization Event or Servicer Termination Event and the action which the Borrower proposes to take with respect thereto.</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Change in Contract Purchase Guidelines</w:t>
      </w:r>
      <w:r>
        <w:rPr>
          <w:rFonts w:ascii="Times New Roman;Times;Serif" w:hAnsi="Times New Roman;Times;Serif"/>
          <w:b w:val="false"/>
          <w:i w:val="false"/>
          <w:caps w:val="false"/>
          <w:smallCaps w:val="false"/>
          <w:sz w:val="20"/>
        </w:rPr>
        <w:t>. Within ten (10) days after the date of any material change in or amendment to the Contract Purchase Guidelines, a copy of the Contract Purchase Guidelines then in effect indicating such change or amendment. Any change that will materially and adversely affect the credit quality of the Receivables or the Lenders’ interests shall be approved in writing by the Administrative Agent.</w:t>
      </w:r>
    </w:p>
    <w:p>
      <w:pPr>
        <w:pStyle w:val="TextBody"/>
        <w:bidi w:val="0"/>
        <w:spacing w:before="0" w:after="0"/>
        <w:ind w:left="2160" w:right="432" w:firstLine="144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Activities and Indebtedness</w:t>
      </w:r>
      <w:r>
        <w:rPr>
          <w:rFonts w:ascii="Times New Roman;Times;Serif" w:hAnsi="Times New Roman;Times;Serif"/>
          <w:b w:val="false"/>
          <w:i w:val="false"/>
          <w:caps w:val="false"/>
          <w:smallCaps w:val="false"/>
          <w:sz w:val="20"/>
        </w:rPr>
        <w:t>. The Borrower shall not, without the prior written consent of the Administrative Agent and the Required Lenders (i) engage in any business other than those set forth in Article III of the Borrower’s Formation Documents, (ii) incur any Indebtedness or assume or guaranty an indebtedness of any other entity, other than any indebtedness contemplated by Section 7 of the Limited Liability Company Agreement, which indebtedness shall be subordinated to all other obligations of the Borrower, (iii) without the consent of the Member of the Borrower, institute an Insolvency Proceeding, or consent to the institution of Insolvency Proceedings against it, or file a petition seeking or consent to reorganization or relief under any Insolvency Laws, or admit in writing its inability to pay its debts generally as they become due, or take corporate action in furtherance of any such action; and (iv) amend, alter, change or repeal its Formation Documents as in effect on the date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Separateness</w:t>
      </w:r>
      <w:r>
        <w:rPr>
          <w:rFonts w:ascii="Times New Roman;Times;Serif" w:hAnsi="Times New Roman;Times;Serif"/>
          <w:b w:val="false"/>
          <w:i w:val="false"/>
          <w:caps w:val="false"/>
          <w:smallCaps w:val="false"/>
          <w:sz w:val="20"/>
        </w:rPr>
        <w:t>. The Borrower shall at all times (a) maintain the Borrower’s books, financial statements, accounting records and other corporate documents and records separate from those of the Seller or any other entity, (b) not commingle the Borrower’s assets with those of the Seller or any other entity (it being understood that certain Collections on Receivables owned by the Borrower may be temporary commingling in connection with servicing the Receivables serviced by the Seller); (c) act solely in its corporate name and through its own Authorized Officers and agents, (d) make investments directly or by brokers engaged and paid by the Borrower or its agents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if any such agent is an Affiliate of the Borrower it shall be compensated at a fair market rate for its services), (e) separately manage the Borrower’s liabilities from those of the Seller or any Affiliates of the Seller and pay its own liabilities,including all administrative expenses, from its own separate assets, and (f) pay from the Borrower’s assets all obligations and indebtedness of any kind incurred by the Borrower. The Borrower shall abide by all corporate formalities, including the maintenance of current minute books, and the Borrower shall cause its financial statements to be prepared in accordance with generally accepted accounting principles in a manner that indicates the separate existence of the Borrower and its assets and liabilities. The Borrower shall (i) pay all its liabilities, (ii) not assume the liabilities of the Seller or any Affiliate of the Seller, and (iii) not guarantee the liabilities of the Seller or any Affiliate of the Seller. The officers and directors of the Borrower (as appropriate) shall make decisions with respect to the business and daily operations of the Borrower independent of and not dictated by any controlling entity.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Contract Purchase Guidelines</w:t>
      </w:r>
      <w:r>
        <w:rPr>
          <w:rFonts w:ascii="Times New Roman;Times;Serif" w:hAnsi="Times New Roman;Times;Serif"/>
          <w:b w:val="false"/>
          <w:i w:val="false"/>
          <w:caps w:val="false"/>
          <w:smallCaps w:val="false"/>
          <w:sz w:val="20"/>
        </w:rPr>
        <w:t>. The Borrower shall not amend, modify or supplement the Contract Purchase Guidelines in any manner which would materially and adversely affect a Lender.</w:t>
      </w:r>
    </w:p>
    <w:p>
      <w:pPr>
        <w:pStyle w:val="TextBody"/>
        <w:bidi w:val="0"/>
        <w:spacing w:before="0" w:after="0"/>
        <w:ind w:left="1440" w:right="431"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Borrower shall not, and shall ensure that each member of the Borrower Group will not, directly or indirectly use any of the credit to fund, finance or facilitate any activities, business or transactions: (a) that are prohibited by Sanctions, (b) that would be prohibited by U.S. Sanctions if conducted by a U.S. Person, or (c) that would be prohibited by Sanctions if conducted by Lender, or any other party hereto. Borrower shall notify Lender in writing not more than one (1) Business Day after first becoming aware of any breach of this section.</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Anti-Money Laundering/Anti-Corruption Laws</w:t>
      </w:r>
      <w:r>
        <w:rPr>
          <w:rFonts w:ascii="Times New Roman;Times;Serif" w:hAnsi="Times New Roman;Times;Serif"/>
          <w:b w:val="false"/>
          <w:i w:val="false"/>
          <w:caps w:val="false"/>
          <w:smallCaps w:val="false"/>
          <w:sz w:val="20"/>
        </w:rPr>
        <w:t>. Borrower shall not, and shall ensure that each member of the Borrower Group will not, directly or indirectly use any of the credit to fund, finance or facilitate any activities, business or transactions that would be prohibited by Anti-Money Laundering Laws or Anti-Corruption Laws.</w:t>
      </w:r>
    </w:p>
    <w:p>
      <w:pPr>
        <w:pStyle w:val="TextBody"/>
        <w:bidi w:val="0"/>
        <w:spacing w:before="0" w:after="0"/>
        <w:ind w:left="1440" w:right="432" w:firstLine="144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Borrower shall, and Borrower shall ensure that each member of the Borrower Group will, comply with Sanctions, Anti-Money Laundering Laws, and Anti-Corruption Laws.</w:t>
      </w:r>
    </w:p>
    <w:p>
      <w:pPr>
        <w:pStyle w:val="TextBody"/>
        <w:bidi w:val="0"/>
        <w:spacing w:before="0" w:after="0"/>
        <w:ind w:left="1440" w:right="434"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Source of Repayment and Collateral</w:t>
      </w:r>
      <w:r>
        <w:rPr>
          <w:rFonts w:ascii="Times New Roman;Times;Serif" w:hAnsi="Times New Roman;Times;Serif"/>
          <w:b w:val="false"/>
          <w:i w:val="false"/>
          <w:caps w:val="false"/>
          <w:smallCaps w:val="false"/>
          <w:sz w:val="20"/>
        </w:rPr>
        <w:t>. Borrower shall not fund any repayment of the Obligations with proceeds, or provide as collateral any property, that is directly or indirectly derived from any transaction or activity that is prohibited by Sanctions, Anti-Money Laundering Laws or Anti-Corruption Laws, or that could otherwise cause the Lender or any other party to this agreement to be in violation of Sanctions, Anti-Money Laundering Laws or Anti-Corruption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6.2. </w:t>
      </w:r>
      <w:r>
        <w:rPr>
          <w:rFonts w:ascii="Times New Roman;Times;Serif" w:hAnsi="Times New Roman;Times;Serif"/>
          <w:b/>
          <w:i w:val="false"/>
          <w:caps w:val="false"/>
          <w:smallCaps w:val="false"/>
          <w:sz w:val="20"/>
          <w:u w:val="single"/>
        </w:rPr>
        <w:t>[Reserved]</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6.3. </w:t>
      </w:r>
      <w:r>
        <w:rPr>
          <w:rFonts w:ascii="Times New Roman;Times;Serif" w:hAnsi="Times New Roman;Times;Serif"/>
          <w:b/>
          <w:i w:val="false"/>
          <w:caps w:val="false"/>
          <w:smallCaps w:val="false"/>
          <w:sz w:val="20"/>
          <w:u w:val="single"/>
        </w:rPr>
        <w:t>Covenants of the Servicer; Notices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Release; Additional Covenants</w:t>
      </w:r>
      <w:r>
        <w:rPr>
          <w:rFonts w:ascii="Times New Roman;Times;Serif" w:hAnsi="Times New Roman;Times;Serif"/>
          <w:b w:val="false"/>
          <w:i w:val="false"/>
          <w:caps w:val="false"/>
          <w:smallCaps w:val="false"/>
          <w:sz w:val="20"/>
        </w:rPr>
        <w:t>. The Servicer shall (i) not release any Financed Vehicle securing any Receivable from the security interest granted therein by such Receivable in whole or in part except (x) in the event of payment in full by the Obligor thereunder, or (y) upon transfer of such Financed Vehicle to a purchaser following repossession by the Servicer, (ii) not impair the rights of the Borrower, the Administrative Agent, the Secured Parties, the Backup Servicer, the Paying Agent or the Custodian in the Receivables, (iii) not increase the number of Scheduled Payments due under a Receivable except as permitted herein, (iv) prior to the payment in full of any Receivable, not sell, pledge, assign, or transfer to any other Person, or grant, create, incur, assume or suffer to exist any Lien on such Receivable or any interest therein, (v) immediately notify the Borrower, the Administrative Agent, the Backup Servicer, the Paying Agent and the Custodian of the existence of any Lien on any portion of the Collateral (other than the Lien of the Administrative Agent) if the Servicer has actual knowledge thereof, that exceeds [***] in value, (vi) defend the right, title and interest of the Borrower, the Secured Parties, the Administrative Agent, the Backup Servicer, the Paying Agent and the Custodian in, to and under the Collateral against all claims of third parties claiming through or under the Servicer, (vii) transfer to the Lockbox Processor or Qualified Institution then holding the Collection Account for deposit into the Collection Account, all payments received by the Servicer with respect to the Receivables in accordance with this Agreement, (viii) comply with the terms and conditions of this Agreement relating to the obligation of the Borrower to remove Receivables from the Collateral pursuant to this Agreement and the obligation of the Seller to reacquire Receivables from the Borrower pursuant to the Purchase Agreement, (ix) promptly notify the Borrower, the Administrative Agent, the Backup Servicer, the Paying Agent and the Custodian of the occurrence of any Servicer Termination Event and any breach by the Servicer of any of its covenants or representations and warranties contained herein, (x) promptly notify the Borrower, the Administrative Agent, the Backup Servicer, the Paying Agent and the Custodian of the occurrence of any event which, to the knowledge of the Servicer, would require that the Borrower make or cause to be made any filings, reports, notices or applications or seek any consents or authorizations from any and all Government Authorities in accordance with the relevant UCC and any State vehicle license or registration authority as may be necessary or advisable to create, maintain and protect a first priority security interest of the Administrative Agent in, to and on the Financed Vehicles and a first priority security interest of the Administrative Agent in, to and on the Collateral, (xi) take all reasonable action necessary to maximize the returns pursuant to the Insurance Policies, (xii) deliver or cause to be delivered to the Administrative Agent and the Custodian not later than 1:00 p.m., New York City time, one Business Day prior to the Closing Date or any Addition Date, as applicable, the Receivables Schedule listing the Initial Receivables or the Subsequent Receivables, as applicable, and (xiii) deliver or cause to be delivered to the Custodian within two (2) days following the Closing Date or the date of such Subsequent Advance, as the case may be, the documents to be included in the physical Custodian Files with respect to the related Receivables.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Servicer shall, within two (2) Business Days of its receipt thereof, respond to reasonable written directions or written requests for information that the Borrower, the Administrative Agent, the Backup Servicer, the Paying Agent, the Custodian, any Lender Group Agent or any Lender might have with respect to the administration of the Receivables.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Servicer will promptly advise the Borrower and the Administrative Agent and each Lender Group Agent of any inquiry received from an Obligor which requires the consent of the Borrower or the Administrative Agent.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initial Servicer will not make any material change to the Servicing Guidelines with respect to the Receivables without the consent of the Administrative Agent, which consent shall not be unreasonably withheld.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 and Servicing of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 </w:t>
      </w:r>
      <w:r>
        <w:rPr>
          <w:rFonts w:ascii="Times New Roman;Times;Serif" w:hAnsi="Times New Roman;Times;Serif"/>
          <w:b/>
          <w:i w:val="false"/>
          <w:caps w:val="false"/>
          <w:smallCaps w:val="false"/>
          <w:sz w:val="20"/>
          <w:u w:val="single"/>
        </w:rPr>
        <w:t>Designation of Servicing</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each of the Lender Group Agents, each of the Lenders and the Borrower hereby appoint and direct CPS as Servicer to service, manage, collect and administer each of the Receivables and other Collateral, and to enforce its respective rights and interests in and under the Collateral and CPS hereby accepts such appointment and agrees to perform the duties and responsibilities of the Servicer pursuant to the terms hereof. The Servicer shall perform the services required of it pursuant to the terms of this Agreement. In performing its duties hereunder, the Servicer shall have full power and authority to do or cause to be done any and all things in connection with such servicing and administration which either may deem necessary or desirable, within the terms of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of this Agreement, the Servicer is, and shall remain, for so long as it is acting as the Servicer, an Eligible Servicer.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7.2. </w:t>
      </w:r>
      <w:r>
        <w:rPr>
          <w:rFonts w:ascii="Times New Roman;Times;Serif" w:hAnsi="Times New Roman;Times;Serif"/>
          <w:b/>
          <w:i w:val="false"/>
          <w:caps w:val="false"/>
          <w:smallCaps w:val="false"/>
          <w:sz w:val="20"/>
          <w:u w:val="single"/>
        </w:rPr>
        <w:t>Servicing Compensation; Expenses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Compensation and expense reimbursement payable to the Servicer under this Agreement shall be payable from the Collections pursuant to the priority of payment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and except as provided herein, none of the Borrower, the Administrative Agent, any Lender Group Agent or any Lender will have any liability to the Servicer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Borrower shall remain liable to the extent of funds available pursuant to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 xml:space="preserve"> (and not from any other source) for any fees, expenses and indemnities due and payable to the Servicer.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compensation for its servicing activities hereunder the Borrower has agreed to cause the Paying Agent to pay out of Collections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to the Servicer the Servicing Fee with respect to each Receivable serviced under this Agreement. The Borrower hereby agrees not to amend or consent to any amendment of any provision of this Agreement relating to compensation of the Servicer without the prior written consent of the Servicer and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Servicing Fee with respect to a Collection Period shall be due on the succeeding Remittance Date. In the event this Agreement is terminated on a date other than the last day of a Collection Period or a Receivable is designated to be no longer outstanding, then the Servicing Fee for such period or with respect to such Receivable, as the case may be, shall be determined on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basis.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Section 7.2(e)</w:t>
      </w:r>
      <w:r>
        <w:rPr>
          <w:rFonts w:ascii="Times New Roman;Times;Serif" w:hAnsi="Times New Roman;Times;Serif"/>
          <w:b w:val="false"/>
          <w:i w:val="false"/>
          <w:caps w:val="false"/>
          <w:smallCaps w:val="false"/>
          <w:sz w:val="20"/>
        </w:rPr>
        <w:t xml:space="preserve"> below, all costs and expenses incurred by the Servicer in carrying out its duties hereunder, fees and expenses of independent public accountants with respect to preparation of the financial statements and reports described herein and all other fees and expenses not expressly permitted pursuant to the priorities of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to be for the account of the Borrower, shall be paid or caused to be paid by the Servicer out of the compensation to be paid to the Servicer pursuant to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During the term of this Agreement, the Servicer shall be reimbursed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for actual out-of-pocket costs and expenses incurred in connection with the sale or other disposal of a Financed Vehicle or collection of amounts due with respect to a Receivable including, but not limited to, the following (to the extent such cost or expense relates to the sale or other disposal or collection of amounts due with respect to a Receivable or a Financed Vehicle):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compensation paid to outside legal counsel retained to protect the interests of the Borrower, the Backup Servicer, the Paying Agent, the Custodian, the Administrative Agent or the Secured Parties in the Receivables serviced as the Servicer deems necessary in accordance with its normal procedures;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compensation paid to independent repossessors, auctioneers or appraisers and any direct out of pocket expenses arising from or related to realization of the Receivables serviced;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sales, franchise, income, excise, personal property or other taxes arising from or related to any Receivables serviced;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parking or other fees, insurance, title or similar fees arising from or related to any Receivables serviced;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expenses for special forms and materials, freight, tapes, communications, lockbox and other bank service charges, and other expenses approved by the Borrower; and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expenses and fees paid to outside accountants in connection with the procedures required to be performed 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7.3. </w:t>
      </w:r>
      <w:r>
        <w:rPr>
          <w:rFonts w:ascii="Times New Roman;Times;Serif" w:hAnsi="Times New Roman;Times;Serif"/>
          <w:b/>
          <w:i w:val="false"/>
          <w:caps w:val="false"/>
          <w:smallCaps w:val="false"/>
          <w:sz w:val="20"/>
          <w:u w:val="single"/>
        </w:rPr>
        <w:t>Duties of the Servicer</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Standard of Care</w:t>
      </w:r>
      <w:r>
        <w:rPr>
          <w:rFonts w:ascii="Times New Roman;Times;Serif" w:hAnsi="Times New Roman;Times;Serif"/>
          <w:b w:val="false"/>
          <w:i w:val="false"/>
          <w:caps w:val="false"/>
          <w:smallCaps w:val="false"/>
          <w:sz w:val="20"/>
        </w:rPr>
        <w:t>. In performing its duties and obligations hereunder and in administering and enforcing the Insurance Policies relating to the Receivables pursuant to this Agreement, the Servicer will comply with all applicable state and federal laws and shall service and administer the Receivables by employing such procedures (including collection procedures), and degree of care, as are customary and consistent with those employed by the Servicer in servicing and administering motor vehicle retail installment sales contracts and notes owned or serviced by the Servicer comparable to the Receivables (such policies, practices and procedures as may be changed from time to time in accordance with this Agreement). In performing such duties, so long as CPS is the Servicer (i) it shall comply with the Servicing Guidelines in all material respects, and (ii) it shall not make any material amendment to such Servicing Guidelines without the prior written consent of the Administrative Agent which consent shall not be unreasonably withheld. In performing its duties and obligations hereunder, the Servicer shall comply with all Applicable Laws, shall maintain all state and federal licenses and franchises necessary for it to perform its servicing responsibilities hereunder, and shall not impair the rights of the Borrower or the Administrative Agent on behalf of the Secured Parties in the Collateral.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Collection Practices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Servicer shall be responsible for collection of payments called for under the terms and provisions of the Contracts relating to the Receivables, as and when the same shall become due. The Servicer, consistent with the standard of care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shall service, manage, administer and make collections on the Receivables on behalf of the Borrower and shall have full power and authority, acting alone and/or through Subservicers as provided in </w:t>
      </w:r>
      <w:r>
        <w:rPr>
          <w:rFonts w:ascii="Times New Roman;Times;Serif" w:hAnsi="Times New Roman;Times;Serif"/>
          <w:b w:val="false"/>
          <w:i w:val="false"/>
          <w:caps w:val="false"/>
          <w:smallCaps w:val="false"/>
          <w:sz w:val="20"/>
          <w:u w:val="single"/>
        </w:rPr>
        <w:t>Section 7.3(c)</w:t>
      </w:r>
      <w:r>
        <w:rPr>
          <w:rFonts w:ascii="Times New Roman;Times;Serif" w:hAnsi="Times New Roman;Times;Serif"/>
          <w:b w:val="false"/>
          <w:i w:val="false"/>
          <w:caps w:val="false"/>
          <w:smallCaps w:val="false"/>
          <w:sz w:val="20"/>
        </w:rPr>
        <w:t>, to do any and all things which it may deem necessary or desirable in connection therewith which are consistent with this Agreement. The Servicer may extend the then-current maturity date of any Receivable by up to two months (a “</w:t>
      </w:r>
      <w:r>
        <w:rPr>
          <w:rFonts w:ascii="Times New Roman;Times;Serif" w:hAnsi="Times New Roman;Times;Serif"/>
          <w:b w:val="false"/>
          <w:i/>
          <w:caps w:val="false"/>
          <w:smallCaps w:val="false"/>
          <w:sz w:val="20"/>
          <w:u w:val="single"/>
        </w:rPr>
        <w:t>Maturity Date Extension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Servicer may not grant more than two (2) Maturity Date Extensions on any Receivable per calendar year or grant more than eight (8) Maturity Date Extensions in the aggregate without the prior written consent of the Administrative Agent (which shall not be unreasonably withheld, conditioned or delayed). The Servicer may in its discretion waive any late payment charge or any other fees that may be collected in the ordinary course of servicing a Receivable. In no event shall the Principal Balance of a Receivable be reduced, except in connection with a settlement in the event the Receivable becomes a Defaulted Receivable. The Servicer shall also enforce all rights of the Borrower under the Dealer Agreements including, but not limited to, the right to require a Dealer to repurchase Receivables for breaches of representations and warranties made by the respective Dealers.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full amount of a Scheduled Payment due under a Receivable is not timely received, the Servicer shall make reasonable and customary efforts to collect such Receivable in accordance with this Agreement and the procedures set forth in the Servicing Guidelines. The Servicer shall use its best efforts, consistent with the standard of care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hereof, to collect funds on a Defaulted Receivable; such collections shall be deposited into the Collection Account by the close of business on the Business Day following receipt thereof. The Servicer shall, consistent with the standard of care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hereof, have the discretion to determine whether or not it is in the best interest of the Borrower to sell, or not to sell, a Defaulted Receivable, and to act in accordance with its determination under this Article VII;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sale or any sales or pattern of sales shall be permitted if, as a result thereof, any of the conclusions of any of the Opinions of Counsel delivered at any time hereunder and relating to the characterization of the transfers under the Purchase Agreement or to the consolidation of the Borrower with any of its Affiliates could be negatively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Subservicers</w:t>
      </w:r>
      <w:r>
        <w:rPr>
          <w:rFonts w:ascii="Times New Roman;Times;Serif" w:hAnsi="Times New Roman;Times;Serif"/>
          <w:b w:val="false"/>
          <w:i w:val="false"/>
          <w:caps w:val="false"/>
          <w:smallCaps w:val="false"/>
          <w:sz w:val="20"/>
        </w:rPr>
        <w:t>. The Servicer may at any time and from time to time enter into one or more subservicing agreements (each, a “</w:t>
      </w:r>
      <w:r>
        <w:rPr>
          <w:rFonts w:ascii="Times New Roman;Times;Serif" w:hAnsi="Times New Roman;Times;Serif"/>
          <w:b w:val="false"/>
          <w:i/>
          <w:caps w:val="false"/>
          <w:smallCaps w:val="false"/>
          <w:sz w:val="20"/>
          <w:u w:val="single"/>
        </w:rPr>
        <w:t>Subservicing Agreement</w:t>
      </w:r>
      <w:r>
        <w:rPr>
          <w:rFonts w:ascii="Times New Roman;Times;Serif" w:hAnsi="Times New Roman;Times;Serif"/>
          <w:b w:val="false"/>
          <w:i w:val="false"/>
          <w:caps w:val="false"/>
          <w:smallCaps w:val="false"/>
          <w:sz w:val="20"/>
        </w:rPr>
        <w:t>”) to delegate any or all of its duties and obligations hereunder to one or more Subservicers (each, a “</w:t>
      </w:r>
      <w:r>
        <w:rPr>
          <w:rFonts w:ascii="Times New Roman;Times;Serif" w:hAnsi="Times New Roman;Times;Serif"/>
          <w:b w:val="false"/>
          <w:i/>
          <w:caps w:val="false"/>
          <w:smallCaps w:val="false"/>
          <w:sz w:val="20"/>
          <w:u w:val="single"/>
        </w:rPr>
        <w:t>Subservicer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Servicer shall at all times remain responsible for the performance of such duties and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Servicer shall: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behalf of the Borrower, administer and enforce all rights and responsibilities of the Borrower, as owner of the Receivables, provided for in the Insurance Policies relating to the Receivables;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administer the filings of claims under the Insurance Policies by filing the appropriate notices related to claims, including initial notices of loss, as well as claims with the respective carriers or their authorized agents all in accordance with the terms of the Insurance Policies; and use reasonable efforts to file such claims on a timely basis after obtaining knowledge of the events giving rise to such claims, subject to the servicing standard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utilize such notices, claim forms and claim procedures as are required by the respective insurance carriers issuing Insurance Policies covering Financed Vehicles related to Receivables;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 be required to pay any premiums or, other than administering the filing of claims and performing reporting requirements specified in the Insurance Policies in connection with filing such claims in accordance with this Agreement, perform any obligations of the named insured under such Insurance Policies;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 be responsible to the Borrower, the Administrative Agent or the Secured Parties for any (A) act or omission to act done in order to comply with the requirements or satisfy any provisions of the Insurance Policies or (B) act, absent willful misconduct or negligence, or omission to act done in compliance with this Agreement; and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In the case of any inconsistency between the requirements of the Servicer under this Agreement or the Servicing Guidelines and the requirements of any Insurance Policy relating to a Financed Vehicle applicable to the Borrower or the Servicer, the Servicer shall comply with the Insurance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checks or drafts (i) issued by an insurer for payment of loss on Receivables, (ii) made payable to the named insured or any other Person, and (iii) received by the Servicer, the Servicer shall take all necessary action to document the receipt of each such draft on the day of receipt thereof and forward the original draft by reputable overnight courier to such Person for receipt by such Person on the following Business Day for immediate endorsement and return to the Servicer via overnight courier.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Obligation to Restore</w:t>
      </w:r>
      <w:r>
        <w:rPr>
          <w:rFonts w:ascii="Times New Roman;Times;Serif" w:hAnsi="Times New Roman;Times;Serif"/>
          <w:b w:val="false"/>
          <w:i w:val="false"/>
          <w:caps w:val="false"/>
          <w:smallCaps w:val="false"/>
          <w:sz w:val="20"/>
        </w:rPr>
        <w:t>. In the event of any physical loss or damage to a Financed Vehicle related to a Receivable from any cause, whether through accidental means or otherwise, the Servicer shall have no obligation to cause the affected Financed Vehicle to be restored or repaired. However, the Servicer shall comply with the provisions of any Insurance Policy or Insurance Policies directly or indirectly related to any physical loss or damage to such Financed Vehicle as provided in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Errors and Omissions Insurance</w:t>
      </w:r>
      <w:r>
        <w:rPr>
          <w:rFonts w:ascii="Times New Roman;Times;Serif" w:hAnsi="Times New Roman;Times;Serif"/>
          <w:b w:val="false"/>
          <w:i w:val="false"/>
          <w:caps w:val="false"/>
          <w:smallCaps w:val="false"/>
          <w:sz w:val="20"/>
        </w:rPr>
        <w:t xml:space="preserve">. The Servicer has obtained, and shall continue to maintain in full force and effect, errors and omissions insurance and employee theft insurance of a type and in such amount as is customary for servicers engaged in the business of servicing automobile receivables. No provision of this </w:t>
      </w:r>
      <w:r>
        <w:rPr>
          <w:rFonts w:ascii="Times New Roman;Times;Serif" w:hAnsi="Times New Roman;Times;Serif"/>
          <w:b w:val="false"/>
          <w:i w:val="false"/>
          <w:caps w:val="false"/>
          <w:smallCaps w:val="false"/>
          <w:sz w:val="20"/>
          <w:u w:val="single"/>
        </w:rPr>
        <w:t>Section 7.3(f)</w:t>
      </w:r>
      <w:r>
        <w:rPr>
          <w:rFonts w:ascii="Times New Roman;Times;Serif" w:hAnsi="Times New Roman;Times;Serif"/>
          <w:b w:val="false"/>
          <w:i w:val="false"/>
          <w:caps w:val="false"/>
          <w:smallCaps w:val="false"/>
          <w:sz w:val="20"/>
        </w:rPr>
        <w:t xml:space="preserve"> requiring the maintenance of insurance shall diminish or relieve the Servicer from its duties and obligations as set forth in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Security Interests</w:t>
      </w:r>
      <w:r>
        <w:rPr>
          <w:rFonts w:ascii="Times New Roman;Times;Serif" w:hAnsi="Times New Roman;Times;Serif"/>
          <w:b w:val="false"/>
          <w:i w:val="false"/>
          <w:caps w:val="false"/>
          <w:smallCaps w:val="false"/>
          <w:sz w:val="20"/>
        </w:rPr>
        <w:t xml:space="preserve">. The Borrower hereby directs the Servicer to (i) take or cause to be taken such steps as are reasonably necessary, in accordance with the standard of care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to maintain perfection of the security interest created by any Receivable covering a Financed Vehicle which has been relocated in such a manner as to require such steps, and (ii) forward to the Custodian, on behalf of the Borrower, via reputable overnight courier, any Certificate of Title to a Financed Vehicle received by the Servicer for any reason with respect to a Financed Vehicle relating to a Receivable serviced hereunder. The Servicer shall, at the direction of the Borrower or the Administrative Agent (which shall so direct if directed by a Lender or a Lender Group Agent to do so), take any action reasonably necessary to preserve and protect the security interests of the Borrower and the Administrative Agent in the Receivables, including any action specified in any opinion of counsel delivered to the Servicer.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Realization on Financed Vehicles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Unless otherwise contemplated by the Servicing Guidelines, in the event a Receivable becomes or is reasonably anticipated to become a Defaulted Receivable, the Servicer, itself or through the use of independent contractors or agents shall, consistent with the standard of care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repossess or otherwise convert the ownership of the Financed Vehicle securing such Receivable. In accordance with the priority of payment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all costs and expenses incurred by the Servicer in connection with the repossession of the Financed Vehicles securing such Receivables shall be reimbursed to the Servicer from the Collection Account on the Remittance Date relating to the Collection Period in which the Servicer delivered to the Administrative Agent an itemized statement of such costs and expenses. Notwithstanding the foregoing and consistent with the terms of this Agreement, the Servicer shall not be obligated to repossess or take any action with respect to a Defaulted Receivable if, in its reasonable judgment consistent with the servicing standards specified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the Liquidation Proceeds are expected to be less than the costs and expenses of such repossession or action, or it determines either that it would be impracticable to do so or that the proceeds ultimately recoverable with respect to such Receivable would be increased by forbearance.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Servicer, itself or through the use of independent contractors or agents to the extent allowed hereunder, shall follow practices consistent with the standard of care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including the Servicing Guidelines, in its servicing of automotive receivables, which may include selling the Financed Vehicle, or requesting a Subservicer to sell the Financed Vehicle, at public or private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Servicer, itself or through the use of independent contractors or agents to the extent allowed hereunder, shall, in accordance with its Servicing Guidelines, maximize the sales proceeds for each repossessed Financed Vehicle. The foregoing shall be subject to the provision that, in any case in which the Financed Vehicle shall have suffered damage, the Servicer shall not expend funds for the repair or the repossession of such Financed Vehicle unless the Servicer shall determine in its discretion that such repair or repossession should increase the Liquidation Proceeds by an amount greater than the amount of such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Recordkeeping</w:t>
      </w:r>
      <w:r>
        <w:rPr>
          <w:rFonts w:ascii="Times New Roman;Times;Serif" w:hAnsi="Times New Roman;Times;Serif"/>
          <w:b w:val="false"/>
          <w:i w:val="false"/>
          <w:caps w:val="false"/>
          <w:smallCaps w:val="false"/>
          <w:sz w:val="20"/>
        </w:rPr>
        <w:t>. The Servicer shall: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maintain legible copies (in electronic or hard-copy form, in the discretion of the Servicer) or originals of all documents in its Servicer File with respect to each Receivable and the Financed Vehicle related thereto;</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keep books and records, reasonably satisfactory to the Administrative Agent, pertaining to each Receivable and shall make periodic reports in accordance with this Agreement; such records may not be destroyed or otherwise disposed of except as provided herein and as allowed by Applicable Law, all documents, whether developed or originated by the Servicer or not, reasonably required to document or to properly administer any Receivable shall remain at all times the property of the Borrower and shall be held in trust by the Servicer; the Servicer shall not acquire any property rights with respect to such records, and shall not have the right to possession of them except as subject to the conditions stated in this Agreement; and the Servicer shall bear the entire cost of restoration in the event any Servicer File shall become damaged, lost or destroyed while in the Servicer’s possession or control;</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record into the Servicer’s loan management and accounting system all material information with respect to each Receivable; and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maintain or cause to be maintained such books of account and other records as will enable the Borrower and the Administrative Agent to determine the status of each Receivable and any Insurance Policy relating thereto.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Possession of Servicer Files</w:t>
      </w:r>
      <w:r>
        <w:rPr>
          <w:rFonts w:ascii="Times New Roman;Times;Serif" w:hAnsi="Times New Roman;Times;Serif"/>
          <w:b w:val="false"/>
          <w:i w:val="false"/>
          <w:caps w:val="false"/>
          <w:smallCaps w:val="false"/>
          <w:sz w:val="20"/>
        </w:rPr>
        <w:t>. Unless otherwise specified herein, the Servicer shall maintain physical possession of the Servicer Files along with such other instruments or documents that modify or supplement the terms or conditions of the Servicer Files; and, all other instruments, documents, correspondence and memoranda generated by or coming into the possession of the Servicer (including, but not limited to, insurance premium receipts, ledger sheets, payment records, insurance claim files, correspondence and current and historical computerized data files) that are required to document or service any Receivable. The Servicer hereby agrees that the computer files and other physical records of the Receivables maintained by the Servicer will bear an indication reflecting that the Receivables are owned by the Borrower and pledged to the Administrative Agent for the benefit of the Secured Parties and that all Servicer Files shall remain the property of the Borrower and shall be held in trust by the Servicer. The Servicer shall respond to all third party inquiries concerning ownership of the Receivables by indicating that the Receivables have been assigned by the Seller to Borrower and pledged to the Administrative Agent for the benefit of the Secured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Inspection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all times during the term hereof, the Servicer shall afford the Borrower, the Backup Servicer, the Administrative Agent, any Lender Group Agent, any Lender and their authorized agents, upon reasonable prior written notice and at the expense of the Servicer, reasonable access during normal business hours to the Servicer’s records and files relating to the Receivables and the Collateral and will cause its personnel to assist in any examination of such records by the Borrower, the Backup Servicer, the Administrative Agent, any Lender Group Agent or any Lender, and will permit such parties to discuss the affairs, finances and accounts of the Servicer with the chief operating officer and chief financial officer of the Servicer;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Servicer shall not be required to reimburse for the expenses of more than one (1) such inspection for the Administrative Agent, any Lender Group Agent, any Lender and their authorized agents, collectively, and one (1) such inspection for the Backup Servicer in any calendar year unless a Servicer Termination Event, Amortization Event or Termination Event has occurred. The examination referred to in this Section will be conducted in a manner which does not unreasonably interfere with the Servicer’s normal operations or customer or employee relations. Without otherwise limiting the scope of the examination the Borrower, the Administrative Agent, any Lender Group Agent or any Lender may, using generally accepted audit procedures, verify the status of each Receivable and review the Servicer Files and records relating thereto for conformity to Monthly Servicer Reports and compliance with the standards represented to exist as to each Receivable in this Agreement. Nothing herein shall require the Borrower, the Administrative Agent, any Lender Group Agent or any Lender to conduct any inspection pursuant to this Section. Such parties may, with the Servicer’s consent, which shall not be unreasonably withheld or delayed, discuss the affairs, finances and accounts of the Servicer with the Servicer’s independent accountants,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an officer of the Servicer shall have the right to be present during such discussions.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all times during the term hereof, the initial Servicer shall keep available at its office located in Las Vegas, Nevada (or such other location as to which it shall give written notice to the Custodian, the Lender Group Agents, the Lenders and the Administrative Agent), for inspection by the Borrower, the Administrative Agent, the Custodian, any Lender Group Agent and any Lender a copy of the Receivables Schedule, as amended.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information obtained by the Borrower or the Administrative Agent regarding the Obligors and the Receivables, whether upon exercise of its rights under this Section or otherwise, shall be maintained by the Borrower or the Administrative Agent as Confidential Information and shall not be disclosed to any other person, except as otherwise required by applicable law or regulation.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Servicer will, at the Borrower’s, any Lender Group Agent’s, any Lender’s or the Administrative Agent’s request, provide the Borrower, such Lender Group Agent(s), such Lender(s) or the Administrative Agent with a data extract disk of portfolio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Lockbox Account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Servicer shall establish and maintain a Lockbox Account in the name of the Borrower, for the benefit of the Administrative Agent, on behalf and for the benefit of the Secured Parties.</w:t>
        <w:tab/>
        <w:t xml:space="preserve">Pursuant to the Lockbox Agreement, the Administrative Agent has authorized the Servicer to direct dispositions of funds on deposit in the Lockbox Account to the Collection Account (but not to any other account), and no other Person, except the Lockbox Processor and the Administrative Agent, has authority to direct disposition of funds on deposit in the Lockbox Account. However, the Lockbox Agreement shall provide that the Lockbox Bank will comply with instructions originated by the Administrative Agent relating to the disposition of the funds in the Lockbox Account without further consent by the Seller, the Servicer or the Borrower. The Administrative Agent shall have no liability or responsibility with respect to the Lockbox Processor’s directions or activities as set forth in the preceding sentence. The Lockbox Account shall be established pursuant to and maintained in accordance with the Lockbox Agreement and shall be a demand deposit account established and maintained with Wells Fargo Bank, National Association, or at the request of the Administrative Agent an Eligible Account satisfying clause (i) of the definition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Administrative Agent shall give the Servicer prior written notice of any change made in the location of the Lockbox Account. The Servicer shall establish and maintain a Post-Office Box at a United States Post Office Branch in the name of the Borrower for the benefit of the Administrative Agent for the further benefit of the Secured Parties.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the terms of the Lockbox Agreement, or any of the provisions of this Agreement relating to the Lockbox Agreement, the Servicer shall remain obligated and liable to the Borrower, the Backup Servicer, the Paying Agent, the Administrative Agent and the Lenders for servicing and administering the Receivables and the Collateral in accordance with the provisions of this Agreement without diminution of such obligation or liability by virtue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the Seller shall for any reason no longer be acting as the Servicer hereunder, the Backup Servicer or another Successor Servicer shall thereupon assume all of the rights and obligations of the outgoing Servicer under the Lockbox Agreement. In such event, the Backup Servicer or such other Successor Servicer shall be deemed to have assumed all of the outgoing Servicer’s interest therein and to have replaced the outgoing Servicer as a party to the Lockbox Agreement to the same extent as if such Lockbox Agreement had been assigned to the Backup Servicer or such other Successor Servicer, except that the outgoing Servicer shall not thereby be relieved of any liability or obligations on the part of the outgoing Servicer to the Lockbox Bank under the Lockbox Agreement. The outgoing Servicer shall, upon request of the Administrative Agent, but at the expense of the outgoing Servicer, deliver to the Backup Servicer or such other Successor Servicer all documents and records relating to the Lockbox Agreement and an accounting of amounts collected and held by the Lockbox Bank and otherwise use its best efforts to effect the orderly and efficient assignment of the Lockbox Agreement to the Backup Servicer or such other Successor Servicer. In the event that the Administrative Agent shall elect to change the identity of the Lockbox Bank, the Servicer, at its expense, shall cause the Lockbox Bank to deliver, at the direction of the Administrative Agent, to the Paying Agent or a successor Lockbox Bank, all documents and records relating to the Receivables and all amounts held (or thereafter received) by the Lockbox Bank (together with an accounting of such amounts) and shall otherwise use its best efforts to effect the orderly and efficient transfer of the Lockbox arrangement.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each Business Day, pursuant to the Lockbox Agreement, the Lockbox Processor will transfer any payments from Obligors received in the Post-Office Boxes to the Lockbox Account. Within two (2) Business Days of receipt of funds into the Lockbox Account, the Servicer shall cause the Lockbox Bank to transfer cleared funds from the Lockbox Account to the Collection Account. In addition, the Servicer shall remit all payments by or on behalf of the Obligors received by the Servicer with respect to the Receivables (other than the Collateral) and all Net Liquidation Proceeds no later than two (2) Business Days following receipt directly (without deposit into any intervening account) into the related Lockbox Account or the Collection Account. The Servicer shall not commingle its assets and funds with those on deposit in the Lockbox Account.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7.4. </w:t>
      </w:r>
      <w:r>
        <w:rPr>
          <w:rFonts w:ascii="Times New Roman;Times;Serif" w:hAnsi="Times New Roman;Times;Serif"/>
          <w:b/>
          <w:i w:val="false"/>
          <w:caps w:val="false"/>
          <w:smallCaps w:val="false"/>
          <w:sz w:val="20"/>
          <w:u w:val="single"/>
        </w:rPr>
        <w:t>Enforcement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Servicer to Maximize Collections</w:t>
      </w:r>
      <w:r>
        <w:rPr>
          <w:rFonts w:ascii="Times New Roman;Times;Serif" w:hAnsi="Times New Roman;Times;Serif"/>
          <w:b w:val="false"/>
          <w:i w:val="false"/>
          <w:caps w:val="false"/>
          <w:smallCaps w:val="false"/>
          <w:sz w:val="20"/>
        </w:rPr>
        <w:t xml:space="preserve">. The Servicer will, consistent with the standard of care required by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hereof, act with respect to the Receivables and the Insurance Policies in such manner as will, in the reasonable judgment of the Servicer, maximize the amount to be received with respect thereto.</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Servicer to Bring Proceedings</w:t>
      </w:r>
      <w:r>
        <w:rPr>
          <w:rFonts w:ascii="Times New Roman;Times;Serif" w:hAnsi="Times New Roman;Times;Serif"/>
          <w:b w:val="false"/>
          <w:i w:val="false"/>
          <w:caps w:val="false"/>
          <w:smallCaps w:val="false"/>
          <w:sz w:val="20"/>
        </w:rPr>
        <w:t xml:space="preserve">. The Servicer shall to the extent consistent with the servicing standards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including the Servicing Guidelines, or, following the occurrence of a Termination Event, at the written direction of the Administrative Agent, sue to enforce or collect upon the Receivables and the Insurance Policies (including unpaid claims), in its own name, if possible, or as agent for the Borrower or the Administrative Agent. If the Servicer commences a legal proceeding to enforce a Receivable or an Insurance Policy, the act of commencement shall be deemed to be an automatic assignment of the Receivable and the related rights under the Insurance Policies by the Borrower to the Servicer for purposes of collection only. If, however, in any enforcement suit or legal proceeding it is held that the Servicer may not enforce a Receivable or an Insurance Policy on the grounds that it is not a real party in interest or a holder entitled to enforce the Receivable or the Insurance Policy, the Borrower shall, at the Servicer’s request, assign the Receivable or the Insurance Policy to the Servicer to the limited extent necessary to enforce the Receivable or the Insurance Policy, or take such steps as the Borrower deems necessary to enforce the Receivable or the Insurance Policy, including bringing suit in its name.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Recourse Against Third Parties</w:t>
      </w:r>
      <w:r>
        <w:rPr>
          <w:rFonts w:ascii="Times New Roman;Times;Serif" w:hAnsi="Times New Roman;Times;Serif"/>
          <w:b w:val="false"/>
          <w:i w:val="false"/>
          <w:caps w:val="false"/>
          <w:smallCaps w:val="false"/>
          <w:sz w:val="20"/>
        </w:rPr>
        <w:t xml:space="preserve">. The Servicer shall exercise any rights of recourse against third persons that exist with respect to any Receivable in accordance with the standard of care required by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hereof. In exercising such recourse rights, the Servicer is hereby authorized on the Borrower’s behalf to reassign the Receivable and to deliver the Certificate of Title to the Financed Vehicle to the person against whom recourse exists at the price set forth in the document creating the recourse.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Payment in Full on Receivable</w:t>
      </w:r>
      <w:r>
        <w:rPr>
          <w:rFonts w:ascii="Times New Roman;Times;Serif" w:hAnsi="Times New Roman;Times;Serif"/>
          <w:b w:val="false"/>
          <w:i w:val="false"/>
          <w:caps w:val="false"/>
          <w:smallCaps w:val="false"/>
          <w:sz w:val="20"/>
        </w:rPr>
        <w:t>. Upon payment in full on any Receivable, the Servicer shall notify the Administrative Agent prior to the next succeeding Determination Date by a written request for the release of a Custodian File (which shall include a statement of an officer of the Servicer to the effect that all amounts received in connection with such payment in full which are required to be deposited in the Collection Account have been so deposited).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Refunds Upon Repayment In Full</w:t>
      </w:r>
      <w:r>
        <w:rPr>
          <w:rFonts w:ascii="Times New Roman;Times;Serif" w:hAnsi="Times New Roman;Times;Serif"/>
          <w:b w:val="false"/>
          <w:i w:val="false"/>
          <w:caps w:val="false"/>
          <w:smallCaps w:val="false"/>
          <w:sz w:val="20"/>
        </w:rPr>
        <w:t>. The Servicer may grant to the Obligor on any Receivable that has been repaid in full any rebate, refund or adjustment that the Servicer in good faith believes is required because of prepayment in full of the Receivable, and may deduct the amount of any such rebate, refund or adjustment from the amount otherwise payable by the Servicer into the Collection Account, consistent with the Servicing Guidelines. The Servicer may not permit any rescission or cancellation of any Receivable nor may it take any action with respect to any Receivable, except as required by Applicable Law, or Insurance Policy which would materially impair the rights of the Administrative Agent or any Lender therein or in the proceeds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7.5. </w:t>
      </w:r>
      <w:r>
        <w:rPr>
          <w:rFonts w:ascii="Times New Roman;Times;Serif" w:hAnsi="Times New Roman;Times;Serif"/>
          <w:b/>
          <w:i w:val="false"/>
          <w:caps w:val="false"/>
          <w:smallCaps w:val="false"/>
          <w:sz w:val="20"/>
          <w:u w:val="single"/>
        </w:rPr>
        <w:t>Reports; Deliverables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Monthly Servicer Report; Quarterly Pool Data; Annual Statement as to Compliance</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Servicer shall provide a monthly certification and report (each, a “</w:t>
      </w:r>
      <w:r>
        <w:rPr>
          <w:rFonts w:ascii="Times New Roman;Times;Serif" w:hAnsi="Times New Roman;Times;Serif"/>
          <w:b w:val="false"/>
          <w:i/>
          <w:caps w:val="false"/>
          <w:smallCaps w:val="false"/>
          <w:sz w:val="20"/>
          <w:u w:val="single"/>
        </w:rPr>
        <w:t>Monthly Servicer Report</w:t>
      </w:r>
      <w:r>
        <w:rPr>
          <w:rFonts w:ascii="Times New Roman;Times;Serif" w:hAnsi="Times New Roman;Times;Serif"/>
          <w:b w:val="false"/>
          <w:i w:val="false"/>
          <w:caps w:val="false"/>
          <w:smallCaps w:val="false"/>
          <w:sz w:val="20"/>
        </w:rPr>
        <w:t xml:space="preserve">”) substantially in the form of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hereto, to the Paying Agent, the Backup Servicer, the Administrative Agent and each Lender Group Agent. The Servicer shall also provide, by mail, electronic mail or facsimile transmission, copies of such reports and certificates to each Lender Group Agent, each Lender, the Administrative Agent and any other Persons identified on a list provided to the Servicer, as such list may be amended from time to time, regarding (i) payments received from or on behalf of the Obligors and deposited to the Collection Account representing collections with respect to the Receivables, (ii) other amounts received with respect to the Receivables, including Liquidation Proceeds or the proceeds of repurchases under the Purchase Agreement, (iii) other matters relating to the Receivables including delinquencies, repossessions and filing and payment of claims under Insurance Policies, (iv) financial information used to calculate whether certain Termination Events or Amortization Events have occurred, (v)[Reserved], (vi) other items reflected on </w:t>
      </w:r>
      <w:r>
        <w:rPr>
          <w:rFonts w:ascii="Times New Roman;Times;Serif" w:hAnsi="Times New Roman;Times;Serif"/>
          <w:b w:val="false"/>
          <w:i w:val="false"/>
          <w:caps w:val="false"/>
          <w:smallCaps w:val="false"/>
          <w:sz w:val="20"/>
          <w:u w:val="single"/>
        </w:rPr>
        <w:t xml:space="preserve">Exhibit I </w:t>
      </w:r>
      <w:r>
        <w:rPr>
          <w:rFonts w:ascii="Times New Roman;Times;Serif" w:hAnsi="Times New Roman;Times;Serif"/>
          <w:b w:val="false"/>
          <w:i w:val="false"/>
          <w:caps w:val="false"/>
          <w:smallCaps w:val="false"/>
          <w:sz w:val="20"/>
        </w:rPr>
        <w:t>(vii) the number of extensions and aggregate outstanding Principal Balance of extended Receivables at the time of such extensions; (viii) the number of Financed Vehicles in repossession inventory and the related aggregate outstanding principal balance thereof at the end of each calendar month; and (ix) the number and related aggregate outstanding principal balance of Financed Vehicles liquidating during the related calendar month. Such reports shall be delivered to the parties specified above no later than the third (3rd) Business Day before the Remittance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a quarterly basis, the Servicer shall provide to the Administrative Agen and each Lender Group Agent the managed pool loan tape and the managed pool static loss curves. Such delivery shall be made to the Administrative Agent and each Lender Group Agent at the end of the month following the end of the calendar quarter, beginning with the calendar quarter beginning in October 2025.</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Servicer shall deliver to the Borrower, each Lender Group Agent, each Lender, the Administrative Agent, the Backup Servicer and any Persons identified on a list provided to the Servicer, as such list may be amended from time to time, on or before February 28th of each year beginning February 28, 2026, an Officer’s Certificate, dated effective as of the December 31st, stating that (i) a review of the activities of the Servicer during the preceding twelve (12) month period (or such shorter period, as is applicable) and of its performance under this Agreement during such period has been made under such officer’s supervision, and (ii) to the best of such Officer’s knowledge, based on such review, the Servicer has fulfilled all its obligations under this Agreement throughout such period, or, if there has been a default in the fulfillment of any such obligation, specifying each such default known to such officer and the nature and status thereof and the remedies therefor being pursued.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rPr>
        <w:t xml:space="preserve">(iv)          </w:t>
      </w:r>
      <w:r>
        <w:rPr>
          <w:rFonts w:ascii="Times New Roman;Times;Serif" w:hAnsi="Times New Roman;Times;Serif"/>
          <w:b w:val="false"/>
          <w:i w:val="false"/>
          <w:caps w:val="false"/>
          <w:smallCaps w:val="false"/>
          <w:color w:val="0000FF"/>
          <w:sz w:val="20"/>
          <w:u w:val="single"/>
        </w:rPr>
        <w:t>On a quarterly basis, beginning June 30, 2026, the Servicer will</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color w:val="0000FF"/>
          <w:sz w:val="20"/>
          <w:u w:val="single"/>
        </w:rPr>
        <w:t>engage a verification agent acceptable to the Administrative Agent in its reasonable discretion and unaffiliated with the Seller or Servicer to verify that the information set forth on the then-current data tape with respect to a random sample of not less than 100 Contracts (chosen by the verification agent) associated with the applicable Receivables is consistent with the related Servicer Files. The Servicer will cause the verification agent to produce a written report with the results of its examination. If discrepancies are not remedied within thirty (30) calendar days after such verification agent report is delivered, such receivable will be an Ineligible Receivable pursuant to Section 5.5.</w:t>
      </w:r>
    </w:p>
    <w:p>
      <w:pPr>
        <w:pStyle w:val="TextBody"/>
        <w:bidi w:val="0"/>
        <w:spacing w:before="0" w:after="0"/>
        <w:jc w:val="both"/>
        <w:rPr>
          <w:caps w:val="false"/>
          <w:smallCaps w:val="false"/>
          <w:color w:val="0000FF"/>
        </w:rPr>
      </w:pPr>
      <w:r>
        <w:rPr>
          <w:caps w:val="false"/>
          <w:smallCaps w:val="false"/>
          <w:color w:val="0000FF"/>
        </w:rPr>
        <w:t> </w:t>
      </w:r>
    </w:p>
    <w:p>
      <w:pPr>
        <w:pStyle w:val="TextBody"/>
        <w:bidi w:val="0"/>
        <w:spacing w:before="0" w:after="0"/>
        <w:ind w:left="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Servicer, shall deliver, in duplicate, to each Lender Group Agent, each Lender, the Administrative Agent and any other Persons identified on a list provided to the Servicer, as such list may be amended from time to time: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2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available, but in no event later than sixty (60) days after the end of each fiscal quarter of Seller (commencing with the fiscal quarter ending December 31, 2025 and any subsequent quarter), an unaudited consolidated balance sheet and income statement (prepared in accordance with generally accepted accounting principles applied on a consistent basis, and subject to yearend adjustments) for Seller, covering the preceding quarter, in each case certified by the chief financial officer of Seller, to be true, accurate and complete copies of such financial statements; 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before one hundred and twenty (120) days after the end of each fiscal year of Seller (commencing with the fiscal year ending December 31, 2025 for fiscal year 2025 and any subsequent fiscal year) the consolidated financial statements of Seller, containing a report of a firm of independent public accountants selected by Seller, to the effect that such firm has examined the books and records of Seller, and that, on the basis of such examination conducted in compliance with generally accepted audit standards, such financial statements accurately reflect the financial condition of Seller, in each case certified by the chief financial officer of Seller, to be true, accurate and complete copies of such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Custodian Files to Custodian</w:t>
      </w:r>
      <w:r>
        <w:rPr>
          <w:rFonts w:ascii="Times New Roman;Times;Serif" w:hAnsi="Times New Roman;Times;Serif"/>
          <w:b w:val="false"/>
          <w:i w:val="false"/>
          <w:caps w:val="false"/>
          <w:smallCaps w:val="false"/>
          <w:sz w:val="20"/>
        </w:rPr>
        <w:t>. The Servicer shall deliver or cause to be delivered all of the Custodian Files, other than Electronic Contracts and Electronic Certificates of Title, in its possession to the Custodian via reputable overnight courier service for receipt by the Custodian within five (5) Business Days following the Closing Date or the applicable Addition Date. While in its possession or control, the Servicer shall hold the Custodian Files in trust on behalf of the Custodian.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7.6. </w:t>
      </w:r>
      <w:r>
        <w:rPr>
          <w:rFonts w:ascii="Times New Roman;Times;Serif" w:hAnsi="Times New Roman;Times;Serif"/>
          <w:b/>
          <w:i w:val="false"/>
          <w:caps w:val="false"/>
          <w:smallCaps w:val="false"/>
          <w:sz w:val="20"/>
          <w:u w:val="single"/>
        </w:rPr>
        <w:t>Annual Independent Public Accountant’s Reports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Servicer will cause the same firm of independent public accountants which prepared the audited financial statements pursuant to </w:t>
      </w:r>
      <w:r>
        <w:rPr>
          <w:rFonts w:ascii="Times New Roman;Times;Serif" w:hAnsi="Times New Roman;Times;Serif"/>
          <w:b w:val="false"/>
          <w:i w:val="false"/>
          <w:caps w:val="false"/>
          <w:smallCaps w:val="false"/>
          <w:sz w:val="20"/>
          <w:u w:val="single"/>
        </w:rPr>
        <w:t>Section 7.5(b)</w:t>
      </w:r>
      <w:r>
        <w:rPr>
          <w:rFonts w:ascii="Times New Roman;Times;Serif" w:hAnsi="Times New Roman;Times;Serif"/>
          <w:b w:val="false"/>
          <w:i w:val="false"/>
          <w:caps w:val="false"/>
          <w:smallCaps w:val="false"/>
          <w:sz w:val="20"/>
        </w:rPr>
        <w:t xml:space="preserve"> to deliver to each Lender Group Agent, each Lender, the Administrative Agent and any Persons identified on a list provided to the Servicer, as such list may be amended from time to time, upon receipt of such covenants and representations from such Persons as the independent public accountants may require, and as soon as practicable, but in any event within one hundred twenty (120) days after the end of each fiscal year, an annual review of the Servicer’s procedures and operations in form and substance reasonably satisfactory to the Administrative Agent, prepared by such firm of independent public accountants, dated as of March 31st of each year beginning March 31, 2026 and substantially stating to the effect that (i) such accountants have examined the accounts and records of the Servicer relating to the Collateral and the conveyed property in all similar asset-based financing transactions sponsored by the Borrower or an affiliate thereof (which records shall be described in one or more schedules to such statement), (ii) such firm has compared the information contained in certain Monthly Servicer Reports (and similar reports for other similar asset-based financing transactions sponsored by the Borrower or an affiliate thereof) delivered in the relevant period with information contained in the accounts and records or other relevant source documents for such period, and (iii) on the basis of the procedures performed, whether the information examined and contained in such Monthly Servicer Reports (and similar reports for such other similar asset-based financing transactions) delivered on the relevant period reconciles and agrees with the information contained in the accounts and records or other relevant source documents except for such exceptions as such independent public accountants believe to be immaterial and such other exceptions as shall be set forth in such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7.7. </w:t>
      </w:r>
      <w:r>
        <w:rPr>
          <w:rFonts w:ascii="Times New Roman;Times;Serif" w:hAnsi="Times New Roman;Times;Serif"/>
          <w:b/>
          <w:i w:val="false"/>
          <w:caps w:val="false"/>
          <w:smallCaps w:val="false"/>
          <w:sz w:val="20"/>
          <w:u w:val="single"/>
        </w:rPr>
        <w:t>Responsibilities of Servicer</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shall not have any duties, obligations or responsibilities other than those specifically expressed and set forth herein and no implied obligations of the Servicer shall be read into this Agreement. The Servicer shall not be liable to any person, including the Borrower, the Administrative Agent, the Custodian, any Lender Group Agent or any Lender in connection with this Agreement, except for the breach of any of its representations and warranties or obligations under this Agreement or for the negligence, bad faith or willful misconduct of the Servicer or any of its officers, directors, agents or employees.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7.8. </w:t>
      </w:r>
      <w:r>
        <w:rPr>
          <w:rFonts w:ascii="Times New Roman;Times;Serif" w:hAnsi="Times New Roman;Times;Serif"/>
          <w:b/>
          <w:i w:val="false"/>
          <w:caps w:val="false"/>
          <w:smallCaps w:val="false"/>
          <w:sz w:val="20"/>
          <w:u w:val="single"/>
        </w:rPr>
        <w:t>Termination of Servicer</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be entitled to terminate the services of the Servicer under this Agreement, upon the occurrence of a Servicer Termination Event, in accordance with Section 7.10.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7.9. </w:t>
      </w:r>
      <w:r>
        <w:rPr>
          <w:rFonts w:ascii="Times New Roman;Times;Serif" w:hAnsi="Times New Roman;Times;Serif"/>
          <w:b/>
          <w:i w:val="false"/>
          <w:caps w:val="false"/>
          <w:smallCaps w:val="false"/>
          <w:sz w:val="20"/>
          <w:u w:val="single"/>
        </w:rPr>
        <w:t>Servicer Termination Events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and continuance of any one of the following events shall constitute a “</w:t>
      </w:r>
      <w:r>
        <w:rPr>
          <w:rFonts w:ascii="Times New Roman;Times;Serif" w:hAnsi="Times New Roman;Times;Serif"/>
          <w:b w:val="false"/>
          <w:i/>
          <w:caps w:val="false"/>
          <w:smallCaps w:val="false"/>
          <w:sz w:val="20"/>
          <w:u w:val="single"/>
        </w:rPr>
        <w:t>Servicer Termination Event</w:t>
      </w:r>
      <w:r>
        <w:rPr>
          <w:rFonts w:ascii="Times New Roman;Times;Serif" w:hAnsi="Times New Roman;Times;Serif"/>
          <w:b w:val="false"/>
          <w:i w:val="false"/>
          <w:caps w:val="false"/>
          <w:smallCaps w:val="false"/>
          <w:sz w:val="20"/>
        </w:rPr>
        <w:t>” 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failure by the Servicer, for so long as the Seller or an Affiliate of the Borrower is the Servicer, to make any payment, transfer or deposit to the Administrative Agent or the Accounts within two (2) Business Days of the date such payment, transfer or deposit is required to be made;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failure by the Servicer to deliver, or cause to be delivered, to the Administrative Agent and the Backup Servicer, any Monthly Servicer Report by the second Business Day after the date on which such Monthly Servicer Report is required to be delivered;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failure by the Servicer to duly observe or perform in any material respect any other covenants or agreements of the Servicer, set forth in this Agreement or the other Transaction Documents to which the Servicer is a party which continues unremedied for a period of thirty (30) days after the Servicer obtains knowledge or receives written notice thereof;</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Insolvency Event shall occur with respect to the Servicer;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representation, warranty or certification made by the Servicer or any successor in this Agreement or any Transaction Document or in any certificate delivered pursuant to this Agreement or any Transaction Document shall prove to have been incorrect when made and the incorrectness of such representation, warranty or certification has a Material Adverse Effect on any Lender and is not cured within 30 calendar days after written notice thereof shall have been given to the Servicer by the Administrative Agent or a Lender, the circumstances or condition in respect of which such representation, warranty or statement was incorrect shall have not been eliminated or otherwise cured;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material adverse change in the operations of the Servicer which materially adversely affects the ability of the Servicer to service the Receivables or to perform its obligations hereunder (or under any other agreement pursuant to which the Servicer is acting as servicer of the Receivables) and is not cured within five (5) Business Days after the earlier of knowledge thereof by the Servicer;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Termination Event shall have occurred and shall not have been waived by the Administrative Agent;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CPS is then the Servicer, the breach of the financial covenants set forth in the Financial Covenants.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CPS is then the Servicer, a Change of Control of the Servicer shall have occurred;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CPS is then the Servicer, the Backup Servicer shall have been (i) terminated by the Borrower or CPS and a successor Backup Servicer acceptable to the Administrative Agent and each Lender Group Agent in their respective sole discretion is not appointed within 60 days after such termination, (ii) terminated by the Administrative Agent and a successor Backup Servicer acceptable to the Administrative Agent in its sole discretion is not appointed within 90 days after such termination; or (iii) the Backup Servicer has given notice of its resignation and a successor Backup Servicer acceptable to the Administrative Agent and each Lender Group Agent in their respective sole discretion is not appointed within 45 days after such termination; and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CPS is then the Servicer, any final judgment or ruling shall have been rendered against, or any settlement entered into by the Servicer, which judgment, ruling or settlement exceeds, in the aggregate, [***], provided, that such final judgment, ruling or settlement shall have remained unpaid, and enforcement thereof shall have remained unstayed and unbonded, for a period in excess of 45 days from the date of entry of such judgment or ruling or the date of effectiveness of such settlement.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7.10. </w:t>
      </w:r>
      <w:r>
        <w:rPr>
          <w:rFonts w:ascii="Times New Roman;Times;Serif" w:hAnsi="Times New Roman;Times;Serif"/>
          <w:b/>
          <w:i w:val="false"/>
          <w:caps w:val="false"/>
          <w:smallCaps w:val="false"/>
          <w:sz w:val="20"/>
          <w:u w:val="single"/>
        </w:rPr>
        <w:t>Remedies Upon Occurrence of Servicer Termination Event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Servicer Termination Event shall occur and be continuing, the Administrative Agent, by notice given in writing to the Servicer (“</w:t>
      </w:r>
      <w:r>
        <w:rPr>
          <w:rFonts w:ascii="Times New Roman;Times;Serif" w:hAnsi="Times New Roman;Times;Serif"/>
          <w:b w:val="false"/>
          <w:i/>
          <w:caps w:val="false"/>
          <w:smallCaps w:val="false"/>
          <w:sz w:val="20"/>
          <w:u w:val="single"/>
        </w:rPr>
        <w:t>Servicer Termination Notice</w:t>
      </w:r>
      <w:r>
        <w:rPr>
          <w:rFonts w:ascii="Times New Roman;Times;Serif" w:hAnsi="Times New Roman;Times;Serif"/>
          <w:b w:val="false"/>
          <w:i w:val="false"/>
          <w:caps w:val="false"/>
          <w:smallCaps w:val="false"/>
          <w:sz w:val="20"/>
        </w:rPr>
        <w:t xml:space="preserve">”) (with copies to the Backup Servicer and the Borrower), may terminate all of the rights and obligations of the Servicer under this Agreement (except as set forth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On or after the receipt by the Servicer of such Servicer Termination Notice, except to the extent otherwise set forth herein. all authority, power, obligations and responsibilities of the Servicer under this Agreement, whether with respect to the Receivables, or otherwise, automatically shall pass to, be vested in and become obligations and responsibilities of the Successor Servicer(whether the Backup Servicer or another Successor Servicer selected by the Administrative Agent) appointed in accordance 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Successor Servicer shall have no liability with respect to any obligation which was required to be performed by the terminated Servicer prior to the date that the Successor Servicer becomes the Servicer or any claim based on any alleged action or inaction of the terminated Servicer. The Successor Servicer is authorized and empowered by this Agreement to execute and deliver, on behalf of the terminated Servicer, as attorney-in-fact or otherwise, any and all documents and other instruments and to do or accomplish all other acts or things necessary or appropriate to effect the purposes of such Servicer Termination Notice, whether to complete the transfer and endorsement of the Receivables and related documents to show the Borrower or the Administrative Agent as lienholder or secured party on the related title documents, or otherwise. The terminated Servicer agrees to cooperate with the Successor Servicer in effecting the termination of the responsibilities and rights of the terminated Servicer under this Agreement, including the transfer to the Successor Servicer for administration by it of all cash amounts that shall at the time be held by the terminated Servicer for deposit, or have been deposited by the terminated Servicer, in the Collection Account or thereafter received with respect to the Receivables and the delivery to the Successor Servicer of all Servicer Files, collection records and a computer tape in readable form as of the most recent Business Day containing all information necessary to enable the Successor Servicer to service the Receivables. If requested by the Administrative Agent, the Successor Servicer shall direct the Obligors then making payments directly to the Servicer to make all payments under the Receivables directly to the Successor Servicer (in which event the Successor Servicer shall process all such payments), or to a lockbox established by the Successor Servicer at the direction of the Administrative Agent. The terminated Servicer shall grant the Borrower, the Backup Servicer, each Lender Group Agent, each Lender, the Successor Servicer and the Administrative Agent reasonable access to the terminated Servicer’s premises at the terminated Servicer’s expense. Subject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the Successor Servicer shall be entitled to be reimbursed pursuant to </w:t>
      </w:r>
      <w:r>
        <w:rPr>
          <w:rFonts w:ascii="Times New Roman;Times;Serif" w:hAnsi="Times New Roman;Times;Serif"/>
          <w:b w:val="false"/>
          <w:i w:val="false"/>
          <w:caps w:val="false"/>
          <w:smallCaps w:val="false"/>
          <w:sz w:val="20"/>
          <w:u w:val="single"/>
        </w:rPr>
        <w:t>Section 2.7(a)(ix)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2.7(b)(i)</w:t>
      </w:r>
      <w:r>
        <w:rPr>
          <w:rFonts w:ascii="Times New Roman;Times;Serif" w:hAnsi="Times New Roman;Times;Serif"/>
          <w:b w:val="false"/>
          <w:i w:val="false"/>
          <w:caps w:val="false"/>
          <w:smallCaps w:val="false"/>
          <w:sz w:val="20"/>
        </w:rPr>
        <w:t>, as applicable, for reasonable costs incurred by it in connection with a transfer of servicing from the Servicer to such Successor Servicer.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and after the time the Servicer receives a Servicer Termination Notice pursuant to </w:t>
      </w:r>
      <w:r>
        <w:rPr>
          <w:rFonts w:ascii="Times New Roman;Times;Serif" w:hAnsi="Times New Roman;Times;Serif"/>
          <w:b w:val="false"/>
          <w:i w:val="false"/>
          <w:caps w:val="false"/>
          <w:smallCaps w:val="false"/>
          <w:sz w:val="20"/>
          <w:u w:val="single"/>
        </w:rPr>
        <w:t>Section 7.10(a)</w:t>
      </w:r>
      <w:r>
        <w:rPr>
          <w:rFonts w:ascii="Times New Roman;Times;Serif" w:hAnsi="Times New Roman;Times;Serif"/>
          <w:b w:val="false"/>
          <w:i w:val="false"/>
          <w:caps w:val="false"/>
          <w:smallCaps w:val="false"/>
          <w:sz w:val="20"/>
        </w:rPr>
        <w:t>, if the Administrative Agent shall exercise its option pursuant to the following paragraph to appoint a Successor Servicer, the Successor Servicer shall be the successor in all respects to the Servicer in its capacity as servicer under this Agreement and the transactions set forth or provided for in this Agreement, and shall be subject to all the rights, responsibilities, restrictions, duties, liabilities and termination provisions relating thereto placed on the Servicer by the terms and provisions of this Agreement except as otherwise stated herein. The Borrower and such successor shall take such action, consistent with this Agreement, as shall be necessary to effectuate any such succession. If a Successor Servicer is acting as Servicer hereunder, it shall only be subject to termination upon the occurrence of any Servicer Termination Event with respect to such Successor Servicer.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and after the receipt by the terminated Servicer of a Servicer Termination Notice pursuant to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the terminated Servicer shall continue to perform all servicing functions under this Agreement until the date specified in the Servicer Termination Notice (the “</w:t>
      </w:r>
      <w:r>
        <w:rPr>
          <w:rFonts w:ascii="Times New Roman;Times;Serif" w:hAnsi="Times New Roman;Times;Serif"/>
          <w:b w:val="false"/>
          <w:i/>
          <w:caps w:val="false"/>
          <w:smallCaps w:val="false"/>
          <w:sz w:val="20"/>
          <w:u w:val="single"/>
        </w:rPr>
        <w:t>Assumption Date</w:t>
      </w:r>
      <w:r>
        <w:rPr>
          <w:rFonts w:ascii="Times New Roman;Times;Serif" w:hAnsi="Times New Roman;Times;Serif"/>
          <w:b w:val="false"/>
          <w:i w:val="false"/>
          <w:caps w:val="false"/>
          <w:smallCaps w:val="false"/>
          <w:sz w:val="20"/>
        </w:rPr>
        <w:t>”). The Administrative Agent may exercise at any time its right to appoint as Successor Servicer a Person other than the Person serving as Backup Servicer, at the time, and shall have no liability to the Borrower, the Administrative Agent, any Lender Group Agent, any Lender or any other Person if it does so. If a Successor Servicer is not chosen within sixty (60) calendar days after the receipt by the Servicer of the Termination Notice, the Servicer shall continue to act as Servicer until a successor has been appointed and accepted such appointment. Within five (5) days of termination of the Servicer, if such termination causes a change in the address to which Obligor payments are to be sent, the Successor Servicer shall send, or cause to be sent, to each Obligor, a written notice of the name and mailing address of the Successor Servicer to which payments on the Receivables are to be made.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its appointment, the Successor Servicer shall be the successor in all respects to the terminated Servicer with respect to servicing functions under this Agreement and shall be subject to all the responsibilities, duties and liabilities (arising on and after the Assumption Date except for liability arising from the condition of the Servicer’s records at the time the servicing duties are transferred to the Successor Servicer or for actions or omissions of other Persons) relating thereto placed on the Servicer by the terms and provisions hereof, and all references in this Agreement to the Servicer shall be deemed to refer to the Successor Servicer unless the context otherwise requires.</w:t>
      </w:r>
    </w:p>
    <w:p>
      <w:pPr>
        <w:pStyle w:val="TextBody"/>
        <w:bidi w:val="0"/>
        <w:spacing w:before="0" w:after="0"/>
        <w:ind w:left="1439" w:right="403" w:firstLine="16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such appointment and assumption, the Administrative Agent may make such arrangements for the compensation of itself and the Successor Servicer out of collections of Receivable payments, as it and such Successor Servicer shall agree.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7.11. </w:t>
      </w:r>
      <w:r>
        <w:rPr>
          <w:rFonts w:ascii="Times New Roman;Times;Serif" w:hAnsi="Times New Roman;Times;Serif"/>
          <w:b/>
          <w:i w:val="false"/>
          <w:caps w:val="false"/>
          <w:smallCaps w:val="false"/>
          <w:sz w:val="20"/>
          <w:u w:val="single"/>
        </w:rPr>
        <w:t>Assumption of Duties by Successor Servicer</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following the assumption of duties of the Servicer by the designation of a Successor Servicer pursuant to Section 7.10, the Servicer shall, at the Administrative Agent’s request and at the Borrower’s expense, (A) direct that payment of all amounts payable under any Contract relating to a Receivable be made directly to the Administrative Agent or its designee; (B) assemble all of the records relating to the Collateral including all Servicer Files, and shall make the same available to the Backup Servicer and the Administrative Agent at a place selected by the Backup Servicer and the Administrative Agent or its designee, and (C) segregate all cash, checks and other instruments received by it from time to time constituting collections of Collateral in a manner acceptable to the Backup Servicer and the Administrative Agent and shall promptly upon receipt but no later than one Business Day after receipt, remit all such cash, checks and instruments, duly endorsed or with duly executed instruments of transfer, to the Backup Servicer or its designee. The Borrower hereby authorizes the Administrative Agent to take any and all steps in the Borrower’s name and on behalf of the Borrower necessary or desirable, in the determination of the Administrative Agent, to collect all amounts due under any and all of the Collateral with respect thereto, including endorsing the Borrower’s name on checks and other instruments representing Collections and enforcing the Receivables.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7.12. </w:t>
      </w:r>
      <w:r>
        <w:rPr>
          <w:rFonts w:ascii="Times New Roman;Times;Serif" w:hAnsi="Times New Roman;Times;Serif"/>
          <w:b/>
          <w:i w:val="false"/>
          <w:caps w:val="false"/>
          <w:smallCaps w:val="false"/>
          <w:sz w:val="20"/>
          <w:u w:val="single"/>
        </w:rPr>
        <w:t>Waiver of Termination Events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may waive any Servicer Termination Event. Upon any such waiver of a Servicer Termination Event, such default shall cease to exist, and any default arising therefrom shall be deemed to have been remedied for every purpose of this Agreement. No such waiver shall extend to any subsequent or other default or impair any right consequent thereon except to the extent expressly so waived.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7.13. </w:t>
      </w:r>
      <w:r>
        <w:rPr>
          <w:rFonts w:ascii="Times New Roman;Times;Serif" w:hAnsi="Times New Roman;Times;Serif"/>
          <w:b/>
          <w:i w:val="false"/>
          <w:caps w:val="false"/>
          <w:smallCaps w:val="false"/>
          <w:sz w:val="20"/>
          <w:u w:val="single"/>
        </w:rPr>
        <w:t>Notification Upon Occurrence of Servicer Termination Event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discovery of the occurrence of any Servicer Termination Event, after the expiration of any applicable grace period, the Servicer shall give written notice of the occurrence of a Servicer Termination Event to the Administrative Agent unless the Administrative Agent gives written notice to the Servicer within 30 calendar days of receipt of such notice from the Servicer that the Administrative Agent has waived such Servicer Termination Event, the Servicer shall then give notice in writing to the Custodian, the Paying Agent, the Backup Servicer, the Administrative Agent, the Borrower and any other Persons identified on a list provided to the Servicer, as such list may be amended from time to time, and the Administrative Agent shall give notice to the Lender Group Agents and the Lenders. Upon any termination or appointment of a Successor Servicer, the Administrative Agent shall give prompt written notice thereof to each Lender Group Agent and each Lender at its address as provided in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7.14. </w:t>
      </w:r>
      <w:r>
        <w:rPr>
          <w:rFonts w:ascii="Times New Roman;Times;Serif" w:hAnsi="Times New Roman;Times;Serif"/>
          <w:b/>
          <w:i w:val="false"/>
          <w:caps w:val="false"/>
          <w:smallCaps w:val="false"/>
          <w:sz w:val="20"/>
          <w:u w:val="single"/>
        </w:rPr>
        <w:t>The Servicer Not to Resign</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the Servicer shall not resign from the obligations and duties imposed on it by this Agreement as Servicer except upon a determination that by reason of a change in legal requirements the performance of its duties under this Agreement would cause it to be in violation of such legal requirements in a manner which would have a Material Adverse Effect on the Servicer and the Administrative Agent does not elect to waive the obligations of the Servicer to perform the duties which render it legally unable to act or to delegate those duties to another Person. Any such determination permitting the resignation of the Servicer shall be evidenced by an opinion of counsel to such effect delivered and acceptable to the Borrower, the Administrative Agent, each Lender Group Agent and each Lender. No resignation of the Servicer shall become effective until an entity acceptable to the Administrative Agent shall have assumed the responsibilities and obligations of the Servicer.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7.15. </w:t>
      </w:r>
      <w:r>
        <w:rPr>
          <w:rFonts w:ascii="Times New Roman;Times;Serif" w:hAnsi="Times New Roman;Times;Serif"/>
          <w:b/>
          <w:i w:val="false"/>
          <w:caps w:val="false"/>
          <w:smallCaps w:val="false"/>
          <w:sz w:val="20"/>
          <w:u w:val="single"/>
        </w:rPr>
        <w:t>Purchase and Subsequent Pledge</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hereby acknowledges that the Borrower will acquire the Receivables and the other items included in the Collateral pursuant to the Purchase Agreement and will pledge the Receivables and the other items included in the Collateral along with certain of the Borrower’s rights under this Agreement and the Purchase Agreement to the Administrative Agent for the benefit of the Secured Parties pursuant to the terms of this Agreement, and that the representations and warranties contained in the Purchase Agreement and this Agreement and the rights of the Borrower under this Agreement and the Purchase Agreement are intended to benefit the Secured Parties.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7.16. </w:t>
      </w:r>
      <w:r>
        <w:rPr>
          <w:rFonts w:ascii="Times New Roman;Times;Serif" w:hAnsi="Times New Roman;Times;Serif"/>
          <w:b/>
          <w:i w:val="false"/>
          <w:caps w:val="false"/>
          <w:smallCaps w:val="false"/>
          <w:sz w:val="20"/>
          <w:u w:val="single"/>
        </w:rPr>
        <w:t>Merger or Consolidation, Assumption of Obligations or Resignation,</w:t>
      </w:r>
      <w:r>
        <w:rPr>
          <w:rFonts w:ascii="Times New Roman;Times;Serif" w:hAnsi="Times New Roman;Times;Serif"/>
          <w:b/>
          <w:i w:val="false"/>
          <w:caps w:val="false"/>
          <w:smallCaps w:val="false"/>
          <w:sz w:val="20"/>
        </w:rPr>
        <w:t xml:space="preserve"> of the Servicer.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Person (a) into which the Servicer may be merged or consolidated, (b) which may result from any merger or consolidation to which the Servicer shall be a party, (c) which may succeed to the properties and assets of the Servicer substantially as a whole, or (d) which may succeed to the duties and obligations of the Servicer under this Agreement following the resignation of the Servicer subject to Section 7.14 hereof, which Person executes an agreement of assumption to perform every obligation of the Servicer hereunder, shall, with the prior written consent of the Administrative Agent, be the successor to the Servicer under this Agreement without further act on the part of any of the parties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in the case of the initial Servicer, that (i) prior written notice of such merger, consolidation or assumption of liabilities shall be delivered by the Servicer to the Administrative Agent, each Lender Group Agent and each Lender, (ii) immediately after giving effect to such transaction, no Servicer Termination Event (as defined in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xml:space="preserve">), and no event which, after notice or lapse of time, or both, would become a Servicer Termination Event shall have occurred or be continuing, (iii) no Termination Event or Amortization Event would occur as a result of such merger, consolidation or assumption of liability, (iv) the Servicer shall have delivered to the Borrower, the Administrative Agent, each Lender Group Agent, each Lender and the Backup Servicer an officer’s certificate and an opinion of counsel each stating that such consolidation, merger, succession or resignation and such agreement of assumption comply with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7.16 and that all conditions precedent provided for in this Agreement relating to such transaction have been complied with and (v) the Servicer shall have delivered to the Borrower, the Administrative Agent, each Lender Group Agent, each Lender and the Administrative Agent an opinion of counsel either (A) stating that, in the opinion of such counsel, all financing statements, continuation statements and amendments and notations on certificates of title thereto have been executed and filed that are necessary fully to preserve and protect the interest of the Borrower, each Lender and the Administrative Agent in the Receivables and the Financed Vehicles, and reciting the details of such filings, or (B) stating that, in the opinion of such counsel, no such action shall be necessary to preserve and protect such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Person (i) into which the Backup Servicer (in its capacity as Backup Servicer or Successor Servicer) may be merged or consolidated, (ii) resulting from any merger or consolidation to which the Backup Servicer shall be a party, (iii) which acquires by conveyance, transfer or lease substantially all of the assets of the Backup Servicer, or (iv) succeeding to the business of the Backup Servicer, in any of the foregoing cases shall execute an agreement of assumption to perform every obligation of the Backup Servicer under this Agreement and, whether or not such assumption agreement is executed, shall be the successor to the Backup Servicer under this Agreement without the execution or filing of any paper or any further act on the part of any of the parties to this Agreement, anything in this Agreement to the contrary notwithstanding;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contained herein shall be deemed to release the Backup Servicer from any obligation.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7.17. </w:t>
      </w:r>
      <w:r>
        <w:rPr>
          <w:rFonts w:ascii="Times New Roman;Times;Serif" w:hAnsi="Times New Roman;Times;Serif"/>
          <w:b/>
          <w:i w:val="false"/>
          <w:caps w:val="false"/>
          <w:smallCaps w:val="false"/>
          <w:sz w:val="20"/>
          <w:u w:val="single"/>
        </w:rPr>
        <w:t>Repurchase of Receivables Upon Breach</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shall inform the Borrower, the Administrative Agent, each Lender Group Agent and each Lender promptly, in writing, upon the discovery of the occurrence of any Repurchase Event(pursuant to Section 6.2 of the Purchase Agreement); provided, however, that the Servicer shall have no duty to investigate or determine the existence of any breach except as specified herein. Unless waived by the Administrative Agent, the Servicer shall deliver to the Borrower a written demand to cause the Seller to reacquire the affected Receivable as provided in the Purchase Agreement. The sole remedy of the Borrower, the Administrative Agent, any Lender Group Agent or any Lender against the Seller with respect to any receivable shall be the repurchase thereof as provided in the Purchase Agreement, and pursuant to Section 11.1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7.18. </w:t>
      </w:r>
      <w:r>
        <w:rPr>
          <w:rFonts w:ascii="Times New Roman;Times;Serif" w:hAnsi="Times New Roman;Times;Serif"/>
          <w:b/>
          <w:i w:val="false"/>
          <w:caps w:val="false"/>
          <w:smallCaps w:val="false"/>
          <w:sz w:val="20"/>
          <w:u w:val="single"/>
        </w:rPr>
        <w:t>Borrower’s Obligations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at its own expense, duly and punctually perform and observe its obligations to the Servicer under this Agreement in accordance with the terms hereof. In addition, promptly following a request from the Administrative Agent to do so and at the Borrower’s own expense, the Borrower shall take all such lawful action as the Administrative Agent (which shall so request if directed by any Lender Group Agent, with the consent of the Administrative Agent, to do so) may request to compel or secure the performance and observance by the Servicer of each of its obligations to the Borrower under or in connection with this Agreement, in accordance with the terms hereof, and in effecting such request shall exercise any and all rights, remedies, powers and privileges lawfully available to the Borrower under or in connection with this Agreement to the extent and in the manner directed by the Administrative Agent, including the transmission of notices of default on the part of the Servicer hereunder and the institution of legal or administrative actions or proceedings to compel or secure performance by the Servicer of its respective obligations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7.19. </w:t>
      </w:r>
      <w:r>
        <w:rPr>
          <w:rFonts w:ascii="Times New Roman;Times;Serif" w:hAnsi="Times New Roman;Times;Serif"/>
          <w:b/>
          <w:i w:val="false"/>
          <w:caps w:val="false"/>
          <w:smallCaps w:val="false"/>
          <w:sz w:val="20"/>
          <w:u w:val="single"/>
        </w:rPr>
        <w:t>Backup Verification Monthly Servicer Report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Concurrently with the delivery by the Servicer of the Monthly Servicer Report each month, the Servicer will deliver to the Administrative Agent and the Backup Servicer by electronic transmission in a format acceptable to the Administrative Agent and the Backup Servicer containing information with respect to the Receivables as of the close of business on the last day of the preceding Collection Period which information is necessary for preparation of the Monthly Servicer Report. On a monthly basis, the Backup Servicer shall use the electronic transmission related to the Remittance Date to verify certain information specified in </w:t>
      </w:r>
      <w:r>
        <w:rPr>
          <w:rFonts w:ascii="Times New Roman;Times;Serif" w:hAnsi="Times New Roman;Times;Serif"/>
          <w:b w:val="false"/>
          <w:i w:val="false"/>
          <w:caps w:val="false"/>
          <w:smallCaps w:val="false"/>
          <w:sz w:val="20"/>
          <w:u w:val="single"/>
        </w:rPr>
        <w:t>Section 7.19(b)</w:t>
      </w:r>
      <w:r>
        <w:rPr>
          <w:rFonts w:ascii="Times New Roman;Times;Serif" w:hAnsi="Times New Roman;Times;Serif"/>
          <w:b w:val="false"/>
          <w:i w:val="false"/>
          <w:caps w:val="false"/>
          <w:smallCaps w:val="false"/>
          <w:sz w:val="20"/>
        </w:rPr>
        <w:t xml:space="preserve"> contained in the Monthly Servicer Report delivered by the Servicer in connection with the Remittance Date, and the Backup Servicer shall notify the Servicer and the Administrative Agent of any discrepancies on or before 11:00 a.m. New York time on the related Remittance Date. In the event that the Backup Servicer reports any discrepancies, the Servicer and the Backup Servicer (in consultation with the Administrative Agent) shall attempt to reconcile such discrepancies on the related Remittance Date, but in the absence of a reconciliation (or if the Backup Servicer otherwise fails to notify the Servicer and the Administrative Agent of the absence of any discrepancies by the 11:00 a.m. cutoff time), the Monthly Servicer Report shall control for the purpose of calculations and distributions pursuant to </w:t>
      </w:r>
      <w:r>
        <w:rPr>
          <w:rFonts w:ascii="Times New Roman;Times;Serif" w:hAnsi="Times New Roman;Times;Serif"/>
          <w:b w:val="false"/>
          <w:i w:val="false"/>
          <w:caps w:val="false"/>
          <w:smallCaps w:val="false"/>
          <w:sz w:val="20"/>
          <w:u w:val="single"/>
        </w:rPr>
        <w:t>Section 2.7 (a)(i)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with respect to the related Remittance Date. No payments shall be made to the Borrower pursuant to </w:t>
      </w:r>
      <w:r>
        <w:rPr>
          <w:rFonts w:ascii="Times New Roman;Times;Serif" w:hAnsi="Times New Roman;Times;Serif"/>
          <w:b w:val="false"/>
          <w:i w:val="false"/>
          <w:caps w:val="false"/>
          <w:smallCaps w:val="false"/>
          <w:sz w:val="20"/>
          <w:u w:val="single"/>
        </w:rPr>
        <w:t>Section 2.7(a)(x)</w:t>
      </w:r>
      <w:r>
        <w:rPr>
          <w:rFonts w:ascii="Times New Roman;Times;Serif" w:hAnsi="Times New Roman;Times;Serif"/>
          <w:b w:val="false"/>
          <w:i w:val="false"/>
          <w:caps w:val="false"/>
          <w:smallCaps w:val="false"/>
          <w:sz w:val="20"/>
        </w:rPr>
        <w:t xml:space="preserve"> until any such discrepancies shall have been reconciled (or, as applicable, until the Backup Servicer notifies the Servicer and the Administrative Agent of the absence of any discrepancies). In the event that the Backup Servicer and the Servicer are unable to reconcile discrepancies with respect to a Monthly Servicer Report by the next succeeding Remittance Date, the Backup Servicer shall notify the Administrative Agent of such discrepancy in writing and the Servicer shall cause a firm of Independent Accountants, at the Servicer’s expense, to audit the Monthly Servicer Report and, prior to the fifth day of the following calendar month, reconcile the discrepancies. The effect, if any, of such reconciliation shall be reflected in the Monthly Servicer Report for such next succeeding Determination Date. Other than the duties specifically set forth in this Agreement, the Backup Servicer shall have no obligations hereunder, including, without limitation, to supervise, verify, monitor or administer the performance of the Servicer. The Backup Servicer shall have no liability for any actions taken or omitted by the Servicer. The duties and obligations of the Backup Servicer shall be determined solely by the express provisions of this Agreement and no implied covenants or obligations shall be read into this Agreement against the Backup Servicer (including any implied duty to enforce another party’s obligation if the Transaction Documents do not assign such responsibility to an express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Backup Servicer shall review each Monthly Servicer Report delivered pursuant to </w:t>
      </w:r>
      <w:r>
        <w:rPr>
          <w:rFonts w:ascii="Times New Roman;Times;Serif" w:hAnsi="Times New Roman;Times;Serif"/>
          <w:b w:val="false"/>
          <w:i w:val="false"/>
          <w:caps w:val="false"/>
          <w:smallCaps w:val="false"/>
          <w:sz w:val="20"/>
          <w:u w:val="single"/>
        </w:rPr>
        <w:t>Section 7.19(a)</w:t>
      </w:r>
      <w:r>
        <w:rPr>
          <w:rFonts w:ascii="Times New Roman;Times;Serif" w:hAnsi="Times New Roman;Times;Serif"/>
          <w:b w:val="false"/>
          <w:i w:val="false"/>
          <w:caps w:val="false"/>
          <w:smallCaps w:val="false"/>
          <w:sz w:val="20"/>
        </w:rPr>
        <w:t xml:space="preserve"> and shall: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confirm that such Monthly Servicer Report is complete on its face;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load the electronic information (which shall be in a format acceptable to the Backup Servicer) received from the Servicer pursuant to </w:t>
      </w:r>
      <w:r>
        <w:rPr>
          <w:rFonts w:ascii="Times New Roman;Times;Serif" w:hAnsi="Times New Roman;Times;Serif"/>
          <w:b w:val="false"/>
          <w:i w:val="false"/>
          <w:caps w:val="false"/>
          <w:smallCaps w:val="false"/>
          <w:sz w:val="20"/>
          <w:u w:val="single"/>
        </w:rPr>
        <w:t>Section 7.19(a)</w:t>
      </w:r>
      <w:r>
        <w:rPr>
          <w:rFonts w:ascii="Times New Roman;Times;Serif" w:hAnsi="Times New Roman;Times;Serif"/>
          <w:b w:val="false"/>
          <w:i w:val="false"/>
          <w:caps w:val="false"/>
          <w:smallCaps w:val="false"/>
          <w:sz w:val="20"/>
        </w:rPr>
        <w:t>, confirm that such electronic information is in a readable form and calculate and confirm the aggregate Principal Balance of the Receivables for the most recent Remittance Date; and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confirm that the Available Amounts, the Class A Borrowing Base, Class A Borrowing Base Deficiency, the Class A Lenders’ Principal Distributable Amount, the Class A Loan Balance, the Class A Lenders’ Interest Distributable Amount, the Class B Borrowing Base, Class B Borrowing Base Deficiency, the Class B Loan Balance, the Class B Lenders’ Principal Distributable Amount, the Class B Lenders’ Interest Distributable Amount, the Required Reserve Account Balance Shortfall, the Principal Amount Outstanding for each of the Class A Loans and Class B Loans, the Servicing Fee, the Backup Servicing Fee, the Paying Agent Fee and the Custodian Fee in the Monthly Servicer Report are accurate based solely on the recalculation of the Monthly Servicer Report.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if the data or the Monthly Servicer Report does not contain sufficient information for the Backup Servicer to perform any action hereunder, the Backup Servicer shall promptly notify the Servicer of any additional information to be delivered by the Servicer to the Backup Servicer, and the Backup Servicer and the Servicer shall mutually agree upon the form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Backup Servicer shall not be liable for any delay in the performance of any action hereunder resulting from its failure to receive in a timely manner such additional information from the Servicer. In the performance of its duties hereunder, the Backup Servicer shall be entitled to conclusively rely on the Monthly Servicer Report or written notice with respect to the occurrence of any Termination Event, Servicer Termination Event or other event which affects the verification obligations of the Backup Servicer, with no duty to independently verify the information therein or confirm whether any such event has occurred or otherwise make any determination with respect thereto.</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90 days after the Closing Date, the Backup Servicer will data map to a servicing system all servicing/loan file information, including all relevant borrower contact information such as address and phone numbers as well as loan balance and payment information, including comment histories and collection notes. On or before the fifth calendar day of each month, the Servicer will provide to the Backup Servicer and to the Administrative Agent an electronic transmission of all servicing/loan information, including all relevant borrower contact information such as address and phone numbers as well as loan balance and payment information, including comment histories and collection notes, and the Backup Servicer will review each file to ensure that it is in readable form. Additionally, the Backup Servicer shall store each such file. The Servicer shall promptly notify the Backup Servicer in writing of any material changes which the Servicer makes to its servicing systems and provide sufficient detail with respect thereto to the Backup Servicer as the Backup Servicer may require.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Backup Servicer’s assumption of, and its agreement to perform and observe, all duties, responsibilities and obligations of the Servicer under this Agreement arising on and after the Assumption Date, the Backup Servicer shall not be deemed to have assumed or to become liable for, or otherwise have any liability, whether provided for by the terms of this Agreement, arising by operation of law or otherwise, for any duties, responsibilities, obligations or liabilities of the Servicer (i) arising under any repurchase, advancing or indemnification provisions of the Servicer, (ii) required to be performed by any predecessor Servicer prior to the Assumption Date or any claim based on any alleged action or inaction of any predecessor Servicer, or (iii) with respect to the payment of any taxes required to be paid by any predecessor Servicer. The indemnification obligations of the Backup Servicer, upon becoming a Successor Servicer, are expressly limited to those instances of gross negligence or willful misconduct of the Backup Servicer in its role as Successor Servicer that occur after the Assumption Date.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contained in this Agreement to the contrary, the Successor Servicer is authorized to accept and rely on all of the accounting records (including computer records) and work of the predecessor Servicer relating to the Receivables (collectively, the “</w:t>
      </w:r>
      <w:r>
        <w:rPr>
          <w:rFonts w:ascii="Times New Roman;Times;Serif" w:hAnsi="Times New Roman;Times;Serif"/>
          <w:b w:val="false"/>
          <w:i w:val="false"/>
          <w:caps w:val="false"/>
          <w:smallCaps w:val="false"/>
          <w:sz w:val="20"/>
          <w:u w:val="single"/>
        </w:rPr>
        <w:t>Predecessor Servicer Work Product</w:t>
      </w:r>
      <w:r>
        <w:rPr>
          <w:rFonts w:ascii="Times New Roman;Times;Serif" w:hAnsi="Times New Roman;Times;Serif"/>
          <w:b w:val="false"/>
          <w:i w:val="false"/>
          <w:caps w:val="false"/>
          <w:smallCaps w:val="false"/>
          <w:sz w:val="20"/>
        </w:rPr>
        <w:t>”) without any audit or other examination thereof, and the Successor Servicer shall have no duty, responsibility, obligation or liability for the acts and omissions of the predecessor Servicer. If any error, inaccuracy, omission or incorrect or non-standard practice or procedure (collectively, “</w:t>
      </w:r>
      <w:r>
        <w:rPr>
          <w:rFonts w:ascii="Times New Roman;Times;Serif" w:hAnsi="Times New Roman;Times;Serif"/>
          <w:b w:val="false"/>
          <w:i w:val="false"/>
          <w:caps w:val="false"/>
          <w:smallCaps w:val="false"/>
          <w:sz w:val="20"/>
          <w:u w:val="single"/>
        </w:rPr>
        <w:t>Errors</w:t>
      </w:r>
      <w:r>
        <w:rPr>
          <w:rFonts w:ascii="Times New Roman;Times;Serif" w:hAnsi="Times New Roman;Times;Serif"/>
          <w:b w:val="false"/>
          <w:i w:val="false"/>
          <w:caps w:val="false"/>
          <w:smallCaps w:val="false"/>
          <w:sz w:val="20"/>
        </w:rPr>
        <w:t>”) exists in any Predecessor Servicer Work Product and such Error makes it materially more difficult to service or should cause or materially contribute to the Successor Servicer making or continuing any Error (collectively, “</w:t>
      </w:r>
      <w:r>
        <w:rPr>
          <w:rFonts w:ascii="Times New Roman;Times;Serif" w:hAnsi="Times New Roman;Times;Serif"/>
          <w:b w:val="false"/>
          <w:i w:val="false"/>
          <w:caps w:val="false"/>
          <w:smallCaps w:val="false"/>
          <w:sz w:val="20"/>
          <w:u w:val="single"/>
        </w:rPr>
        <w:t>Continuing Errors</w:t>
      </w:r>
      <w:r>
        <w:rPr>
          <w:rFonts w:ascii="Times New Roman;Times;Serif" w:hAnsi="Times New Roman;Times;Serif"/>
          <w:b w:val="false"/>
          <w:i w:val="false"/>
          <w:caps w:val="false"/>
          <w:smallCaps w:val="false"/>
          <w:sz w:val="20"/>
        </w:rPr>
        <w:t xml:space="preserve">”), the Successor Servicer shall have no duty, responsibility, obligation or liability for such Continuing Errors;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Successor Servicer agrees to use its best efforts to prevent further Continuing Errors. If the Successor Servicer becomes aware of Errors or Continuing Errors, it shall use its best efforts, at the direction of the Administrative Agent (upon receipt of notice from the Successor Servicer) of the nature of such Errors and Continuing Errors, to reconstruct and reconcile such data as is commercially reasonable to correct such Errors and Continuing Errors and to prevent future Continuing Errors. The Successor Servicer shall be entitled to recover its costs expended in connection with such efforts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Custodian, the Paying Agent and the Backup Servicer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9.1. </w:t>
      </w:r>
      <w:r>
        <w:rPr>
          <w:rFonts w:ascii="Times New Roman;Times;Serif" w:hAnsi="Times New Roman;Times;Serif"/>
          <w:b/>
          <w:i w:val="false"/>
          <w:caps w:val="false"/>
          <w:smallCaps w:val="false"/>
          <w:sz w:val="20"/>
          <w:u w:val="single"/>
        </w:rPr>
        <w:t>Appointment; Duties of the Custodian</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has appointed Computershare to act solely on their behalf as Custodian, Paying Agent and Backup Servicer hereunder, and Computershare has accepted such appointment.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Custodian, shall continuously hold or control (within the meaning of Section 9-105 of the Relevant UCC), as applicable, through itself or through one or more of its agents or sub-custodians (each such agent or sub-custodian, a “</w:t>
      </w:r>
      <w:r>
        <w:rPr>
          <w:rFonts w:ascii="Times New Roman;Times;Serif" w:hAnsi="Times New Roman;Times;Serif"/>
          <w:b w:val="false"/>
          <w:i/>
          <w:caps w:val="false"/>
          <w:smallCaps w:val="false"/>
          <w:sz w:val="20"/>
          <w:u w:val="single"/>
        </w:rPr>
        <w:t>Custodial Agent</w:t>
      </w:r>
      <w:r>
        <w:rPr>
          <w:rFonts w:ascii="Times New Roman;Times;Serif" w:hAnsi="Times New Roman;Times;Serif"/>
          <w:b w:val="false"/>
          <w:i w:val="false"/>
          <w:caps w:val="false"/>
          <w:smallCaps w:val="false"/>
          <w:sz w:val="20"/>
        </w:rPr>
        <w:t>”), the Custodian Files (i) in trust for, and as bailee of, the Administrative Agent, on behalf of the Secured Parties and as bailee for the Borrower for purposes of establishing the Borrower’s ownership thereof, (ii) to restrict the possession or control thereof by any other person except as permitted in accordance with the terms of this Agreement, and (iii) subject to and in accordance with the terms and provisions of this Agreement. Notwithstanding anything herein to the contrary, with respect to any Financed Vehicles for which the lienholder’s interest is evidenced electronically, the Borrower shall grant the Custodian, the Servicer and any Custodial Agent electronic access to its or any third party title administrator’s systems to enable the Custodian, the Servicer or such Custodial Agent to extract, from such third-party title administrator’s systems, an electronic list of each Financed Vehicle listed on a “file number list” and its related lienholder information.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Custodian and the Servicer shall carry out the policies and procedures described in this Agreement in accordance with its customary actions with respect to the handling, custody and “control” (within the meaning of Section 9-105 of the Relevant UCC) of the Custodian Files so that the integrity and, in the case of the Contracts, physical possession of such Contracts and, in the case of the Electronic Contracts, “control” (within the meaning of Section 9-105 of the Relevant UCC) of such Electronic Contracts, will be maintained. To the extent that a Responsible Officer of the Custodian has received written notice or has actual knowledge thereof, the Custodian will promptly report to the Administrative Agent and Secured Parties any failure on its part to hold the physical Custodian Files related to Contracts, as herein provided and promptly take appropriate action to remedy any such failure.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Custodian Files held by the Custodian or Servicer under this Agreement shall be placed by the Borrower in a separate file for each Custodian File.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Custodian shall undertake to perform such duties and only such duties as are specifically set forth in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All Collections received by the Paying Agent from the Servicer or otherwise will, pending remittance to the Secured Party entitled thereto, be held in trust by the Paying Agent for the benefit of the Secured Parties and together with all other payment obligations of the Borrower hereunder owing to the Secured Parties shall be payable to the Secured Parties in accordance with the provisions of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Custodian shall not resign or be terminated from the obligations and duties imposed on it by this Agreement except (i) upon written notice to the Administrative Agent and Borrower of its resignation; (ii) upon at least 30 days’ written notice to the Custodian from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no resignation or termination of the Custodian pursuant to clause (i) or clause (ii) above shall become effective until the Administrative Agent has appointed a successor Custodian and such successor Custodian has assumed the responsibilities and obligations of the Custodian hereunder; provided further, however, that in the event a successor Custodian is not appointed within 60 days after the Custodian has been terminated or given notice of its resignation, the Custodian may petition a court of competent jurisdiction for its removal. The reasonable out-of-pocket expenses actually incurred (including reasonable fees of outside legal counsel) of such petition will be paid according to the priorities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hereof. Any successor Custodian shall execute, acknowledge and deliver to the Borrower, the Servicer, the Administrative Agent and its predecessor Custodian, an instrument accepting such appointment hereunder, and thereupon the resignation or removal of the predecessor Custodian shall become effective and such successor Custodian without any further act, deed or conveyance, shall become fully vested with all the rights, powers, duties and obligations of its predecessor hereunder, with the like effect as if originally named as Custodian herein. After appointment of a successor Custodian, the predecessor Custodian shall promptly deliver to the successor Custodian all Custodian Files held by it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otherwise provided herein, the Backup Servicer shall not resign from the obligations and duties hereby imposed on it except upon determination that (i) the performance of its duties hereunder is no longer permissible under applicable law and (ii) there is no reasonable action which the Backup Servicer could take to make the performance of its duties hereunder permissible under applicable law. Any such determination permitting the resignation of the Backup Servicer shall be evidenced as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by an opinion of counsel to such effect delivered to the Administrative Agent and the Secured Parties. Notwithstanding the foregoing, the Backup Servicer may resign if, after demand therefor, it does not receive payment of any compensation due from the Borrower. No resignation of the Backup Servicer shall become effective until a successor Backup Servicer approved by the Administrative Agent shall have assumed the responsibilities and obligations of the Backup Servicer hereunder; provided, however, that in the event a successor Backup Servicer is not appointed within 60 days after the Backup Servicer has been terminated or given notice of its resignation, the Backup Servicer may petition a court of competent jurisdiction for its removal. The reasonable out-of-pocket expenses actually incurred (including reasonable fees of outside legal counsel) of such petition will be paid according to the priorities set forth in Section 2.7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its own expense, the Custodian shall maintain during the term of this Agreement and keep in full force and effect fidelity insurance, errors and omissions insurance, and document hazard insurance. All such insurance shall be in amounts, with such coverage and subject to such deductibles, as is customary for insurance maintained by financial and/or trust companies of a similar size and breadth of business as the Custodian which act as Custodian and/or custodian. The Custodian shall have the option to maintain any such insurance coverage through self-insurance.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Agreement shall be administered in the Corporate Trust Office of the Custodian.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00" w:right="0" w:firstLine="4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9.2. </w:t>
      </w:r>
      <w:r>
        <w:rPr>
          <w:rFonts w:ascii="Times New Roman;Times;Serif" w:hAnsi="Times New Roman;Times;Serif"/>
          <w:b/>
          <w:i w:val="false"/>
          <w:caps w:val="false"/>
          <w:smallCaps w:val="false"/>
          <w:sz w:val="20"/>
          <w:u w:val="single"/>
        </w:rPr>
        <w:t>Compensation and Indemnification of Custodian, Paying Agent and Backup Servicer</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Custodian, Paying Agent and Backup Servicer shall be compensated for its activities hereunder and reimbursed for reasonable out-of-pocket expenses pursuant to the Custodian Fee Letter. All such amounts shall be payable from funds available therefor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Subject to the terms of such letter agreement and this Agreement, the Custodian, the Paying Agent and the Backup Servicer shall be required to pay the expenses incurred by it in connection with its activities hereunder from its own account. Notwithstanding any other provisions in this Agreement, the Custodian, the Paying Agent and the Backup Servicer shall not be liable for any liabilities, costs or expenses of the Borrower arising under any tax law, including any Federal, state or local income or franchise taxes or any other tax imposed on or measured by income (or any interest or penalties with respect thereto or from a failure to comply therewith).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indemnify the Custodian, the Paying Agent and the Backup Servicer, and each of their officers, directors, employees and agents for, and hold it harmless against any loss, liability, expense, damages and costs incurred without willful misconduct, gross negligence or bad faith (as determined by a court of competent jurisdiction or as otherwise agreed to by the parties) on its part (including attorneys’ fees and expenses and courts costs, and including any such amounts incurred in connection with the enforcement of this indemnification) arising out of or in connection with (i) the acceptance or administration of this Agreement, including the costs and expenses of defending itself against any claim or liability in connection with the exercise or performance of any of its powers or duties under this Agreement and (ii) the negligence, willful misconduct or bad faith of the Borrower in the performance of its duties hereunder. All such amounts shall be payable in accordance with Section 2.7. The provisions of this Section 9.2 shall survive the termination or assignment of this Agreement and the resignation or removal of any party.</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9.3. </w:t>
      </w:r>
      <w:r>
        <w:rPr>
          <w:rFonts w:ascii="Times New Roman;Times;Serif" w:hAnsi="Times New Roman;Times;Serif"/>
          <w:b/>
          <w:i w:val="false"/>
          <w:caps w:val="false"/>
          <w:smallCaps w:val="false"/>
          <w:sz w:val="20"/>
          <w:u w:val="single"/>
        </w:rPr>
        <w:t>Representations, Warranties and Covenants of the Custodian</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Custodian agrees to make the following representations, warranties and covenants, and further agrees that the Secured Parties shall be deemed to have relied upon such representations, warranties and covenants in accepting their interest in the Receivables.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Good Standing</w:t>
      </w:r>
      <w:r>
        <w:rPr>
          <w:rFonts w:ascii="Times New Roman;Times;Serif" w:hAnsi="Times New Roman;Times;Serif"/>
          <w:b w:val="false"/>
          <w:i w:val="false"/>
          <w:caps w:val="false"/>
          <w:smallCaps w:val="false"/>
          <w:sz w:val="20"/>
        </w:rPr>
        <w:t>. The Custodian is a national banking association duly organized, validly existing and in good standing under the laws of the United States of America, and has full corporate power, authority and legal right to own its properties and conduct its business as such properties are presently owned and such business is presently conducted, and to execute, deliver and perform its obligations under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Due Authorization</w:t>
      </w:r>
      <w:r>
        <w:rPr>
          <w:rFonts w:ascii="Times New Roman;Times;Serif" w:hAnsi="Times New Roman;Times;Serif"/>
          <w:b w:val="false"/>
          <w:i w:val="false"/>
          <w:caps w:val="false"/>
          <w:smallCaps w:val="false"/>
          <w:sz w:val="20"/>
        </w:rPr>
        <w:t>. The execution, delivery, and performance of this Agreement have been duly authorized by the Custodian by all necessary corporate action on the part of the Custodian.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Binding Obligation</w:t>
      </w:r>
      <w:r>
        <w:rPr>
          <w:rFonts w:ascii="Times New Roman;Times;Serif" w:hAnsi="Times New Roman;Times;Serif"/>
          <w:b w:val="false"/>
          <w:i w:val="false"/>
          <w:caps w:val="false"/>
          <w:smallCaps w:val="false"/>
          <w:sz w:val="20"/>
        </w:rPr>
        <w:t>. This Agreement constitutes a legal, valid and binding obligation of the Custodian, enforceable in accordance with its terms, except as enforceability may be limited by applicable bankruptcy, insolvency, reorganization, moratorium or other similar laws now or hereinafter in effect, affecting the enforcement of creditors’ rights in general and except as such enforceability may be limited by general principles of equity (whether considered in a proceeding at law or in equity).</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and delivery of this Agreement by the Custodian, and the performance of the transactions contemplated by this Agreement and the fulfillment of the terms hereof applicable to the Custodian, will not conflict with, violate, result in any breach of any of the terms and provisions of, or constitute (with or without notice or lapse of time or both) a default under, any Requirement of Law applicable to the Custodian or any indenture, contract, agreement, mortgage, deed of trust or other instrument to which the Custodian is a party or by which it is bound.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9.4. </w:t>
      </w:r>
      <w:r>
        <w:rPr>
          <w:rFonts w:ascii="Times New Roman;Times;Serif" w:hAnsi="Times New Roman;Times;Serif"/>
          <w:b/>
          <w:i w:val="false"/>
          <w:caps w:val="false"/>
          <w:smallCaps w:val="false"/>
          <w:sz w:val="20"/>
          <w:u w:val="single"/>
        </w:rPr>
        <w:t>Liability of the Custodian</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Custodian shall be liable in accordance herewith only to the extent of the obligations specifically undertaken by the Custodian in such capacity herein. No implied covenants or obligations (including any obligation to enforce another party’s obligation) shall be read into this Agreement against the Custodian and, in the absence of bad faith on the part of the Custodian, the Custodian may conclusively rely on the truth of the statements and the correctness of the opinions expressed in any certificates or opinions furnished to the Custodian and conforming to the requirements of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Custodian shall not be liable for an error of judgment made in good faith by a Responsible Officer, unless it shall be proved that the Custodian shall have been negligent in ascertaining the pertinent facts.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Custodian shall not be liable with respect to any action taken, suffered or omitted to be taken in good faith in accordance with this Agreement or at the direction of the Administrative Agent or the Secured Parties relating to the exercise of any power conferred upon the Custodian under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Custodian shall not be charged with knowledge of any Termination Event or Amortization Event or Servicer Termination Event, unless a Responsible Officer of the Custodian obtains actual knowledge of such event or receives written notice of such event from the Borrower, a Lender Group Agent, a Lender or the Administrative Agent, as the case may be, and the Custodian shall have no duty to take any action to determine whether any such event has occurred. The Custodian’s receipt of any reports or other information provided or otherwise publicly available does not constitute actual or constructive knowledge or notice to the Custodian unless the Custodian has an obligation to review its content. The Custodian may rely and shall be protected in acting or refraining from acting upon any written notice, instruction or request furnished to it hereunder and believed by it to be genuine and to have been signed or presented by the proper party or parties. The Custodian shall be under no duty to inquire into or investigate the validity, accuracy or content of any such document. The Custodian shall have no duty to verify the authenticity, genuineness or conformity to the requirements of this Agreement of any Custodian Files or any related documents delivered to it hereunder, or to determine whether the materials included in any Custodian File conform to the requirements hereof, other than as expressly specified in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Without limiting the generality of this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the Custodian shall have no duty (i) to see to any recording, filing or depositing of this Agreement or any agreement referred to herein or any financing statement or continuation statement evidencing a security interest in the Receivables or the Financed Vehicles, or to see to the maintenance of any such recording or filing or depositing or to any recording, refiling or redepositing of any thereof, (ii) to see to any insurance of the Financed Vehicles or Obligors or to effect or maintain any such insurance, (iii) to see to the payment or discharge of any tax, assessment or other governmental charge or any Lien or encumbrance of any kind owing with respect to, assessed or levied against, any part of the Receivables, (iv) to confirm or verify the contents of any reports or certificates of the Servicer or the Borrower or any other Person delivered to the Custodian pursuant to this Agreement believed by the Custodian to be genuine and to have been signed or presented by the proper party or parties or (v) to inspect the Financed Vehicles at any time or ascertain or inquire as to the performance or observance of any of the Borrower’s or the Servicer’s representations, warranties or covenants or the Servicer’s duties and obligations as Servicer and as custodian of books, records, files and computer records relating to the Receivables under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Custodian shall not be required to expend or risk its own funds or otherwise incur financial liability in the performance of any of its duties hereunder, or in the exercise of any of its rights or powers, if there shall be reasonable ground for believing that the repayment of such funds or adequate indemnity against such risk or liability shall not be reasonably assured to it, and none of the provisions contained in this Agreement shall in any event require the Custodian to perform, or be responsible for the manner of performance of, any of the obligations of the Servicer, the Borrower, the Administrative Agent or any other Person under this Agreement or any other Transaction Document. The Custodian may assume performance the Borrower, Servicer, Seller, or any other party to the Transaction Documents absent receipt of written notice by a Responsible Officer of the Custodian, or actual knowledge of a Responsible Officer of the Custodian, indicating otherwise. The Custodian shall not be liable for any action taken or omitted by it in good faith unless a court of competent jurisdiction determines that the Custodian’s willful misconduct, gross negligence or bad faith was the primary cause of any loss to any party hereto.</w:t>
        <w:tab/>
        <w:t>The Custodian may execute any of its powers and perform its duties hereunder directly or through agents or attorneys and may consult with counsel, accountants and other skilled persons to be selected and retained by it. The Custodian shall not be liable for anything done, suffered or omitted in good faith by any such Person chosen with due care.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Custodian may rely and shall be protected in acting or refraining from acting upon any resolution, officer’s certificate, any Monthly Servicer Report, certificate of auditors, or any other certificate, statement, instrument, opinion, report, notice, request, consent, order, appraisal, bond or other paper or document reasonably believed by it to be genuine and to have been signed or presented by the proper party or parties. The duties and responsibilities of the Custodian hereunder shall be determined solely by the express provisions of this Agreement, and no other or further duties or responsibilities shall be implied (including any obligation to enforce another party’s obligations hereunder). The Custodian shall not have any liability under, nor duty to inquire into the terms and provisions of, any agreement or instructions, other than as specifically required by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Custodian may consult with counsel and any advice or opinion of such counsel related to any action taken or suffered or omitted by it under this Agreement and any other Transaction Document shall be full and complete authorization and protection from liability in respect to any action taken, omitted or suffered by it hereunder in good faith and in accordance with such advice or opinion of counsel. The Custodian shall not incur any liability for following the instructions herein contained or expressly provided for, or written instructions given by the parties hereto in accordance with the express provisions hereof.</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Custodian shall be uncertain as to its duties or rights hereunder or shall receive instructions, claims or demands from any party hereto which, in its opinion, conflict with any of the provisions of this Agreement, it shall be entitled to refrain from taking any action and its sole obligation shall be to request definitive instructions from the Administrative Agent and to keep safely all property held in custody until it shall be directed otherwise in writing by the Administrative Agent or by a final order or judgment of a court of competent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Custodian shall not deliver any Custodian Files in its possession to any Person except (i) as provided in this Agreement, and (ii) upon termination of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Custodian hereby waives any and all rights of offset with respect to any and all Custodian Files in its possession whether such right of offset arises by contract, operation of law or otherwise.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for actions expressly authorized by this Agreement, the Custodian shall take no action which would or would be likely to impair the security interests created or existing under any Contract or Financed Vehicle or to impair the value of any Contract or Financed Vehicle.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Custodian makes no representations or warranties as to the accuracy or completeness of, and may disclaim responsibility and shall not be liable for, any information which it obtains from any other Person(including, but not limited to, title administrators).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Custodian shall not be responsible for any loss of a Custodian File by any Qualified System or corruption of any data, information or integrity of a Custodian File by reason of the Qualified System and will not be responsible for any fees or costs associated with the documents being maintained with any Qualified System.</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Custodian shall be under no obligation to exercise any of the rights or powers vested in it by this Agreement or to institute, conduct or defend any litigation under this Agreement or in relation to this Agreement, at the request, order or direction of the Administrative Agent, on behalf of the Secured Parties, pursuant to the provisions of this Agreement or any other Transaction Document, unless the Administrative Agent shall have offered to the Custodian reasonable security or indemnity against the costs, expenses and liabilities that may be incurred therein or thereby.</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Custodian shall not be liable for any action taken, suffered or omitted by it in good faith and believed by it to be authorized or within the discretion or rights or powers conferred upon it by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Custodian shall not be bound to make any investigation into the facts of matters stated in any resolution, certificate, statement, instrument, opinion, report, notice, request, consent, order, approval, bond or other paper or document, unless requested in writing so to do by the Administrative Agent; provided, however, that if the payment within a reasonable time to the Custodian of the costs, expenses or liabilities likely to be incurred by it in the making of such investigation shall be, in the opinion of the Custodian, not reasonably assured by the Borrower, the Custodian may require reasonable indemnity against such cost, expense or liability as a condition to so proceeding. The reasonable expense of every such examination shall be paid by the Borrower or, if paid by the Custodian, shall be reimbursed by the Borrower upon demand.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Custodian may execute any of the trusts or powers hereunder or perform any duties under this Agreement either directly or by or through agents or attorneys or a custodian. The Custodian shall not be responsible for any misconduct or negligence of any such agent or custodian appointed with due care by it hereunder.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Before the Custodian acts or refrains from acting, it may require an Officer’s Certificate or Opinion of Counsel. The Custodian shall not be liable for any action it takes or omits to take in good faith in reliance on the Officer’s Certificate or Opinion of Counsel provided by the party requesting that the Custodian act or refrain from acting; furthermore, all reasonable out-of-pocket expenses actually incurred related to such Officer’s Certificate or Opinion of Counsel (including reasonable fees of outside legal counsel) shall be paid by the requesting party.</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In no event shall the Custodian be responsible or liable for special, indirect, punitive or consequential loss or damage of any kind whatsoever (including, but not limited to, loss of profit) even if the Custodian has been advised of the likelihood of such loss or damage and regardless of the form of action.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Custodian shall incur no liability if, by reason of any provision of any future law or regulation thereunder, or by any force majeure event, including but not limited to any act of any governmental authority, any act of God, natural disaster, act of war or terrorism, civil unrest, labor dispute, disease, epidemic or pandemic, quarantine, shelter-in-place or similar directive, guidance, policy or other action by any governmental authorities, utility failure, computer hardware or software failure, malware or ransomware attack, communications system failure, unavailability of the Federal Reserve Bank wire or telex system or other applicable wire or funds transfer system, or unavailability of any securities clearing system, or other circumstances beyond its reasonable control, the Custodian shall be prevented or forbidden from doing or performing any act or thing which the terms of this Agreement provide shall or may be done or performed, or by reason of any exercise of, or failure to exercise, any discretion provided for in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Notwithstanding anything to the contrary in this Agreement or any other Transaction Document, the Custodian shall not be required to take any action that is not in accordance with applicable laws.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right of the Custodian to perform any permissive or discretionary act enumerated in this Agreement or any Transaction Document shall not be construed as a duty.</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Except for the express duties of the Custodian under this Agreement, neither the Custodian nor any of its officers, directors, employees, attorneys or agents will be responsible or liable for the existence, genuineness, value or protection of any collateral securing the Loans, for the legality, enforceability, effectiveness, sufficiency or recitals of the Transaction Documents, for the creation, perfection, continuation, priority, sufficiency or protection of any of the liens, or for any defect or deficiency as to any such matters, or for any failure to demand, collect, foreclose or realize upon or otherwise enforce any of the liens or Transaction Documents or any delay in doing so.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Nothing in this Agreement gives rise to any right, expectation, or other entitlement on the part of any Person to inspect, examine, access, or visit any Computershare data center or other secure Computershare facility, or to inspect, examine or otherwise access any Computershare system.</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Custodian shall not be imputed with any knowledge of, or information possessed or obtained by, the Paying Agent or the Backup Servicer (or any affiliate, line of business or other division of Computershare) and vice versa, other than those where the roles are performed by the same group or division within Computershare or otherwise share the same Responsible Officers.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The rights, benefits, protections, immunities and indemnities afforded the Custodian hereunder shall extend to the Custodian, the Backup Servicer and the Paying Agent (in any of their respective capacities) hereunder and under any other Transaction Document or related agreement as though set forth herein or therein in their entirety </w:t>
      </w:r>
      <w:r>
        <w:rPr>
          <w:rFonts w:ascii="Times New Roman;Times;Serif" w:hAnsi="Times New Roman;Times;Serif"/>
          <w:b w:val="false"/>
          <w:i/>
          <w:caps w:val="false"/>
          <w:smallCaps w:val="false"/>
          <w:sz w:val="20"/>
        </w:rPr>
        <w:t>mutatis mutandis.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9.5. </w:t>
      </w:r>
      <w:r>
        <w:rPr>
          <w:rFonts w:ascii="Times New Roman;Times;Serif" w:hAnsi="Times New Roman;Times;Serif"/>
          <w:b/>
          <w:i w:val="false"/>
          <w:caps w:val="false"/>
          <w:smallCaps w:val="false"/>
          <w:sz w:val="20"/>
          <w:u w:val="single"/>
        </w:rPr>
        <w:t>Merger, Conversion, Consolidation of, or Succession to Business of, the Custodian</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organization or entity into which the Custodian may be merged or converted or with which it may be consolidated, or any organization or entity resulting from any merger, conversion or consolidation to which the Custodian shall be a party, or any organization or entity succeeding to all or substantially all of the corporate trust business of the Custodian, or of any business line or product type within the corporate trust business of the Custodian shall be the successor of the Custodian hereunder, without the execution or filing of any paper or any further act on the part of any of the parties hereto, other than the Custodian shall provide written notice to the Administrative Agent.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9.6. </w:t>
      </w:r>
      <w:r>
        <w:rPr>
          <w:rFonts w:ascii="Times New Roman;Times;Serif" w:hAnsi="Times New Roman;Times;Serif"/>
          <w:b/>
          <w:i w:val="false"/>
          <w:caps w:val="false"/>
          <w:smallCaps w:val="false"/>
          <w:sz w:val="20"/>
          <w:u w:val="single"/>
        </w:rPr>
        <w:t>Acknowledgment of Roles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expressly acknowledge and consent to Computershare acting in the multiple capacities of Backup Servicer, Successor Servicer, Custodian and Paying Agent under the Transaction Documents. The parties agree that Computershare in such multiple capacities shall not be subject to any claim, defense or liability arising from its performance in any such capacity based on conflict of interest principles or other breach of duties to the extent that any such conflict or breach arises from the performance by Computershare of any other such capacity or capacities in accordance with this Agreement or any other Transaction Documents to which it is a party.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9.7. </w:t>
      </w:r>
      <w:r>
        <w:rPr>
          <w:rFonts w:ascii="Times New Roman;Times;Serif" w:hAnsi="Times New Roman;Times;Serif"/>
          <w:b/>
          <w:i w:val="false"/>
          <w:caps w:val="false"/>
          <w:smallCaps w:val="false"/>
          <w:sz w:val="20"/>
          <w:u w:val="single"/>
        </w:rPr>
        <w:t xml:space="preserve">Limitation on Liability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directors, officers, employees or agents of the Custodian shall not be under any liability to the Custodian, the Administrative Agent, any Secured Party or any other Person hereunder or pursuant to any document delivered hereunder, it being expressly understood that all such liability is expressly waived and released as a condition of, and as consideration for, the execution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ould otherwise be imposed by reason of willful misconduct, bad faith or gross negligence in the performance of duties or by reason of reckless disregard of obligations and duties hereunder. Except as provided in Section 9.4, the Custodian shall not be under any liability to the Administrative Agent, any Secured Party or any other Person for any action taken or for refraining from the taking of any action in its capacity as Custodian pursuant to this Agreement whether arising from express or implied duties under this Agreement; provided, however, that this provision shall not protect the Custodian against any liability which would otherwise be imposed by reason of willful misconduct, bad faith or gross negligence in the performance of duties or by reason of reckless disregard of obligations and duties hereunder. The Custodian may rely in good faith on any document of any kind prima facie properly executed and submitted by any Person respecting any matters arising hereunder. The Custodian shall not be under any obligation to appear in, prosecute or defend any legal action which is not incidental to its duties in accordance with this Agreement which in its reasonable opinion may involve it in any expense or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9.8. </w:t>
      </w:r>
      <w:r>
        <w:rPr>
          <w:rFonts w:ascii="Times New Roman;Times;Serif" w:hAnsi="Times New Roman;Times;Serif"/>
          <w:b/>
          <w:i w:val="false"/>
          <w:caps w:val="false"/>
          <w:smallCaps w:val="false"/>
          <w:sz w:val="20"/>
          <w:u w:val="single"/>
        </w:rPr>
        <w:t>[Reserved]</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9.9. </w:t>
      </w:r>
      <w:r>
        <w:rPr>
          <w:rFonts w:ascii="Times New Roman;Times;Serif" w:hAnsi="Times New Roman;Times;Serif"/>
          <w:b/>
          <w:i w:val="false"/>
          <w:caps w:val="false"/>
          <w:smallCaps w:val="false"/>
          <w:sz w:val="20"/>
          <w:u w:val="single"/>
        </w:rPr>
        <w:t>Documents Held by the Custodian; Indication of Borrower Ownership; Inspection and Release of Custodian Files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Custodian is hereby irrevocably appointed, and the Custodian hereby accepts such appointment, as agent of the Secured Parties to hold and maintain physical possession of the Custodian Files, in accordance with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with respect to any Custodian Files containing an Electronic Contract or electronic Certificate of Title, such Custodian Files will be maintained by the Custodian on the Electronic Vault System over which the Custodian has and maintains “control” (as defined in Section 9-105 of the UCC as in effect in the State of New York) on behalf and for the benefit of the Administrative Agent as secured party. The Custodian Files are to be Delivered to the Custodian by or on behalf of the Borrower within two (2) Business Days following the Closing Date or any Addition Date,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if application has been made for the issuance of the original Certificate of Title or other evidence of lien and such original Certificate of Title or other evidence of lien has not yet been issued at the time the Custodian Files are delivered to the Custodian, there shall be Delivered as part of the Custodian Files copies of all correspondence with the appropriate State title registration agency, and all enclosures thereto for the issuance of the original Certificate of Title or other evidence of lien for the related Financed Vehicle, and the original Certificate of Title or other evidence of lien shall be Delivered to the Custodian promptly upon receipt thereof by the Seller but in no event later than 180 days following the Closing Date or any Addition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failure to so Deliver the Certificate of Title or other document evidencing the Seller’s status as lienholder shall be considered a breach of the representation and warranty set forth in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F</w:t>
      </w:r>
      <w:r>
        <w:rPr>
          <w:rFonts w:ascii="Times New Roman;Times;Serif" w:hAnsi="Times New Roman;Times;Serif"/>
          <w:b w:val="false"/>
          <w:i w:val="false"/>
          <w:caps w:val="false"/>
          <w:smallCaps w:val="false"/>
          <w:sz w:val="20"/>
        </w:rPr>
        <w:t xml:space="preserve"> as of such 180th day and the Borrower shall make the payments in respect of the related Receivable as required by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 The Servicer shall ensure that the Custodian shall be provided full electronic access to the records of the title intermediary concerning Electronic Certificates of Title. The Custodian shall certify any Electronic Certificates of Title by confirming the information available from the title intermediary against the information received from the Servicer with respect to Electronic Certificates of Title.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Custodian shall within two (2) Business Days after receipt, review 100% of the Custodian Files to verify the presence of the original or authoritative copy of the Contract and a Certificate of Title with respect to each Receivable and, upon completion of such review, deliver to the Administrative Agent and each Lender Group Agent a written receipt documenting the delivery and acceptance of such Custodian Files (each, a “</w:t>
      </w:r>
      <w:r>
        <w:rPr>
          <w:rFonts w:ascii="Times New Roman;Times;Serif" w:hAnsi="Times New Roman;Times;Serif"/>
          <w:b w:val="false"/>
          <w:i/>
          <w:caps w:val="false"/>
          <w:smallCaps w:val="false"/>
          <w:sz w:val="20"/>
          <w:u w:val="single"/>
        </w:rPr>
        <w:t>Receivable Receipt</w:t>
      </w:r>
      <w:r>
        <w:rPr>
          <w:rFonts w:ascii="Times New Roman;Times;Serif" w:hAnsi="Times New Roman;Times;Serif"/>
          <w:b w:val="false"/>
          <w:i w:val="false"/>
          <w:caps w:val="false"/>
          <w:smallCaps w:val="false"/>
          <w:sz w:val="20"/>
        </w:rPr>
        <w:t>”) and any exceptions thereto. With respect to any Receivable for which any of the foregoing documents has not been delivered to the Custodian or corrected before the Closing Date or Addition Date, the Borrower shall not purchase the related Receivable from the Seller.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Custodian shall make a list of Receivables for which an application for a Certificate of Title or a dealer guarantee of title, but not a Certificate of Title issued by the Registrar of Titles is included in the Custodian File as of the date of its review of the Custodian Files and deliver a copy of such list to the Servicer and the Administrative Agent. On the date which is 180 days following the related Addition Date, and monthly thereafter, the Custodian shall inform the Seller, the Borrower and the Administrative Agent of any Receivable for which the related Custodian File on such date does not include a Certificate of Title, and the Seller shall repurchase any such Receivable as of the last Business Day of the Collection Period in which the expiration of such 180 days occurs, and such Receivables shall not thereafter become an Eligible Receivable (assuming all other conditions therefor have been satisfied) until such Certificate of Title has been received by the Custodian. In consideration of the purchase of the Receivable, the Seller shall remit the Purchase Amount for such Receivable to the Collection Account. Upon receipt of the Purchase Amount for a Receivable and written instructions from the Servicer, the Administrative Agent shall direct the Custodian to release to the Seller or its designee the related Custodian File and shall execute and deliver all reasonable instruments of transfer or assignment, without recourse, as are prepared by the Seller and delivered to the Custodian and are necessary to vest in the Seller or such designee title to the Receivable. Other than the reviews set forth in this Section 9.9, the Custodian shall have no duty or obligation to review any of the Custodian Files.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Custodian agrees to maintain the Custodian Files which are delivered to it at 1055 10th Avenue SE, Minneapolis, MN 55414, or as shall otherwise from time to time be identified to the Administrative Agent, by written notice delivered promptly but in no event later than thirty (30) days after any change in location. Subject to the foregoing, the Custodian may temporarily move individual Custodian Files or any portion thereof without notice as necessary to allow the Servicer to conduct collection and other servicing activities in accordance with its customary practices and procedures. The Borrower shall cause the Servicer and each Successor Servicer to take whatever actions are required subject to the other provisions of this Agreement, including, but not limited to, the filing of financing statements, as a result of relocating the Custodian Files, if any, to maintain the perfection of the Administrative Agent’s right, title and interest in and to the Receivables and the Custodian Files.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Custodian shall have and perform, the following powers and duties: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hold the physical Custodian Files for the benefit of the Administrative Agent on behalf of the Secured Parties, and maintain a current inventory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promptly release the original Contract evidencing a Receivable or the original Certificate of Title to a Financed Vehicle then held by it to the Servicer upon receipt of a Request for Release of Custodian File;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carry out such policies and procedures in accordance with its customary actions with respect to the handling, verification and custody of the Custodian Files so that the integrity and physical possession of the Custodian Files will be maintained;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certify any Electronic Certificates of Title by confirming the information available from the title intermediary against the information received from the Servicer with respect to Electronic Certificates of Title; and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provide the Administrative Agent and each Lender Group Agent with periodic reports (or as otherwise requested from time to time by the Administrative Agent or Lender Group Agent) showing files/titles on hand as well as files/title released during the reporting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Custodian shall maintain each Electronic Contract that constitutes or evidences a Receivable such that (a) a watermark on any perceivable rendering of the authoritative copy (as referred to in Section 9-105 of the UCC as in effect in the State of New York) thereof shall read “View of Authoritative Copy,” and (b) a watermark on any perceivable rendering of such Electronic Contract that is not a perceivable rendering of the authoritative copy (as referred to in Section 9-105 of the UCC as in effect in the State of New York), thereof shall read “View of Non-Authoritative Copy”.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9.10. </w:t>
      </w:r>
      <w:r>
        <w:rPr>
          <w:rFonts w:ascii="Times New Roman;Times;Serif" w:hAnsi="Times New Roman;Times;Serif"/>
          <w:b/>
          <w:i w:val="false"/>
          <w:caps w:val="false"/>
          <w:smallCaps w:val="false"/>
          <w:sz w:val="20"/>
          <w:u w:val="single"/>
        </w:rPr>
        <w:t>Matters Relating to Electronic Chattel Paper</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color w:val="010101"/>
          <w:sz w:val="20"/>
        </w:rPr>
        <w:t>The Custodian hereby agrees that without the consent of the Administrative Agent, the Custodian shall not, except in connection with a transfer of such Receivable permitted under the terms of this Agreement, (A) “communicate” (as such term is used in Section 9-105 of the UCC) the Authoritative Copy of any Receivable constituting Electronic Chattel Paper to any other Person other than, if at all, the Borrower or the Administrative Agent or (B) place on the Authoritative Copy of any Receivable constituting Electronic Chattel Paper any marks or notations indicating that it has been pledged, assigned or otherwise conveyed to any other Person other than, if at all, the Borrower or the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and from time to time during regular business hours and upon at least two (2) Business Days</w:t>
      </w:r>
      <w:r>
        <w:rPr>
          <w:rFonts w:ascii="Times New Roman;Times;Serif" w:hAnsi="Times New Roman;Times;Serif"/>
          <w:b w:val="false"/>
          <w:i w:val="false"/>
          <w:caps w:val="false"/>
          <w:smallCaps w:val="false"/>
          <w:color w:val="FF0000"/>
          <w:sz w:val="20"/>
        </w:rPr>
        <w:t>'</w:t>
      </w:r>
      <w:r>
        <w:rPr>
          <w:rFonts w:ascii="Times New Roman;Times;Serif" w:hAnsi="Times New Roman;Times;Serif"/>
          <w:b w:val="false"/>
          <w:i w:val="false"/>
          <w:caps w:val="false"/>
          <w:smallCaps w:val="false"/>
          <w:color w:val="0000FF"/>
          <w:sz w:val="20"/>
        </w:rPr>
        <w:t>’</w:t>
      </w:r>
      <w:r>
        <w:rPr>
          <w:rFonts w:ascii="Times New Roman;Times;Serif" w:hAnsi="Times New Roman;Times;Serif"/>
          <w:b w:val="false"/>
          <w:i w:val="false"/>
          <w:caps w:val="false"/>
          <w:smallCaps w:val="false"/>
          <w:sz w:val="20"/>
        </w:rPr>
        <w:t xml:space="preserve"> prior written notice, the Custodian shall permit the Administrative Agent and its agents or representatives, including each Lender Group Agent: (i) to conduct periodic reviews of the Electronic Chattel Paper which constitute or evidence Receivables and the related Records of the Custodian (which shall include providing the Administrative Agent and agents or representatives including each Lender Group Agent with credentials sufficient to access and view such Electronic Contracts); (ii) to examine and obtain copies of and prepare customary reports relating to the Records in its possession or control relating to the Electronic Chattel Paper which constitute or evidence Receivables; (iii) to visit the offices and properties of the Custodian for the purpose of examining the materials described in clause (ii) above; and (iv) to discuss matters relating to the Electronic Chattel Paper which constitute or evidence Receivables or the </w:t>
      </w:r>
      <w:r>
        <w:rPr>
          <w:rFonts w:ascii="Times New Roman;Times;Serif" w:hAnsi="Times New Roman;Times;Serif"/>
          <w:b w:val="false"/>
          <w:i w:val="false"/>
          <w:caps w:val="false"/>
          <w:smallCaps w:val="false"/>
          <w:strike/>
          <w:color w:val="FF0000"/>
          <w:sz w:val="20"/>
        </w:rPr>
        <w:t>Custodian's</w:t>
      </w:r>
      <w:r>
        <w:rPr>
          <w:rFonts w:ascii="Times New Roman;Times;Serif" w:hAnsi="Times New Roman;Times;Serif"/>
          <w:b w:val="false"/>
          <w:i w:val="false"/>
          <w:caps w:val="false"/>
          <w:smallCaps w:val="false"/>
          <w:color w:val="0000FF"/>
          <w:sz w:val="20"/>
          <w:u w:val="single"/>
        </w:rPr>
        <w:t>Custodian’s</w:t>
      </w:r>
      <w:r>
        <w:rPr>
          <w:rFonts w:ascii="Times New Roman;Times;Serif" w:hAnsi="Times New Roman;Times;Serif"/>
          <w:b w:val="false"/>
          <w:i w:val="false"/>
          <w:caps w:val="false"/>
          <w:smallCaps w:val="false"/>
          <w:sz w:val="20"/>
        </w:rPr>
        <w:t xml:space="preserve"> performance hereunder with any of the officers or employees of the Custodian having knowledge of such matters. The cost of any such examination shall be reimbursed by the Borrower in accordance with this Agreement. Nothing in this Agreement gives rise to any right, expectation, or other entitlement on the part of the Administrative Agent and its agents or representatives to inspect, examine, access, or visit any Computershare data center, or other secure Computershare facility, or to inspect, examine or otherwise access any Computershare system.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Servicer shall notify the Administrative Agent in writing as soon as reasonably practicable and in any event within two (2) Business Days after any Responsible Officer thereof receives notice or obtains actual knowledge of: (I) the intent or threat (expressed in writing) of the Electronic Vault Provider to terminate, or the termination of, the Master Electronic Collateral Control Agreement or the Electronic Vault Services Agreement, (II) receipt of written notice from the Electronic Vault Provider of any actual or suspected theft of, accidental disclosure of, loss of, or inability to account for, any nonpublic or confidential information (including, but not limited to, the access codes of the Electronic Vault Provider or any party hereto) of the Electronic Vault Provider or any party hereto which is maintained in the Electronic Vault and/or any unauthorized intrusions into the Electronic Vault Provider’s or any of its subcontractor’s facilities or secure systems on or in which any nonpublic or confidential information of the Electronic Vault Provider or any party hereto is maintained, (III) receipt of written notification from the Electronic Vault Provider of any changes to the System Description, which shall include any changes to the Electronic Vault System that are materially inconsistent with the System Description, with respect to the Electronic Vault, (IV) any Integrity Check failure with respect to or any other attempted unauthorized access to or modification or alteration of an Authoritative Copy of an Electronic Contract that constitutes Electronic Chattel Paper which constitutes or evidences a Receivable maintained in the Electronic Vault, (V) any claim of any Person (other than the Custodian) of an interest in an Electronic Contract, (VI) the receipt of written notice of the commencement or the threat in writing of any actions, suits, investigations or proceedings against the Electronic Vault Provider which may materially interfere with (A) the Electronic Vault Provider’s provision of the Electronic Vault System or (B) the Borrower’s, the Servicer’s, or any other Person’s access to or use of the Electronic Vault or against the Borrower, the Servicer or otherwise relating to or affecting the Electronic Vault or the Contracts, in any court, or before any arbitrator of any kind, or before or by any Governmental Authority or (VII) the receipt of any other material or adverse written notice from the Electronic Vault Provider. The Administrative Agent shall, upon receipt of notice of any of the foregoing and to the extent such notice has not already been provided by the Servicer to the Lenders, provide written notice thereof to the Lenders as soon as reasonably practicable.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Custodian shall not agree to amend, or provide any consents, waivers or directions under, the Master Electronic Collateral Control Agreement without the prior written consent of the Administrative Agent.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Custodian shall maintain the Electronic Vault in accordance with the terms of the Master Electronic Collateral Control Agreement (including establishing the Electronic Vault in the name of the Borrower and placing the Required Legend on all renderings of each Authoritative Copy of each Electronic Contract).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Upon (i) the occurrence of a Termination Event or a Servicer Termination Event, a breach by the Custodian of its obligations hereunder or a breach by any Person of its obligations under the Electronic Vault Services Agreement or the Master Electronic Collateral Control Agreement, (ii) the termination of the Electronic Vault Services Agreement or the Master Electronic Collateral Control Agreement or the delivery of any notice of termination thereunder or (iii) a determination by the Administrative Agent, in its reasonable discretion, that the functionality, security, integrity or reliability of the Electronic Vault System (or any electronic partition established thereunder with respect to the Borrower) is impaired or the Receivables are otherwise adversely affected by any event (including any change in configuration, technology or law) or circumstance with respect to the Electronic Vault Provider, the Custodian, the Electronic Vault System (or any electronic partition established thereunder with respect to the Borrower), the Master Electronic Collateral Control Agreement or Electronic Chattel Paper generally, including adverse claims being asserted therein by the Electronic Vault Provider or other lenders, (A) the Custodian shall, notwithstanding any contrary instruction received from the Borrower, the Servicer or the Seller, promptly take such reasonable action with respect to the Electronic Chattel Paper which constitute or evidence the Receivables and with respect to the Electronic Vault System (or any electronic partition established thereunder with respect to the Borrower), as the Administrative Agent may direct in writing, including delivering the Electronic Chattel Paper to the Servicer to Export such Electronic Chattel Paper maintained within the Electronic Vault System which constitute or evidence the Receivables and (B) the Administrative Agent, as </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Secured Party</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under the Master Electronic Collateral Control Agreement, may deliver a “notice of exclusive control” (or similarly defined term) under the Master Electronic Collateral Control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color w:val="010101"/>
          <w:sz w:val="20"/>
        </w:rPr>
        <w:t>The Custodian hereby agrees that upon its resignation or removal or any appointment of a successor Custodian hereunder it shall take all necessary action directed by the Administrative Agent to transfer all of its control of any Receivable constituting Electronic Chattel Paper to the applicable successor Custodian (including the transfer of such Electronic Chattel Paper to a separate electronic vault on the Electronic Vault System controlled by such successor Custodian or to a separate electronic vault at a successor Electronic Vault Provider or deliver such Electronic Chattel to the Servicer to export of the Electronic Chattel Paper and delivery of physical copies of exported Contracts to the successor Custodian)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and Amortization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10.1. </w:t>
      </w:r>
      <w:r>
        <w:rPr>
          <w:rFonts w:ascii="Times New Roman;Times;Serif" w:hAnsi="Times New Roman;Times;Serif"/>
          <w:b/>
          <w:i w:val="false"/>
          <w:caps w:val="false"/>
          <w:smallCaps w:val="false"/>
          <w:sz w:val="20"/>
          <w:u w:val="single"/>
        </w:rPr>
        <w:t>Termination Events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following events shall constitute a “</w:t>
      </w:r>
      <w:r>
        <w:rPr>
          <w:rFonts w:ascii="Times New Roman;Times;Serif" w:hAnsi="Times New Roman;Times;Serif"/>
          <w:b w:val="false"/>
          <w:i/>
          <w:caps w:val="false"/>
          <w:smallCaps w:val="false"/>
          <w:sz w:val="20"/>
          <w:u w:val="single"/>
        </w:rPr>
        <w:t>Termination Event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occurrence of any Level III Trigger Event;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occurrence of a Servicer Termination Event that has not been waived;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failure on the part of the Borrower or Servicer to pay or disburse (a) within two (2) Business Days of the date due or (</w:t>
      </w:r>
      <w:r>
        <w:rPr>
          <w:rFonts w:ascii="Times New Roman;Times;Serif" w:hAnsi="Times New Roman;Times;Serif"/>
          <w:b w:val="false"/>
          <w:i w:val="false"/>
          <w:caps w:val="false"/>
          <w:smallCaps w:val="false"/>
          <w:strike/>
          <w:color w:val="FF0000"/>
          <w:sz w:val="20"/>
        </w:rPr>
        <w:t>ii</w:t>
      </w: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any amount in excess of [***] due and payable pursuant to this Agreement, any Transaction Document or any other material agreement to which it is a party;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800" w:right="0" w:firstLine="800"/>
        <w:jc w:val="righ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default by the Borrower in the payment of (a)any interest on the Loans, which default continues for a period of two (2) Business Days after its due date;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default by the Borrower in the payment of any principal on the Loans when due;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(x) the Principal Amount Outstanding of the Class A Loans is greater than the Class A Borrowing Base or (y) the Principal Amount Outstanding of the Class B Loans is greater than the Class B Borrowing Base, and in either case such excess remains unremedied for more than three (3) Business Days or, solely, with respect to a Level I Trigger Event, sixty (60) days; provided that such extended cure period shall only apply so long as the Class A Advance Rate does not exceed [***] and the Class B Advance Rate does not exceed [***];</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failure on the part of the Borrower or Servicer to observe or perform any of its covenants or agreements which materially and adversely affects the rights of the Lenders or the Administrative Agent set forth in any Transaction Documents to which it is a party, and such failure continues unremedied for thirty (30) calendar days after the earlier of knowledge of, or written notice to, the Borrower or Servicer of such breach;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representation or warranty (other than the representations in Section 5.2(c)) made by the Seller, the Servicer, or the Borrower under or in connection with this Agreement, any of the other Transaction Documents to which it is a party; shall prove to have been false or incorrect, and the incorrectness of such representation or warranty materially and adversely affects the rights of the Lenders or the Administrative Agent set forth in any Transaction Documents to which it is a party and shall remain unremedied for thirty (30) calendar days after the earlier of knowledge of, or written notice to, the Borrower or Servicer of such breach;</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 Insolvency Event with respect to CPS, the Borrower, the Seller or the Servicer shall have occurred;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Borrower shall become an “investment company” or a company “controlled” by an investment company within the meaning of the Investment Company Act of 1940, be required to register as an Investment Company or shall be a “covered fund” within the meaning of the Volcker Rule;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failure by CPS to repurchase any Receivable in accordance with the Transaction Documents;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Internal Revenue Service shall file notice of a Lien pursuant to Section 6323 of the Code with regard to any assets of the Borrower or any material portion of the assets of the Seller, the Servicer or CPS and such Lien shall not have been released within 30 days, or the Pension Benefit Guaranty Corporation shall file notice of a Lien pursuant to Section 4068 of ERISA with regard to any of the assets of the Borrower, the Borrower, the Servicer or the Seller and such Lien shall not have been released within 30 days;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Administrative Agent or the Lenders shall fail for any reason to have a valid and perfected first priority security interest in the Receivables and the proceeds thereof, except with respect to Consumer Lender Receivables until the Perfection Date;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Change of Control shall occur with respect to the Borrower, CPS or any Subsidiary unless the Administrative Agent and Lender shall have expressly consented to such Change of Control;</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any Transaction Documents or any Lien granted thereunder by the Borrower, the Servicer, the Seller, or CPS shall (except in accordance with its terms), in whole or in part, terminate, cease to be effective or cease to be the legally valid, binding and enforceable obligation of the Borrower, the Servicer, the Seller or CPS; or </w:t>
      </w:r>
      <w:r>
        <w:rPr>
          <w:rFonts w:ascii="Times New Roman;Times;Serif" w:hAnsi="Times New Roman;Times;Serif"/>
          <w:b w:val="false"/>
          <w:i w:val="false"/>
          <w:caps w:val="false"/>
          <w:smallCaps w:val="false"/>
          <w:strike/>
          <w:color w:val="FF0000"/>
          <w:sz w:val="20"/>
        </w:rPr>
        <w:t xml:space="preserve">(B) </w:t>
      </w:r>
      <w:r>
        <w:rPr>
          <w:rFonts w:ascii="Times New Roman;Times;Serif" w:hAnsi="Times New Roman;Times;Serif"/>
          <w:b w:val="false"/>
          <w:i w:val="false"/>
          <w:caps w:val="false"/>
          <w:smallCaps w:val="false"/>
          <w:sz w:val="20"/>
        </w:rPr>
        <w:t>the Borrower, the Servicer, the Seller or CPS or any other party shall, directly or indirectly, contest in any manner such effectiveness, validity, binding nature or enforceability of any Transaction Documents;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the Borrower, CPS or any Specified Affiliate shall fail to pay any money due under any other agreement, note, indenture or instrument evidencing, securing, guaranteeing or otherwise relating to indebtedness of the Borrower, CPS or such Subsidiary, which failure to pay constitutes an event of default under any such agreement, note, indenture or instrument or constitutes a default thereunder and such event of default or default (i) results in the acceleration of any debt owed by the Borrower, CPS or such Subsidiary, and (ii) continues unremedied for a period of three (3) Business Days after the cure period for the related indebtedness; or the Borrower, CPS or any Subsidiary shall otherwise fail to perform or observe any term, covenant, agreement or representation and warranty under any such other agreement, note, indenture or instrument, which failure constitutes an event of default under any such agreement, note, indenture or instrument or constitutes a default thereunder and such event of default or default shall result in the acceleration of such indebtedness; or any other event under any such agreement or instrument shall occur or condition shall exist if the effect of such event or condition is to accelerate the maturity of such indebtedness; provided that, if such indebtedness is solely indebtedness of CPS or any Specified Affiliate (and not in whole or in part indebtedness of the Borrower), such accelerated indebtedness must be in an aggregate amount of at least [***] in order for an event described in this clause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constitute a Termination Event;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any final judgment or ruling shall have been rendered against, or any settlement entered into by, CPS or any Specified Affiliate, which judgment, ruling or settlement exceeds, in the aggregate, [***] or any final judgment or ruling shall have been rendered against the Borrower; provided, in either case, that such final judgment, ruling or settlement shall have remained unpaid, and enforcement thereof shall have remained unstayed and unbonded, for a period in excess of 30 days from the date of entry of such judgment or ruling or the date of effectiveness of such settlement;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any change in the Servicing Guidelines and Contract Purchase Guidelines that would reasonably be expected to be adverse to the lenders, without the prior consent of the Administrative Agent, unremedied for five (5) Business Days;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the Backup Servicer shall have resigned and a replacement backup servicer acceptable to the Administrative Agent shall not have been appointed within 90 days of receipt of notice of such resignation; and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the balance on deposit in the Reserve Account shall be less than the Required Reserve Account Balance for more than two (2) Business Days after any Remittance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any Termination Event, the Administrative Agent may, by notice to the Borrower, declare the Termination Date to have occurred, without demand, protest or future notice of any kind, all of which are hereby expressly waived by the Borrower.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10.2. </w:t>
      </w:r>
      <w:r>
        <w:rPr>
          <w:rFonts w:ascii="Times New Roman;Times;Serif" w:hAnsi="Times New Roman;Times;Serif"/>
          <w:b/>
          <w:i w:val="false"/>
          <w:caps w:val="false"/>
          <w:smallCaps w:val="false"/>
          <w:sz w:val="20"/>
          <w:u w:val="single"/>
        </w:rPr>
        <w:t>Amortization Events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any of the following events shall constitute an “</w:t>
      </w:r>
      <w:r>
        <w:rPr>
          <w:rFonts w:ascii="Times New Roman;Times;Serif" w:hAnsi="Times New Roman;Times;Serif"/>
          <w:b w:val="false"/>
          <w:i/>
          <w:caps w:val="false"/>
          <w:smallCaps w:val="false"/>
          <w:sz w:val="20"/>
          <w:u w:val="single"/>
        </w:rPr>
        <w:t>Amortization Event</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occurs any Level II Trigger Event;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occurs a Turbo Event;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Servicer Termination Event;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CPS, as Servicer, is no longer obligated to service new Receivables originated by the Seller;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occurs any material adverse change to the Contract Purchase Guidelines, unless such change is approved by the Administrative Agent; or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Backup Servicer shall have resigned and a replacement backup servicer acceptable to the Administrative Agent shall not have been appointed within 45 days of receipt of notice of such resignation.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10.3. </w:t>
      </w:r>
      <w:r>
        <w:rPr>
          <w:rFonts w:ascii="Times New Roman;Times;Serif" w:hAnsi="Times New Roman;Times;Serif"/>
          <w:b/>
          <w:i w:val="false"/>
          <w:caps w:val="false"/>
          <w:smallCaps w:val="false"/>
          <w:sz w:val="20"/>
          <w:u w:val="single"/>
        </w:rPr>
        <w:t>Actions Upon the Declaration of a Termination Event</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w:t>
        <w:tab/>
        <w:t>Upon the declaration of the occurrence of the Termination Date following the occurrence of a Termination Event, the Administrative Agent shall declare by written notice to the Borrower any date as the date upon which the Loans shall become due and payable in full and the Administrative Agent shall have all of the rights and remedies provided to a secured creditor in the Collateral under the UCC by Applicable Law in respect thereto. Administrative Agent may, on behalf of the Secured Parties, in any such case, at its option, determine that the Carrying Costs with respect to the Principal Amount Outstanding after the occurrence of a Termination Event are calculated by reference to the Base Rate, if available.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Subsequent Advance upon the occurrence of any Termination Event or Amortization Event.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Loans are declared (or becomes automatically) due and payable in accordance with this </w:t>
      </w:r>
      <w:r>
        <w:rPr>
          <w:rFonts w:ascii="Times New Roman;Times;Serif" w:hAnsi="Times New Roman;Times;Serif"/>
          <w:b w:val="false"/>
          <w:i w:val="false"/>
          <w:caps w:val="false"/>
          <w:smallCaps w:val="false"/>
          <w:sz w:val="20"/>
          <w:u w:val="single"/>
        </w:rPr>
        <w:t>Section 10.3(a)</w:t>
      </w:r>
      <w:r>
        <w:rPr>
          <w:rFonts w:ascii="Times New Roman;Times;Serif" w:hAnsi="Times New Roman;Times;Serif"/>
          <w:b w:val="false"/>
          <w:i w:val="false"/>
          <w:caps w:val="false"/>
          <w:smallCaps w:val="false"/>
          <w:sz w:val="20"/>
        </w:rPr>
        <w:t xml:space="preserve"> the Administrative Agent, and may do any one or more of the following:</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800" w:right="0" w:firstLine="1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take all necessary action to foreclose upon the Collateral;</w:t>
      </w:r>
    </w:p>
    <w:p>
      <w:pPr>
        <w:pStyle w:val="TextBody"/>
        <w:bidi w:val="0"/>
        <w:spacing w:before="0" w:after="0"/>
        <w:ind w:left="800" w:right="0" w:firstLine="1600"/>
        <w:jc w:val="both"/>
        <w:rPr>
          <w:caps w:val="false"/>
          <w:smallCaps w:val="false"/>
        </w:rPr>
      </w:pPr>
      <w:r>
        <w:rPr>
          <w:caps w:val="false"/>
          <w:smallCaps w:val="false"/>
        </w:rPr>
        <w:t> </w:t>
      </w:r>
    </w:p>
    <w:p>
      <w:pPr>
        <w:pStyle w:val="TextBody"/>
        <w:bidi w:val="0"/>
        <w:spacing w:before="0" w:after="0"/>
        <w:ind w:left="800" w:right="0" w:firstLine="1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retain in satisfaction of any amounts owing from the Borrower all amounts otherwise payable to the Borrower pursuant to this Agreement to the extent necessary to pay in full all amounts (including principal and interest) due and payable hereunder;</w:t>
      </w:r>
    </w:p>
    <w:p>
      <w:pPr>
        <w:pStyle w:val="TextBody"/>
        <w:bidi w:val="0"/>
        <w:spacing w:before="0" w:after="0"/>
        <w:ind w:left="800" w:right="0" w:firstLine="1600"/>
        <w:jc w:val="both"/>
        <w:rPr>
          <w:caps w:val="false"/>
          <w:smallCaps w:val="false"/>
        </w:rPr>
      </w:pPr>
      <w:r>
        <w:rPr>
          <w:caps w:val="false"/>
          <w:smallCaps w:val="false"/>
        </w:rPr>
        <w:t> </w:t>
      </w:r>
    </w:p>
    <w:p>
      <w:pPr>
        <w:pStyle w:val="TextBody"/>
        <w:bidi w:val="0"/>
        <w:spacing w:before="0" w:after="0"/>
        <w:ind w:left="800" w:right="0" w:firstLine="1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pursue any available remedy by proceeding at law or in equity including complete or partial foreclosure of the lien upon the Collateral and sale of the Collateral or any portion thereof or rights or interest therein as may appear necessary or desirable (i) to collect amounts owed pursuant to the Loans and any other payments then due and thereafter to become due under the Loans or (ii) to enforce the performance and observance of any obligation, covenant, agreement or provision contained in this Agreement to be observed or performed by the Borrower; or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1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exercise any remedies of a secured party under the UCC and take any other appropriate action to protect and enforce the rights and remedies of the Administrative Agent on behalf of the Secured Parties.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10.4. </w:t>
      </w:r>
      <w:r>
        <w:rPr>
          <w:rFonts w:ascii="Times New Roman;Times;Serif" w:hAnsi="Times New Roman;Times;Serif"/>
          <w:b/>
          <w:i w:val="false"/>
          <w:caps w:val="false"/>
          <w:smallCaps w:val="false"/>
          <w:sz w:val="20"/>
          <w:u w:val="single"/>
        </w:rPr>
        <w:t>Exercise of Remedies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or delay on the part of any Lender Group Agent or the Administrative Agent to exercise any right, power or privilege under this Agreement and no course of dealing between the Borrower, the Secured Parties or the Administrative Agent, on the one hand, and any Lender Group Agent or the Administrative Agent, on the other hand, shall operate as a waiver of such right, power or privilege, nor shall any single or partial exercise of any right, power or privilege under this Agreement preclude any other or further exercise of such right, power or privilege or the exercise of any other right, power or privilege. The rights and remedies expressly provided in this Agreement are cumulative and not exclusive of any rights or remedies which the Administrative Agent or the Secured Parties would otherwise have pursuant to law or equity. No notice to or demand on any party in any case shall entitle such party to any other or further notice or demand in similar or other circumstances, or constitute a waiver of the right of the other party to any other or further action in any circumstances without notice or demand.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10.5. </w:t>
      </w:r>
      <w:r>
        <w:rPr>
          <w:rFonts w:ascii="Times New Roman;Times;Serif" w:hAnsi="Times New Roman;Times;Serif"/>
          <w:b/>
          <w:i w:val="false"/>
          <w:caps w:val="false"/>
          <w:smallCaps w:val="false"/>
          <w:sz w:val="20"/>
          <w:u w:val="single"/>
        </w:rPr>
        <w:t>Waiver of Certain Laws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the Borrower,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such parcels as the Administrative Agent, the Required Lenders or such court may determine.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10.6. </w:t>
      </w:r>
      <w:r>
        <w:rPr>
          <w:rFonts w:ascii="Times New Roman;Times;Serif" w:hAnsi="Times New Roman;Times;Serif"/>
          <w:b/>
          <w:i w:val="false"/>
          <w:caps w:val="false"/>
          <w:smallCaps w:val="false"/>
          <w:sz w:val="20"/>
          <w:u w:val="single"/>
        </w:rPr>
        <w:t>Power of Attorney</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irrevocably appoints the Administrative Agent its true and lawful attorney (with full power of substitution) in its name, place and stead and at its expense, in connection with the enforcement of the rights and remedies provided for in this Article, including: (i) to give any necessary receipts or acquittance for amounts collected or received hereunder, (ii) to make all necessary transfers of the Collateral in connection with any sale or other disposition made pursuant hereto, (iii) to execute and deliver for value all necessary or appropriate bills of sale, assignments and other instruments in connection with any such sale or other disposition, the Borrower thereby ratifying and confirming all that such attorney (or any substitute) shall lawfully do hereunder and pursuant hereto and (iv) to sign any agreements, orders or other documents in connection with or pursuant to any Transaction Document. Nevertheless, if so requested by the Administrative Agent or a purchaser of any of the Collateral, the Borrower shall ratify and confirm any such sale or other disposition by executing and delivering to the Administrative Agent or such purchaser all proper bills of sale, assignments, releases and other instruments as may be designated in any such request.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10.7. </w:t>
      </w:r>
      <w:r>
        <w:rPr>
          <w:rFonts w:ascii="Times New Roman;Times;Serif" w:hAnsi="Times New Roman;Times;Serif"/>
          <w:b/>
          <w:i w:val="false"/>
          <w:caps w:val="false"/>
          <w:smallCaps w:val="false"/>
          <w:sz w:val="20"/>
          <w:u w:val="single"/>
        </w:rPr>
        <w:t>Termination Date Solely as the Result of the Commitment Termination Date or an Amortization Event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term or provision contained in this Agreement or in any other Transaction Document, following the occurrence of the Termination Date solely as the result of the occurrence of the Commitment Termination Date or the occurrence of an Amortization Event, so long as no Termination Event has occurred (or occurs following such Termination Date or Amortization Event), the Lender Group Agents, the Lenders and the Administrative Agent agree that no acceleration under </w:t>
      </w:r>
      <w:r>
        <w:rPr>
          <w:rFonts w:ascii="Times New Roman;Times;Serif" w:hAnsi="Times New Roman;Times;Serif"/>
          <w:b w:val="false"/>
          <w:i w:val="false"/>
          <w:caps w:val="false"/>
          <w:smallCaps w:val="false"/>
          <w:sz w:val="20"/>
          <w:u w:val="single"/>
        </w:rPr>
        <w:t>Section 10.1(a)(i)</w:t>
      </w:r>
      <w:r>
        <w:rPr>
          <w:rFonts w:ascii="Times New Roman;Times;Serif" w:hAnsi="Times New Roman;Times;Serif"/>
          <w:b w:val="false"/>
          <w:i w:val="false"/>
          <w:caps w:val="false"/>
          <w:smallCaps w:val="false"/>
          <w:sz w:val="20"/>
        </w:rPr>
        <w:t xml:space="preserve"> shall result and that the Administrative Agent shall not be entitled to exercise the remedial actions set forth in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Upon the occurrence of the Termination Date under the circumstances described in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the Revolving Period shall be terminated and no further Advances will be made.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10.8. </w:t>
      </w:r>
      <w:r>
        <w:rPr>
          <w:rFonts w:ascii="Times New Roman;Times;Serif" w:hAnsi="Times New Roman;Times;Serif"/>
          <w:b/>
          <w:i w:val="false"/>
          <w:caps w:val="false"/>
          <w:smallCaps w:val="false"/>
          <w:sz w:val="20"/>
          <w:u w:val="single"/>
        </w:rPr>
        <w:t>Class B Lenders’ Purchase Option; Collateral Purchase Right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Termination Event has occurred and is continuing and the Administrative Agent has declared the Loans then outstanding to be due and payable pursuant to Section 10.3, then the Class B Lenders shall have the option to purchase all (but not less than all) of the Class A Loans from the Class A Lenders (the “</w:t>
      </w:r>
      <w:r>
        <w:rPr>
          <w:rFonts w:ascii="Times New Roman;Times;Serif" w:hAnsi="Times New Roman;Times;Serif"/>
          <w:b w:val="false"/>
          <w:i/>
          <w:caps w:val="false"/>
          <w:smallCaps w:val="false"/>
          <w:sz w:val="20"/>
          <w:u w:val="single"/>
        </w:rPr>
        <w:t>Class B Purchase Right</w:t>
      </w:r>
      <w:r>
        <w:rPr>
          <w:rFonts w:ascii="Times New Roman;Times;Serif" w:hAnsi="Times New Roman;Times;Serif"/>
          <w:b w:val="false"/>
          <w:i w:val="false"/>
          <w:caps w:val="false"/>
          <w:smallCaps w:val="false"/>
          <w:sz w:val="20"/>
        </w:rPr>
        <w:t>”). Within five (5) Business Days of the Administrative Agent’s declaration that the Loans then outstanding are due and payable pursuant to Section 10.3 following a Termination Event, the Administrative Agent shall deliver written notice (including supporting detail) to the Class B Lenders of (i) the aggregate principal amount of the Class A Loans, and all accrued and unpaid fees and interest thereon, (ii) the interest and fees expected to accrue thereon through the immediately following Remittance Date and (iii) the amount of all liabilities (without duplication) that it has incurred in the nature of indemnification obligations of the Borrower hereunder which have resulted in any loss, cost, damage or expense (including reasonable attorneys’ fees and legal expenses) to the Class A Lenders (collectively, “</w:t>
      </w:r>
      <w:r>
        <w:rPr>
          <w:rFonts w:ascii="Times New Roman;Times;Serif" w:hAnsi="Times New Roman;Times;Serif"/>
          <w:b w:val="false"/>
          <w:i/>
          <w:caps w:val="false"/>
          <w:smallCaps w:val="false"/>
          <w:sz w:val="20"/>
          <w:u w:val="single"/>
        </w:rPr>
        <w:t>Class A Indemnification Liabilities</w:t>
      </w:r>
      <w:r>
        <w:rPr>
          <w:rFonts w:ascii="Times New Roman;Times;Serif" w:hAnsi="Times New Roman;Times;Serif"/>
          <w:b w:val="false"/>
          <w:i w:val="false"/>
          <w:caps w:val="false"/>
          <w:smallCaps w:val="false"/>
          <w:sz w:val="20"/>
        </w:rPr>
        <w:t>”). The decision to exercise the Class B Purchase Right shall be electable by the Class B Lenders for a period of thirty (30) Days, commencing on the date on which the Administrative Agent provides the immediately forgoing notice (the last day of such thirty-day Period, the “</w:t>
      </w:r>
      <w:r>
        <w:rPr>
          <w:rFonts w:ascii="Times New Roman;Times;Serif" w:hAnsi="Times New Roman;Times;Serif"/>
          <w:b w:val="false"/>
          <w:i/>
          <w:caps w:val="false"/>
          <w:smallCaps w:val="false"/>
          <w:sz w:val="20"/>
          <w:u w:val="single"/>
        </w:rPr>
        <w:t>Class B Purchase Right Termination Date</w:t>
      </w:r>
      <w:r>
        <w:rPr>
          <w:rFonts w:ascii="Times New Roman;Times;Serif" w:hAnsi="Times New Roman;Times;Serif"/>
          <w:b w:val="false"/>
          <w:i w:val="false"/>
          <w:caps w:val="false"/>
          <w:smallCaps w:val="false"/>
          <w:sz w:val="20"/>
        </w:rPr>
        <w:t>”). Prior to the Class B Purchase Right Termination Date, one or more Class B Lenders (or their designees) may elect to exercise the Class B Purchase Right upon written notice to the Administrative Agent (the “</w:t>
      </w:r>
      <w:r>
        <w:rPr>
          <w:rFonts w:ascii="Times New Roman;Times;Serif" w:hAnsi="Times New Roman;Times;Serif"/>
          <w:b w:val="false"/>
          <w:i/>
          <w:caps w:val="false"/>
          <w:smallCaps w:val="false"/>
          <w:sz w:val="20"/>
          <w:u w:val="single"/>
        </w:rPr>
        <w:t>Class B Purchase Option Notice</w:t>
      </w:r>
      <w:r>
        <w:rPr>
          <w:rFonts w:ascii="Times New Roman;Times;Serif" w:hAnsi="Times New Roman;Times;Serif"/>
          <w:b w:val="false"/>
          <w:i w:val="false"/>
          <w:caps w:val="false"/>
          <w:smallCaps w:val="false"/>
          <w:sz w:val="20"/>
        </w:rPr>
        <w:t>” and such electing Class B Lenders, the “</w:t>
      </w:r>
      <w:r>
        <w:rPr>
          <w:rFonts w:ascii="Times New Roman;Times;Serif" w:hAnsi="Times New Roman;Times;Serif"/>
          <w:b w:val="false"/>
          <w:i/>
          <w:caps w:val="false"/>
          <w:smallCaps w:val="false"/>
          <w:sz w:val="20"/>
          <w:u w:val="single"/>
        </w:rPr>
        <w:t>Class B Purchase Option Lender</w:t>
      </w:r>
      <w:r>
        <w:rPr>
          <w:rFonts w:ascii="Times New Roman;Times;Serif" w:hAnsi="Times New Roman;Times;Serif"/>
          <w:b w:val="false"/>
          <w:i w:val="false"/>
          <w:caps w:val="false"/>
          <w:smallCaps w:val="false"/>
          <w:sz w:val="20"/>
        </w:rPr>
        <w:t>s”), which notice shall be irrevocable (unless the final Class B Purchase Option Amount is more than [***] higher than (x) the initial calculation of such amounts owing in respect of the Class A Loans and expected to accrue through the Class B Purchase Option Exercise Date calculated pursuant to the preceding sentence plus (y) any Yield accrued prior to the Class B Purchase Option Exercise but not reflected in the prior calculation, in which case such Class B Purchase Option Notice may be revoked in the sole and absolute discretion of the Class B Purchase Option Lenders at any time prior to the Class B Purchase Option Exercise Date) and shall specify the date on which such right is to be exercised by the Class B Lenders (or their designees) (such date, the “</w:t>
      </w:r>
      <w:r>
        <w:rPr>
          <w:rFonts w:ascii="Times New Roman;Times;Serif" w:hAnsi="Times New Roman;Times;Serif"/>
          <w:b w:val="false"/>
          <w:i/>
          <w:caps w:val="false"/>
          <w:smallCaps w:val="false"/>
          <w:sz w:val="20"/>
          <w:u w:val="single"/>
        </w:rPr>
        <w:t>Class B Purchase Option Exercise Date</w:t>
      </w:r>
      <w:r>
        <w:rPr>
          <w:rFonts w:ascii="Times New Roman;Times;Serif" w:hAnsi="Times New Roman;Times;Serif"/>
          <w:b w:val="false"/>
          <w:i w:val="false"/>
          <w:caps w:val="false"/>
          <w:smallCaps w:val="false"/>
          <w:sz w:val="20"/>
        </w:rPr>
        <w:t>”), which shall be a Business Day not more than thirty (30) Business Days after receipt by the Administrative Agent of such Class B Purchase Option Notice. On the Business Day prior to the Class B Purchase Option Exercise Date, the Administrative Agent shall deliver written notice to the Class B Purchase Option Lenders specifying the aggregate principal amount of the Class A Loans, all accrued and unpaid fees and interest as of the Class B Purchase Option Exercise Date and the Class A Indemnification Liabilities of which it is then aware (collectively, the “</w:t>
      </w:r>
      <w:r>
        <w:rPr>
          <w:rFonts w:ascii="Times New Roman;Times;Serif" w:hAnsi="Times New Roman;Times;Serif"/>
          <w:b w:val="false"/>
          <w:i/>
          <w:caps w:val="false"/>
          <w:smallCaps w:val="false"/>
          <w:sz w:val="20"/>
          <w:u w:val="single"/>
        </w:rPr>
        <w:t>Class B Purchase Option Amount</w:t>
      </w:r>
      <w:r>
        <w:rPr>
          <w:rFonts w:ascii="Times New Roman;Times;Serif" w:hAnsi="Times New Roman;Times;Serif"/>
          <w:b w:val="false"/>
          <w:i w:val="false"/>
          <w:caps w:val="false"/>
          <w:smallCaps w:val="false"/>
          <w:sz w:val="20"/>
        </w:rPr>
        <w:t>”).</w:t>
        <w:tab/>
        <w:t>On the Class B Purchase Option Exercise Date, the Class A Lenders shall sell to the Class B Purchase Option Lenders or their designees, and the Class B Purchase Option Lenders (or their designees) shall purchase from the Class A Lenders, the Class A Loans.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date of such purchase and sale, the Class B Purchase Option Lenders shall pay to the Class A Lenders as the purchase price therefor the Class B Purchase Option Amount. Such purchase price and other sums shall be remitted by wire transfer in federal funds to such bank account of the Class A Lenders as the Administrative Agent shall have designated in writing to the Class B Purchase Option Lenders for such purpose. In connection with the foregoing purchase, accrued and unpaid fees and interest in respect of the Class A Loans shall be calculated through the Business Day on which such purchase and sale shall occur if the amounts so paid by the Class B Purchase Option Lenders to the bank account designated by the Class A Lenders are received in such bank account prior to 5:00 p.m., New York time and interest shall be calculated to and include the next Business Day if the amounts so paid by the Class B Purchase Option Lenders to the bank account designated by the Class A Lenders are received in such bank account later than 5:00 p.m., New York time.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purchase pursuant to this Section 8.05 shall be expressly made without representation or warranty of any kind by the Class A Lenders as to the Class A Loans or otherwise and without recourse to the Class A Lenders, except that the Class A Lenders shall represent and warrant: (i) the amount of the Class A Loans being purchased and that the purchase price and other sums payable by the Class B Purchase Option Lenders are true, correct and accurate amounts, (ii) that the Class A Lenders shall convey the Class A Loans free and clear of any Liens or encumbrances of the Class A Lenders or created or suffered by the Class A Lenders, including any participation interest in any of the Class A Loans, (iii) as to all claims made or threatened in writing against the Class A Lenders related to the Class A Loans, and (iv) the Class A Lenders are duly authorized to assign the Class A Loans.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Administrative Agent elects (or is directed to by the Majority Lenders to elect) to, solicit and accept bids in connection with, and to sell or dispose of, all or any portion of the Receivables pursuant to this Agreement, then any Class B Lender shall have the first right to purchase such Receivables on terms and at a price equal to or (if such Class B Lender so determines in its sole discretion) greater than and on a timeline the same as or shorter than (provided, for the avoidance of doubt, that such timeline shall not be shorter than 30 days from the exercise by a Class B Lender of its Collateral Purchase Right in accordance with this Section 10.8) the Winning Collateral Purchase Bid (as defined below) (the “</w:t>
      </w:r>
      <w:r>
        <w:rPr>
          <w:rFonts w:ascii="Times New Roman;Times;Serif" w:hAnsi="Times New Roman;Times;Serif"/>
          <w:b w:val="false"/>
          <w:i/>
          <w:caps w:val="false"/>
          <w:smallCaps w:val="false"/>
          <w:sz w:val="20"/>
          <w:u w:val="single"/>
        </w:rPr>
        <w:t>Collateral Purchase Right</w:t>
      </w:r>
      <w:r>
        <w:rPr>
          <w:rFonts w:ascii="Times New Roman;Times;Serif" w:hAnsi="Times New Roman;Times;Serif"/>
          <w:b w:val="false"/>
          <w:i w:val="false"/>
          <w:caps w:val="false"/>
          <w:smallCaps w:val="false"/>
          <w:sz w:val="20"/>
        </w:rPr>
        <w:t>”). The Collateral Purchase Right shall be exercisable by any Class B Lender for a period of five (5) Business Days commencing on the date on which the Class B Lenders receive written notice from the Administrative Agent of the Winning Collateral Purchase Bid (the “</w:t>
      </w:r>
      <w:r>
        <w:rPr>
          <w:rFonts w:ascii="Times New Roman;Times;Serif" w:hAnsi="Times New Roman;Times;Serif"/>
          <w:b w:val="false"/>
          <w:i/>
          <w:caps w:val="false"/>
          <w:smallCaps w:val="false"/>
          <w:sz w:val="20"/>
          <w:u w:val="single"/>
        </w:rPr>
        <w:t>Collateral Purchase Right Termination Date</w:t>
      </w:r>
      <w:r>
        <w:rPr>
          <w:rFonts w:ascii="Times New Roman;Times;Serif" w:hAnsi="Times New Roman;Times;Serif"/>
          <w:b w:val="false"/>
          <w:i w:val="false"/>
          <w:caps w:val="false"/>
          <w:smallCaps w:val="false"/>
          <w:sz w:val="20"/>
        </w:rPr>
        <w:t>”). If a Class B Lender does not deliver written notice to the Administrative Agent prior to 5:00 p.m. (New York City time) on the Collateral Purchase Right Termination Date that it intends to invoke its Collateral Purchase Right, the Collateral Purchase Right shall terminate automatically without notice or any action required on the part of any Person. Nothing in this Section 8.05(e) shall be deemed to create an obligation on any Class B Lender to submit any bid or to purchase Receivables pursuant to the Collateral Purchase Right; however, it is understood and agreed that any notice delivered by a Class B Lender to the Administrative Agent exercising the Collateral Purchase Right shall be binding on such Class B Lender. As used herein, the term “</w:t>
      </w:r>
      <w:r>
        <w:rPr>
          <w:rFonts w:ascii="Times New Roman;Times;Serif" w:hAnsi="Times New Roman;Times;Serif"/>
          <w:b w:val="false"/>
          <w:i/>
          <w:caps w:val="false"/>
          <w:smallCaps w:val="false"/>
          <w:sz w:val="20"/>
          <w:u w:val="single"/>
        </w:rPr>
        <w:t>Winning Collateral Purchase Bid</w:t>
      </w:r>
      <w:r>
        <w:rPr>
          <w:rFonts w:ascii="Times New Roman;Times;Serif" w:hAnsi="Times New Roman;Times;Serif"/>
          <w:b w:val="false"/>
          <w:i w:val="false"/>
          <w:caps w:val="false"/>
          <w:smallCaps w:val="false"/>
          <w:sz w:val="20"/>
        </w:rPr>
        <w:t>” shall mean the bid to purchase all or any portion of the Receivables selected by the Administrative Agent in its sole discretion.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in this Agreement or any other Transaction Document, the Administrative Agent and the Lenders shall not sell or enter into a binding commitment to sell any Receivables or other Collateral prior to the Class B Purchase Right Termination Date (and if one or more Class B Lender exercises its Class B Purchase Right, from and after the delivery of a Class B Purchase Option Notice, unless the Class B Purchase Option Notice is revoked pursuant to the terms of this Agreement or the Class B Purchase Option Lenders fail to complete such Class B Purchase Right on such Class B Purchase Option Exercise Date), without the prior written consent of the Class B Lender (or the Class B Purchase Option Lenders, if different).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Section 10.9 Right of First Refusal</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Servicer hereby agree that if, at any time during the term hereof, Borrower (or any Affiliate of Borrower) proposes to renew or extend, or increase the size of, the Class B Commitment or replace or refinance the Class B Commitment with a Class B commitment in a financing facility agented by Capital One, N.A., Borrower and Servicer shall provide the Administrative Agent and the Class B Lenders with written notice (the “</w:t>
      </w:r>
      <w:r>
        <w:rPr>
          <w:rFonts w:ascii="Times New Roman;Times;Serif" w:hAnsi="Times New Roman;Times;Serif"/>
          <w:b w:val="false"/>
          <w:i/>
          <w:caps w:val="false"/>
          <w:smallCaps w:val="false"/>
          <w:sz w:val="20"/>
          <w:u w:val="single"/>
        </w:rPr>
        <w:t xml:space="preserve">ROFR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by no later than thirty (30) days prior to such time as the Borrower intends to effectuate any such renewal, extension, increase or refinancing of the Class B Commitment, and such ROFR Notice shall include a proposed term sheet setting forth the material terms and conditions of such renewal, extension, increase or refinancing of the Class B Commitment in reasonable detail (such term sheet, the “</w:t>
      </w:r>
      <w:r>
        <w:rPr>
          <w:rFonts w:ascii="Times New Roman;Times;Serif" w:hAnsi="Times New Roman;Times;Serif"/>
          <w:b w:val="false"/>
          <w:i/>
          <w:caps w:val="false"/>
          <w:smallCaps w:val="false"/>
          <w:sz w:val="20"/>
          <w:u w:val="single"/>
        </w:rPr>
        <w:t>ROFR Term Sheet</w:t>
      </w:r>
      <w:r>
        <w:rPr>
          <w:rFonts w:ascii="Times New Roman;Times;Serif" w:hAnsi="Times New Roman;Times;Serif"/>
          <w:b w:val="false"/>
          <w:i w:val="false"/>
          <w:caps w:val="false"/>
          <w:smallCaps w:val="false"/>
          <w:sz w:val="20"/>
        </w:rPr>
        <w:t>”); provided, however, that if the Class B Lenders have at any point (i) been Defaulting Lenders or (ii) otherwise been in breach of any covenants hereunder or under any other Loan Document, then the Borrower shall have no obligation to deliver a ROFR Notice to the Class B Lenders and the Class B Lenders shall have no rights with respect to such renewal, extension, or increase in the size of the Class B Commitment.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giving of the ROFR Notice shall constitute an offer (the “</w:t>
      </w:r>
      <w:r>
        <w:rPr>
          <w:rFonts w:ascii="Times New Roman;Times;Serif" w:hAnsi="Times New Roman;Times;Serif"/>
          <w:b w:val="false"/>
          <w:i/>
          <w:caps w:val="false"/>
          <w:smallCaps w:val="false"/>
          <w:sz w:val="20"/>
          <w:u w:val="single"/>
        </w:rPr>
        <w:t>ROFR Offer</w:t>
      </w:r>
      <w:r>
        <w:rPr>
          <w:rFonts w:ascii="Times New Roman;Times;Serif" w:hAnsi="Times New Roman;Times;Serif"/>
          <w:b w:val="false"/>
          <w:i w:val="false"/>
          <w:caps w:val="false"/>
          <w:smallCaps w:val="false"/>
          <w:sz w:val="20"/>
        </w:rPr>
        <w:t>”) by the Borrower and the Servicer for the Class B Lenders (or their designees) to renew, extend, increase or refinance the Class B Commitment subject to the terms and conditions set forth in the ROFR Term Sheet. Within ten (10) Business Days following receipt by the Class B Lenders of the ROFR Notice and ROFR Term sheet (the “</w:t>
      </w:r>
      <w:r>
        <w:rPr>
          <w:rFonts w:ascii="Times New Roman;Times;Serif" w:hAnsi="Times New Roman;Times;Serif"/>
          <w:b w:val="false"/>
          <w:i/>
          <w:caps w:val="false"/>
          <w:smallCaps w:val="false"/>
          <w:sz w:val="20"/>
          <w:u w:val="single"/>
        </w:rPr>
        <w:t>ROFR Election Period</w:t>
      </w:r>
      <w:r>
        <w:rPr>
          <w:rFonts w:ascii="Times New Roman;Times;Serif" w:hAnsi="Times New Roman;Times;Serif"/>
          <w:b w:val="false"/>
          <w:i w:val="false"/>
          <w:caps w:val="false"/>
          <w:smallCaps w:val="false"/>
          <w:sz w:val="20"/>
        </w:rPr>
        <w:t>”), the Class B Lenders may elect to extend, renew, increase or refinance the Class B Commitment (or cause their designees to extend, renew, increase or refinance the Class B Commitment) subject to the terms and conditions set forth in the ROFR Term Sheet by delivering to the Administrative Agent, the Borrower and the Servicer a notice (the “</w:t>
      </w:r>
      <w:r>
        <w:rPr>
          <w:rFonts w:ascii="Times New Roman;Times;Serif" w:hAnsi="Times New Roman;Times;Serif"/>
          <w:b w:val="false"/>
          <w:i/>
          <w:caps w:val="false"/>
          <w:smallCaps w:val="false"/>
          <w:sz w:val="20"/>
          <w:u w:val="single"/>
        </w:rPr>
        <w:t>ROFR Acceptance Notice</w:t>
      </w:r>
      <w:r>
        <w:rPr>
          <w:rFonts w:ascii="Times New Roman;Times;Serif" w:hAnsi="Times New Roman;Times;Serif"/>
          <w:b w:val="false"/>
          <w:i w:val="false"/>
          <w:caps w:val="false"/>
          <w:smallCaps w:val="false"/>
          <w:sz w:val="20"/>
        </w:rPr>
        <w:t>”) indicating its wish to exercise its rights under this Section 10.8 to extend, renew, increase or refinance the Class B Commitment on such terms or other terms as may be agreed between the parties. For the avoidance of doubt, during the ROFR Election Period, the Borrower, the Administrative Agent, the Servicer and the Class B Lenders may negotiate the terms of the ROFR Term Sheet and may agree on terms that are different from the ROFR Term Sheet originally provided to the Administrative Agent and the Class B Lenders as part of the ROFR Offer. If the Class B Lenders do not deliver a ROFR Acceptance Notice within the ROFR Election Period, the Class B Lenders shall be deemed to have rejected the ROFR Offer.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Class B Lenders reject or are deemed to have rejected the ROFR Offer, the Borrower, the Servicer and the Administrative Agent shall have the right, for a period of one hundred and eighty (180) days, to market to additional potential lenders (each, a “</w:t>
      </w:r>
      <w:r>
        <w:rPr>
          <w:rFonts w:ascii="Times New Roman;Times;Serif" w:hAnsi="Times New Roman;Times;Serif"/>
          <w:b w:val="false"/>
          <w:i/>
          <w:caps w:val="false"/>
          <w:smallCaps w:val="false"/>
          <w:sz w:val="20"/>
          <w:u w:val="single"/>
        </w:rPr>
        <w:t>Potential Class B Lender</w:t>
      </w:r>
      <w:r>
        <w:rPr>
          <w:rFonts w:ascii="Times New Roman;Times;Serif" w:hAnsi="Times New Roman;Times;Serif"/>
          <w:b w:val="false"/>
          <w:i w:val="false"/>
          <w:caps w:val="false"/>
          <w:smallCaps w:val="false"/>
          <w:sz w:val="20"/>
        </w:rPr>
        <w:t>”) and agree to incorporate such Potential Class B Lenders as Class B Lenders hereunder; provided, that the existing Class B Lenders shall have the opportunity to participate in such marketing process.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11.1. </w:t>
      </w:r>
      <w:r>
        <w:rPr>
          <w:rFonts w:ascii="Times New Roman;Times;Serif" w:hAnsi="Times New Roman;Times;Serif"/>
          <w:b/>
          <w:i w:val="false"/>
          <w:caps w:val="false"/>
          <w:smallCaps w:val="false"/>
          <w:sz w:val="20"/>
          <w:u w:val="single"/>
        </w:rPr>
        <w:t>Indemnities by the Servicer</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hereby agrees to indemnify the Administrative Agent, the Custodian, the Paying Agent, the Backup Servicer, each Secured Party or its assignee and each of their respective Affiliates and officers, directors, employees and agents (collectively, the “</w:t>
      </w:r>
      <w:r>
        <w:rPr>
          <w:rFonts w:ascii="Times New Roman;Times;Serif" w:hAnsi="Times New Roman;Times;Serif"/>
          <w:b w:val="false"/>
          <w:i/>
          <w:caps w:val="false"/>
          <w:smallCaps w:val="false"/>
          <w:sz w:val="20"/>
          <w:u w:val="single"/>
        </w:rPr>
        <w:t>Indemnified Parties</w:t>
      </w:r>
      <w:r>
        <w:rPr>
          <w:rFonts w:ascii="Times New Roman;Times;Serif" w:hAnsi="Times New Roman;Times;Serif"/>
          <w:b w:val="false"/>
          <w:i w:val="false"/>
          <w:caps w:val="false"/>
          <w:smallCaps w:val="false"/>
          <w:sz w:val="20"/>
        </w:rPr>
        <w:t>”) with respect to any amounts (a) payable under Section 11.2 if the Borrower fails to pay such amounts when due or (b) awarded against or incurred by, any such Indemnified Party or other non-monetary damages of any such Indemnified Party arising out of or as a result of this Agreement (including those incurred in connection with any action, claim or suit brought to enforce the right of any such Indemnified Party to indemnification hereunder), excluding, however, amounts to the extent resulting from the gross negligence, bad faith or willful misconduct on the part of any Indemnified Party as determined by a court of competent jurisdiction. Without limiting the foregoing, the Servicer shall indemnify the Indemnified Parties for amounts relating to or resulting from: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reliance on any representation or warranty made or deemed made by the Servicer under or in connection with this Agreement, which shall have been false or incorrect in any material respect when made or deemed made or delivered;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failure by the Servicer to comply with any term, provision or covenant contained in this Agreement, any other Transaction Document or in any agreement executed in connection with this Agreement or any other Transaction Document or with any Applicable Law with respect to any Contract or Receivable, the related Financed Vehicle and any failure by the Servicer to perform its duties under the Contracts and Receivables included as a part of the Collateral;</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litigation, proceeding or investigation (i) before any Governmental Authority in respect of any Contract, Receivable or Financed Vehicle included as part of the Collateral based in whole or in part on any act or omission of the Servicer (provided, that no Indemnified Party shall be entitled to any indemnification for any item described in this clause (i) resulting from such Indemnified Party’s gross negligence, bad faith or willful misconduct); or (ii) relating to or arising from the Transaction Documents, the transactions contemplated hereby and thereby, or any other investigation, litigation or proceeding relating to the Servicer in which any Indemnified Party becomes a party as a result of any of the transactions contemplated by the Transaction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failure by the Servicer to pay when due any material Taxes (excluding any Taxes being contested in good faith by appropriate proceedings and with respect to which reserves in accordance with GAAP have been provided on the books of the Servicer) for which the Servicer is liable, including sales, excise or personal property taxes payable in connection with the Collateral;</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failure of the Servicer to remit or deposit Collections received by the Servicer in accordance with the terms of this Agreement and the Transaction Documents or the commingling by the Servicer of any Collections with other funds, except as otherwise permitted under the Transaction Documents;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use, ownership or operation by the Servicer or any Affiliate thereof of a Financed Vehicle; or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caused by actions or inactions of the Servicer, the failure of the Paying Agent or any other financial institution to remit any amounts or items of payment held in the Collection Account pursuant to the instructions of the Servicer and the Administrative Agent given in accordance with this Agreement or the other Transaction Documents, whether by reason or the exercise of setoff rights or otherwise. The Servicer shall be strictly accountable for all payments actually received on the Receivables. Notwithstanding the foregoing, in no event shall any Indemnified Party be indemnified against (A) nonpayment by an Obligor of an amount due and payable with respect to a Receivable, except to the extent such indemnity directly results from the Servicer’s breach of its obligations hereunder, and (B) any loss in value of any Financed Vehicle or Permitted Investments due to changes in market conditions or for any other reasons outside the Servicer’s control. For the avoidance of doubt, this Section 11.1 shall not apply to Taxes (other than Taxes that represent losses, claims, damages, etc. arising from any non-Tax claim), which shall be governed by Section 2.12.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INDEMNIFICATION SHALL APPLY WHETHER OR NOT LIABILITIES AND COSTS SET FORTH ABOVE ARE IN ANY WAY OR TO ANY EXTENT OWED, IN WHOLE OR IN PART, UNDER ANY CLAIM OR THEORY OF STRICT LIABILITY.</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11.2. </w:t>
      </w:r>
      <w:r>
        <w:rPr>
          <w:rFonts w:ascii="Times New Roman;Times;Serif" w:hAnsi="Times New Roman;Times;Serif"/>
          <w:b/>
          <w:i w:val="false"/>
          <w:caps w:val="false"/>
          <w:smallCaps w:val="false"/>
          <w:sz w:val="20"/>
          <w:u w:val="single"/>
        </w:rPr>
        <w:t>Indemnities by the Borrower and CPS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CPS further jointly and severally agree to (A) pay upon demand all reasonable costs and out-of-pocket expenses incurred by the Administrative Agent and the Lenders as a consequence of, or in connection with, the enforcement of this Agreement or any of the other Loan Documents and any stamp, documentary or other taxes which may be payable by such Person in connection with the execution or delivery of this Agreement, any Loan hereunder, or the issuance of the Loans or any other Transaction Documents; and (B) indemnify and hold and save the Administrative Agent the Lenders and their Affiliates harmless from all liability for any breach by the Borrower of its obligations under this Agreement. The Borrower and Servicer also further jointly and severally agree to reimburse the Lenders upon demand for all reasonable out-of-pocket and legal expenses incurred by the Lenders in connection with the negotiation of any restructuring or “work-out,” whether or not consummated, of the Transaction Documents.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Agents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12.1. </w:t>
      </w:r>
      <w:r>
        <w:rPr>
          <w:rFonts w:ascii="Times New Roman;Times;Serif" w:hAnsi="Times New Roman;Times;Serif"/>
          <w:b/>
          <w:i w:val="false"/>
          <w:caps w:val="false"/>
          <w:smallCaps w:val="false"/>
          <w:sz w:val="20"/>
          <w:u w:val="single"/>
        </w:rPr>
        <w:t>Authorization and Action</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and each Lender Group Agent hereby designates and appoints Capital One (and Capital One accepts such designation and appointment) as Administrative Agent hereunder, and authorizes the Administrative Agent to take such actions as agent on its behalf and to exercise such powers as are delegated to the Administrative Agent by the terms of this Agreement together with such powers as are reasonably incidental thereto. In performing its functions and duties hereunder, the Administrative Agent shall act solely as agent for the Lenders and the Lender Group Agents and does not assume nor shall be deemed to have assumed any obligation or relationship of trust or agency with or for the Borrower or any of its successors or assigns. The Administrative Agent shall not be required to take any action which exposes it to personal liability or which is contrary to this Agreement or Applicable Law. The appointment and authority of the Administrative Agent hereunder shall terminate at the indefeasible payment in full of the Aggregate Unpaids.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provision to the contrary elsewhere in this Agreement, the Administrative Agent shall not have any duties or responsibilities, except those expressly set forth herein, or any fiduciary relationship with any Lender Group Agent or any Lender, and no implied covenants, functions, responsibilities, duties, obligations or liabilities shall be read into this Agreement or otherwise exist against the Administrative Agent.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promptly distribute to each Lender Group Agent all notices, requests for consent and other information received by the Administrative Agent under this Agreement which it is expressly required to distribute to the Lender Groups.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Person in each Lender Group, on behalf of itself and its assigns, hereby designates and appoints the Person identified as the Lender Group Agent for such Lender Group in such Lender Group’s Assignment Agreement to act as its agent hereunder and under each other Transaction Document, and authorizes such Lender Group Agent to take such actions as agent on its behalf and to exercise such powers as are delegated to such Lender Group Agent by the terms of this Agreement and the other Transaction Documents together with such powers as are reasonably incidental thereto.</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12.2. </w:t>
      </w:r>
      <w:r>
        <w:rPr>
          <w:rFonts w:ascii="Times New Roman;Times;Serif" w:hAnsi="Times New Roman;Times;Serif"/>
          <w:b/>
          <w:i w:val="false"/>
          <w:caps w:val="false"/>
          <w:smallCaps w:val="false"/>
          <w:sz w:val="20"/>
          <w:u w:val="single"/>
        </w:rPr>
        <w:t>Delegation of Duties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execute any of its duties under any of the Transaction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Group Agent may execute any of its duties hereunder and each Transaction Document by or through agents or attorneys-in-fact and shall be entitled to advice of counsel concerning all matters pertaining to such duties. No Lender Group Agent shall be responsible for the negligence or misconduct of any agents or attorneys-in-fact selected by it with reasonable care.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12.3. </w:t>
      </w:r>
      <w:r>
        <w:rPr>
          <w:rFonts w:ascii="Times New Roman;Times;Serif" w:hAnsi="Times New Roman;Times;Serif"/>
          <w:b/>
          <w:i w:val="false"/>
          <w:caps w:val="false"/>
          <w:smallCaps w:val="false"/>
          <w:sz w:val="20"/>
          <w:u w:val="single"/>
        </w:rPr>
        <w:t>Exculpatory Provisions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Administrative Agent, a Lender Group Agent nor any of their respective directors, officers, agents or employees shall be (i) liable for any action lawfully taken or omitted to be taken by it or them under or in connection with this Agreement (except for its, their or such Person’s own gross negligence or willful misconduct or, in the case of the Administrative Agent, the breach of its obligations expressly set forth in this Agreement) or (ii) responsible in any manner to any of the Secured Parties for any recitals, statements, representations or warranties made by the Borrower, the Servicer, the Seller contained in this Agreement or in any certificate, report, statement or other document referred to or provided for in, or received under or in connection with, this Agreement or any other Transaction Document to which it is a party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Four. Neither the Administrative Agent nor any Lender Group Agent shall be under any obligation to any Lender to ascertain or to inquire as to the observance or performance of any of the agreements or covenants contained in, or conditions of, this Agreement, or to inspect the properties, books or records of the Borrower. The Administrative Agent shall not be deemed to have knowledge of any Termination Event or Servicer Termination Event unless it has received written notice thereof from the Borrower, the Servicer or a Secured Party.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12.4. </w:t>
      </w:r>
      <w:r>
        <w:rPr>
          <w:rFonts w:ascii="Times New Roman;Times;Serif" w:hAnsi="Times New Roman;Times;Serif"/>
          <w:b/>
          <w:i w:val="false"/>
          <w:caps w:val="false"/>
          <w:smallCaps w:val="false"/>
          <w:sz w:val="20"/>
          <w:u w:val="single"/>
        </w:rPr>
        <w:t>Reliance</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and each Lender Group Agent shall be entitled to rely, and shall be fully protected in relying, upon any writing, resolution, notice, consent, certificate, affidavit, letter, cablegram, telegram, telecopy, telex or teletype message, written statement, order or other document or conversation believed by it to be genuine and correct and to have been signed, sent or made by the proper Person or Persons and upon advice and statements of legal counsel (including counsel to the Administrative Agent or such Lender Group Agent), independent accountants and other experts selected by the Administrative Agent or such Lender Group Agent.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and each Lender Group Agent shall be fully justified in failing or refusing to take any action under any of the Transaction Documents unless it shall first receive such advice or concurrence of the Required Lenders as it deems appropriate or it shall first be indemnified to its satisfaction by the Lenders (in the case of the Administrative Agent) or the Lenders that are members of its Lender Group (in the case of a Lender Group Agent), on a joint and several basis, against any and all liability and expense which may be incurred by it by reason of taking or continuing to take any such action.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each Lender Group Agent shall in all cases be fully protected in acting, or in refraining from acting, under any of the Transaction Documents in accordance with a request of the Required Lenders or any Lender, as applicable (in the case of the Administrative Agent), or the Lenders that are members of its Lender Group (in the case of a Lender Group Agent) and such request and any action taken or failure to act pursuant thereto shall be binding upon all present and future Lenders (in the case of the Administrative Agent) or the Lenders that are members of its Lender Group (in the case of a Lender Group Agent).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Administrative Agent nor any Lender Group Agent shall be deemed to have knowledge or notice of the occurrence of any breach of this Agreement or the occurrence of any Termination Event unless it has received notice from the Borrower, the Servicer or any Lender, referring to this Agreement and describing such event. In the event that the Administrative Agent or any Lender Group Agent receives such a notice, it shall promptly give notice thereof to each Lender (in the case of the Administrative Agent) or each Lender that is a member of its Lender Group and the Administrative Agent (in the case of a Lender Group Agent). The Administrative Agent or any Lender Group Agent shall take such action with respect to such event as shall be reasonably directed in writing by the Required Lenders (in the case of the Administrative Agent) or by the Lenders that are members of its Lender Group (in the case of a Lender Group Agent).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12.5. </w:t>
      </w:r>
      <w:r>
        <w:rPr>
          <w:rFonts w:ascii="Times New Roman;Times;Serif" w:hAnsi="Times New Roman;Times;Serif"/>
          <w:b/>
          <w:i w:val="false"/>
          <w:caps w:val="false"/>
          <w:smallCaps w:val="false"/>
          <w:sz w:val="20"/>
          <w:u w:val="single"/>
        </w:rPr>
        <w:t>Non-Reliance on Agents and Other Lenders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expressly acknowledges that neither the Administrative Agent, any Lender Group Agent nor any of their respective officers, directors, employees, agents, attorneys-in-fact or Affiliates has made any representations or warranties to it and that no act by the Administrative Agent or any Lender Group Agent hereafter taken, including any review of the affairs of the Borrower, the Seller, the Servicer, the Seller, the Paying Agent, the Backup Servicer and the Custodian shall be deemed to constitute any representation or warranty by the Administrative Agent or any Lender Group Agent to the Lenders (in the case of the Administrative Agent) or the Lenders that are members of its Lender Group (in the case of the Lender Group Agent). Each Lender represents to the Administrative Agent and each Lender Group Agent that it has, independently and without reliance upon the Administrative Agent, any Lender Group Agent or any other Lender, and based on such documents and information as it has deemed appropriate, made its own appraisal of and investigation into the business, operations, property, financial and other condition and creditworthiness of the Borrower, the Servicer, the Seller, the Paying Agent, the Backup Servicer and the Custodian and the Receivables and made its own decision to purchase its interest in its Loans hereunder and enter into this Agreement. Each Lender also represents that it will, independently and without reliance upon the Administrative Agent, any Lender Group Agent or any other Lender, and based on such documents and information as it shall deem appropriate at the time, continue to make its own analysis, appraisals and decisions in taking or not taking action under any of the Transaction Documents, and to make such investigation as it deems necessary to inform itself as to the business, operations, property, financial and other condition and creditworthiness of the Borrower, the Servicer, the Seller, the Paying Agent, the Backup Servicer and the Custodian and the Receivables. Except for notices, reports and other documents received by the Administrative Agent or any Lender Group Agent hereunder, neither the Administrative Agent nor any Lender Group Agent shall have any duty or responsibility to provide any Lender with any credit or other information concerning the business, operations, property, condition (financial or otherwise), prospects or creditworthiness of the Borrower, the Servicer, the Seller, the Paying Agent, the Backup Servicer and the Custodian or the Receivables which may come into the possession of the Administrative Agent or such Lender Group Agent or any of their respective officers, directors, employees, agents, attorneys-in-fact or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12.6. </w:t>
      </w:r>
      <w:r>
        <w:rPr>
          <w:rFonts w:ascii="Times New Roman;Times;Serif" w:hAnsi="Times New Roman;Times;Serif"/>
          <w:b/>
          <w:i w:val="false"/>
          <w:caps w:val="false"/>
          <w:smallCaps w:val="false"/>
          <w:sz w:val="20"/>
          <w:u w:val="single"/>
        </w:rPr>
        <w:t>Indemnification</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Group Agent agrees to indemnify, severally, in proportion to each such Lender Group’s then-applicable Lender Group Share, the Administrative Agent in its capacity as such (without limiting the obligation (if any) of the Borrower or the Servicer to reimburse the Administrative Agent for any such amounts), from and against any and all liabilities, obligations, losses, damages, penalties, actions, judgments, suits, costs, expenses or disbursements of any kind whatsoever which may at any time (including at any time following the payment of the obligations under this Agreement, including the Principal Amount Outstanding)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no Lender Group Agent shall be liable for the payment of any portion of such liabilities, obligations, losses, damages, penalties, actions, judgments, suits, costs, expenses or disbursements of the Administrative Agent resulting from its own gross negligence or willful misconduct. The provisions of this </w:t>
      </w:r>
      <w:r>
        <w:rPr>
          <w:rFonts w:ascii="Times New Roman;Times;Serif" w:hAnsi="Times New Roman;Times;Serif"/>
          <w:b w:val="false"/>
          <w:i w:val="false"/>
          <w:caps w:val="false"/>
          <w:smallCaps w:val="false"/>
          <w:sz w:val="20"/>
          <w:u w:val="single"/>
        </w:rPr>
        <w:t>Section 12.6</w:t>
      </w:r>
      <w:r>
        <w:rPr>
          <w:rFonts w:ascii="Times New Roman;Times;Serif" w:hAnsi="Times New Roman;Times;Serif"/>
          <w:b w:val="false"/>
          <w:i w:val="false"/>
          <w:caps w:val="false"/>
          <w:smallCaps w:val="false"/>
          <w:sz w:val="20"/>
        </w:rPr>
        <w:t xml:space="preserve"> shall survive the payment of the obligations under this Agreement, including the Principal Amount Outstanding, the termination of this Agreement, and any resignation or removal of the Administrative Agent.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Lenders that are members of each Lender Group agree to reimburse and indemnify the related Lender Group Agent and its officers, directors, employees, representatives and agents ratably according to their Commitment Percentages, to the extent not paid or reimbursed by the Borrower or the Servicer (i) for any amounts for which such Lender Group Agent, acting in its capacity as Lender Group Agent, is entitled to reimbursement by the Borrower or the Servicer hereunder and (ii) for any other expenses incurred by such Lender Group Agent, in its capacity as Lender Group Agent acting on behalf of the Lenders that are members of such Lender Group, in connection with the administration and enforcement of this Agreement and the Transaction Documents.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12.7. </w:t>
      </w:r>
      <w:r>
        <w:rPr>
          <w:rFonts w:ascii="Times New Roman;Times;Serif" w:hAnsi="Times New Roman;Times;Serif"/>
          <w:b/>
          <w:i w:val="false"/>
          <w:caps w:val="false"/>
          <w:smallCaps w:val="false"/>
          <w:sz w:val="20"/>
          <w:u w:val="single"/>
        </w:rPr>
        <w:t>Agents in Their Individual Capacities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each Lender Group Agent and their respective Affiliates may make loans to, accept deposits from and generally engage in any kind of business with the Borrower and any other party to a Transaction Document as though the Administrative Agent or such Lender Group Agent were not the Administrative Agent or a Lender Group Agent hereunder. None of the provisions to this Agreement shall require the Administrative Agent or any Lender Group Agent to expend or risk its own funds or otherwise to incur any liability, financial or otherwise, in the performance of any of their respective duties hereunder, or in the exercise of any of their respective rights or powers if the Administrative Agent or such Lender Group Agent shall have reasonable grounds for believing that repayment of such funds or indemnity satisfactory to such party against such risk or liability is not assured.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12.8. </w:t>
      </w:r>
      <w:r>
        <w:rPr>
          <w:rFonts w:ascii="Times New Roman;Times;Serif" w:hAnsi="Times New Roman;Times;Serif"/>
          <w:b/>
          <w:i w:val="false"/>
          <w:caps w:val="false"/>
          <w:smallCaps w:val="false"/>
          <w:sz w:val="20"/>
          <w:u w:val="single"/>
        </w:rPr>
        <w:t>Successor Agents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and each Lender Group Agent may resign as Administrative Agent or Lender Group Agent upon sixty (60) days’ notice to each Lender and the Borrower with such resignation becoming effective upon a successor agent succeeding to the rights, powers and duties of the Administrative Agent or such Lender Group Agent pursuant to this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Administrative Agent shall resign as Administrative Agent under this Agreement, then the Required Lenders shall appoint a successor administrative agent, which may be a Lender, and, if not a Lender, with the prior written consent of the Borrower (such consent not to be unreasonably withheld or delayed). Any successor administrative agent shall succeed to the rights, powers and duties of resigning Administrative Agent, and the term “</w:t>
      </w:r>
      <w:r>
        <w:rPr>
          <w:rFonts w:ascii="Times New Roman;Times;Serif" w:hAnsi="Times New Roman;Times;Serif"/>
          <w:b w:val="false"/>
          <w:i/>
          <w:caps w:val="false"/>
          <w:smallCaps w:val="false"/>
          <w:sz w:val="20"/>
          <w:u w:val="single"/>
        </w:rPr>
        <w:t>Administrative Agent</w:t>
      </w:r>
      <w:r>
        <w:rPr>
          <w:rFonts w:ascii="Times New Roman;Times;Serif" w:hAnsi="Times New Roman;Times;Serif"/>
          <w:b w:val="false"/>
          <w:i w:val="false"/>
          <w:caps w:val="false"/>
          <w:smallCaps w:val="false"/>
          <w:sz w:val="20"/>
        </w:rPr>
        <w:t>” shall mean such successor administrative agent effective upon its appointment, and the former Administrative Agent’s rights, powers and duties as Agent shall be terminated, without any other or further act or deed on the part of the former Administrative Agent or any of the parties to this Agreement. After the retiring Administrative Agent’s resignation as Administrative Agent, the provisions of this Article shall inure to its benefit as to any actions taken or omitted to be taken by it while it was Agent under this Agreement. If no such successor Administrative Agent shall have been so appointed, and shall have accepted such appointment, within thirty (30) days after the retiring Administrative Agent’s giving of notice of resignation, then the retiring Administrative Agent may, on behalf of the Secured Parties, appoint a successor Administrative Agent which successor Administrative Agent shall be either (i) a commercial bank organized under the laws of the United States or of any state thereof and have a combined capital and surplus of at least [***], (ii) a Lender or (iii) an Affiliate of such a bank or a Lender.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 Lender Group Agent shall resign as Lender Group Agent under this Agreement, then the Banks holding a Majority-In-Interest shall, during the sixty (60) day period referenced in </w:t>
      </w:r>
      <w:r>
        <w:rPr>
          <w:rFonts w:ascii="Times New Roman;Times;Serif" w:hAnsi="Times New Roman;Times;Serif"/>
          <w:b w:val="false"/>
          <w:i w:val="false"/>
          <w:caps w:val="false"/>
          <w:smallCaps w:val="false"/>
          <w:sz w:val="20"/>
          <w:u w:val="single"/>
        </w:rPr>
        <w:t>Section 12.8(a)</w:t>
      </w:r>
      <w:r>
        <w:rPr>
          <w:rFonts w:ascii="Times New Roman;Times;Serif" w:hAnsi="Times New Roman;Times;Serif"/>
          <w:b w:val="false"/>
          <w:i w:val="false"/>
          <w:caps w:val="false"/>
          <w:smallCaps w:val="false"/>
          <w:sz w:val="20"/>
        </w:rPr>
        <w:t>, appoint, from among the remaining Banks that are members of such Lender Group, a successor Lender Group Agent reasonably acceptable to the Borrower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Borrower’s consent shall not be required if any Termination Event or Amortization Event shall have occurred), whereupon such successor Lender Group Agent shall succeed to the rights, powers and duties of the Lender Group Agent for such Lender Group and the term “</w:t>
      </w:r>
      <w:r>
        <w:rPr>
          <w:rFonts w:ascii="Times New Roman;Times;Serif" w:hAnsi="Times New Roman;Times;Serif"/>
          <w:b w:val="false"/>
          <w:i/>
          <w:caps w:val="false"/>
          <w:smallCaps w:val="false"/>
          <w:sz w:val="20"/>
          <w:u w:val="single"/>
        </w:rPr>
        <w:t>Lender Group Agent</w:t>
      </w:r>
      <w:r>
        <w:rPr>
          <w:rFonts w:ascii="Times New Roman;Times;Serif" w:hAnsi="Times New Roman;Times;Serif"/>
          <w:b w:val="false"/>
          <w:i w:val="false"/>
          <w:caps w:val="false"/>
          <w:smallCaps w:val="false"/>
          <w:sz w:val="20"/>
        </w:rPr>
        <w:t>”, as it relates to such Lender Group, shall mean such successor agent, effective upon its appointment, and the former Lender Group Agent’s rights, powers and duties as Lender Group Agent shall be terminated without any further act or deed on the part of such former Lender Group Agent or any of the parties to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Assignments; Participations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13.1. </w:t>
      </w:r>
      <w:r>
        <w:rPr>
          <w:rFonts w:ascii="Times New Roman;Times;Serif" w:hAnsi="Times New Roman;Times;Serif"/>
          <w:b/>
          <w:i w:val="false"/>
          <w:caps w:val="false"/>
          <w:smallCaps w:val="false"/>
          <w:sz w:val="20"/>
          <w:u w:val="single"/>
        </w:rPr>
        <w:t>Assignments and Participations</w:t>
      </w:r>
      <w:r>
        <w:rPr>
          <w:rFonts w:ascii="Times New Roman;Times;Serif" w:hAnsi="Times New Roman;Times;Serif"/>
          <w:b/>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Lender may upon at least sixty (60) days’ notice to the applicable Lender Group Agent and the Administrative Agent, assign to one or more banks, conduits or other entities all or a portion of its rights and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 or an integral multiple of [***] in excess of that amount and (B) the full amount of the assigning Lender’s Commitment, (iii) provided no Termination Event shall have occurred and be continuing, each such assignment shall be to an Eligible Assignee, (iv) the parties to each such assignment shall execute and deliver to the related Lender Group Agent and the Administrative Agent, for their respective acceptance and recording in the Register, an Assignment and Acceptance, together with a processing and recordation fee of [***], payable to the Administrative Agent, or such lesser amount as shall be approved by the Required Lenders, (v) the parties to each such assignment shall have agreed to reimburse such Lender Group Agent and the Administrative Agent for all reasonable fees, costs and expenses (including the reasonable fees and out-of-pocket expenses of counsel for such Lender Group Agent and the Administrative Agent) incurred by such Lender Group Agent and the Administrative Agent in connection with such assignment, (vi) each Person that becomes a Lender under an Assignment and Acceptance shall agree to be bound by the confidentiality provisions of Article Fourteen, and (vii) there shall be no increased costs, expenses or taxes incurred by the related Lender Group Agent or the Administrative Agent upon assignment or participation. Upon such execution, delivery and acceptance by related Lender Group Agent and the Administrative Agent and the recording by the related Lender Group Agent and the Administrative Agent, from and after the effective date specified in each Assignment and Acceptance, which effective date shall be the date of acceptance thereof by the related Lender Group Agent and the Administrative Agent, unless a later date is specified therein, (i) the assignee thereunder shall be a party hereto and, to the extent that rights and obligations hereunder have been assigned to it pursuant to such Assignment and Acceptance, have the rights and obligations of a Lender hereunder and (ii)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the Administrative Agent, the related Lender Group Agent, such assigning Lender or any other Lender and based on such documents and information as it shall deem appropriate at the time, continue to make its own credit decisions in taking or not taking action under this Agreement; (iv) such assigning Lender and such assignee confirm that such assignee is an Eligible Assignee; (v) such assignee appoints and authorizes the Administrative Agent and the related Lender Group Agent to take such action as agent on its behalf and to exercise such powers under this Agreement as are delegated to such parties by the terms hereof, together with such powers as are reasonably incidental thereto; and (vi) such assignee agrees that it will perform in accordance with their terms all of the obligations which by the terms of this Agreement are required to be performed by it as a Lender.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Group Agent and the Administrative Agent, acting in such capacity as an agent of the Borrower, shall maintain at its address located in the United States and as referred to herein a copy of each Assignment and Acceptance delivered to and accepted by it and a register for the recordation of the names, addresses and Commitment of each Lender and the principal amount (and stated interest) of each Loan made by each Lender from time to time (the “</w:t>
      </w:r>
      <w:r>
        <w:rPr>
          <w:rFonts w:ascii="Times New Roman;Times;Serif" w:hAnsi="Times New Roman;Times;Serif"/>
          <w:b w:val="false"/>
          <w:i/>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and binding for all purposes, absent manifest error, and the Borrower, the Administrative Agent, each Lender Group Agent and each Lender may treat each Person whose name is recorded in the Register as a Lender hereunder for all purposes of this Agreement. The Register shall be available for inspection by the Borrower, the Administrative Agent, any Lender Group Agent or any Lender at any reasonable time and from time to time upon reasonable prior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Subject to the provisions of </w:t>
      </w:r>
      <w:r>
        <w:rPr>
          <w:rFonts w:ascii="Times New Roman;Times;Serif" w:hAnsi="Times New Roman;Times;Serif"/>
          <w:b w:val="false"/>
          <w:i w:val="false"/>
          <w:caps w:val="false"/>
          <w:smallCaps w:val="false"/>
          <w:sz w:val="20"/>
          <w:u w:val="single"/>
        </w:rPr>
        <w:t>Sections 13.1(a)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upon its receipt of an Assignment and Acceptance executed by an assigning Lender and an assignee, the related Lender Group Agent and the Administrative Agent shall, if such Assignment and Acceptance has been completed, accept such Assignment and Acceptance, and the related Lender Group Agent and the Administrative Agent shall then record the information contained therein in the Register.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Lender may sell participations to one or more banks or other entities in or to all or a portion of its rights and obligations under this Agreement (including all or a portion of the Commitment and each Loan owned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such Lender’s obligations under this Agreement (including its Commitment hereunder) shall remain unchanged, (ii) such Lender shall remain solely responsible to the other parties hereto for the performance of such obligations and (iii) the related Lender Group Agent shall continue to deal solely and directly with such Lender in connection with such Lender’s rights and obligations under this Agreement. Notwithstanding anything herein to the contrary, each participant shall have the rights of a Lender (including any right to receive payment) under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participant shall be entitled to receive payment under such Section in excess of the amount that would have been payable under such Section by the Borrower to any Lender granting its participation had such participation not been granted, and such Lender so granting a participation shall not be entitled to receive payment under such Section in an amount which exceeds the sum of (i) the amount to which such Lender is entitled under such Section with respect to any portion of any Loan owned by such Lender which is not subject to any participation plus (ii) the aggregate amount to which its participants are entitled under such Section with respect to the amounts of their respective participations. With respect to any participation described in this Section, the participant’s rights as set forth in the agreement between such participant and each Lender to agree to or to restrict such Lender’s ability to agree to any modification, waiver or release of any of the terms of this Agreement or to exercise or refrain from exercising any powers or rights which such Lender may have under or in respect of this Agreement shall be limited to the right to consent to any of the matters set forth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Each Lender that sells a participation shall, acting solely for this purpose as an agent of the Borrower, maintain a register substantially identical to the Register set forth in </w:t>
      </w:r>
      <w:r>
        <w:rPr>
          <w:rFonts w:ascii="Times New Roman;Times;Serif" w:hAnsi="Times New Roman;Times;Serif"/>
          <w:b w:val="false"/>
          <w:i w:val="false"/>
          <w:caps w:val="false"/>
          <w:smallCaps w:val="false"/>
          <w:sz w:val="20"/>
          <w:u w:val="single"/>
        </w:rPr>
        <w:t>Section 13.1(d)</w:t>
      </w:r>
      <w:r>
        <w:rPr>
          <w:rFonts w:ascii="Times New Roman;Times;Serif" w:hAnsi="Times New Roman;Times;Serif"/>
          <w:b w:val="false"/>
          <w:i w:val="false"/>
          <w:caps w:val="false"/>
          <w:smallCaps w:val="false"/>
          <w:sz w:val="20"/>
        </w:rPr>
        <w:t xml:space="preserve"> on which it enters the name and address of each Participant and the principal amounts (and stated interest) of each participant’s interest in a Loan (the “</w:t>
      </w:r>
      <w:r>
        <w:rPr>
          <w:rFonts w:ascii="Times New Roman;Times;Serif" w:hAnsi="Times New Roman;Times;Serif"/>
          <w:b w:val="false"/>
          <w:i/>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no Lender shall have any obligation to disclose all or any portion of the Participant Register to any Person except to the extent that such disclosure is necessary (including upon audit or IRS guidance) to establish that such Loan or obligation is in registered form under Section 5f.103-1(c) of the United States Treasury Regulations. The entries in the Participant Register shall be conclusive, absent manifest error, and such Lender shall, subject to the other provisions of this Agreement, treat each person whose name is recorded in the Participant Register as the owner of such participation for all purposes of this Agreement notwithstanding any notice to the contrary.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foregoing to the contrary, prior to the occurrence of a Termination Date no Lender may sell a participation to any Person other than an Eligible Assignee without first seeking the consent of the Borrower to such sale (which consent shall not be unreasonably withheld or delayed) by sending written notice to the Borrower informing it of such Lender’s intention to make such sale, the name of the proposed participant and requesting the Borrower’s consent to same. If such Lender does not receive an objection from the Borrower within ten (10) Business Days (which objection may take the form of an electronic communication or telephone advice) of delivery of such notice, the Borrower shall be deemed to have consented to such sale and proceed.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Lender may, in connection with any assignment or participation or proposed assignment or participation pursuant to this Section, disclose to the assignee or participant or proposed assignee or participant any information, including Confidential Information, relating to the Borrower furnished to such Lender by or on behalf of the Borrower.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Nothing herein shall prohibit any Lender from pledging or assigning as collateral any of its rights under this Agreement to any Federal Reserve Bank in accordance with applicable law and any such pledge or collateral assignment may be made without compliance with </w:t>
      </w:r>
      <w:r>
        <w:rPr>
          <w:rFonts w:ascii="Times New Roman;Times;Serif" w:hAnsi="Times New Roman;Times;Serif"/>
          <w:b w:val="false"/>
          <w:i w:val="false"/>
          <w:caps w:val="false"/>
          <w:smallCaps w:val="false"/>
          <w:sz w:val="20"/>
          <w:u w:val="single"/>
        </w:rPr>
        <w:t>Section 13.1(a)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13.1(b)</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Mutual Covenants Regarding Confidentiality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14.1. </w:t>
      </w:r>
      <w:r>
        <w:rPr>
          <w:rFonts w:ascii="Times New Roman;Times;Serif" w:hAnsi="Times New Roman;Times;Serif"/>
          <w:b/>
          <w:i w:val="false"/>
          <w:caps w:val="false"/>
          <w:smallCaps w:val="false"/>
          <w:sz w:val="20"/>
          <w:u w:val="single"/>
        </w:rPr>
        <w:t>Covenants of the Borrower, the Servicer and the Custodian</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Borrower, the Servicer and the Custodian severally and with respect to itself only, covenants and agrees to hold in confidence, and not disclose to any Person, the terms of this Agreement (including any fees payable in connection with this Agreement or the identity of any Lender under this Agreement), except as the Administrative Agent and all Lenders may have consented to in writing prior to any proposed disclosure and except that it may disclose such information (i) to its officers, directors, employees, investors, potential investors, subservicers, Advisors or representatives (such Persons, “</w:t>
      </w:r>
      <w:r>
        <w:rPr>
          <w:rFonts w:ascii="Times New Roman;Times;Serif" w:hAnsi="Times New Roman;Times;Serif"/>
          <w:b w:val="false"/>
          <w:i/>
          <w:caps w:val="false"/>
          <w:smallCaps w:val="false"/>
          <w:sz w:val="20"/>
          <w:u w:val="single"/>
        </w:rPr>
        <w:t>Excepted Persons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each Excepted Person shall, as a condition to any such disclosure, agree for the benefit of other parties hereto that such information shall be used solely in connection with such Excepted Person’s evaluation of, or relationship with, the Borrower and its Affiliates, and shall not be further disclosed by such Excepted Person, (ii) to the extent such information has become available to the public other than as a result of a disclosure by or through the Borrower, the Servicer or the Custodian, (iii) to Capital One Bank or its Affiliates or (iv) to the extent it is (a) required by Applicable Law (including filing a copy of this Agreement and the other Transaction Documents (other than the Fee Letter and excluding from any such copy the identity of the Lenders)) as exhibits to filings required to be made with the Securities and Exchange Commission, or in connection with any legal or regulatory proceeding or (b) requested by any Governmental Authority to disclose such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in the case of </w:t>
      </w:r>
      <w:r>
        <w:rPr>
          <w:rFonts w:ascii="Times New Roman;Times;Serif" w:hAnsi="Times New Roman;Times;Serif"/>
          <w:b w:val="false"/>
          <w:i w:val="false"/>
          <w:caps w:val="false"/>
          <w:smallCaps w:val="false"/>
          <w:sz w:val="20"/>
          <w:u w:val="single"/>
        </w:rPr>
        <w:t>clause (iv)(a)</w:t>
      </w:r>
      <w:r>
        <w:rPr>
          <w:rFonts w:ascii="Times New Roman;Times;Serif" w:hAnsi="Times New Roman;Times;Serif"/>
          <w:b w:val="false"/>
          <w:i w:val="false"/>
          <w:caps w:val="false"/>
          <w:smallCaps w:val="false"/>
          <w:sz w:val="20"/>
        </w:rPr>
        <w:t>, the Borrower, the Servicer and the Custodian, as applicable, will use all reasonable efforts to maintain confidentiality and will (unless otherwise prohibited by law) notify each Lender and the Administrative Agent of its intention to make any such disclosure prior to making such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14.2. </w:t>
      </w:r>
      <w:r>
        <w:rPr>
          <w:rFonts w:ascii="Times New Roman;Times;Serif" w:hAnsi="Times New Roman;Times;Serif"/>
          <w:b/>
          <w:i w:val="false"/>
          <w:caps w:val="false"/>
          <w:smallCaps w:val="false"/>
          <w:sz w:val="20"/>
          <w:u w:val="single"/>
        </w:rPr>
        <w:t>Covenants of the Administrative Agent, each Lender Group Agent, each Lender and the Custodian</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Administrative Agent, each Lender Group Agent, each Lender, any Successor Servicer and the Custodian covenants and agrees that it will not disclose any of theConfidential Information now or hereafter received or obtained by it without the Borrower’s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it may disclose any such Confidential Information to those of its employees or Affiliates directly involved in the transactions contemplated by the Transaction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Administrative Agent, the Lender Group Agents, the Lenders, any Successor Servicer and the Custodian acknowledge and understand that the Confidential Information may contain “nonpublic personal information” as that term is defined in Section 6809(4) of the Gramm-Leach-Bliley Act (the “</w:t>
      </w:r>
      <w:r>
        <w:rPr>
          <w:rFonts w:ascii="Times New Roman;Times;Serif" w:hAnsi="Times New Roman;Times;Serif"/>
          <w:b w:val="false"/>
          <w:i/>
          <w:caps w:val="false"/>
          <w:smallCaps w:val="false"/>
          <w:sz w:val="20"/>
          <w:u w:val="single"/>
        </w:rPr>
        <w:t>Act</w:t>
      </w:r>
      <w:r>
        <w:rPr>
          <w:rFonts w:ascii="Times New Roman;Times;Serif" w:hAnsi="Times New Roman;Times;Serif"/>
          <w:b w:val="false"/>
          <w:i w:val="false"/>
          <w:caps w:val="false"/>
          <w:smallCaps w:val="false"/>
          <w:sz w:val="20"/>
        </w:rPr>
        <w:t xml:space="preserve">”) and each of the Administrative Agent, the Lender Group Agents, the Lenders, any Successor Servicer and the Custodian, employees, Affiliates, directly involved in the transaction contemplated by the Transaction Documents and its respective Advisors agree to maintain such nonpublic personal information received hereunder in accordance with the Act and other applicable federal and state privacy laws. Each of the Administrative Agent, the Lender Group Agents, the Lenders, any Successor Servicer and the Custodian shall, and shall direct employees, Affiliates directly involved in the transaction contemplated by the Transaction Documents and its respective Advisors to (i) not disclose such nonpublic personal information to any third party, including third party service providers, without the prior written consent of the Borrower and the Servicer; (ii) agree not to use nonpublic personal information for any purpose not reasonably contemplated by their respective roles in the transaction contemplated by the Transaction Documents; (iii) protect against any unauthorized access to or use of such nonpublic personal information; (iv) in the event of any actual or apparent theft, unauthorized use or disclosure of such nonpublic personal information, immediately commence all reasonable efforts to investigate and correct the causes and remediate the results thereof; and (v) as soon as practicable following discovery of any event described in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hereof, provide notice thereof to the Borrower and the Servicer, and such further information and assistance as may be reasonably requested by either of them.</w:t>
      </w:r>
    </w:p>
    <w:p>
      <w:pPr>
        <w:pStyle w:val="TextBody"/>
        <w:bidi w:val="0"/>
        <w:spacing w:before="0" w:after="0"/>
        <w:ind w:left="1440" w:right="432"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Administrative Agent, the Lender Group Agents, the Lenders, any Successor Servicer and the Custodian may also disclose any such Confidential Information to its Advisors and to any nationally recognized statistical rating organization and to any officers, directors, employees, investors, outside accountants and attorneys of any of the foregoing, provided each such Person is informed of the confidential nature of such information.</w:t>
      </w:r>
    </w:p>
    <w:p>
      <w:pPr>
        <w:pStyle w:val="TextBody"/>
        <w:bidi w:val="0"/>
        <w:spacing w:before="0" w:after="0"/>
        <w:ind w:left="1439" w:right="432"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herein to the contrary, nothing herein shall be construed to prohibit (i) disclosure of any and all information that is or becomes publicly known; (ii) disclosure of any and all information (a) if required to do so by any applicable statute, law, rule or regulation, (b) to any government agency or regulatory body having or claiming authority to regulate or oversee any respects of the Administrative Agent’s, the Lender Group Agents’, the Lenders’, the Secured Parties’, the Custodian’s, the Borrower’s or the Seller’s business or that of their affiliates, (c) pursuant to any subpoena, civil investigative demand or similar demand or request of any court, regulatory authority, arbitrator or arbitration to which the Administrative Agent, any Lender Group Agent, any Lender, the Secured Parties, the Custodian, the Borrower or the Seller or an officer, director, employer, shareholder or affiliate of any of the foregoing is a party, (d) in any preliminary or final offering circular, registration statement or contract or other document approved in advance by the Borrower, the Servicer or the Seller or (e) to any affiliate, independent or internal auditor, agent (including any potential sub-or-successor servicer), employee or attorney of the Custodian having a need to know the same,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Custodian advises such recipient of the confidential nature of the information being disclosed and such person agrees to the terms hereof for the benefit of the Borrower, the Servicer and the Seller; or (iii) any other disclosure authorized by the Borrower, the Servicer or the Seller.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is understood that the Administrative Agent, each Lender Group Agent and each Lender or its Affiliates may be required to disclose (and may so disclose, without liability hereunder) the Confidential Information or portions thereof at the request of a bank examiner or other regulatory authority or in connection with an examination of it or its Affiliates by a bank examiner or other regulatory authority, including in connection with the regulatory compliance policy of Administrative Agent, any Lender Group Agent or any Lender.</w:t>
      </w:r>
    </w:p>
    <w:p>
      <w:pPr>
        <w:pStyle w:val="TextBody"/>
        <w:bidi w:val="0"/>
        <w:spacing w:before="0" w:after="0"/>
        <w:ind w:left="1440" w:right="434"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of the Administrative Agent, the Lender Group Agents, the Lenders, any Successor Servicer and the Custodian agrees that (i) its obligations under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xml:space="preserve"> shall survive the termination of this Agreement for a period of (A) with respect to the Servicing Guidelines and Contract Purchase Guidelines, two (2) years and (B) with respect to all other Confidential Information, two (2) years and (ii) it will, upon the termination of this Agreement and the repayment of all Obligations owing by the Borrower hereunder, return any copies of the Servicing Guidelines and the Contract Purchase Guidelines (and any Confidential Information related thereto) then in its possession to the Servicer, except such copies and related materials as are required to be retained by applicable law, regulation, professional standard or internal compliance policies, which copies shall remain subject to the terms of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xml:space="preserve"> for so long as they are so retained.</w:t>
      </w:r>
    </w:p>
    <w:p>
      <w:pPr>
        <w:pStyle w:val="TextBody"/>
        <w:bidi w:val="0"/>
        <w:spacing w:before="0" w:after="0"/>
        <w:ind w:left="1439" w:right="432"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not prohibited by applicable law, each party hereto shall use commercially reasonable efforts to give advance notice to each other party of any disclosure of such other party’s Confidential Information made pursuant to applicable law, regulation, court order or other legal process.</w:t>
      </w:r>
    </w:p>
    <w:p>
      <w:pPr>
        <w:pStyle w:val="TextBody"/>
        <w:bidi w:val="0"/>
        <w:spacing w:before="0" w:after="0"/>
        <w:ind w:left="1440" w:right="436"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5400" w:right="4318" w:firstLine="1"/>
        <w:jc w:val="center"/>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15.1. </w:t>
      </w:r>
      <w:r>
        <w:rPr>
          <w:rFonts w:ascii="Times New Roman;Times;Serif" w:hAnsi="Times New Roman;Times;Serif"/>
          <w:b/>
          <w:i w:val="false"/>
          <w:caps w:val="false"/>
          <w:smallCaps w:val="false"/>
          <w:sz w:val="20"/>
          <w:u w:val="single"/>
        </w:rPr>
        <w:t>Amendments and Waivers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or delay on the part of the Administrative Agent, any Lender Group Agent or any Lender in exercising any power, right or remedy under this Agreement shall operate as a waiver thereof, nor shall any single or partial exercise of any such power, right or remedy preclude any other further exercise thereof or the exercise of any other power, right or remedy. The rights and remedies herein provided shall be cumulative and nonexclusive of any rights or remedies provided by law. Any waiver of this Agreement shall be effective only in the specific instance and for the specific purpose for which given.</w:t>
      </w:r>
    </w:p>
    <w:p>
      <w:pPr>
        <w:pStyle w:val="TextBody"/>
        <w:bidi w:val="0"/>
        <w:spacing w:before="0" w:after="0"/>
        <w:ind w:left="80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provision of this Agreement or any other Transaction Document may be amended, supplemented, modified or waived except in writing in accordance with the provisions of this </w:t>
      </w:r>
      <w:r>
        <w:rPr>
          <w:rFonts w:ascii="Times New Roman;Times;Serif" w:hAnsi="Times New Roman;Times;Serif"/>
          <w:b w:val="false"/>
          <w:i w:val="false"/>
          <w:caps w:val="false"/>
          <w:smallCaps w:val="false"/>
          <w:sz w:val="20"/>
          <w:u w:val="single"/>
        </w:rPr>
        <w:t>Section 15.1(b)</w:t>
      </w:r>
      <w:r>
        <w:rPr>
          <w:rFonts w:ascii="Times New Roman;Times;Serif" w:hAnsi="Times New Roman;Times;Serif"/>
          <w:b w:val="false"/>
          <w:i w:val="false"/>
          <w:caps w:val="false"/>
          <w:smallCaps w:val="false"/>
          <w:sz w:val="20"/>
        </w:rPr>
        <w:t xml:space="preserve">. The Borrower, the Servicer, the Seller, the Lender Group Agents, the Administrative Agent and a Majority-In-Interest of the Lenders, may enter into written amendments, supplements, modifications or waivers of any provisions of this Agreement and any other Transaction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such amendment, supplement, modification or waiver (or consent to any departure by CPS, the Seller, the Servicer, the Borrower or any Lender of any performance under any Transaction Document) shall, without the written consent of all affected Lenders, (A) extend the Commitment Termination Date, Revolving Period or outside date for the Facility Termination Date with respect to such Lender or the date of any payment or deposit of Collections by the Borrower or the Servicer, (B) reduce the rate or extend the time of payment of Carrying Costs (or any component of Carrying Costs) or reduce any principal amount, (C) reduce any fee payable to the Administrative Agent for the benefit of the Lenders, (D) change any provision of this Agreement or the Purchase Agreement relating to the application of collections on, or the proceeds of the sale of, Collateral to payment of principal of or interest on the Loans held by any Lender or any other amount owed to the Lenders by the Borrower, the Seller or the Servicer under the Transaction Documents, including Section 2.7 hereof or (E) except pursuant to Article Thirteen hereof, change the amount of any Lender’s Commitment or Commitment Percentage;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such amendment, supplement, modification or waiver (or consent to any departure by CPS, the Seller, the Servicer, the Borrower or any Lender of any performance under any Transaction Document) shall, without the written consent of all Lenders, modify or eliminate any requirement set forth in this Agreement or the Purchase Agreement that the Administrative Agent and/or the Majority-in-Interest of the Lenders and/or any affected Lender or Lender Group Agent consent is required for the taking of any action, or that the consent of the Administrative Agent and/or the Majority-in-Interest of the Lenders and/or any affected Lender or Lender Group Agent is required for any waiver of compliance with provisions of this Agreement or the Purchase Agreement, or defaults hereunder or thereunder and their consequences provided for in this Agreement or, as applicable, the Purchase Agreement.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such amendment, supplement, modification or waiver (or consent to any departure by CPS, the Seller, the Servicer, the Borrower or any Lender of any performance under any Transaction Document) shall, without the written consent of all Lenders, modify the definition of Collateral or release the Administrative </w:t>
      </w:r>
      <w:r>
        <w:rPr>
          <w:rFonts w:ascii="Times New Roman;Times;Serif" w:hAnsi="Times New Roman;Times;Serif"/>
          <w:b w:val="false"/>
          <w:i w:val="false"/>
          <w:caps w:val="false"/>
          <w:smallCaps w:val="false"/>
          <w:strike/>
          <w:color w:val="FF0000"/>
          <w:sz w:val="20"/>
        </w:rPr>
        <w:t>Agent's</w:t>
      </w:r>
      <w:r>
        <w:rPr>
          <w:rFonts w:ascii="Times New Roman;Times;Serif" w:hAnsi="Times New Roman;Times;Serif"/>
          <w:b w:val="false"/>
          <w:i w:val="false"/>
          <w:caps w:val="false"/>
          <w:smallCaps w:val="false"/>
          <w:color w:val="0000FF"/>
          <w:sz w:val="20"/>
          <w:u w:val="single"/>
        </w:rPr>
        <w:t>Agent’s</w:t>
      </w:r>
      <w:r>
        <w:rPr>
          <w:rFonts w:ascii="Times New Roman;Times;Serif" w:hAnsi="Times New Roman;Times;Serif"/>
          <w:b w:val="false"/>
          <w:i w:val="false"/>
          <w:caps w:val="false"/>
          <w:smallCaps w:val="false"/>
          <w:sz w:val="20"/>
        </w:rPr>
        <w:t xml:space="preserve"> Lien on any material portion of the Collateral, or transfer all or any material portion of the Collateral, other than as specifically contemplated by this Agreement or the Purchase Agreement,;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such amendment, supplement, modification or waiver (or consent to any departure by CPS, the Seller, the Servicer, the Borrower or any Lender of any performance under any Transaction Document) shall, without the written consent of all Lenders, modify any provision of this Section 15.1;</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such amendment, supplement, modification or waiver (or consent to any departure by CPS, the Seller, the Servicer, the Borrower or any Lender of any performance under any Transaction Document) shall, without the written consent of all Lenders, increase or amend the “Class A Advance Rate”, the “Class B Advance Rate” or the “Class B Loan Thickness”;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such modification or waiver shall, without the written consent of the Required Lenders amend, modify or waive any provision of the definition of “</w:t>
      </w:r>
      <w:r>
        <w:rPr>
          <w:rFonts w:ascii="Times New Roman;Times;Serif" w:hAnsi="Times New Roman;Times;Serif"/>
          <w:b w:val="false"/>
          <w:i/>
          <w:caps w:val="false"/>
          <w:smallCaps w:val="false"/>
          <w:sz w:val="20"/>
          <w:u w:val="single"/>
        </w:rPr>
        <w:t>Required Lenders</w:t>
      </w:r>
      <w:r>
        <w:rPr>
          <w:rFonts w:ascii="Times New Roman;Times;Serif" w:hAnsi="Times New Roman;Times;Serif"/>
          <w:b w:val="false"/>
          <w:i w:val="false"/>
          <w:caps w:val="false"/>
          <w:smallCaps w:val="false"/>
          <w:sz w:val="20"/>
        </w:rPr>
        <w:t>” or the definition of “</w:t>
      </w:r>
      <w:r>
        <w:rPr>
          <w:rFonts w:ascii="Times New Roman;Times;Serif" w:hAnsi="Times New Roman;Times;Serif"/>
          <w:b w:val="false"/>
          <w:i/>
          <w:caps w:val="false"/>
          <w:smallCaps w:val="false"/>
          <w:sz w:val="20"/>
          <w:u w:val="single"/>
        </w:rPr>
        <w:t>Majority-In-Interest</w:t>
      </w:r>
      <w:r>
        <w:rPr>
          <w:rFonts w:ascii="Times New Roman;Times;Serif" w:hAnsi="Times New Roman;Times;Serif"/>
          <w:b w:val="false"/>
          <w:i w:val="false"/>
          <w:caps w:val="false"/>
          <w:smallCaps w:val="false"/>
          <w:sz w:val="20"/>
        </w:rPr>
        <w:t xml:space="preserve">” and no such amendment, supplement, modification or waiver (or consent to any departure by CPS, the Seller, the Servicer, the Borrower or any Lender of any performance under any Transaction Document) shall, without the written consent of all Lenders, (A) amend, modify or waive this </w:t>
      </w:r>
      <w:r>
        <w:rPr>
          <w:rFonts w:ascii="Times New Roman;Times;Serif" w:hAnsi="Times New Roman;Times;Serif"/>
          <w:b w:val="false"/>
          <w:i w:val="false"/>
          <w:caps w:val="false"/>
          <w:smallCaps w:val="false"/>
          <w:sz w:val="20"/>
          <w:u w:val="single"/>
        </w:rPr>
        <w:t>Section 15.1(b)</w:t>
      </w:r>
      <w:r>
        <w:rPr>
          <w:rFonts w:ascii="Times New Roman;Times;Serif" w:hAnsi="Times New Roman;Times;Serif"/>
          <w:b w:val="false"/>
          <w:i w:val="false"/>
          <w:caps w:val="false"/>
          <w:smallCaps w:val="false"/>
          <w:sz w:val="20"/>
        </w:rPr>
        <w:t>, (B) consent to or permit the assignment or transfer by the Borrower of any of its rights and obligations under this Agreement, (C) change the definition “</w:t>
      </w:r>
      <w:r>
        <w:rPr>
          <w:rFonts w:ascii="Times New Roman;Times;Serif" w:hAnsi="Times New Roman;Times;Serif"/>
          <w:b w:val="false"/>
          <w:i/>
          <w:caps w:val="false"/>
          <w:smallCaps w:val="false"/>
          <w:sz w:val="20"/>
          <w:u w:val="single"/>
        </w:rPr>
        <w:t>Available Liquidity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Amortization Event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Amortization Period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Net Eligible Receivables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Borrowing Base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Applicable Interest Rate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Change of Control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Class A Borrowing Base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Class A Borrowing Base Deficiency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Class A Interest Rate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Class B Borrowing Base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Class B Borrowing Base Deficiency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Class B Interest Rate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Class B Loan Thickness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Eligible Investments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Eligible Receivable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Eligible Servicer</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Excess Concentration Amounts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Financial Covenants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Level I Trigger Event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color w:val="0000FF"/>
          <w:sz w:val="20"/>
        </w:rPr>
        <w:t>“</w:t>
      </w:r>
      <w:r>
        <w:rPr>
          <w:rFonts w:ascii="Times New Roman;Times;Serif" w:hAnsi="Times New Roman;Times;Serif"/>
          <w:b w:val="false"/>
          <w:i/>
          <w:caps w:val="false"/>
          <w:smallCaps w:val="false"/>
          <w:sz w:val="20"/>
        </w:rPr>
        <w:t>Indemnified Parties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Level II Trigger Event</w:t>
      </w:r>
      <w:r>
        <w:rPr>
          <w:rFonts w:ascii="Times New Roman;Times;Serif" w:hAnsi="Times New Roman;Times;Serif"/>
          <w:b w:val="false"/>
          <w:i/>
          <w:caps w:val="false"/>
          <w:smallCaps w:val="false"/>
          <w:sz w:val="20"/>
        </w:rPr>
        <w:t>”</w:t>
      </w:r>
      <w:r>
        <w:rPr>
          <w:rFonts w:ascii="Times New Roman;Times;Serif" w:hAnsi="Times New Roman;Times;Serif"/>
          <w:b w:val="false"/>
          <w:i/>
          <w:caps w:val="false"/>
          <w:smallCaps w:val="false"/>
          <w:sz w:val="20"/>
          <w:u w:val="single"/>
        </w:rPr>
        <w:t xml:space="preserv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u w:val="single"/>
        </w:rPr>
        <w:t>Level III Trigger Event</w:t>
      </w:r>
      <w:r>
        <w:rPr>
          <w:rFonts w:ascii="Times New Roman;Times;Serif" w:hAnsi="Times New Roman;Times;Serif"/>
          <w:b w:val="false"/>
          <w:i/>
          <w:caps w:val="false"/>
          <w:smallCaps w:val="false"/>
          <w:sz w:val="20"/>
        </w:rPr>
        <w:t>”</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Required Reserve Account Balance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Secured Obligations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Secured Party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Servicer Termination Event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Termination Event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Tangible Net Worth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Facility Termination Date</w:t>
      </w:r>
      <w:r>
        <w:rPr>
          <w:rFonts w:ascii="Times New Roman;Times;Serif" w:hAnsi="Times New Roman;Times;Serif"/>
          <w:b w:val="false"/>
          <w:i w:val="false"/>
          <w:caps w:val="false"/>
          <w:smallCaps w:val="false"/>
          <w:sz w:val="20"/>
        </w:rPr>
        <w:t>”, “Term SOFR”, “</w:t>
      </w:r>
      <w:r>
        <w:rPr>
          <w:rFonts w:ascii="Times New Roman;Times;Serif" w:hAnsi="Times New Roman;Times;Serif"/>
          <w:b w:val="false"/>
          <w:i/>
          <w:caps w:val="false"/>
          <w:smallCaps w:val="false"/>
          <w:sz w:val="20"/>
          <w:u w:val="single"/>
        </w:rPr>
        <w:t>Term SOFR Reference Rate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Transaction Document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Servicing Fee Rate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z w:val="20"/>
        </w:rPr>
        <w:t>or “</w:t>
      </w:r>
      <w:r>
        <w:rPr>
          <w:rFonts w:ascii="Times New Roman;Times;Serif" w:hAnsi="Times New Roman;Times;Serif"/>
          <w:b w:val="false"/>
          <w:i/>
          <w:caps w:val="false"/>
          <w:smallCaps w:val="false"/>
          <w:sz w:val="20"/>
          <w:u w:val="single"/>
        </w:rPr>
        <w:t>Turbo Event</w:t>
      </w:r>
      <w:r>
        <w:rPr>
          <w:rFonts w:ascii="Times New Roman;Times;Serif" w:hAnsi="Times New Roman;Times;Serif"/>
          <w:b w:val="false"/>
          <w:i w:val="false"/>
          <w:caps w:val="false"/>
          <w:smallCaps w:val="false"/>
          <w:sz w:val="20"/>
        </w:rPr>
        <w:t>”, (D) in any way that would reasonably be expected to have a material adverse effect on the interests of the Class B Lenders, any provisions of the definition of “</w:t>
      </w:r>
      <w:r>
        <w:rPr>
          <w:rFonts w:ascii="Times New Roman;Times;Serif" w:hAnsi="Times New Roman;Times;Serif"/>
          <w:b w:val="false"/>
          <w:i/>
          <w:caps w:val="false"/>
          <w:smallCaps w:val="false"/>
          <w:sz w:val="20"/>
          <w:u w:val="single"/>
        </w:rPr>
        <w:t>Eligible Obligor</w:t>
      </w:r>
      <w:r>
        <w:rPr>
          <w:rFonts w:ascii="Times New Roman;Times;Serif" w:hAnsi="Times New Roman;Times;Serif"/>
          <w:b w:val="false"/>
          <w:i w:val="false"/>
          <w:caps w:val="false"/>
          <w:smallCaps w:val="false"/>
          <w:sz w:val="20"/>
        </w:rPr>
        <w:t xml:space="preserve">”, or of Section 7.3(a) (Standard of Care) or (E) amend or modify any defined term (or any defined term used directly or indirectly in such defined term) used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in a manner that would circumvent the intention of the restrictions set forth in such clauses;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no such amendment, supplement, modification or waiver (or consent to any departure by CPS, the Seller, the Servicer, the Borrower or any Lender of any performance under any Transaction Document) shall, without the written consent of all Lenders, amend or waive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(including any consent under 6</w:t>
      </w:r>
      <w:r>
        <w:rPr>
          <w:rFonts w:ascii="Times New Roman;Times;Serif" w:hAnsi="Times New Roman;Times;Serif"/>
          <w:b w:val="false"/>
          <w:i w:val="false"/>
          <w:caps w:val="false"/>
          <w:smallCaps w:val="false"/>
          <w:sz w:val="20"/>
          <w:u w:val="single"/>
        </w:rPr>
        <w:t>.3(d))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7.9(h)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no such amendment, supplement, modification or waiver (or consent to any departure by CPS, the Seller, the Servicer, the Borrower or any Lender of any performance under any Transaction Document) shall, without the written consent of all Lenders, terminate, waive or remove the </w:t>
      </w:r>
      <w:r>
        <w:rPr>
          <w:rFonts w:ascii="Times New Roman;Times;Serif" w:hAnsi="Times New Roman;Times;Serif"/>
          <w:b w:val="false"/>
          <w:i w:val="false"/>
          <w:caps w:val="false"/>
          <w:smallCaps w:val="false"/>
          <w:strike/>
          <w:color w:val="FF0000"/>
          <w:sz w:val="20"/>
        </w:rPr>
        <w:t>Seller's or the Servicer's</w:t>
      </w:r>
      <w:r>
        <w:rPr>
          <w:rFonts w:ascii="Times New Roman;Times;Serif" w:hAnsi="Times New Roman;Times;Serif"/>
          <w:b w:val="false"/>
          <w:i w:val="false"/>
          <w:caps w:val="false"/>
          <w:smallCaps w:val="false"/>
          <w:color w:val="0000FF"/>
          <w:sz w:val="20"/>
          <w:u w:val="single"/>
        </w:rPr>
        <w:t>Seller’s or the Servicer’s</w:t>
      </w:r>
      <w:r>
        <w:rPr>
          <w:rFonts w:ascii="Times New Roman;Times;Serif" w:hAnsi="Times New Roman;Times;Serif"/>
          <w:b w:val="false"/>
          <w:i w:val="false"/>
          <w:caps w:val="false"/>
          <w:smallCaps w:val="false"/>
          <w:sz w:val="20"/>
        </w:rPr>
        <w:t xml:space="preserve"> obligations to repurchase loans pursuant to the Purchase, Section 6.2 of the Purchase Agreement, or the </w:t>
      </w:r>
      <w:r>
        <w:rPr>
          <w:rFonts w:ascii="Times New Roman;Times;Serif" w:hAnsi="Times New Roman;Times;Serif"/>
          <w:b w:val="false"/>
          <w:i w:val="false"/>
          <w:caps w:val="false"/>
          <w:smallCaps w:val="false"/>
          <w:strike/>
          <w:color w:val="FF0000"/>
          <w:sz w:val="20"/>
        </w:rPr>
        <w:t>Seller's or the Servicer's</w:t>
      </w:r>
      <w:r>
        <w:rPr>
          <w:rFonts w:ascii="Times New Roman;Times;Serif" w:hAnsi="Times New Roman;Times;Serif"/>
          <w:b w:val="false"/>
          <w:i w:val="false"/>
          <w:caps w:val="false"/>
          <w:smallCaps w:val="false"/>
          <w:color w:val="0000FF"/>
          <w:sz w:val="20"/>
          <w:u w:val="single"/>
        </w:rPr>
        <w:t>Seller’s or the Servicer’s</w:t>
      </w:r>
      <w:r>
        <w:rPr>
          <w:rFonts w:ascii="Times New Roman;Times;Serif" w:hAnsi="Times New Roman;Times;Serif"/>
          <w:b w:val="false"/>
          <w:i w:val="false"/>
          <w:caps w:val="false"/>
          <w:smallCaps w:val="false"/>
          <w:sz w:val="20"/>
        </w:rPr>
        <w:t xml:space="preserve"> obligations to indemnify the Lenders pursuant to this Agreement or the Purchase Agreement;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no such amendment, supplement, modification or waiver (or consent) shall, without the written consent of all Lenders, waive any Servicer Termination Event, approve the appointment of a successor servicer other than Computershare Trust Company, National Association, approve or permit the Servicer to resign or approve or consent to the assignment or transfer by the Servicer or the Seller of its rights and obligations under this Agreement or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such amendment, supplement, modification or waiver (or consent to any departure by CPS, the Seller, the Servicer, the Borrower or any Lender of any performance under any Transaction Document) shall, without the written consent of the Class B Lenders, waive or amend any rights under the Transaction Documents for a Class B Loan specifically granted to the Lender Group Agents, the Class B Lenders or for which the Class B Lenders are an express beneficiary;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no such amendment, supplement, modification or waiver (or consent to any departure by CPS, the Seller, the Servicer, the Borrower or any Lender of any performance under any Transaction Document) shall, without the written consent of the Class B Lenders, waive or amend any condition precedent to funding Class B Loans;</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no such amendment, supplement, modification or waiver (or consent to any departure by CPS, the Seller, the Servicer, the Borrower or any Lender of any performance under any Transaction Document) shall, without the written consent of all Lenders, waive or amend any Amortization Event, Turbo Event or Termination Event;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no such modification or waiver shall, without the written consent of the Custodian, Backup Servicer or Paying Agent, amend, modify or waive any provision of this Agreement if the effect thereof is to affect the rights or duties of the Custodian, Backup Servicer or Paying Agent, as applicable;</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no such modification or waiver shall, without the written consent of the Administrative Agent, amend, modify or waive any provision of this Agreement if the effect thereof is to affect the rights or duties of the Administrative Agent; or</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Administrative Agent, the Lender Group Agents and the Required Lenders may enter into amendments to modify or waive any of the terms or provisions of Article Twelve or Article Thirteen without the consent of any other party 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15.2. </w:t>
      </w:r>
      <w:r>
        <w:rPr>
          <w:rFonts w:ascii="Times New Roman;Times;Serif" w:hAnsi="Times New Roman;Times;Serif"/>
          <w:b/>
          <w:i w:val="false"/>
          <w:caps w:val="false"/>
          <w:smallCaps w:val="false"/>
          <w:sz w:val="20"/>
          <w:u w:val="single"/>
        </w:rPr>
        <w:t>Notices, Etc</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other communications provided for hereunder shall, unless otherwise stated herein, be in writing (including telex communication and communication by facsimile copy) and mailed, telexed, transmitted or delivered, as to each party hereto, at its address set forth under its name on the signature pages hereof or specified in such party’s Assignment and Acceptance or at such other address as shall be designated by such party in a written notice to the other parties hereto. All such notices and communications shall be effective, upon receipt, or in the case of (i) notice by mail, five days after being deposited in the United States mail, first class postage prepaid, (ii) notice by overnight courier, upon receipt or five (5) Business Day after being deposited with such overnight courier service, or (iii) e-mail or facsimile copy, when verbal communication of receipt is obtained.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15.3. </w:t>
      </w:r>
      <w:r>
        <w:rPr>
          <w:rFonts w:ascii="Times New Roman;Times;Serif" w:hAnsi="Times New Roman;Times;Serif"/>
          <w:b/>
          <w:i w:val="false"/>
          <w:caps w:val="false"/>
          <w:smallCaps w:val="false"/>
          <w:sz w:val="20"/>
          <w:u w:val="single"/>
        </w:rPr>
        <w:t>No Waiver, Rights and Remedies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on the part of the Administrative Agent, any Lender Group Agent or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15.4. </w:t>
      </w:r>
      <w:r>
        <w:rPr>
          <w:rFonts w:ascii="Times New Roman;Times;Serif" w:hAnsi="Times New Roman;Times;Serif"/>
          <w:b/>
          <w:i w:val="false"/>
          <w:caps w:val="false"/>
          <w:smallCaps w:val="false"/>
          <w:sz w:val="20"/>
          <w:u w:val="single"/>
        </w:rPr>
        <w:t>Binding Effect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and inure to the benefit of the Borrower, the Servicer, the Seller, the Custodian, the Paying Agent, the Backup Servicer, the Administrative Agent, the Lender Group Agents, the Secured Parties, and their respective successors and permitted assigns.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15.5. </w:t>
      </w:r>
      <w:r>
        <w:rPr>
          <w:rFonts w:ascii="Times New Roman;Times;Serif" w:hAnsi="Times New Roman;Times;Serif"/>
          <w:b/>
          <w:i w:val="false"/>
          <w:caps w:val="false"/>
          <w:smallCaps w:val="false"/>
          <w:sz w:val="20"/>
          <w:u w:val="single"/>
        </w:rPr>
        <w:t>Term of this Agreement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remain in full force and effect until the Facility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indemnification and payment provisions of Article Eleven, the confidentiality provisions of Article Fourteen, the provisions of </w:t>
      </w:r>
      <w:r>
        <w:rPr>
          <w:rFonts w:ascii="Times New Roman;Times;Serif" w:hAnsi="Times New Roman;Times;Serif"/>
          <w:b w:val="false"/>
          <w:i w:val="false"/>
          <w:caps w:val="false"/>
          <w:smallCaps w:val="false"/>
          <w:sz w:val="20"/>
          <w:u w:val="single"/>
        </w:rPr>
        <w:t>Section 15.10</w:t>
      </w:r>
      <w:r>
        <w:rPr>
          <w:rFonts w:ascii="Times New Roman;Times;Serif" w:hAnsi="Times New Roman;Times;Serif"/>
          <w:b w:val="false"/>
          <w:i w:val="false"/>
          <w:caps w:val="false"/>
          <w:smallCaps w:val="false"/>
          <w:sz w:val="20"/>
        </w:rPr>
        <w:t xml:space="preserve"> and any other provision of this Agreement expressly stated to survive, shall be continuing and shall survive any termination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15.6. </w:t>
      </w:r>
      <w:r>
        <w:rPr>
          <w:rFonts w:ascii="Times New Roman;Times;Serif" w:hAnsi="Times New Roman;Times;Serif"/>
          <w:b/>
          <w:i w:val="false"/>
          <w:caps w:val="false"/>
          <w:smallCaps w:val="false"/>
          <w:sz w:val="20"/>
          <w:u w:val="single"/>
        </w:rPr>
        <w:t>Governing Law; Consent To Jurisdiction; Waiver of Objection to Venue</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NEW YORK (WITHOUT REFERENCE TO ITS CONFLICT OF LAWS PROVISIONS (OTHER THAN §§ 5-1401 AND 5-1402 OF THE NEW YORK GENERAL OBLIGATIONS LAW)). EACH OF THE PARTIES HERETO HEREBY AGREES TO THE 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15.7.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INSTEAD, ANY SUCH DISPUTE RESOLVED IN COURT WILL BE RESOLVED IN A BENCH TRIAL WITHOUT A JURY.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15.8. </w:t>
      </w:r>
      <w:r>
        <w:rPr>
          <w:rFonts w:ascii="Times New Roman;Times;Serif" w:hAnsi="Times New Roman;Times;Serif"/>
          <w:b/>
          <w:i w:val="false"/>
          <w:caps w:val="false"/>
          <w:smallCaps w:val="false"/>
          <w:sz w:val="20"/>
          <w:u w:val="single"/>
        </w:rPr>
        <w:t>Costs, Expenses and Taxes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rights of indemnification granted to the Administrative Agent, the Lender Group Agents, the Secured Parties, the Paying Agent, the Backup Servicer, the Custodian and its or their Affiliates and officers, directors, employees and agents thereof under Article Eleven, the Borrower agrees to pay on demand all reasonable costs and expenses of the Administrative Agent, the Lender Group Agents, the Secured Parties the Paying Agent, the Backup Servicer, and the Custodian incurred in connection with the amendment or modification of, or any waiver or consent issued in connection with, this Agreement and the other Transaction Documents, including the reasonable fees and out-of-pocket expenses of counsel for the Administrative Agent, the Lender Group Agents, the Secured Parties, the Paying Agent, the Backup Servicer, and the Custodian with respect thereto and with respect to advising the Administrative Agent, the Lender Group Agents, the Secured Parties the Paying Agent, the Backup Servicer, and the Custodian as to their respective rights and remedies under this Agreement and the other documents to be delivered hereunder or in connection herewith, and all costs and expenses, if any (including reasonable counsel fees and expenses), incurred by the Administrative Agent, the Lender Group Agents, the Secured Parties the Paying Agent, the Backup Servicer and/or the Custodian in connection with the enforcement of this Agreement and the other Transaction Documents.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pay on demand any and all stamp, sales, excise and other, similar taxes and fees payable or determined to be payable in connection with the execution, delivery, filing and recording of this Agreement and the other Transaction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15.9. </w:t>
      </w:r>
      <w:r>
        <w:rPr>
          <w:rFonts w:ascii="Times New Roman;Times;Serif" w:hAnsi="Times New Roman;Times;Serif"/>
          <w:b/>
          <w:i w:val="false"/>
          <w:caps w:val="false"/>
          <w:smallCaps w:val="false"/>
          <w:sz w:val="20"/>
          <w:u w:val="single"/>
        </w:rPr>
        <w:t>No Insolvency Proceedings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prior termination of this Agreement, no party hereto shall, prior to the date which is one year and one day after the final payment of the Loans, petition or otherwise invoke the process of any Governmental Authority for the purpose of commencing or sustaining an Insolvency Proceeding against the Borrower under any United States federal or State Insolvency Laws or appointing a receiver, liquidator, assignee, trustee, custodian, sequestrator or other similar official of the Borrower or any substantial part of its property or ordering the winding up or liquidation of the affairs of the Borrower.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15.10. </w:t>
      </w:r>
      <w:r>
        <w:rPr>
          <w:rFonts w:ascii="Times New Roman;Times;Serif" w:hAnsi="Times New Roman;Times;Serif"/>
          <w:b/>
          <w:i w:val="false"/>
          <w:caps w:val="false"/>
          <w:smallCaps w:val="false"/>
          <w:sz w:val="20"/>
          <w:u w:val="single"/>
        </w:rPr>
        <w:t>Recourse Against Certain Parties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recourse under or with respect to any obligation, covenant or agreement (including the payment of any fees or any other obligations) of the Administrative Agent, the Lender Group Agents or any Secured Party as contained in this Agreement or any other agreement, instrument or document entered into by it pursuant hereto or in connection herewith shall be had against any manager or administrator of such Person or any incorporator, affiliate, stockholder, officer, employee or director of such Person or of any such manager or administrator, as such, by the enforcement of any assessment or by any legal or equitable proceeding, by virtue of any statute or otherwise; it being expressly agreed and understood that the agreements of the Administrative Agent, any Lender Group Agent and any Secured Party contained in this Agreement and all of the other 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every such administrator of such Person and each incorporator, stockholder, 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 The provisions of this </w:t>
      </w:r>
      <w:r>
        <w:rPr>
          <w:rFonts w:ascii="Times New Roman;Times;Serif" w:hAnsi="Times New Roman;Times;Serif"/>
          <w:b w:val="false"/>
          <w:i w:val="false"/>
          <w:caps w:val="false"/>
          <w:smallCaps w:val="false"/>
          <w:sz w:val="20"/>
          <w:u w:val="single"/>
        </w:rPr>
        <w:t>Section 15.10</w:t>
      </w:r>
      <w:r>
        <w:rPr>
          <w:rFonts w:ascii="Times New Roman;Times;Serif" w:hAnsi="Times New Roman;Times;Serif"/>
          <w:b w:val="false"/>
          <w:i w:val="false"/>
          <w:caps w:val="false"/>
          <w:smallCaps w:val="false"/>
          <w:sz w:val="20"/>
        </w:rPr>
        <w:t xml:space="preserve"> shall survive the termination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15.11. </w:t>
      </w:r>
      <w:r>
        <w:rPr>
          <w:rFonts w:ascii="Times New Roman;Times;Serif" w:hAnsi="Times New Roman;Times;Serif"/>
          <w:b/>
          <w:i w:val="false"/>
          <w:caps w:val="false"/>
          <w:smallCaps w:val="false"/>
          <w:sz w:val="20"/>
          <w:u w:val="single"/>
        </w:rPr>
        <w:t>Patriot Act Compliance</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hereby notifies the Borrower that pursuant to the requirements of the PATRIOT Act, it, each Lender Group Agent and each other Lender and the Custodian, may be required to obtain, verify and record information that identifies the Borrower, which information includes the name and address of the Borrower, organizational documentation, director and shareholder information, and other information that will allow the Administrative Agent, the Lender Group Agents, the Lenders and the Custodian to identify the Borrower in accordance with the PATRIOT Act. This notice is given in accordance with the requirements of the PATRIOT Act and is effective for the Administrative Agent, the Lender Group Agents, the Lenders and the Custodian.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15.12. </w:t>
      </w:r>
      <w:r>
        <w:rPr>
          <w:rFonts w:ascii="Times New Roman;Times;Serif" w:hAnsi="Times New Roman;Times;Serif"/>
          <w:b/>
          <w:i w:val="false"/>
          <w:caps w:val="false"/>
          <w:smallCaps w:val="false"/>
          <w:sz w:val="20"/>
          <w:u w:val="single"/>
        </w:rPr>
        <w:t>AML Compliance</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such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“AML Law”), each of the Paying Agent, the Custodian and the Backup Servicer is required to obtain, verify, and record information relating to individuals and entities that establish a business relationship or open an account with such Person. Each party hereby agrees that it shall provide the Paying Agent, the Custodian and the Backup Servicer with such identifying information and documentation as such Person may request from time to time in order to enable it to comply with all applicable requirements of AML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15.13. </w:t>
      </w:r>
      <w:r>
        <w:rPr>
          <w:rFonts w:ascii="Times New Roman;Times;Serif" w:hAnsi="Times New Roman;Times;Serif"/>
          <w:b/>
          <w:i w:val="false"/>
          <w:caps w:val="false"/>
          <w:smallCaps w:val="false"/>
          <w:sz w:val="20"/>
          <w:u w:val="single"/>
        </w:rPr>
        <w:t>Recognition of the U.S. Special Resolution Regimes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Lender that is a Covered Entity becomes subject to a proceeding under a U.S. Special Resolution Regime, the transfer from such Lender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of America or a state of the United States of America.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Lender that is a Covered Entity or a BHC Act Affiliate of such Lender becomes subject to a proceeding under a U.S. Special Resolution Regime, Default Rights under this Agreement that may be exercised against such Lender are permitted to be exercised to no greater extent than such Default Rights could be exercised under the U.S. Special Resolution Regime if this Agreement were governed by the laws of the United States of America or a state of the United States of America.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15.14. </w:t>
      </w:r>
      <w:r>
        <w:rPr>
          <w:rFonts w:ascii="Times New Roman;Times;Serif" w:hAnsi="Times New Roman;Times;Serif"/>
          <w:b/>
          <w:i w:val="false"/>
          <w:caps w:val="false"/>
          <w:smallCaps w:val="false"/>
          <w:sz w:val="20"/>
          <w:u w:val="single"/>
        </w:rPr>
        <w:t>Execution in Counterparts; Severability; Integration</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and by different parties hereto in separate counterparts, each of which when so executed shall be deemed to be an original and all of which when taken together shall constitute one and the same agreement. Delivery of an executed counterpart of a signature page by facsimile or other electronic transmission shall be effective as delivery of a manually executed counterpart of this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tab/>
        <w:t>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contemplated hereby</w:t>
      </w:r>
      <w:r>
        <w:rPr>
          <w:rFonts w:ascii="Times New Roman;Times;Serif" w:hAnsi="Times New Roman;Times;Serif"/>
          <w:b w:val="false"/>
          <w:i w:val="false"/>
          <w:caps w:val="false"/>
          <w:smallCaps w:val="false"/>
          <w:color w:val="0000FF"/>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15.15. </w:t>
      </w:r>
      <w:r>
        <w:rPr>
          <w:rFonts w:ascii="Times New Roman;Times;Serif" w:hAnsi="Times New Roman;Times;Serif"/>
          <w:b/>
          <w:i w:val="false"/>
          <w:caps w:val="false"/>
          <w:smallCaps w:val="false"/>
          <w:sz w:val="20"/>
          <w:u w:val="single"/>
        </w:rPr>
        <w:t>Benchmark Replacement Setting</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xml:space="preserve">. Notwithstanding anything to the contrary herein or in any other Transaction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the Required Lenders. No replacement of a Benchmark with a Benchmark Replacement pursuant to this </w:t>
      </w:r>
      <w:r>
        <w:rPr>
          <w:rFonts w:ascii="Times New Roman;Times;Serif" w:hAnsi="Times New Roman;Times;Serif"/>
          <w:b w:val="false"/>
          <w:i w:val="false"/>
          <w:caps w:val="false"/>
          <w:smallCaps w:val="false"/>
          <w:sz w:val="20"/>
          <w:u w:val="single"/>
        </w:rPr>
        <w:t>Section 15.15(a)</w:t>
      </w:r>
      <w:r>
        <w:rPr>
          <w:rFonts w:ascii="Times New Roman;Times;Serif" w:hAnsi="Times New Roman;Times;Serif"/>
          <w:b w:val="false"/>
          <w:i w:val="false"/>
          <w:caps w:val="false"/>
          <w:smallCaps w:val="false"/>
          <w:sz w:val="20"/>
        </w:rPr>
        <w:t xml:space="preserve"> will occur prior to the applicable Benchmark Transition Start Date.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Administrative Agent will have the right to make Interest Rate Conforming Changes from time to time and, notwithstanding anything to the contrary herein or in any other Transaction Document, any amendments implementing such Interest Rate Conforming Changes will become effective without any further action or consent of any other party to this Agreement or any other Transaction Document (except as otherwise set forth in the definition of Interest Rate Conforming Changes).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xml:space="preserve">. The Administrative Agent will promptly notify the Borrower and the Lenders of (i) the implementation of any Benchmark Replacement and (ii) the effectiveness of any Interest Rate Conforming Changes in connection with the use, administration, adoption or implementation of a Benchmark Replacement. The Administrative Agent will promptly notify the Borrower of the removal or reinstatement of any tenor of a Benchmark pursuant to this </w:t>
      </w:r>
      <w:r>
        <w:rPr>
          <w:rFonts w:ascii="Times New Roman;Times;Serif" w:hAnsi="Times New Roman;Times;Serif"/>
          <w:b w:val="false"/>
          <w:i w:val="false"/>
          <w:caps w:val="false"/>
          <w:smallCaps w:val="false"/>
          <w:sz w:val="20"/>
          <w:u w:val="single"/>
        </w:rPr>
        <w:t>Section 15.15(c)</w:t>
      </w:r>
      <w:r>
        <w:rPr>
          <w:rFonts w:ascii="Times New Roman;Times;Serif" w:hAnsi="Times New Roman;Times;Serif"/>
          <w:b w:val="false"/>
          <w:i w:val="false"/>
          <w:caps w:val="false"/>
          <w:smallCaps w:val="false"/>
          <w:sz w:val="20"/>
        </w:rPr>
        <w:t xml:space="preserve">. Any determination, decision or election that may be made by the Administrative Agent or, if applicable, any Lender (or group of Lenders) pursuant to this </w:t>
      </w:r>
      <w:r>
        <w:rPr>
          <w:rFonts w:ascii="Times New Roman;Times;Serif" w:hAnsi="Times New Roman;Times;Serif"/>
          <w:b w:val="false"/>
          <w:i w:val="false"/>
          <w:caps w:val="false"/>
          <w:smallCaps w:val="false"/>
          <w:sz w:val="20"/>
          <w:u w:val="single"/>
        </w:rPr>
        <w:t>Section 15.15</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Times;Serif" w:hAnsi="Times New Roman;Times;Serif"/>
          <w:b w:val="false"/>
          <w:i w:val="false"/>
          <w:caps w:val="false"/>
          <w:smallCaps w:val="false"/>
          <w:sz w:val="20"/>
          <w:u w:val="single"/>
        </w:rPr>
        <w:t>Section 15.15</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other Transaction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Upon the Borrower’s receipt of notice of the commencement of a Benchmark Unavailability Period, the Borrower may revoke any pending request for a Loan of, conversion to or continuation of Loans to be made, converted or continued during any Benchmark Unavailability Period and, failing that, the Borrower will be deemed to have converted any such request into a request for a Borrowing of or conversion to Loans to accrue at the Base Rate.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Disclaimer</w:t>
      </w:r>
      <w:r>
        <w:rPr>
          <w:rFonts w:ascii="Times New Roman;Times;Serif" w:hAnsi="Times New Roman;Times;Serif"/>
          <w:b w:val="false"/>
          <w:i w:val="false"/>
          <w:caps w:val="false"/>
          <w:smallCaps w:val="false"/>
          <w:sz w:val="20"/>
        </w:rPr>
        <w:t xml:space="preserve">. The Administrative Agent does not warrant or accept any responsibility for, and shall not have any liability with respect to (i) the administration, submission or any other matter related to the Term SOFR Reference Rate or other rates in the definition of “Benchmark” or with respect to any alternative or successor rate thereto, or replacement rate thereof (including any Benchmark Replacement implemented hereunder), (ii) the composition or characteristics of any such Benchmark Replacement, including whether it is similar to, or produces the same value or economic equivalence to Term SOFR Reference Rate (or any other Benchmark) or have the same volume or liquidity as did Term SOFR (or any other Benchmark), (iii) any actions or use of its discretion or other decisions or determinations made with respect to any matters covered by this </w:t>
      </w:r>
      <w:r>
        <w:rPr>
          <w:rFonts w:ascii="Times New Roman;Times;Serif" w:hAnsi="Times New Roman;Times;Serif"/>
          <w:b w:val="false"/>
          <w:i w:val="false"/>
          <w:caps w:val="false"/>
          <w:smallCaps w:val="false"/>
          <w:sz w:val="20"/>
          <w:u w:val="single"/>
        </w:rPr>
        <w:t>Section 15.15</w:t>
      </w:r>
      <w:r>
        <w:rPr>
          <w:rFonts w:ascii="Times New Roman;Times;Serif" w:hAnsi="Times New Roman;Times;Serif"/>
          <w:b w:val="false"/>
          <w:i w:val="false"/>
          <w:caps w:val="false"/>
          <w:smallCaps w:val="false"/>
          <w:sz w:val="20"/>
        </w:rPr>
        <w:t xml:space="preserve"> including, without limitation, whether or not a Benchmark Transition Event has occurred, the removal or lack thereof of unavailable or non-representative tenors, the implementation or lack thereof of any Benchmark Replacement Conforming Changes, the delivery or non-delivery of any notices required by clause (c) above or otherwise in accordance herewith, and (iv) the effect of any of the foregoing provisions of this </w:t>
      </w:r>
      <w:r>
        <w:rPr>
          <w:rFonts w:ascii="Times New Roman;Times;Serif" w:hAnsi="Times New Roman;Times;Serif"/>
          <w:b w:val="false"/>
          <w:i w:val="false"/>
          <w:caps w:val="false"/>
          <w:smallCaps w:val="false"/>
          <w:sz w:val="20"/>
          <w:u w:val="single"/>
        </w:rPr>
        <w:t>Section 15.15</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avoidance of doubt, none of the Paying Agent, the Backup Servicer (including in its role as Successor Servicer) or the Custodian shall (i) be responsible for making any decisions or determinations in connection with any Benchmark Replacement or Benchmark Transition Event or (ii) have any liability for any determination, decision or election made by or on behalf of any party hereto in connection with a Benchmark Transition Event or a Benchmark Replacement, and each Lender will be deemed to waive and release any and all claims against such party relating to any such determination, decision or election.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15.16. </w:t>
      </w:r>
      <w:r>
        <w:rPr>
          <w:rFonts w:ascii="Times New Roman;Times;Serif" w:hAnsi="Times New Roman;Times;Serif"/>
          <w:b/>
          <w:i w:val="false"/>
          <w:caps w:val="false"/>
          <w:smallCaps w:val="false"/>
          <w:sz w:val="20"/>
          <w:u w:val="single"/>
        </w:rPr>
        <w:t>[Reserved]</w:t>
      </w:r>
      <w:r>
        <w:rPr>
          <w:rFonts w:ascii="Times New Roman;Times;Serif" w:hAnsi="Times New Roman;Times;Serif"/>
          <w:b/>
          <w:i w:val="false"/>
          <w:caps w:val="false"/>
          <w:smallCaps w:val="false"/>
          <w:sz w:val="20"/>
        </w:rPr>
        <w:t>.</w:t>
      </w:r>
    </w:p>
    <w:p>
      <w:pPr>
        <w:pStyle w:val="TextBody"/>
        <w:bidi w:val="0"/>
        <w:spacing w:before="0" w:after="0"/>
        <w:ind w:left="80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15.17. </w:t>
      </w:r>
      <w:r>
        <w:rPr>
          <w:rFonts w:ascii="Times New Roman;Times;Serif" w:hAnsi="Times New Roman;Times;Serif"/>
          <w:b/>
          <w:i w:val="false"/>
          <w:caps w:val="false"/>
          <w:smallCaps w:val="false"/>
          <w:sz w:val="20"/>
          <w:u w:val="single"/>
        </w:rPr>
        <w:t>Erroneous Payments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each Lender Group Agent, each other Secured Party and any other party hereto hereby severally agrees that if (i) the Administrative Agent notifies (which such notice shall be conclusive absent manifest error) such Lender, Lender Group Agent or any other Secured Party or any other Person that has received funds from the Administrative Agent, a Lender Group Agent or any of their respective Affiliates, either for its own account or on behalf of a Lender or other Secured Party (each such recipient, a “</w:t>
      </w:r>
      <w:r>
        <w:rPr>
          <w:rFonts w:ascii="Times New Roman;Times;Serif" w:hAnsi="Times New Roman;Times;Serif"/>
          <w:b w:val="false"/>
          <w:i/>
          <w:caps w:val="false"/>
          <w:smallCaps w:val="false"/>
          <w:sz w:val="20"/>
          <w:u w:val="single"/>
        </w:rPr>
        <w:t>Payment Recipient</w:t>
      </w:r>
      <w:r>
        <w:rPr>
          <w:rFonts w:ascii="Times New Roman;Times;Serif" w:hAnsi="Times New Roman;Times;Serif"/>
          <w:b w:val="false"/>
          <w:i w:val="false"/>
          <w:caps w:val="false"/>
          <w:smallCaps w:val="false"/>
          <w:sz w:val="20"/>
        </w:rPr>
        <w: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15.17(a), whether received as a payment, prepayment or repayment of principal, interest, fees, distribution or otherwise; individually and collectively, an “Erroneous Payment”), then, in each case, such Payment Recipient is deemed to have knowledge of such error at the time of its receipt of such Erroneous Payment; provided that nothing in this Section 15.17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provisions of this Section 15.17, each Payment Recipient agrees that, in the case of Section 15.17(a)(ii), it shall promptly notify the Administrative Agent in writing of such occurrence.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either clause (a)(i) or (a)(ii) of this Section 15.17, such Erroneous Payment shall at all times remain the property of the Administrative Agent or the applicable Lender Group Agent and shall be segregated by the Payment Recipient and held in trust for the benefit of the Administrative Agent or such Lender Group Agent, as applicable,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Federal Funds Rate.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 Erroneous Payment (or portion thereof) is not recovered by the Administrative Agent for any reason, after demand therefor by the Administrative Agent in accordance with Section 15.17(c), from any Lender that is a Payment Recipient or an Affiliate of a Payment Recipient (such unrecovered amount as to such Lender, an “Erroneous Payment Return Deficiency”), then at the sole discretion of the Administrative Agent and upon the Administrative Agent’s written notice to such Lender, such Lender shall be deemed to have made a cashless assignment of the full face amount of the portion of its Loans (but not its Commitments) to, at the option of the Administrative Agent, either (i) each other Lender in an amount equal to the product of (1) the amount of such Erroneous Payment Return Deficiency and (2) such other Lender’s Commitment Percentage (the “Erroneous Payment Impacted Class”) or (ii) the Administrative Agent’s applicable lending affiliate in an amount that is equal to the Erroneous Payment Return Deficiency (or, in any such case, such lesser amount as the Administrative Agent may specify) (such assignment of the Loans (but not Commitments) of the Erroneous Payment Impacted Class, the “Erroneous Payment Deficiency Assignment”)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(x) any assignment contemplated in this clause (d) shall be made without any requirement for any payment or other consideration paid by the applicable assignee or received by the assignor and (y) the Administrative Agent may reflect such assignments in the Register without further consent or action by any other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party hereto hereby agrees that (i)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Transaction Document, or otherwise payable or distributable by the Administrative Agent to such Payment Recipient from any source, against any amount due to the Administrative Agent under this Section 15.17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except, in each case, to the extent such Erroneous Payment is, and solely with respect to the amount of such Erroneous Payment that is, comprised of funds received by the Administrative Agent from the Borrower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party’s obligations under this Section 15.17 shall survive the resignation or replacement of the Administrative Agent or any transfer of right or obligations by, or the replacement of, a Lender, the termination of the Commitments or the repayment, satisfaction or discharge of all Obligations (or any portion thereof) under any Transaction Document. Nothing in this Section 15.17 will constitute a waiver or release of any claim of any party hereunder arising from any Payment Recipient’s receipt of an Erroneous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signatures appear on the following pages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by their respective officers thereunto duly authorized, as of the date first above written.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3755" w:type="dxa"/>
        <w:jc w:val="left"/>
        <w:tblInd w:w="0" w:type="dxa"/>
        <w:tblLayout w:type="fixed"/>
        <w:tblCellMar>
          <w:top w:w="0" w:type="dxa"/>
          <w:left w:w="0" w:type="dxa"/>
          <w:bottom w:w="0" w:type="dxa"/>
          <w:right w:w="0" w:type="dxa"/>
        </w:tblCellMar>
      </w:tblPr>
      <w:tblGrid>
        <w:gridCol w:w="75"/>
        <w:gridCol w:w="3680"/>
      </w:tblGrid>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PAGE ELEVEN FUNDING LLC, as Borrower</w:t>
            </w:r>
          </w:p>
        </w:tc>
      </w:tr>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Denesh Bharwani</w:t>
            </w:r>
          </w:p>
        </w:tc>
      </w:tr>
      <w:tr>
        <w:trPr/>
        <w:tc>
          <w:tcPr>
            <w:tcW w:w="75" w:type="dxa"/>
            <w:tcBorders/>
            <w:vAlign w:val="center"/>
          </w:tcPr>
          <w:p>
            <w:pPr>
              <w:pStyle w:val="TableContents"/>
              <w:bidi w:val="0"/>
              <w:spacing w:before="0" w:after="283"/>
              <w:jc w:val="both"/>
              <w:rPr/>
            </w:pPr>
            <w:r>
              <w:rPr/>
              <w:t> </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Denesh Bharwani</w:t>
            </w:r>
          </w:p>
        </w:tc>
      </w:tr>
      <w:tr>
        <w:trPr/>
        <w:tc>
          <w:tcPr>
            <w:tcW w:w="75" w:type="dxa"/>
            <w:tcBorders/>
            <w:vAlign w:val="center"/>
          </w:tcPr>
          <w:p>
            <w:pPr>
              <w:pStyle w:val="TableContents"/>
              <w:bidi w:val="0"/>
              <w:spacing w:before="0" w:after="283"/>
              <w:jc w:val="both"/>
              <w:rPr/>
            </w:pPr>
            <w:r>
              <w:rPr/>
              <w:t> </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Vice President</w:t>
            </w:r>
          </w:p>
        </w:tc>
      </w:tr>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Address for Notices</w:t>
            </w:r>
            <w:r>
              <w:rPr>
                <w:rFonts w:ascii="Times New Roman;Times;Serif" w:hAnsi="Times New Roman;Times;Serif"/>
                <w:sz w:val="20"/>
              </w:rPr>
              <w:t xml:space="preserve">: </w:t>
            </w:r>
          </w:p>
        </w:tc>
      </w:tr>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19500 Jamboree Road</w:t>
            </w:r>
          </w:p>
        </w:tc>
      </w:tr>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Irvine, California 92612 </w:t>
            </w:r>
          </w:p>
        </w:tc>
      </w:tr>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Company Secretary</w:t>
            </w:r>
          </w:p>
        </w:tc>
      </w:tr>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949-753-6800</w:t>
            </w:r>
          </w:p>
        </w:tc>
      </w:tr>
      <w:tr>
        <w:trPr/>
        <w:tc>
          <w:tcPr>
            <w:tcW w:w="7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Facsimile No.: 949-753-6897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Loan and Security Agreement</w:t>
      </w:r>
    </w:p>
    <w:p>
      <w:pPr>
        <w:pStyle w:val="TextBody"/>
        <w:bidi w:val="0"/>
        <w:spacing w:before="0" w:after="0"/>
        <w:ind w:left="20" w:right="0" w:hanging="0"/>
        <w:jc w:val="righ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75"/>
        <w:gridCol w:w="4940"/>
      </w:tblGrid>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CONSUMER PORTFOLIO SERVICES, INC., as</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r>
              <w:rPr/>
              <w:t>Seller and Servicer</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xml:space="preserve">By: </w:t>
            </w:r>
            <w:r>
              <w:rPr>
                <w:u w:val="single"/>
              </w:rPr>
              <w:t>/s/ Denesh Bharwani</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Name: Denesh Bharwani</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Title: Executive Vice President</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u w:val="single"/>
              </w:rPr>
              <w:t>Address for Notices</w:t>
            </w:r>
            <w:r>
              <w:rPr/>
              <w:t>:</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3800 Howard Hughes Pkwy., Suite 1400</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Las Vegas, Nevada</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Attention: Corporate Secretary</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E-mail: (888) 785-6691</w:t>
            </w:r>
          </w:p>
        </w:tc>
      </w:tr>
      <w:tr>
        <w:trPr/>
        <w:tc>
          <w:tcPr>
            <w:tcW w:w="7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Facsimile No.: (949) 753-6897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Loan and Security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8615" w:type="dxa"/>
        <w:jc w:val="left"/>
        <w:tblInd w:w="0" w:type="dxa"/>
        <w:tblLayout w:type="fixed"/>
        <w:tblCellMar>
          <w:top w:w="0" w:type="dxa"/>
          <w:left w:w="0" w:type="dxa"/>
          <w:bottom w:w="0" w:type="dxa"/>
          <w:right w:w="0" w:type="dxa"/>
        </w:tblCellMar>
      </w:tblPr>
      <w:tblGrid>
        <w:gridCol w:w="75"/>
        <w:gridCol w:w="8540"/>
      </w:tblGrid>
      <w:tr>
        <w:trPr/>
        <w:tc>
          <w:tcPr>
            <w:tcW w:w="75" w:type="dxa"/>
            <w:tcBorders/>
            <w:vAlign w:val="center"/>
          </w:tcPr>
          <w:p>
            <w:pPr>
              <w:pStyle w:val="TableContents"/>
              <w:bidi w:val="0"/>
              <w:spacing w:before="0" w:after="283"/>
              <w:jc w:val="both"/>
              <w:rPr/>
            </w:pPr>
            <w:r>
              <w:rPr/>
              <w:t> </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COMPUTERSHARE TRUST COMPANY, N.A.,</w:t>
            </w:r>
          </w:p>
        </w:tc>
      </w:tr>
      <w:tr>
        <w:trPr/>
        <w:tc>
          <w:tcPr>
            <w:tcW w:w="75" w:type="dxa"/>
            <w:tcBorders/>
            <w:vAlign w:val="center"/>
          </w:tcPr>
          <w:p>
            <w:pPr>
              <w:pStyle w:val="TableContents"/>
              <w:bidi w:val="0"/>
              <w:spacing w:before="0" w:after="283"/>
              <w:jc w:val="both"/>
              <w:rPr/>
            </w:pPr>
            <w:r>
              <w:rPr/>
              <w:t> </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in its individual capacity, but solely in its capacity as Custodian, Paying Agent, and Backup Servicer</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Anna Churchill</w:t>
            </w:r>
          </w:p>
        </w:tc>
      </w:tr>
      <w:tr>
        <w:trPr/>
        <w:tc>
          <w:tcPr>
            <w:tcW w:w="75" w:type="dxa"/>
            <w:tcBorders/>
            <w:vAlign w:val="center"/>
          </w:tcPr>
          <w:p>
            <w:pPr>
              <w:pStyle w:val="TableContents"/>
              <w:bidi w:val="0"/>
              <w:spacing w:before="0" w:after="283"/>
              <w:jc w:val="both"/>
              <w:rPr/>
            </w:pPr>
            <w:r>
              <w:rPr/>
              <w:t> </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Anna Churchill</w:t>
            </w:r>
          </w:p>
        </w:tc>
      </w:tr>
      <w:tr>
        <w:trPr/>
        <w:tc>
          <w:tcPr>
            <w:tcW w:w="75" w:type="dxa"/>
            <w:tcBorders/>
            <w:vAlign w:val="center"/>
          </w:tcPr>
          <w:p>
            <w:pPr>
              <w:pStyle w:val="TableContents"/>
              <w:bidi w:val="0"/>
              <w:spacing w:before="0" w:after="283"/>
              <w:jc w:val="both"/>
              <w:rPr/>
            </w:pPr>
            <w:r>
              <w:rPr/>
              <w:t> </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Vice President</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Address for Notices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Computershare Trust Company, N.A. </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1505 Energy Park Drive</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Paul, Minnesota 55108</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Corporate Trust Services – Asset-Backed Administration</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anna.churchill@computershare.com</w:t>
            </w:r>
          </w:p>
        </w:tc>
      </w:tr>
      <w:tr>
        <w:trPr/>
        <w:tc>
          <w:tcPr>
            <w:tcW w:w="7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 (612) 406-6068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Loan and Security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6245" w:type="dxa"/>
        <w:jc w:val="left"/>
        <w:tblInd w:w="0" w:type="dxa"/>
        <w:tblLayout w:type="fixed"/>
        <w:tblCellMar>
          <w:top w:w="0" w:type="dxa"/>
          <w:left w:w="0" w:type="dxa"/>
          <w:bottom w:w="0" w:type="dxa"/>
          <w:right w:w="0" w:type="dxa"/>
        </w:tblCellMar>
      </w:tblPr>
      <w:tblGrid>
        <w:gridCol w:w="75"/>
        <w:gridCol w:w="6170"/>
      </w:tblGrid>
      <w:tr>
        <w:trPr/>
        <w:tc>
          <w:tcPr>
            <w:tcW w:w="7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ONE, NATIONAL ASSOCIATION, not</w:t>
            </w:r>
          </w:p>
        </w:tc>
      </w:tr>
      <w:tr>
        <w:trPr/>
        <w:tc>
          <w:tcPr>
            <w:tcW w:w="7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its individual capacity, but solely in its capacity as Administrative Agent</w:t>
            </w:r>
          </w:p>
        </w:tc>
      </w:tr>
      <w:tr>
        <w:trPr/>
        <w:tc>
          <w:tcPr>
            <w:tcW w:w="7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Austin Brown</w:t>
            </w:r>
          </w:p>
        </w:tc>
      </w:tr>
      <w:tr>
        <w:trPr/>
        <w:tc>
          <w:tcPr>
            <w:tcW w:w="75" w:type="dxa"/>
            <w:tcBorders/>
            <w:vAlign w:val="center"/>
          </w:tcPr>
          <w:p>
            <w:pPr>
              <w:pStyle w:val="TableContents"/>
              <w:bidi w:val="0"/>
              <w:spacing w:before="0" w:after="283"/>
              <w:jc w:val="both"/>
              <w:rPr/>
            </w:pPr>
            <w:r>
              <w:rPr/>
              <w:t> </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Austin Brown</w:t>
            </w:r>
          </w:p>
        </w:tc>
      </w:tr>
      <w:tr>
        <w:trPr/>
        <w:tc>
          <w:tcPr>
            <w:tcW w:w="75" w:type="dxa"/>
            <w:tcBorders/>
            <w:vAlign w:val="center"/>
          </w:tcPr>
          <w:p>
            <w:pPr>
              <w:pStyle w:val="TableContents"/>
              <w:bidi w:val="0"/>
              <w:spacing w:before="0" w:after="283"/>
              <w:jc w:val="both"/>
              <w:rPr/>
            </w:pPr>
            <w:r>
              <w:rPr/>
              <w:t> </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Address for Notices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One, National Association</w:t>
            </w:r>
          </w:p>
        </w:tc>
      </w:tr>
      <w:tr>
        <w:trPr/>
        <w:tc>
          <w:tcPr>
            <w:tcW w:w="7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299 Park Ave, 31st Floor</w:t>
            </w:r>
          </w:p>
        </w:tc>
      </w:tr>
      <w:tr>
        <w:trPr/>
        <w:tc>
          <w:tcPr>
            <w:tcW w:w="7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New York, NY 10171 </w:t>
            </w:r>
          </w:p>
        </w:tc>
      </w:tr>
      <w:tr>
        <w:trPr/>
        <w:tc>
          <w:tcPr>
            <w:tcW w:w="7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Austin Brown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Loan and Security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5045"/>
      </w:tblGrid>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CAPITAL ONE, NATIONAL ASSOCIATION, as</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r>
              <w:rPr/>
              <w:t>a Bank and as a Lender Group Agent</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xml:space="preserve">By: </w:t>
            </w:r>
            <w:r>
              <w:rPr>
                <w:u w:val="single"/>
              </w:rPr>
              <w:t>/s/ Austin Brown</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Name: Austin Brown</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Title: Director</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u w:val="single"/>
              </w:rPr>
              <w:t>Address for Notices</w:t>
            </w:r>
            <w:r>
              <w:rPr/>
              <w:t>:</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Capital One, National Association</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299 Park Ave, 31</w:t>
            </w:r>
            <w:r>
              <w:rPr>
                <w:sz w:val="20"/>
              </w:rPr>
              <w:t>st</w:t>
            </w:r>
            <w:r>
              <w:rPr/>
              <w:t xml:space="preserve"> Floor</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New York, NY 10171</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Attention: Austin Brown</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u w:val="single"/>
              </w:rPr>
              <w:t>Lender’s Account Information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Loan and Security Agreement</w:t>
      </w:r>
    </w:p>
    <w:tbl>
      <w:tblPr>
        <w:tblW w:w="270" w:type="dxa"/>
        <w:jc w:val="left"/>
        <w:tblInd w:w="0" w:type="dxa"/>
        <w:tblLayout w:type="fixed"/>
        <w:tblCellMar>
          <w:top w:w="0" w:type="dxa"/>
          <w:left w:w="0" w:type="dxa"/>
          <w:bottom w:w="0" w:type="dxa"/>
          <w:right w:w="0" w:type="dxa"/>
        </w:tblCellMar>
      </w:tblPr>
      <w:tblGrid>
        <w:gridCol w:w="135"/>
        <w:gridCol w:w="60"/>
        <w:gridCol w:w="75"/>
      </w:tblGrid>
      <w:tr>
        <w:trPr/>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9560" w:type="dxa"/>
        <w:jc w:val="left"/>
        <w:tblInd w:w="0" w:type="dxa"/>
        <w:tblLayout w:type="fixed"/>
        <w:tblCellMar>
          <w:top w:w="0" w:type="dxa"/>
          <w:left w:w="0" w:type="dxa"/>
          <w:bottom w:w="0" w:type="dxa"/>
          <w:right w:w="0" w:type="dxa"/>
        </w:tblCellMar>
      </w:tblPr>
      <w:tblGrid>
        <w:gridCol w:w="75"/>
        <w:gridCol w:w="9485"/>
      </w:tblGrid>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ASSET-BACKED FINANCE FUND LOAN SPV, L.P.</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 Committed Lender and as a Class B Lender By: Oaktree Asset-Backed Finance Fund GP, L.P. Its: General Partner</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Oaktree Asset-Backed Finance Fund GP Ltd. Its: General Partner</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Oaktree Capital Management, L.P. Its: Director</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Brendan Beer</w:t>
            </w:r>
          </w:p>
        </w:tc>
      </w:tr>
      <w:tr>
        <w:trPr/>
        <w:tc>
          <w:tcPr>
            <w:tcW w:w="75"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Brendan Beer</w:t>
            </w:r>
          </w:p>
        </w:tc>
      </w:tr>
      <w:tr>
        <w:trPr/>
        <w:tc>
          <w:tcPr>
            <w:tcW w:w="75" w:type="dxa"/>
            <w:tcBorders/>
            <w:vAlign w:val="center"/>
          </w:tcPr>
          <w:p>
            <w:pPr>
              <w:pStyle w:val="TableContents"/>
              <w:bidi w:val="0"/>
              <w:spacing w:before="0" w:after="283"/>
              <w:jc w:val="both"/>
              <w:rPr/>
            </w:pPr>
            <w:r>
              <w:rPr/>
              <w:t> </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Managing Director</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Address for Notices:</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Asset-Backed Finance Fund Loan, SPV, L.P.</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olor w:val="0000FF"/>
              </w:rPr>
            </w:pPr>
            <w:r>
              <w:rPr>
                <w:color w:val="0000FF"/>
              </w:rPr>
              <w:t> </w:t>
            </w:r>
          </w:p>
        </w:tc>
        <w:tc>
          <w:tcPr>
            <w:tcW w:w="948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From the Closing Date through February 28, 2027:</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 Oaktree Capital Management, L.P. </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333 South Grand Ave, 28th Floor</w:t>
            </w:r>
          </w:p>
        </w:tc>
      </w:tr>
      <w:tr>
        <w:trPr/>
        <w:tc>
          <w:tcPr>
            <w:tcW w:w="75" w:type="dxa"/>
            <w:tcBorders/>
            <w:vAlign w:val="center"/>
          </w:tcPr>
          <w:p>
            <w:pPr>
              <w:pStyle w:val="TableContents"/>
              <w:bidi w:val="0"/>
              <w:spacing w:before="0" w:after="283"/>
              <w:jc w:val="left"/>
              <w:rPr>
                <w:sz w:val="4"/>
                <w:szCs w:val="4"/>
              </w:rPr>
            </w:pPr>
            <w:r>
              <w:rPr>
                <w:sz w:val="4"/>
                <w:szCs w:val="4"/>
              </w:rPr>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 Angeles, CA 90071</w:t>
            </w:r>
          </w:p>
        </w:tc>
      </w:tr>
      <w:tr>
        <w:trPr/>
        <w:tc>
          <w:tcPr>
            <w:tcW w:w="75" w:type="dxa"/>
            <w:tcBorders/>
            <w:vAlign w:val="center"/>
          </w:tcPr>
          <w:p>
            <w:pPr>
              <w:pStyle w:val="TableContents"/>
              <w:bidi w:val="0"/>
              <w:spacing w:before="0" w:after="283"/>
              <w:jc w:val="left"/>
              <w:rPr>
                <w:sz w:val="4"/>
                <w:szCs w:val="4"/>
              </w:rPr>
            </w:pPr>
            <w:r>
              <w:rPr>
                <w:sz w:val="4"/>
                <w:szCs w:val="4"/>
              </w:rPr>
            </w:r>
          </w:p>
        </w:tc>
        <w:tc>
          <w:tcPr>
            <w:tcW w:w="9485" w:type="dxa"/>
            <w:tcBorders/>
            <w:vAlign w:val="center"/>
          </w:tcPr>
          <w:p>
            <w:pPr>
              <w:pStyle w:val="TableContents"/>
              <w:bidi w:val="0"/>
              <w:spacing w:before="0" w:after="283"/>
              <w:jc w:val="left"/>
              <w:rPr/>
            </w:pPr>
            <w:r>
              <w:rPr>
                <w:rFonts w:ascii="Times New Roman;Times;Serif" w:hAnsi="Times New Roman;Times;Serif"/>
                <w:color w:val="0000FF"/>
                <w:sz w:val="20"/>
                <w:u w:val="single"/>
              </w:rPr>
              <w:t>Email: legalnotifications@oaktreecapital.com;</w:t>
            </w:r>
            <w:r>
              <w:rPr/>
              <w:t xml:space="preserve"> </w:t>
            </w:r>
            <w:r>
              <w:rPr>
                <w:rFonts w:ascii="Times New Roman;Times;Serif" w:hAnsi="Times New Roman;Times;Serif"/>
                <w:color w:val="0000FF"/>
                <w:sz w:val="20"/>
                <w:u w:val="single"/>
              </w:rPr>
              <w:t>ABFdealnotifications@oaktreecapital.com</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olor w:val="0000FF"/>
              </w:rPr>
            </w:pPr>
            <w:r>
              <w:rPr>
                <w:color w:val="0000FF"/>
              </w:rPr>
              <w:t> </w:t>
            </w:r>
          </w:p>
        </w:tc>
        <w:tc>
          <w:tcPr>
            <w:tcW w:w="948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From March 1, 2027 and continuing thereafter:</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olor w:val="0000FF"/>
              </w:rPr>
            </w:pPr>
            <w:r>
              <w:rPr>
                <w:color w:val="0000FF"/>
              </w:rPr>
              <w:t> </w:t>
            </w:r>
          </w:p>
        </w:tc>
        <w:tc>
          <w:tcPr>
            <w:tcW w:w="948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 xml:space="preserve">c/o Oaktree Capital Management, L.P. </w:t>
              <w:br/>
              <w:t>555 South Flower Street, Suite 3700</w:t>
              <w:br/>
              <w:t>Los Angeles, CA 90071</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General Counsel Email:</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legalnotifications@</w:t>
            </w:r>
            <w:r>
              <w:rPr>
                <w:rFonts w:ascii="Times New Roman;Times;Serif" w:hAnsi="Times New Roman;Times;Serif"/>
                <w:strike/>
                <w:color w:val="FF0000"/>
                <w:sz w:val="20"/>
              </w:rPr>
              <w:t>oaktreecpaital</w:t>
            </w:r>
            <w:r>
              <w:rPr>
                <w:rFonts w:ascii="Times New Roman;Times;Serif" w:hAnsi="Times New Roman;Times;Serif"/>
                <w:sz w:val="20"/>
              </w:rPr>
              <w:t xml:space="preserve">oaktreecapital.com; </w:t>
            </w:r>
            <w:r>
              <w:rPr>
                <w:rFonts w:ascii="Times New Roman;Times;Serif" w:hAnsi="Times New Roman;Times;Serif"/>
                <w:color w:val="0000FF"/>
                <w:sz w:val="20"/>
                <w:u w:val="single"/>
              </w:rPr>
              <w:t>ABFdealnotifications@oaktreecapital.com</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Lender’s Account Information</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Loan and Security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75"/>
        <w:gridCol w:w="6620"/>
      </w:tblGrid>
      <w:tr>
        <w:trPr/>
        <w:tc>
          <w:tcPr>
            <w:tcW w:w="75"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jc w:val="left"/>
              <w:rPr/>
            </w:pPr>
            <w:r>
              <w:rPr/>
              <w:t> </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OAKTREE ASSET-BACKED INCOME </w:t>
            </w:r>
            <w:r>
              <w:rPr>
                <w:rFonts w:ascii="Times New Roman;Times;Serif" w:hAnsi="Times New Roman;Times;Serif"/>
                <w:b/>
                <w:i w:val="false"/>
                <w:caps w:val="false"/>
                <w:smallCaps w:val="false"/>
                <w:strike/>
                <w:color w:val="FF0000"/>
                <w:sz w:val="20"/>
              </w:rPr>
              <w:t xml:space="preserve">PRIVATE PLACEMENT </w:t>
            </w:r>
            <w:r>
              <w:rPr>
                <w:rFonts w:ascii="Times New Roman;Times;Serif" w:hAnsi="Times New Roman;Times;Serif"/>
                <w:b/>
                <w:i w:val="false"/>
                <w:caps w:val="false"/>
                <w:smallCaps w:val="false"/>
                <w:sz w:val="20"/>
              </w:rPr>
              <w:t>FUND INC.</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Oaktree Fund Advisors, LLC Its: Investment Adviser</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Brendan Beer</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Brendan Beer</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Notices</w:t>
            </w:r>
            <w:r>
              <w:rPr>
                <w:rFonts w:ascii="Times New Roman;Times;Serif" w:hAnsi="Times New Roman;Times;Serif"/>
                <w:b w:val="false"/>
                <w:i w:val="false"/>
                <w:caps w:val="false"/>
                <w:smallCaps w:val="false"/>
                <w:sz w:val="20"/>
              </w:rPr>
              <w:t>:</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Oaktree Asset-Backed Income </w:t>
            </w:r>
            <w:r>
              <w:rPr>
                <w:rFonts w:ascii="Times New Roman;Times;Serif" w:hAnsi="Times New Roman;Times;Serif"/>
                <w:b w:val="false"/>
                <w:i w:val="false"/>
                <w:caps w:val="false"/>
                <w:smallCaps w:val="false"/>
                <w:strike/>
                <w:color w:val="FF0000"/>
                <w:sz w:val="20"/>
              </w:rPr>
              <w:t>Private Placement</w:t>
            </w:r>
            <w:r>
              <w:rPr>
                <w:rFonts w:ascii="Times New Roman;Times;Serif" w:hAnsi="Times New Roman;Times;Serif"/>
                <w:b w:val="false"/>
                <w:i w:val="false"/>
                <w:caps w:val="false"/>
                <w:smallCaps w:val="false"/>
                <w:sz w:val="20"/>
              </w:rPr>
              <w:t xml:space="preserve"> Fund Inc.</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From the Closing Date through February 28, 2027:</w:t>
            </w:r>
          </w:p>
          <w:p>
            <w:pPr>
              <w:pStyle w:val="TableContents"/>
              <w:bidi w:val="0"/>
              <w:spacing w:before="0" w:after="0"/>
              <w:jc w:val="left"/>
              <w:rPr>
                <w:caps w:val="false"/>
                <w:smallCaps w:val="false"/>
                <w:color w:val="0000FF"/>
              </w:rPr>
            </w:pPr>
            <w:r>
              <w:rPr>
                <w:caps w:val="false"/>
                <w:smallCaps w:val="false"/>
                <w:color w:val="0000FF"/>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Oaktree Capital Management, L.P.</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South Grand Ave, 28th Floor</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rPr>
              <w:t>Email: legalnotifications@oaktreecapital.com;</w:t>
              <w:br/>
            </w:r>
            <w:r>
              <w:rPr>
                <w:rFonts w:ascii="Times New Roman;Times;Serif" w:hAnsi="Times New Roman;Times;Serif"/>
                <w:b w:val="false"/>
                <w:i w:val="false"/>
                <w:caps w:val="false"/>
                <w:smallCaps w:val="false"/>
                <w:color w:val="0000FF"/>
                <w:sz w:val="20"/>
                <w:u w:val="single"/>
              </w:rPr>
              <w:t>ABFdealnotifications@oaktreecapital.com</w:t>
            </w:r>
          </w:p>
          <w:p>
            <w:pPr>
              <w:pStyle w:val="TableContents"/>
              <w:bidi w:val="0"/>
              <w:spacing w:before="0" w:after="0"/>
              <w:jc w:val="left"/>
              <w:rPr>
                <w:caps w:val="false"/>
                <w:smallCaps w:val="false"/>
                <w:color w:val="0000FF"/>
              </w:rPr>
            </w:pPr>
            <w:r>
              <w:rPr>
                <w:caps w:val="false"/>
                <w:smallCaps w:val="false"/>
                <w:color w:val="0000FF"/>
              </w:rPr>
              <w:t> </w:t>
            </w:r>
          </w:p>
          <w:p>
            <w:pPr>
              <w:pStyle w:val="TableContents"/>
              <w:bidi w:val="0"/>
              <w:spacing w:before="0" w:after="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From March 1, 2027 and continuing thereafter:</w:t>
            </w:r>
          </w:p>
          <w:p>
            <w:pPr>
              <w:pStyle w:val="TableContents"/>
              <w:bidi w:val="0"/>
              <w:spacing w:before="0" w:after="0"/>
              <w:jc w:val="left"/>
              <w:rPr>
                <w:caps w:val="false"/>
                <w:smallCaps w:val="false"/>
                <w:color w:val="0000FF"/>
              </w:rPr>
            </w:pPr>
            <w:r>
              <w:rPr>
                <w:caps w:val="false"/>
                <w:smallCaps w:val="false"/>
                <w:color w:val="0000FF"/>
              </w:rPr>
              <w:t> </w:t>
            </w:r>
          </w:p>
          <w:p>
            <w:pPr>
              <w:pStyle w:val="TableContents"/>
              <w:bidi w:val="0"/>
              <w:spacing w:before="0" w:after="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c/o Oaktree Capital Management, L.P. </w:t>
              <w:br/>
              <w:t>555 South Flower Street, Suite 3700</w:t>
              <w:br/>
              <w:t>Los Angeles, CA 90071</w:t>
            </w:r>
          </w:p>
          <w:p>
            <w:pPr>
              <w:pStyle w:val="TableContents"/>
              <w:bidi w:val="0"/>
              <w:spacing w:before="0" w:after="0"/>
              <w:jc w:val="left"/>
              <w:rPr>
                <w:caps w:val="false"/>
                <w:smallCaps w:val="false"/>
                <w:color w:val="0000FF"/>
              </w:rPr>
            </w:pPr>
            <w:r>
              <w:rPr>
                <w:caps w:val="false"/>
                <w:smallCaps w:val="false"/>
                <w:color w:val="0000FF"/>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legalnotifications@</w:t>
            </w:r>
            <w:r>
              <w:rPr>
                <w:rFonts w:ascii="Times New Roman;Times;Serif" w:hAnsi="Times New Roman;Times;Serif"/>
                <w:b w:val="false"/>
                <w:i w:val="false"/>
                <w:caps w:val="false"/>
                <w:smallCaps w:val="false"/>
                <w:strike/>
                <w:color w:val="FF0000"/>
                <w:sz w:val="20"/>
              </w:rPr>
              <w:t>oaktreecpaital</w:t>
            </w:r>
            <w:r>
              <w:rPr>
                <w:rFonts w:ascii="Times New Roman;Times;Serif" w:hAnsi="Times New Roman;Times;Serif"/>
                <w:b w:val="false"/>
                <w:i w:val="false"/>
                <w:caps w:val="false"/>
                <w:smallCaps w:val="false"/>
                <w:color w:val="0000FF"/>
                <w:sz w:val="20"/>
                <w:u w:val="single"/>
              </w:rPr>
              <w:t>oaktreecapital</w:t>
            </w:r>
            <w:r>
              <w:rPr>
                <w:rFonts w:ascii="Times New Roman;Times;Serif" w:hAnsi="Times New Roman;Times;Serif"/>
                <w:b w:val="false"/>
                <w:i w:val="false"/>
                <w:caps w:val="false"/>
                <w:smallCaps w:val="false"/>
                <w:sz w:val="20"/>
              </w:rPr>
              <w:t>.com</w:t>
            </w:r>
            <w:r>
              <w:rPr>
                <w:rFonts w:ascii="Times New Roman;Times;Serif" w:hAnsi="Times New Roman;Times;Serif"/>
                <w:b w:val="false"/>
                <w:i w:val="false"/>
                <w:caps w:val="false"/>
                <w:smallCaps w:val="false"/>
                <w:color w:val="0000FF"/>
                <w:sz w:val="20"/>
                <w:u w:val="single"/>
              </w:rPr>
              <w:t>;</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ABFdealnotifications@oaktreecapital.com</w:t>
            </w:r>
          </w:p>
          <w:p>
            <w:pPr>
              <w:pStyle w:val="TableContents"/>
              <w:bidi w:val="0"/>
              <w:spacing w:before="0" w:after="0"/>
              <w:jc w:val="left"/>
              <w:rPr>
                <w:caps w:val="false"/>
                <w:smallCaps w:val="false"/>
                <w:color w:val="0000FF"/>
              </w:rPr>
            </w:pPr>
            <w:r>
              <w:rPr>
                <w:caps w:val="false"/>
                <w:smallCaps w:val="false"/>
                <w:color w:val="0000FF"/>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Lender’s Account Information</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5760" w:right="454"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Loan and Security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 GROUPS, LENDER GROUP AGENTS, BANKS AND COMMITMENTS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80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 A Loans</w:t>
      </w:r>
    </w:p>
    <w:p>
      <w:pPr>
        <w:pStyle w:val="TextBody"/>
        <w:bidi w:val="0"/>
        <w:spacing w:before="0" w:after="0"/>
        <w:ind w:left="0" w:right="0" w:firstLine="800"/>
        <w:jc w:val="left"/>
        <w:rPr>
          <w:caps w:val="false"/>
          <w:smallCaps w:val="false"/>
        </w:rPr>
      </w:pPr>
      <w:r>
        <w:rPr>
          <w:caps w:val="false"/>
          <w:smallCaps w:val="false"/>
        </w:rPr>
        <w:t> </w:t>
      </w:r>
    </w:p>
    <w:p>
      <w:pPr>
        <w:pStyle w:val="TextBody"/>
        <w:bidi w:val="0"/>
        <w:spacing w:before="0" w:after="0"/>
        <w:ind w:left="0" w:right="0" w:firstLine="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Maximum Loan Balance” shall be equal to $</w:t>
      </w:r>
      <w:r>
        <w:rPr>
          <w:rFonts w:ascii="Times New Roman;Times;Serif" w:hAnsi="Times New Roman;Times;Serif"/>
          <w:b w:val="false"/>
          <w:i w:val="false"/>
          <w:caps w:val="false"/>
          <w:smallCaps w:val="false"/>
          <w:strike/>
          <w:color w:val="FF0000"/>
          <w:sz w:val="20"/>
        </w:rPr>
        <w:t>150,000,000</w:t>
      </w:r>
      <w:r>
        <w:rPr>
          <w:rFonts w:ascii="Times New Roman;Times;Serif" w:hAnsi="Times New Roman;Times;Serif"/>
          <w:b w:val="false"/>
          <w:i w:val="false"/>
          <w:caps w:val="false"/>
          <w:smallCaps w:val="false"/>
          <w:color w:val="0000FF"/>
          <w:sz w:val="20"/>
          <w:u w:val="single"/>
        </w:rPr>
        <w:t>339,000,000</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left"/>
        <w:rPr>
          <w:caps w:val="false"/>
          <w:smallCaps w:val="false"/>
        </w:rPr>
      </w:pPr>
      <w:r>
        <w:rPr>
          <w:caps w:val="false"/>
          <w:smallCaps w:val="false"/>
        </w:rPr>
        <w:t> </w:t>
      </w:r>
    </w:p>
    <w:p>
      <w:pPr>
        <w:pStyle w:val="TextBody"/>
        <w:bidi w:val="0"/>
        <w:spacing w:before="0" w:after="0"/>
        <w:ind w:left="0" w:right="0" w:firstLine="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One Lender Group</w:t>
      </w:r>
    </w:p>
    <w:p>
      <w:pPr>
        <w:pStyle w:val="TextBody"/>
        <w:bidi w:val="0"/>
        <w:spacing w:before="0" w:after="0"/>
        <w:jc w:val="left"/>
        <w:rPr>
          <w:caps w:val="false"/>
          <w:smallCaps w:val="false"/>
        </w:rPr>
      </w:pPr>
      <w:r>
        <w:rPr>
          <w:caps w:val="false"/>
          <w:smallCaps w:val="false"/>
        </w:rPr>
        <w:t> </w:t>
      </w:r>
    </w:p>
    <w:tbl>
      <w:tblPr>
        <w:tblW w:w="8144" w:type="dxa"/>
        <w:jc w:val="left"/>
        <w:tblInd w:w="0" w:type="dxa"/>
        <w:tblLayout w:type="fixed"/>
        <w:tblCellMar>
          <w:top w:w="0" w:type="dxa"/>
          <w:left w:w="0" w:type="dxa"/>
          <w:bottom w:w="28" w:type="dxa"/>
          <w:right w:w="0" w:type="dxa"/>
        </w:tblCellMar>
      </w:tblPr>
      <w:tblGrid>
        <w:gridCol w:w="2030"/>
        <w:gridCol w:w="60"/>
        <w:gridCol w:w="3260"/>
        <w:gridCol w:w="60"/>
        <w:gridCol w:w="2734"/>
      </w:tblGrid>
      <w:tr>
        <w:trPr/>
        <w:tc>
          <w:tcPr>
            <w:tcW w:w="2030" w:type="dxa"/>
            <w:tcBorders>
              <w:bottom w:val="single" w:sz="8" w:space="0" w:color="000000"/>
            </w:tcBorders>
            <w:vAlign w:val="center"/>
          </w:tcPr>
          <w:p>
            <w:pPr>
              <w:pStyle w:val="TableContents"/>
              <w:bidi w:val="0"/>
              <w:spacing w:before="0" w:after="283"/>
              <w:jc w:val="center"/>
              <w:rPr>
                <w:b/>
              </w:rPr>
            </w:pPr>
            <w:r>
              <w:rPr>
                <w:b/>
              </w:rPr>
              <w:t>Role</w:t>
            </w:r>
          </w:p>
        </w:tc>
        <w:tc>
          <w:tcPr>
            <w:tcW w:w="60" w:type="dxa"/>
            <w:tcBorders/>
            <w:tcMar>
              <w:bottom w:w="0" w:type="dxa"/>
            </w:tcMar>
            <w:vAlign w:val="center"/>
          </w:tcPr>
          <w:p>
            <w:pPr>
              <w:pStyle w:val="TableContents"/>
              <w:bidi w:val="0"/>
              <w:spacing w:before="0" w:after="283"/>
              <w:jc w:val="center"/>
              <w:rPr/>
            </w:pPr>
            <w:r>
              <w:rPr/>
              <w:t> </w:t>
            </w:r>
          </w:p>
        </w:tc>
        <w:tc>
          <w:tcPr>
            <w:tcW w:w="3260" w:type="dxa"/>
            <w:tcBorders>
              <w:bottom w:val="single" w:sz="8" w:space="0" w:color="000000"/>
            </w:tcBorders>
            <w:vAlign w:val="center"/>
          </w:tcPr>
          <w:p>
            <w:pPr>
              <w:pStyle w:val="TableContents"/>
              <w:bidi w:val="0"/>
              <w:spacing w:before="0" w:after="283"/>
              <w:jc w:val="center"/>
              <w:rPr>
                <w:b/>
              </w:rPr>
            </w:pPr>
            <w:r>
              <w:rPr>
                <w:b/>
              </w:rPr>
              <w:t>Party</w:t>
            </w:r>
          </w:p>
        </w:tc>
        <w:tc>
          <w:tcPr>
            <w:tcW w:w="60" w:type="dxa"/>
            <w:tcBorders/>
            <w:tcMar>
              <w:bottom w:w="0" w:type="dxa"/>
            </w:tcMar>
            <w:vAlign w:val="center"/>
          </w:tcPr>
          <w:p>
            <w:pPr>
              <w:pStyle w:val="TableContents"/>
              <w:bidi w:val="0"/>
              <w:spacing w:before="0" w:after="283"/>
              <w:jc w:val="center"/>
              <w:rPr/>
            </w:pPr>
            <w:r>
              <w:rPr/>
              <w:t> </w:t>
            </w:r>
          </w:p>
        </w:tc>
        <w:tc>
          <w:tcPr>
            <w:tcW w:w="2734" w:type="dxa"/>
            <w:tcBorders>
              <w:bottom w:val="single" w:sz="8" w:space="0" w:color="000000"/>
            </w:tcBorders>
            <w:vAlign w:val="center"/>
          </w:tcPr>
          <w:p>
            <w:pPr>
              <w:pStyle w:val="TableContents"/>
              <w:bidi w:val="0"/>
              <w:spacing w:before="0" w:after="283"/>
              <w:jc w:val="center"/>
              <w:rPr>
                <w:b/>
              </w:rPr>
            </w:pPr>
            <w:r>
              <w:rPr>
                <w:b/>
              </w:rPr>
              <w:t>Commitment</w:t>
            </w:r>
          </w:p>
        </w:tc>
      </w:tr>
      <w:tr>
        <w:trPr/>
        <w:tc>
          <w:tcPr>
            <w:tcW w:w="2030" w:type="dxa"/>
            <w:tcBorders/>
            <w:tcMar>
              <w:bottom w:w="0" w:type="dxa"/>
            </w:tcMar>
            <w:vAlign w:val="center"/>
          </w:tcPr>
          <w:p>
            <w:pPr>
              <w:pStyle w:val="TableContents"/>
              <w:bidi w:val="0"/>
              <w:spacing w:before="0" w:after="283"/>
              <w:jc w:val="center"/>
              <w:rPr/>
            </w:pPr>
            <w:r>
              <w:rPr/>
              <w:t>Bank</w:t>
            </w:r>
          </w:p>
        </w:tc>
        <w:tc>
          <w:tcPr>
            <w:tcW w:w="60" w:type="dxa"/>
            <w:tcBorders/>
            <w:tcMar>
              <w:bottom w:w="0" w:type="dxa"/>
            </w:tcMar>
            <w:vAlign w:val="center"/>
          </w:tcPr>
          <w:p>
            <w:pPr>
              <w:pStyle w:val="TableContents"/>
              <w:bidi w:val="0"/>
              <w:spacing w:before="0" w:after="283"/>
              <w:jc w:val="left"/>
              <w:rPr/>
            </w:pPr>
            <w:r>
              <w:rPr/>
              <w:t> </w:t>
            </w:r>
          </w:p>
        </w:tc>
        <w:tc>
          <w:tcPr>
            <w:tcW w:w="3260" w:type="dxa"/>
            <w:tcBorders/>
            <w:tcMar>
              <w:bottom w:w="0" w:type="dxa"/>
            </w:tcMar>
            <w:vAlign w:val="center"/>
          </w:tcPr>
          <w:p>
            <w:pPr>
              <w:pStyle w:val="TableContents"/>
              <w:bidi w:val="0"/>
              <w:spacing w:before="0" w:after="283"/>
              <w:jc w:val="left"/>
              <w:rPr/>
            </w:pPr>
            <w:r>
              <w:rPr/>
              <w:t>Capital One, National Association</w:t>
            </w:r>
          </w:p>
        </w:tc>
        <w:tc>
          <w:tcPr>
            <w:tcW w:w="60" w:type="dxa"/>
            <w:tcBorders/>
            <w:tcMar>
              <w:bottom w:w="0" w:type="dxa"/>
            </w:tcMar>
            <w:vAlign w:val="center"/>
          </w:tcPr>
          <w:p>
            <w:pPr>
              <w:pStyle w:val="TableContents"/>
              <w:bidi w:val="0"/>
              <w:spacing w:before="0" w:after="283"/>
              <w:jc w:val="left"/>
              <w:rPr/>
            </w:pPr>
            <w:r>
              <w:rPr/>
              <w:t> </w:t>
            </w:r>
          </w:p>
        </w:tc>
        <w:tc>
          <w:tcPr>
            <w:tcW w:w="2734" w:type="dxa"/>
            <w:tcBorders/>
            <w:tcMar>
              <w:bottom w:w="0" w:type="dxa"/>
            </w:tcMar>
            <w:vAlign w:val="center"/>
          </w:tcPr>
          <w:p>
            <w:pPr>
              <w:pStyle w:val="TableContents"/>
              <w:bidi w:val="0"/>
              <w:spacing w:before="0" w:after="0"/>
              <w:ind w:left="367" w:right="4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150,000,000</w:t>
            </w:r>
            <w:r>
              <w:rPr>
                <w:rFonts w:ascii="Times New Roman;Times;Serif" w:hAnsi="Times New Roman;Times;Serif"/>
                <w:b w:val="false"/>
                <w:i w:val="false"/>
                <w:caps w:val="false"/>
                <w:smallCaps w:val="false"/>
                <w:color w:val="0000FF"/>
                <w:sz w:val="20"/>
                <w:u w:val="single"/>
              </w:rPr>
              <w:t>339, 000,000</w:t>
            </w:r>
          </w:p>
        </w:tc>
      </w:tr>
      <w:tr>
        <w:trPr/>
        <w:tc>
          <w:tcPr>
            <w:tcW w:w="20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34"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283"/>
              <w:jc w:val="left"/>
              <w:rPr/>
            </w:pPr>
            <w:r>
              <w:rPr/>
              <w:t>Lender Group Agent</w:t>
            </w:r>
          </w:p>
        </w:tc>
        <w:tc>
          <w:tcPr>
            <w:tcW w:w="60" w:type="dxa"/>
            <w:tcBorders/>
            <w:tcMar>
              <w:bottom w:w="0" w:type="dxa"/>
            </w:tcMar>
            <w:vAlign w:val="center"/>
          </w:tcPr>
          <w:p>
            <w:pPr>
              <w:pStyle w:val="TableContents"/>
              <w:bidi w:val="0"/>
              <w:spacing w:before="0" w:after="283"/>
              <w:jc w:val="left"/>
              <w:rPr/>
            </w:pPr>
            <w:r>
              <w:rPr/>
              <w:t> </w:t>
            </w:r>
          </w:p>
        </w:tc>
        <w:tc>
          <w:tcPr>
            <w:tcW w:w="3260" w:type="dxa"/>
            <w:tcBorders/>
            <w:tcMar>
              <w:bottom w:w="0" w:type="dxa"/>
            </w:tcMar>
            <w:vAlign w:val="center"/>
          </w:tcPr>
          <w:p>
            <w:pPr>
              <w:pStyle w:val="TableContents"/>
              <w:bidi w:val="0"/>
              <w:spacing w:before="0" w:after="283"/>
              <w:jc w:val="left"/>
              <w:rPr/>
            </w:pPr>
            <w:r>
              <w:rPr/>
              <w:t>Capital One, National Association</w:t>
            </w:r>
          </w:p>
        </w:tc>
        <w:tc>
          <w:tcPr>
            <w:tcW w:w="60" w:type="dxa"/>
            <w:tcBorders/>
            <w:tcMar>
              <w:bottom w:w="0" w:type="dxa"/>
            </w:tcMar>
            <w:vAlign w:val="center"/>
          </w:tcPr>
          <w:p>
            <w:pPr>
              <w:pStyle w:val="TableContents"/>
              <w:bidi w:val="0"/>
              <w:spacing w:before="0" w:after="283"/>
              <w:jc w:val="left"/>
              <w:rPr/>
            </w:pPr>
            <w:r>
              <w:rPr/>
              <w:t> </w:t>
            </w:r>
          </w:p>
        </w:tc>
        <w:tc>
          <w:tcPr>
            <w:tcW w:w="2734" w:type="dxa"/>
            <w:tcBorders/>
            <w:tcMar>
              <w:bottom w:w="0" w:type="dxa"/>
            </w:tcMar>
            <w:vAlign w:val="center"/>
          </w:tcPr>
          <w:p>
            <w:pPr>
              <w:pStyle w:val="TableContents"/>
              <w:bidi w:val="0"/>
              <w:spacing w:before="0" w:after="283"/>
              <w:jc w:val="center"/>
              <w:rPr/>
            </w:pPr>
            <w:r>
              <w:rPr/>
              <w:t>N/A</w:t>
            </w:r>
          </w:p>
        </w:tc>
      </w:tr>
      <w:tr>
        <w:trPr/>
        <w:tc>
          <w:tcPr>
            <w:tcW w:w="20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34" w:type="dxa"/>
            <w:tcBorders/>
            <w:tcMar>
              <w:bottom w:w="0" w:type="dxa"/>
            </w:tcMar>
            <w:vAlign w:val="center"/>
          </w:tcPr>
          <w:p>
            <w:pPr>
              <w:pStyle w:val="TableContents"/>
              <w:bidi w:val="0"/>
              <w:spacing w:before="0" w:after="283"/>
              <w:jc w:val="left"/>
              <w:rPr/>
            </w:pPr>
            <w:r>
              <w:rPr/>
              <w:t> </w:t>
            </w:r>
          </w:p>
        </w:tc>
      </w:tr>
      <w:tr>
        <w:trPr/>
        <w:tc>
          <w:tcPr>
            <w:tcW w:w="20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60" w:type="dxa"/>
            <w:tcBorders/>
            <w:tcMar>
              <w:bottom w:w="0" w:type="dxa"/>
            </w:tcMar>
            <w:vAlign w:val="center"/>
          </w:tcPr>
          <w:p>
            <w:pPr>
              <w:pStyle w:val="TableContents"/>
              <w:bidi w:val="0"/>
              <w:spacing w:before="0" w:after="283"/>
              <w:jc w:val="left"/>
              <w:rPr/>
            </w:pPr>
            <w:r>
              <w:rPr/>
              <w:t>Lender Group Limit</w:t>
            </w:r>
          </w:p>
        </w:tc>
        <w:tc>
          <w:tcPr>
            <w:tcW w:w="60" w:type="dxa"/>
            <w:tcBorders/>
            <w:tcMar>
              <w:bottom w:w="0" w:type="dxa"/>
            </w:tcMar>
            <w:vAlign w:val="center"/>
          </w:tcPr>
          <w:p>
            <w:pPr>
              <w:pStyle w:val="TableContents"/>
              <w:bidi w:val="0"/>
              <w:spacing w:before="0" w:after="283"/>
              <w:jc w:val="left"/>
              <w:rPr/>
            </w:pPr>
            <w:r>
              <w:rPr/>
              <w:t> </w:t>
            </w:r>
          </w:p>
        </w:tc>
        <w:tc>
          <w:tcPr>
            <w:tcW w:w="2734" w:type="dxa"/>
            <w:tcBorders/>
            <w:tcMar>
              <w:bottom w:w="0" w:type="dxa"/>
            </w:tcMar>
            <w:vAlign w:val="center"/>
          </w:tcPr>
          <w:p>
            <w:pPr>
              <w:pStyle w:val="TableContents"/>
              <w:bidi w:val="0"/>
              <w:spacing w:before="0" w:after="283"/>
              <w:jc w:val="left"/>
              <w:rPr/>
            </w:pPr>
            <w:r>
              <w:rPr/>
              <w:t>$</w:t>
            </w:r>
            <w:r>
              <w:rPr>
                <w:strike/>
                <w:color w:val="FF0000"/>
              </w:rPr>
              <w:t>150,000,000</w:t>
            </w:r>
            <w:r>
              <w:rPr>
                <w:color w:val="0000FF"/>
                <w:u w:val="single"/>
              </w:rPr>
              <w:t>339, 000,000</w:t>
            </w:r>
            <w:r>
              <w:rPr/>
              <w:t xml:space="preserv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 B Loans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Maximum Loan Balance” shall be equal to $</w:t>
      </w:r>
      <w:r>
        <w:rPr>
          <w:rFonts w:ascii="Times New Roman;Times;Serif" w:hAnsi="Times New Roman;Times;Serif"/>
          <w:b w:val="false"/>
          <w:i w:val="false"/>
          <w:caps w:val="false"/>
          <w:smallCaps w:val="false"/>
          <w:strike/>
          <w:color w:val="FF0000"/>
          <w:sz w:val="20"/>
        </w:rPr>
        <w:t>17,500,000</w:t>
      </w:r>
      <w:r>
        <w:rPr>
          <w:rFonts w:ascii="Times New Roman;Times;Serif" w:hAnsi="Times New Roman;Times;Serif"/>
          <w:b w:val="false"/>
          <w:i w:val="false"/>
          <w:caps w:val="false"/>
          <w:smallCaps w:val="false"/>
          <w:color w:val="0000FF"/>
          <w:sz w:val="20"/>
          <w:u w:val="single"/>
        </w:rPr>
        <w:t>51,000,000</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Lender Group</w:t>
      </w:r>
    </w:p>
    <w:p>
      <w:pPr>
        <w:pStyle w:val="TextBody"/>
        <w:bidi w:val="0"/>
        <w:spacing w:before="0" w:after="0"/>
        <w:ind w:left="1440"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28" w:type="dxa"/>
          <w:right w:w="0" w:type="dxa"/>
        </w:tblCellMar>
      </w:tblPr>
      <w:tblGrid>
        <w:gridCol w:w="1970"/>
        <w:gridCol w:w="60"/>
        <w:gridCol w:w="590"/>
        <w:gridCol w:w="60"/>
        <w:gridCol w:w="1370"/>
      </w:tblGrid>
      <w:tr>
        <w:trPr/>
        <w:tc>
          <w:tcPr>
            <w:tcW w:w="1970" w:type="dxa"/>
            <w:tcBorders>
              <w:bottom w:val="single" w:sz="8" w:space="0" w:color="000000"/>
            </w:tcBorders>
            <w:vAlign w:val="center"/>
          </w:tcPr>
          <w:p>
            <w:pPr>
              <w:pStyle w:val="TableContents"/>
              <w:bidi w:val="0"/>
              <w:spacing w:before="0" w:after="283"/>
              <w:jc w:val="center"/>
              <w:rPr>
                <w:b/>
              </w:rPr>
            </w:pPr>
            <w:r>
              <w:rPr>
                <w:b/>
              </w:rPr>
              <w:t>Role</w:t>
            </w:r>
          </w:p>
        </w:tc>
        <w:tc>
          <w:tcPr>
            <w:tcW w:w="60" w:type="dxa"/>
            <w:tcBorders/>
            <w:tcMar>
              <w:bottom w:w="0" w:type="dxa"/>
            </w:tcMar>
            <w:vAlign w:val="center"/>
          </w:tcPr>
          <w:p>
            <w:pPr>
              <w:pStyle w:val="TableContents"/>
              <w:bidi w:val="0"/>
              <w:spacing w:before="0" w:after="283"/>
              <w:jc w:val="center"/>
              <w:rPr/>
            </w:pPr>
            <w:r>
              <w:rPr/>
              <w:t> </w:t>
            </w:r>
          </w:p>
        </w:tc>
        <w:tc>
          <w:tcPr>
            <w:tcW w:w="590" w:type="dxa"/>
            <w:tcBorders>
              <w:bottom w:val="single" w:sz="8" w:space="0" w:color="000000"/>
            </w:tcBorders>
            <w:vAlign w:val="center"/>
          </w:tcPr>
          <w:p>
            <w:pPr>
              <w:pStyle w:val="TableContents"/>
              <w:bidi w:val="0"/>
              <w:spacing w:before="0" w:after="283"/>
              <w:jc w:val="center"/>
              <w:rPr>
                <w:b/>
              </w:rPr>
            </w:pPr>
            <w:r>
              <w:rPr>
                <w:b/>
              </w:rPr>
              <w:t>Party</w:t>
            </w:r>
          </w:p>
        </w:tc>
        <w:tc>
          <w:tcPr>
            <w:tcW w:w="60" w:type="dxa"/>
            <w:tcBorders/>
            <w:tcMar>
              <w:bottom w:w="0" w:type="dxa"/>
            </w:tcMar>
            <w:vAlign w:val="center"/>
          </w:tcPr>
          <w:p>
            <w:pPr>
              <w:pStyle w:val="TableContents"/>
              <w:bidi w:val="0"/>
              <w:spacing w:before="0" w:after="283"/>
              <w:jc w:val="center"/>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Commitment</w:t>
            </w:r>
          </w:p>
        </w:tc>
      </w:tr>
      <w:tr>
        <w:trPr/>
        <w:tc>
          <w:tcPr>
            <w:tcW w:w="1970" w:type="dxa"/>
            <w:tcBorders/>
            <w:tcMar>
              <w:bottom w:w="0" w:type="dxa"/>
            </w:tcMar>
            <w:vAlign w:val="center"/>
          </w:tcPr>
          <w:p>
            <w:pPr>
              <w:pStyle w:val="TableContents"/>
              <w:bidi w:val="0"/>
              <w:spacing w:before="0" w:after="283"/>
              <w:jc w:val="center"/>
              <w:rPr/>
            </w:pPr>
            <w:r>
              <w:rPr/>
              <w:t xml:space="preserve">Class B Lender </w:t>
            </w:r>
          </w:p>
        </w:tc>
        <w:tc>
          <w:tcPr>
            <w:tcW w:w="60" w:type="dxa"/>
            <w:tcBorders/>
            <w:tcMar>
              <w:bottom w:w="0" w:type="dxa"/>
            </w:tcMar>
            <w:vAlign w:val="center"/>
          </w:tcPr>
          <w:p>
            <w:pPr>
              <w:pStyle w:val="TableContents"/>
              <w:bidi w:val="0"/>
              <w:spacing w:before="0" w:after="283"/>
              <w:jc w:val="center"/>
              <w:rPr/>
            </w:pPr>
            <w:r>
              <w:rPr/>
              <w:t> </w:t>
            </w:r>
          </w:p>
        </w:tc>
        <w:tc>
          <w:tcPr>
            <w:tcW w:w="590" w:type="dxa"/>
            <w:tcBorders/>
            <w:tcMar>
              <w:bottom w:w="0" w:type="dxa"/>
            </w:tcMar>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pPr>
            <w:r>
              <w:rPr/>
              <w:t>[</w:t>
            </w:r>
            <w:r>
              <w:rPr>
                <w:strike/>
                <w:color w:val="EE0000"/>
              </w:rPr>
              <w:t>***</w:t>
            </w:r>
            <w:r>
              <w:rPr>
                <w:strike/>
              </w:rPr>
              <w:t>]</w:t>
            </w:r>
            <w:r>
              <w:rPr>
                <w:color w:val="0000FF"/>
                <w:u w:val="single"/>
              </w:rPr>
              <w:t>[***</w:t>
            </w:r>
            <w:r>
              <w:rPr/>
              <w:t xml:space="preserve"> </w:t>
            </w:r>
            <w:r>
              <w:rPr>
                <w:color w:val="0000FF"/>
                <w:u w:val="single"/>
              </w:rPr>
              <w:t>]</w:t>
            </w:r>
          </w:p>
        </w:tc>
      </w:tr>
      <w:tr>
        <w:trPr/>
        <w:tc>
          <w:tcPr>
            <w:tcW w:w="1970" w:type="dxa"/>
            <w:tcBorders/>
            <w:tcMar>
              <w:bottom w:w="0" w:type="dxa"/>
            </w:tcMar>
            <w:vAlign w:val="center"/>
          </w:tcPr>
          <w:p>
            <w:pPr>
              <w:pStyle w:val="TableContents"/>
              <w:bidi w:val="0"/>
              <w:spacing w:before="0" w:after="283"/>
              <w:jc w:val="center"/>
              <w:rPr/>
            </w:pPr>
            <w:r>
              <w:rPr/>
              <w:t>Committed Lender</w:t>
            </w:r>
          </w:p>
        </w:tc>
        <w:tc>
          <w:tcPr>
            <w:tcW w:w="60" w:type="dxa"/>
            <w:tcBorders/>
            <w:tcMar>
              <w:bottom w:w="0" w:type="dxa"/>
            </w:tcMar>
            <w:vAlign w:val="center"/>
          </w:tcPr>
          <w:p>
            <w:pPr>
              <w:pStyle w:val="TableContents"/>
              <w:bidi w:val="0"/>
              <w:spacing w:before="0" w:after="283"/>
              <w:jc w:val="center"/>
              <w:rPr/>
            </w:pPr>
            <w:r>
              <w:rPr/>
              <w:t> </w:t>
            </w:r>
          </w:p>
        </w:tc>
        <w:tc>
          <w:tcPr>
            <w:tcW w:w="590" w:type="dxa"/>
            <w:tcBorders/>
            <w:tcMar>
              <w:bottom w:w="0" w:type="dxa"/>
            </w:tcMar>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pPr>
            <w:r>
              <w:rPr/>
              <w:t>[</w:t>
            </w:r>
            <w:r>
              <w:rPr>
                <w:strike/>
                <w:color w:val="EE0000"/>
              </w:rPr>
              <w:t>***</w:t>
            </w:r>
            <w:r>
              <w:rPr>
                <w:strike/>
              </w:rPr>
              <w:t>]</w:t>
            </w:r>
            <w:r>
              <w:rPr>
                <w:color w:val="0000FF"/>
                <w:u w:val="single"/>
              </w:rPr>
              <w:t>[***</w:t>
            </w:r>
            <w:r>
              <w:rPr/>
              <w:t xml:space="preserve"> </w:t>
            </w:r>
            <w:r>
              <w:rPr>
                <w:color w:val="0000FF"/>
                <w:u w:val="single"/>
              </w:rPr>
              <w:t>]</w:t>
            </w:r>
          </w:p>
        </w:tc>
      </w:tr>
      <w:tr>
        <w:trPr/>
        <w:tc>
          <w:tcPr>
            <w:tcW w:w="19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970" w:type="dxa"/>
            <w:tcBorders/>
            <w:tcMar>
              <w:bottom w:w="0" w:type="dxa"/>
            </w:tcMar>
            <w:vAlign w:val="center"/>
          </w:tcPr>
          <w:p>
            <w:pPr>
              <w:pStyle w:val="TableContents"/>
              <w:bidi w:val="0"/>
              <w:spacing w:before="0" w:after="283"/>
              <w:jc w:val="center"/>
              <w:rPr/>
            </w:pPr>
            <w:r>
              <w:rPr/>
              <w:t xml:space="preserve">Class B Lender and </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590" w:type="dxa"/>
            <w:tcBorders/>
            <w:tcMar>
              <w:bottom w:w="0" w:type="dxa"/>
            </w:tcMar>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pPr>
            <w:r>
              <w:rPr/>
              <w:t>[***]</w:t>
            </w:r>
          </w:p>
        </w:tc>
      </w:tr>
      <w:tr>
        <w:trPr/>
        <w:tc>
          <w:tcPr>
            <w:tcW w:w="1970" w:type="dxa"/>
            <w:tcBorders/>
            <w:tcMar>
              <w:bottom w:w="0" w:type="dxa"/>
            </w:tcMar>
            <w:vAlign w:val="center"/>
          </w:tcPr>
          <w:p>
            <w:pPr>
              <w:pStyle w:val="TableContents"/>
              <w:bidi w:val="0"/>
              <w:spacing w:before="0" w:after="283"/>
              <w:jc w:val="center"/>
              <w:rPr/>
            </w:pPr>
            <w:r>
              <w:rPr/>
              <w:t>Committed Lender</w:t>
            </w:r>
          </w:p>
        </w:tc>
        <w:tc>
          <w:tcPr>
            <w:tcW w:w="60" w:type="dxa"/>
            <w:tcBorders/>
            <w:tcMar>
              <w:bottom w:w="0" w:type="dxa"/>
            </w:tcMar>
            <w:vAlign w:val="center"/>
          </w:tcPr>
          <w:p>
            <w:pPr>
              <w:pStyle w:val="TableContents"/>
              <w:bidi w:val="0"/>
              <w:spacing w:before="0" w:after="283"/>
              <w:jc w:val="center"/>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9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9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70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Group Limit: $</w:t>
      </w:r>
      <w:r>
        <w:rPr>
          <w:rFonts w:ascii="Times New Roman;Times;Serif" w:hAnsi="Times New Roman;Times;Serif"/>
          <w:b w:val="false"/>
          <w:i w:val="false"/>
          <w:caps w:val="false"/>
          <w:smallCaps w:val="false"/>
          <w:strike/>
          <w:color w:val="FF0000"/>
          <w:sz w:val="20"/>
        </w:rPr>
        <w:t>17,500,000</w:t>
      </w:r>
      <w:r>
        <w:rPr>
          <w:rFonts w:ascii="Times New Roman;Times;Serif" w:hAnsi="Times New Roman;Times;Serif"/>
          <w:b w:val="false"/>
          <w:i w:val="false"/>
          <w:caps w:val="false"/>
          <w:smallCaps w:val="false"/>
          <w:color w:val="0000FF"/>
          <w:sz w:val="20"/>
          <w:u w:val="single"/>
        </w:rPr>
        <w:t>51,00 0,000</w:t>
      </w:r>
    </w:p>
    <w:p>
      <w:pPr>
        <w:pStyle w:val="TextBody"/>
        <w:bidi w:val="0"/>
        <w:spacing w:before="0" w:after="0"/>
        <w:ind w:left="954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85" w:type="dxa"/>
        <w:jc w:val="left"/>
        <w:tblInd w:w="0" w:type="dxa"/>
        <w:tblLayout w:type="fixed"/>
        <w:tblCellMar>
          <w:top w:w="0" w:type="dxa"/>
          <w:left w:w="0" w:type="dxa"/>
          <w:bottom w:w="0" w:type="dxa"/>
          <w:right w:w="0" w:type="dxa"/>
        </w:tblCellMar>
      </w:tblPr>
      <w:tblGrid>
        <w:gridCol w:w="75"/>
        <w:gridCol w:w="935"/>
        <w:gridCol w:w="75"/>
      </w:tblGrid>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Sch A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ELIGIBLE RECEIVABLE CRITERIA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70" w:type="dxa"/>
        <w:jc w:val="left"/>
        <w:tblInd w:w="0" w:type="dxa"/>
        <w:tblLayout w:type="fixed"/>
        <w:tblCellMar>
          <w:top w:w="0" w:type="dxa"/>
          <w:left w:w="0" w:type="dxa"/>
          <w:bottom w:w="0" w:type="dxa"/>
          <w:right w:w="0" w:type="dxa"/>
        </w:tblCellMar>
      </w:tblPr>
      <w:tblGrid>
        <w:gridCol w:w="75"/>
        <w:gridCol w:w="920"/>
        <w:gridCol w:w="75"/>
      </w:tblGrid>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Sch B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RECEIVABLES SCHEDULE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delivered to the Administrative Agent)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70" w:type="dxa"/>
        <w:jc w:val="left"/>
        <w:tblInd w:w="0" w:type="dxa"/>
        <w:tblLayout w:type="fixed"/>
        <w:tblCellMar>
          <w:top w:w="0" w:type="dxa"/>
          <w:left w:w="0" w:type="dxa"/>
          <w:bottom w:w="0" w:type="dxa"/>
          <w:right w:w="0" w:type="dxa"/>
        </w:tblCellMar>
      </w:tblPr>
      <w:tblGrid>
        <w:gridCol w:w="75"/>
        <w:gridCol w:w="920"/>
        <w:gridCol w:w="75"/>
      </w:tblGrid>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Sch C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 OF CUSTODIAN FILES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Trust Company, N.A.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 Custody Vault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 10th Avenue SE Minneapolis, MN 55414</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Computershare Corporate Trust — Asset-Backed Securities Vault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abs.custody.vault@computershare.com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85" w:type="dxa"/>
        <w:jc w:val="left"/>
        <w:tblInd w:w="0" w:type="dxa"/>
        <w:tblLayout w:type="fixed"/>
        <w:tblCellMar>
          <w:top w:w="0" w:type="dxa"/>
          <w:left w:w="0" w:type="dxa"/>
          <w:bottom w:w="0" w:type="dxa"/>
          <w:right w:w="0" w:type="dxa"/>
        </w:tblCellMar>
      </w:tblPr>
      <w:tblGrid>
        <w:gridCol w:w="75"/>
        <w:gridCol w:w="935"/>
        <w:gridCol w:w="75"/>
      </w:tblGrid>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Sch D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Closing Index]</w:t>
      </w:r>
    </w:p>
    <w:p>
      <w:pPr>
        <w:pStyle w:val="TextBody"/>
        <w:bidi w:val="0"/>
        <w:spacing w:before="0" w:after="0"/>
        <w:ind w:left="1076"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55" w:type="dxa"/>
        <w:jc w:val="left"/>
        <w:tblInd w:w="0" w:type="dxa"/>
        <w:tblLayout w:type="fixed"/>
        <w:tblCellMar>
          <w:top w:w="0" w:type="dxa"/>
          <w:left w:w="0" w:type="dxa"/>
          <w:bottom w:w="0" w:type="dxa"/>
          <w:right w:w="0" w:type="dxa"/>
        </w:tblCellMar>
      </w:tblPr>
      <w:tblGrid>
        <w:gridCol w:w="75"/>
        <w:gridCol w:w="905"/>
        <w:gridCol w:w="75"/>
      </w:tblGrid>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Sch E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CONCERNING RECEIVABLES</w:t>
      </w:r>
    </w:p>
    <w:p>
      <w:pPr>
        <w:pStyle w:val="TextBody"/>
        <w:bidi w:val="0"/>
        <w:spacing w:before="0" w:after="0"/>
        <w:jc w:val="left"/>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3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(i)</w:t>
            </w:r>
          </w:p>
        </w:tc>
        <w:tc>
          <w:tcPr>
            <w:tcW w:w="4640" w:type="dxa"/>
            <w:tcBorders/>
            <w:vAlign w:val="center"/>
          </w:tcPr>
          <w:p>
            <w:pPr>
              <w:pStyle w:val="TableContents"/>
              <w:bidi w:val="0"/>
              <w:spacing w:before="0" w:after="283"/>
              <w:jc w:val="both"/>
              <w:rPr/>
            </w:pPr>
            <w:r>
              <w:rPr>
                <w:u w:val="single"/>
              </w:rPr>
              <w:t>Characteristics of Receivables.</w:t>
            </w:r>
            <w:r>
              <w:rPr/>
              <w:t xml:space="preserve"> Each Receivable: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both"/>
              <w:rPr/>
            </w:pPr>
            <w:r>
              <w:rPr/>
              <w:t>(a)</w:t>
            </w:r>
          </w:p>
        </w:tc>
        <w:tc>
          <w:tcPr>
            <w:tcW w:w="9902" w:type="dxa"/>
            <w:tcBorders/>
            <w:vAlign w:val="center"/>
          </w:tcPr>
          <w:p>
            <w:pPr>
              <w:pStyle w:val="TableContents"/>
              <w:bidi w:val="0"/>
              <w:spacing w:before="0" w:after="283"/>
              <w:jc w:val="both"/>
              <w:rPr/>
            </w:pPr>
            <w:r>
              <w:rPr/>
              <w:t>is evidenced either by (i) a retail installment sale contract or (ii) an installment promissory note and security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both"/>
              <w:rPr/>
            </w:pPr>
            <w:r>
              <w:rPr/>
              <w:t>(b)</w:t>
            </w:r>
          </w:p>
        </w:tc>
        <w:tc>
          <w:tcPr>
            <w:tcW w:w="9944" w:type="dxa"/>
            <w:tcBorders/>
            <w:vAlign w:val="center"/>
          </w:tcPr>
          <w:p>
            <w:pPr>
              <w:pStyle w:val="TableContents"/>
              <w:bidi w:val="0"/>
              <w:spacing w:before="0" w:after="283"/>
              <w:jc w:val="both"/>
              <w:rPr/>
            </w:pPr>
            <w:r>
              <w:rPr/>
              <w:t>if such Receivable is evidenced by a retail installment sale contract, has been originated in the United States of America by a Dealer for the retail sale of a Financed Vehicle in the ordinary course of such Dealer’s business and without any fraud or misrepresentation on the part of such Dealer, the Seller or the related Obligor, such Dealer had all necessary licenses and permits to originate such Receivables in the state where such Dealer was located, has been fully and properly executed by the parties thereto, has been purchased by the Seller directly from such Dealer pursuant to a Dealer Agreement in connection with the sale of Financed Vehicles by such Dealer and has been validly assigned without any intervening assignments by such Dealer to the Seller in accordance with its terms;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pPr>
            <w:r>
              <w:rPr/>
              <w:t>(c)</w:t>
            </w:r>
          </w:p>
        </w:tc>
        <w:tc>
          <w:tcPr>
            <w:tcW w:w="9942" w:type="dxa"/>
            <w:tcBorders/>
            <w:vAlign w:val="center"/>
          </w:tcPr>
          <w:p>
            <w:pPr>
              <w:pStyle w:val="TableContents"/>
              <w:bidi w:val="0"/>
              <w:spacing w:before="0" w:after="283"/>
              <w:jc w:val="both"/>
              <w:rPr/>
            </w:pPr>
            <w:r>
              <w:rPr/>
              <w:t>if such Receivable is a Consumer Lender Receivable, such Receivable was originated by a Consumer Lender in accordance with underwriting policies with respect to the underwriting of automobile receivables identical, in all material respects, to the Contract Purchase Guidelines;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(d)</w:t>
            </w:r>
          </w:p>
        </w:tc>
        <w:tc>
          <w:tcPr>
            <w:tcW w:w="9937" w:type="dxa"/>
            <w:tcBorders/>
            <w:vAlign w:val="center"/>
          </w:tcPr>
          <w:p>
            <w:pPr>
              <w:pStyle w:val="TableContents"/>
              <w:bidi w:val="0"/>
              <w:spacing w:before="0" w:after="283"/>
              <w:jc w:val="both"/>
              <w:rPr/>
            </w:pPr>
            <w:r>
              <w:rPr/>
              <w:t xml:space="preserve">has created a valid, subsisting, and enforceable first priority perfected security interest in favor of the Seller in the Financed Vehicle, which security interest has been validly assigned by the Seller to the Borrower, and by the Borrower to the Administrative Agent for the benefit of the Secured Parties, </w:t>
            </w:r>
            <w:r>
              <w:rPr>
                <w:u w:val="single"/>
              </w:rPr>
              <w:t>provided, that</w:t>
            </w:r>
            <w:r>
              <w:rPr/>
              <w:t xml:space="preserve"> in the case of Consumer Lender Receivables, CPS is actively pursuing perfection of the security interest in favor of the Seller in the Financed Vehicle;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pPr>
            <w:r>
              <w:rPr/>
              <w:t>(e)</w:t>
            </w:r>
          </w:p>
        </w:tc>
        <w:tc>
          <w:tcPr>
            <w:tcW w:w="9940" w:type="dxa"/>
            <w:tcBorders/>
            <w:vAlign w:val="center"/>
          </w:tcPr>
          <w:p>
            <w:pPr>
              <w:pStyle w:val="TableContents"/>
              <w:bidi w:val="0"/>
              <w:spacing w:before="0" w:after="283"/>
              <w:jc w:val="both"/>
              <w:rPr/>
            </w:pPr>
            <w:r>
              <w:rPr/>
              <w:t>contains customary and enforceable provisions such that the rights and remedies of the holder or assignee thereof shall be adequate for realization against the collateral of the benefits of the security including without limitation a right of repossession following a default;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both"/>
              <w:rPr/>
            </w:pPr>
            <w:r>
              <w:rPr/>
              <w:t>(f)</w:t>
            </w:r>
          </w:p>
        </w:tc>
        <w:tc>
          <w:tcPr>
            <w:tcW w:w="9975" w:type="dxa"/>
            <w:tcBorders/>
            <w:vAlign w:val="center"/>
          </w:tcPr>
          <w:p>
            <w:pPr>
              <w:pStyle w:val="TableContents"/>
              <w:bidi w:val="0"/>
              <w:spacing w:before="0" w:after="283"/>
              <w:jc w:val="both"/>
              <w:rPr/>
            </w:pPr>
            <w:r>
              <w:rPr/>
              <w:t>provides for level weekly, bi-weekly, semi-monthly or monthly payments that fully amortize the Amount Financed over the original term (except for the last payment, which may be different from the level payment but in no event shall exceed three times such level payment) and yields interest at the Annual Percentage Rate;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both"/>
              <w:rPr/>
            </w:pPr>
            <w:r>
              <w:rPr/>
              <w:t>(g)</w:t>
            </w:r>
          </w:p>
        </w:tc>
        <w:tc>
          <w:tcPr>
            <w:tcW w:w="9911" w:type="dxa"/>
            <w:tcBorders/>
            <w:vAlign w:val="center"/>
          </w:tcPr>
          <w:p>
            <w:pPr>
              <w:pStyle w:val="TableContents"/>
              <w:bidi w:val="0"/>
              <w:spacing w:before="0" w:after="283"/>
              <w:jc w:val="both"/>
              <w:rPr/>
            </w:pPr>
            <w:r>
              <w:rPr/>
              <w:t>provides, in the case of prepayment, for the full payment of the Principal Balance thereof plus Accrued Interest through the date of prepayment based on the APR of the Receivable;</w:t>
            </w:r>
          </w:p>
        </w:tc>
      </w:tr>
    </w:tbl>
    <w:p>
      <w:pPr>
        <w:pStyle w:val="TextBody"/>
        <w:bidi w:val="0"/>
        <w:spacing w:before="0" w:after="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9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(h)</w:t>
            </w:r>
          </w:p>
        </w:tc>
        <w:tc>
          <w:tcPr>
            <w:tcW w:w="3350" w:type="dxa"/>
            <w:tcBorders/>
            <w:vAlign w:val="center"/>
          </w:tcPr>
          <w:p>
            <w:pPr>
              <w:pStyle w:val="TableContents"/>
              <w:bidi w:val="0"/>
              <w:spacing w:before="0" w:after="283"/>
              <w:jc w:val="both"/>
              <w:rPr/>
            </w:pPr>
            <w:r>
              <w:rPr/>
              <w:t>is denominated in U.S. dollars; and</w:t>
            </w:r>
          </w:p>
        </w:tc>
      </w:tr>
    </w:tbl>
    <w:p>
      <w:pPr>
        <w:pStyle w:val="TextBody"/>
        <w:bidi w:val="0"/>
        <w:spacing w:before="0" w:after="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3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(i)</w:t>
            </w:r>
          </w:p>
        </w:tc>
        <w:tc>
          <w:tcPr>
            <w:tcW w:w="7400" w:type="dxa"/>
            <w:tcBorders/>
            <w:vAlign w:val="center"/>
          </w:tcPr>
          <w:p>
            <w:pPr>
              <w:pStyle w:val="TableContents"/>
              <w:bidi w:val="0"/>
              <w:spacing w:before="0" w:after="283"/>
              <w:jc w:val="both"/>
              <w:rPr/>
            </w:pPr>
            <w:r>
              <w:rPr/>
              <w:t>contains no obligation to lend more money to the related Obligor in the future.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Schedule of Receivables</w:t>
      </w:r>
      <w:r>
        <w:rPr>
          <w:rFonts w:ascii="Times New Roman;Times;Serif" w:hAnsi="Times New Roman;Times;Serif"/>
          <w:b w:val="false"/>
          <w:i w:val="false"/>
          <w:caps w:val="false"/>
          <w:smallCaps w:val="false"/>
          <w:sz w:val="20"/>
        </w:rPr>
        <w:t>. The information with respect to the Receivables set forth in Schedule A to the related Assignment is true and correct in all material respects as of the close of business on the related Cutoff Date, and no selection procedures adverse to any Lender have been utilized in selecting the Receivables to be sold hereunder and thereunder.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40" w:type="dxa"/>
        <w:jc w:val="left"/>
        <w:tblInd w:w="0" w:type="dxa"/>
        <w:tblLayout w:type="fixed"/>
        <w:tblCellMar>
          <w:top w:w="0" w:type="dxa"/>
          <w:left w:w="0" w:type="dxa"/>
          <w:bottom w:w="0" w:type="dxa"/>
          <w:right w:w="0" w:type="dxa"/>
        </w:tblCellMar>
      </w:tblPr>
      <w:tblGrid>
        <w:gridCol w:w="75"/>
        <w:gridCol w:w="890"/>
        <w:gridCol w:w="75"/>
      </w:tblGrid>
      <w:tr>
        <w:trPr/>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Sch F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Each Receivable, the sale of the Financed Vehicle and the sale of any physical damage, credit life and credit accident and health insurance and any extended warranties or service contracts complied at the time the Receivable was originated or made and at the execution of the applicable Assignment complies in all material respects with all requirements of applicable Federal, State, and local laws, including, without limitation, Consumer Laws. Each Receivable has been serviced in compliance with all applicable requirements of law.</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No Government Obligor</w:t>
      </w:r>
      <w:r>
        <w:rPr>
          <w:rFonts w:ascii="Times New Roman;Times;Serif" w:hAnsi="Times New Roman;Times;Serif"/>
          <w:b w:val="false"/>
          <w:i w:val="false"/>
          <w:caps w:val="false"/>
          <w:smallCaps w:val="false"/>
          <w:sz w:val="20"/>
        </w:rPr>
        <w:t>. None of the Receivables are due from the United States of America or any State or from any agency, department, or instrumentality of the United States of America or any State.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Fleet Sales</w:t>
      </w:r>
      <w:r>
        <w:rPr>
          <w:rFonts w:ascii="Times New Roman;Times;Serif" w:hAnsi="Times New Roman;Times;Serif"/>
          <w:b w:val="false"/>
          <w:i w:val="false"/>
          <w:caps w:val="false"/>
          <w:smallCaps w:val="false"/>
          <w:sz w:val="20"/>
        </w:rPr>
        <w:t>. None of the Receivables have been included in a “fleet” sale (i.e., a sale to any single Obligor of more than five Financed Vehicles).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rPr>
        <w:drawing>
          <wp:inline distT="0" distB="0" distL="0" distR="0">
            <wp:extent cx="57150" cy="38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 cy="38100"/>
                    </a:xfrm>
                    <a:prstGeom prst="rect">
                      <a:avLst/>
                    </a:prstGeom>
                  </pic:spPr>
                </pic:pic>
              </a:graphicData>
            </a:graphic>
          </wp:inline>
        </w:drawing>
      </w:r>
      <w:r>
        <w:rPr>
          <w:rFonts w:ascii="Times New Roman;Times;Serif" w:hAnsi="Times New Roman;Times;Serif"/>
          <w:b w:val="false"/>
          <w:i w:val="false"/>
          <w:caps w:val="false"/>
          <w:smallCaps w:val="false"/>
          <w:sz w:val="20"/>
          <w:u w:val="single"/>
        </w:rPr>
        <w:t>Security Interest in Financed Vehicle</w:t>
      </w:r>
      <w:r>
        <w:rPr>
          <w:rFonts w:ascii="Times New Roman;Times;Serif" w:hAnsi="Times New Roman;Times;Serif"/>
          <w:b w:val="false"/>
          <w:i w:val="false"/>
          <w:caps w:val="false"/>
          <w:smallCaps w:val="false"/>
          <w:sz w:val="20"/>
        </w:rPr>
        <w:t>. Except with respect to Consumer Lender Receivables until the Perfection Date, immediately subsequent to the sale, assignment and transfer thereof to the Borrower, each Receivable shall be secured by a validly perfected first priority security interest in the Financed Vehicle in favor of the Seller as secured party which security interest has been validly assigned to the Borrower and subsequently validly pledged to the Administrative Agent for the benefit of the Secured Parties, and such assigned security interest is prior to all other liens upon and security interests in such Financed Vehicle which now exist or may hereafter arise or be created (except, as to priority, for any tax liens or mechanics’ liens which may arise after the related Addition Date as a result of an Obligor’s failure to pay its obligations, as applicable</w:t>
      </w:r>
      <w:r>
        <w:rPr>
          <w:rFonts w:ascii="Times New Roman;Times;Serif" w:hAnsi="Times New Roman;Times;Serif"/>
          <w:b w:val="false"/>
          <w:i w:val="false"/>
          <w:caps w:val="false"/>
          <w:smallCaps w:val="false"/>
          <w:color w:val="0000FF"/>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Receivables in Force</w:t>
      </w:r>
      <w:r>
        <w:rPr>
          <w:rFonts w:ascii="Times New Roman;Times;Serif" w:hAnsi="Times New Roman;Times;Serif"/>
          <w:b w:val="false"/>
          <w:i w:val="false"/>
          <w:caps w:val="false"/>
          <w:smallCaps w:val="false"/>
          <w:sz w:val="20"/>
        </w:rPr>
        <w:t>. No Receivable has been satisfied, subordinated or rescinded, nor has any related Financed Vehicle been released from the lien granted by the Receivable in whole or in part.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Except as permitted hereunder, no provision of a Receivable has been waived, altered or modified in any respect since its origination.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u w:val="single"/>
        </w:rPr>
        <w:t>No Amendments</w:t>
      </w:r>
      <w:r>
        <w:rPr>
          <w:rFonts w:ascii="Times New Roman;Times;Serif" w:hAnsi="Times New Roman;Times;Serif"/>
          <w:b w:val="false"/>
          <w:i w:val="false"/>
          <w:caps w:val="false"/>
          <w:smallCaps w:val="false"/>
          <w:sz w:val="20"/>
        </w:rPr>
        <w:t>. Except as permitted hereunder, no Receivable has been amended, modified, waived or refinanced except as such Receivable may have been amended in accordance with the Servicing Guidelines.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No Defenses</w:t>
      </w:r>
      <w:r>
        <w:rPr>
          <w:rFonts w:ascii="Times New Roman;Times;Serif" w:hAnsi="Times New Roman;Times;Serif"/>
          <w:b w:val="false"/>
          <w:i w:val="false"/>
          <w:caps w:val="false"/>
          <w:smallCaps w:val="false"/>
          <w:sz w:val="20"/>
        </w:rPr>
        <w:t>. No right of rescission, setoff, counterclaim or defense exists or has been asserted or threatened with respect to any Receivable. The operation of the terms of any Receivable or the exercise of any right thereunder will not render such Receivable unenforceable in whole or in part and such Receivable is not subject to any such right of rescission, setoff, counterclaim, or defense.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val="false"/>
          <w:i w:val="false"/>
          <w:caps w:val="false"/>
          <w:smallCaps w:val="false"/>
          <w:sz w:val="20"/>
          <w:u w:val="single"/>
        </w:rPr>
        <w:t>No Liens</w:t>
      </w:r>
      <w:r>
        <w:rPr>
          <w:rFonts w:ascii="Times New Roman;Times;Serif" w:hAnsi="Times New Roman;Times;Serif"/>
          <w:b w:val="false"/>
          <w:i w:val="false"/>
          <w:caps w:val="false"/>
          <w:smallCaps w:val="false"/>
          <w:sz w:val="20"/>
        </w:rPr>
        <w:t>. As of the related Cutoff Date, (a) there are no liens or claims existing or which have been filed for work, labor, storage or materials relating to a Financed Vehicle financed under a Receivable that shall be liens prior to, or equal or coordinate with, the security interest in the Financed Vehicle granted by the Receivable and (b) there is no lien against the Financed Vehicle financed under a Receivable for delinquent taxes.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w:t>
      </w:r>
      <w:r>
        <w:rPr>
          <w:rFonts w:ascii="Times New Roman;Times;Serif" w:hAnsi="Times New Roman;Times;Serif"/>
          <w:b w:val="false"/>
          <w:i w:val="false"/>
          <w:caps w:val="false"/>
          <w:smallCaps w:val="false"/>
          <w:sz w:val="20"/>
          <w:u w:val="single"/>
        </w:rPr>
        <w:t>No Default; Repossession</w:t>
      </w:r>
      <w:r>
        <w:rPr>
          <w:rFonts w:ascii="Times New Roman;Times;Serif" w:hAnsi="Times New Roman;Times;Serif"/>
          <w:b w:val="false"/>
          <w:i w:val="false"/>
          <w:caps w:val="false"/>
          <w:smallCaps w:val="false"/>
          <w:sz w:val="20"/>
        </w:rPr>
        <w:t xml:space="preserve">. Except for payment delinquencies described herein, no default, breach, violation or event permitting acceleration under the terms of any Receivable has occurred; and no continuing condition that with notice or the lapse of time, or both, would constitute a default, breach, violation or event permitting acceleration under the terms of any Receivable has arisen; and the Seller shall not waive and has not waived any of the foregoing (except in a manner consistent with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and no Financed Vehicle financed under a Receivable shall have been repossessed.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40" w:type="dxa"/>
        <w:jc w:val="left"/>
        <w:tblInd w:w="0" w:type="dxa"/>
        <w:tblLayout w:type="fixed"/>
        <w:tblCellMar>
          <w:top w:w="0" w:type="dxa"/>
          <w:left w:w="0" w:type="dxa"/>
          <w:bottom w:w="0" w:type="dxa"/>
          <w:right w:w="0" w:type="dxa"/>
        </w:tblCellMar>
      </w:tblPr>
      <w:tblGrid>
        <w:gridCol w:w="75"/>
        <w:gridCol w:w="890"/>
        <w:gridCol w:w="75"/>
      </w:tblGrid>
      <w:tr>
        <w:trPr/>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Sch F - 2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w:t>
      </w:r>
      <w:r>
        <w:rPr>
          <w:rFonts w:ascii="Times New Roman;Times;Serif" w:hAnsi="Times New Roman;Times;Serif"/>
          <w:b w:val="false"/>
          <w:i w:val="false"/>
          <w:caps w:val="false"/>
          <w:smallCaps w:val="false"/>
          <w:sz w:val="20"/>
          <w:u w:val="single"/>
        </w:rPr>
        <w:t>Insurance; Other</w:t>
      </w:r>
      <w:r>
        <w:rPr>
          <w:rFonts w:ascii="Times New Roman;Times;Serif" w:hAnsi="Times New Roman;Times;Serif"/>
          <w:b w:val="false"/>
          <w:i w:val="false"/>
          <w:caps w:val="false"/>
          <w:smallCaps w:val="false"/>
          <w:sz w:val="20"/>
        </w:rPr>
        <w:t>. (A) Each Obligor under the Receivables has obtained an insurance policy covering the Financed Vehicle as of the execution of such Receivable insuring against loss and damage due to fire, theft, transportation, collision and other risks generally covered by comprehensive and collision coverage, and the Seller and its successors and assigns are named the loss payee or an additional insured of such insurance policy, such insurance policy is in an amount at least equal to the lesser of (i) the Financed Vehicle’s actual cash value or (ii) the remaining Principal Balance of the Receivable, and each Receivable requires the Obligor to obtain and maintain such insurance naming the Seller and its respective successors and assigns as loss payee or an additional insured, (B) each Receivable that finances the cost of premiums for credit life and credit accident and health insurance is covered by an insurance policy or certificate of insurance naming the Seller as policyholder (creditor) under each such insurance policy and certificate of insurance and (C) as to each Receivable that finances the cost of an extended service contract, the respective Financed Vehicle which secures the Receivable is covered by an extended service contract. As of the related Cutoff Date, no Financed Vehicle is or had previously been insured under a policy of forced-placed insurance.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It is the intention of the Seller that each transfer and assignment herein contemplated constitutes a sale of the Receivables and the related Collateral from the Seller to the Borrower and that the beneficial interest in and title to such Receivables and related Collateral not be part of the Seller’s estate in the event of the filing of a bankruptcy petition by or against the Seller under any bankruptcy law. Except with respect to Consumer Lender Receivables until the Perfection Date, no Receivable or related Collateral has been sold, transferred, assigned, or pledged by the Seller to any Person other than the Borrower and by the Borrower to any Person other than the Administrative Agent. Except with respect to Consumer Lender Receivables until the Perfection Date, immediately prior to each transfer and assignment herein contemplated, the Seller had good and marketable title to each Receivable and related Collateral and was the sole owner thereof, free and clear of all liens, claims, encumbrances, security interests, and rights of others, and, immediately upon the transfer thereof to the Borrower and the Borrower shall have good and marketable title to the Receivables and the Collateral and shall be the sole owner thereof, free and clear of all Liens and, immediately upon the pledge thereof to the Administrative Agent under this Agreement, the Administrative Agent for the benefit of the Secured Parties shall have a valid and enforceable security interest in the Collateral, free and clear of all liens, encumbrances, security interests, and rights of others, and each such transfer and pledge has been perfected under the UCC. No Dealer has a participation in, or other right to receive, proceeds of any Receivable.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w:t>
      </w:r>
      <w:r>
        <w:rPr>
          <w:rFonts w:ascii="Times New Roman;Times;Serif" w:hAnsi="Times New Roman;Times;Serif"/>
          <w:b w:val="false"/>
          <w:i w:val="false"/>
          <w:caps w:val="false"/>
          <w:smallCaps w:val="false"/>
          <w:sz w:val="20"/>
          <w:u w:val="single"/>
        </w:rPr>
        <w:t>Lawful Assignment; No Consent Required</w:t>
      </w:r>
      <w:r>
        <w:rPr>
          <w:rFonts w:ascii="Times New Roman;Times;Serif" w:hAnsi="Times New Roman;Times;Serif"/>
          <w:b w:val="false"/>
          <w:i w:val="false"/>
          <w:caps w:val="false"/>
          <w:smallCaps w:val="false"/>
          <w:sz w:val="20"/>
        </w:rPr>
        <w:t>. No Receivable has been originated in, or is subject to the laws of, any jurisdiction under which the sale, transfer, and assignment of such Receivable under this Agreement or the pledge of such Receivable under this Agreement shall be unlawful, void, or voidable. The Seller has not entered into any agreement with any account debtor that prohibits, restricts or conditions the assignment of any portion of the Receivables. For the validity of such sales, transfers, assignments and pledges, no notice to or consent by any Dealer, Obligor or any other Person is required under any agreement or applicable law.</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w:t>
      </w:r>
      <w:r>
        <w:rPr>
          <w:rFonts w:ascii="Times New Roman;Times;Serif" w:hAnsi="Times New Roman;Times;Serif"/>
          <w:b w:val="false"/>
          <w:i w:val="false"/>
          <w:caps w:val="false"/>
          <w:smallCaps w:val="false"/>
          <w:sz w:val="20"/>
          <w:u w:val="single"/>
        </w:rPr>
        <w:t>All Filings Made</w:t>
      </w:r>
      <w:r>
        <w:rPr>
          <w:rFonts w:ascii="Times New Roman;Times;Serif" w:hAnsi="Times New Roman;Times;Serif"/>
          <w:b w:val="false"/>
          <w:i w:val="false"/>
          <w:caps w:val="false"/>
          <w:smallCaps w:val="false"/>
          <w:sz w:val="20"/>
        </w:rPr>
        <w:t>. All filings (including, without limitation, UCC filings or other actions) necessary in any jurisdiction to give: (a) the Borrower a first priority, perfected security interest (within the meaning of the UCC) in the Receivables and the Collateral, including, without limitation, the proceeds of the Receivables (to the extent that the Borrower can obtain such first priority perfected security interest pursuant to one or more filings), and (b) the Administrative Agent, for the benefit of the Secured Parties, a first priority, perfected security interest in the Collateral.</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w:t>
      </w:r>
      <w:r>
        <w:rPr>
          <w:rFonts w:ascii="Times New Roman;Times;Serif" w:hAnsi="Times New Roman;Times;Serif"/>
          <w:b w:val="false"/>
          <w:i w:val="false"/>
          <w:caps w:val="false"/>
          <w:smallCaps w:val="false"/>
          <w:sz w:val="20"/>
          <w:u w:val="single"/>
        </w:rPr>
        <w:t>Custodian File; One Original</w:t>
      </w:r>
      <w:r>
        <w:rPr>
          <w:rFonts w:ascii="Times New Roman;Times;Serif" w:hAnsi="Times New Roman;Times;Serif"/>
          <w:b w:val="false"/>
          <w:i w:val="false"/>
          <w:caps w:val="false"/>
          <w:smallCaps w:val="false"/>
          <w:sz w:val="20"/>
        </w:rPr>
        <w:t>. The Seller has delivered to the Custodian, at the location specified in Schedule D hereto, a complete Custodian File with respect to each such Receivable, and, if such Receivable is ten (10) or more days past its origination date, the Custodian has delivered a Receivable Receipt therefor to the Administrative Agent. There is only one original executed copy or, in the case of Contracts constituting “electronic chattel paper,” a single “authoritative copy” of each electronic record constituting or forming a part of such Contract (in each case within the meaning of the UCC) of each Receivable. The Servicer has in its possession all other relevant documents with respect to the Receivables, including without limitation the related credit application and verification of insurance.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40" w:type="dxa"/>
        <w:jc w:val="left"/>
        <w:tblInd w:w="0" w:type="dxa"/>
        <w:tblLayout w:type="fixed"/>
        <w:tblCellMar>
          <w:top w:w="0" w:type="dxa"/>
          <w:left w:w="0" w:type="dxa"/>
          <w:bottom w:w="0" w:type="dxa"/>
          <w:right w:w="0" w:type="dxa"/>
        </w:tblCellMar>
      </w:tblPr>
      <w:tblGrid>
        <w:gridCol w:w="75"/>
        <w:gridCol w:w="890"/>
        <w:gridCol w:w="75"/>
      </w:tblGrid>
      <w:tr>
        <w:trPr/>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Sch F - 3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w:t>
      </w:r>
      <w:r>
        <w:rPr>
          <w:rFonts w:ascii="Times New Roman;Times;Serif" w:hAnsi="Times New Roman;Times;Serif"/>
          <w:b w:val="false"/>
          <w:i w:val="false"/>
          <w:caps w:val="false"/>
          <w:smallCaps w:val="false"/>
          <w:sz w:val="20"/>
          <w:u w:val="single"/>
        </w:rPr>
        <w:t>Chattel Paper</w:t>
      </w:r>
      <w:r>
        <w:rPr>
          <w:rFonts w:ascii="Times New Roman;Times;Serif" w:hAnsi="Times New Roman;Times;Serif"/>
          <w:b w:val="false"/>
          <w:i w:val="false"/>
          <w:caps w:val="false"/>
          <w:smallCaps w:val="false"/>
          <w:sz w:val="20"/>
        </w:rPr>
        <w:t>. Each Receivable constitutes “tangible chattel paper” or “electronic chattel paper” under the UCC.</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(xix)         </w:t>
      </w:r>
      <w:r>
        <w:rPr>
          <w:rFonts w:ascii="Times New Roman;Times;Serif" w:hAnsi="Times New Roman;Times;Serif"/>
          <w:b w:val="false"/>
          <w:i w:val="false"/>
          <w:caps w:val="false"/>
          <w:smallCaps w:val="false"/>
          <w:sz w:val="20"/>
          <w:u w:val="single"/>
        </w:rPr>
        <w:t>Title Documents</w:t>
      </w:r>
      <w:r>
        <w:rPr>
          <w:rFonts w:ascii="Times New Roman;Times;Serif" w:hAnsi="Times New Roman;Times;Serif"/>
          <w:b w:val="false"/>
          <w:i w:val="false"/>
          <w:caps w:val="false"/>
          <w:smallCaps w:val="false"/>
          <w:sz w:val="20"/>
        </w:rPr>
        <w:t>. Except with respect to Consumer Lender Receivables until the Perfection Date, the Certificate of Title of the related Financed Vehicle for such Receivable shows, or, if a new or replacement Certificate of Title is being applied for with respect to such Financed Vehicle, the Certificate of Title will be received within 180 days of the origination date and will show, the Seller named as the original secured party under the Receivable as the holder of a first priority security interest in such Financed Vehicle,. The Administrative Agent, on behalf of the Secured Parties, has the same rights as the Seller has or would have (if the Seller were still the owner of the Receivable) against all parties claiming an interest in such Financed Vehicle, and such rights have been validly pledged to the Administrative Agent for the benefit of the Secured Parties pursuant to this Agreement. With respect to each Receivable for which a Certificate of Title has not yet been returned from the Registrar of Titles, the Seller has received written evidence from the related Dealer that such Certificate of Title showing the Seller as first lienholder has been applied for, except with respect to Consumer Lender Receivables until the Perfection Date. In the event that the assignment of a Contract to the Borrower is insufficient, without a notation on the related Financed Vehicle’s Certificate of Title, or without fulfilling any additional administrative requirements under the laws of the state in which the existing owner of such Financed Vehicle is located or incorporated, as the case may be, to perfect a security interest in the related Financed Vehicle in favor of such owner, the Seller hereby agrees that the designation of the Seller as the secured party on the Certificate of Title is in its capacity as agent of the Borrower.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w:t>
      </w:r>
      <w:r>
        <w:rPr>
          <w:rFonts w:ascii="Times New Roman;Times;Serif" w:hAnsi="Times New Roman;Times;Serif"/>
          <w:b w:val="false"/>
          <w:i w:val="false"/>
          <w:caps w:val="false"/>
          <w:smallCaps w:val="false"/>
          <w:sz w:val="20"/>
          <w:u w:val="single"/>
        </w:rPr>
        <w:t>Valid and Binding Obligation of Obligor</w:t>
      </w:r>
      <w:r>
        <w:rPr>
          <w:rFonts w:ascii="Times New Roman;Times;Serif" w:hAnsi="Times New Roman;Times;Serif"/>
          <w:b w:val="false"/>
          <w:i w:val="false"/>
          <w:caps w:val="false"/>
          <w:smallCaps w:val="false"/>
          <w:sz w:val="20"/>
        </w:rPr>
        <w:t>. Each Receivable is the legal, valid and binding obligation in writing of the Obligor thereunder and is enforceable in accordance with its terms, except only as such enforcement may be limited by bankruptcy, insolvency or similar laws affecting the enforcement of creditors’ rights generally, and all parties to such contract had full legal capacity to execute and deliver such contract and all other documents related thereto and to grant the security interest purported to be granted thereby. Each Receivable is not subject to any right of set-off by the Obligor.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w:t>
      </w:r>
      <w:r>
        <w:rPr>
          <w:rFonts w:ascii="Times New Roman;Times;Serif" w:hAnsi="Times New Roman;Times;Serif"/>
          <w:b w:val="false"/>
          <w:i w:val="false"/>
          <w:caps w:val="false"/>
          <w:smallCaps w:val="false"/>
          <w:sz w:val="20"/>
          <w:u w:val="single"/>
        </w:rPr>
        <w:t>Characteristics of Obligors</w:t>
      </w:r>
      <w:r>
        <w:rPr>
          <w:rFonts w:ascii="Times New Roman;Times;Serif" w:hAnsi="Times New Roman;Times;Serif"/>
          <w:b w:val="false"/>
          <w:i w:val="false"/>
          <w:caps w:val="false"/>
          <w:smallCaps w:val="false"/>
          <w:sz w:val="20"/>
        </w:rPr>
        <w:t>. As of the date of each Obligor’s application for credit from which the Receivable arises, such Obligor was an Eligible Obligor. Except with respect to any Post-Petition Receivable, during the period from the date of each Obligor’s application for financing of the Financed Vehicle from which the related Receivable arises to the applicable Addition Date, no Obligor is or has been during such period the subject of any Federal, State or other bankruptcy, insolvency or similar proceeding.</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       </w:t>
      </w:r>
      <w:r>
        <w:rPr>
          <w:rFonts w:ascii="Times New Roman;Times;Serif" w:hAnsi="Times New Roman;Times;Serif"/>
          <w:b w:val="false"/>
          <w:i w:val="false"/>
          <w:caps w:val="false"/>
          <w:smallCaps w:val="false"/>
          <w:sz w:val="20"/>
          <w:u w:val="single"/>
        </w:rPr>
        <w:t>Post-Office Box</w:t>
      </w:r>
      <w:r>
        <w:rPr>
          <w:rFonts w:ascii="Times New Roman;Times;Serif" w:hAnsi="Times New Roman;Times;Serif"/>
          <w:b w:val="false"/>
          <w:i w:val="false"/>
          <w:caps w:val="false"/>
          <w:smallCaps w:val="false"/>
          <w:sz w:val="20"/>
        </w:rPr>
        <w:t>. On or prior to the next billing period after the related Cutoff Date, the Servicer will notify each Obligor to make payments with respect to its respective Receivables after the related Cutoff Date directly to the Post-Office Box, and will provide each Obligor with a monthly statement in order to enable such Obligor to make payments directly to the Post-Office Box.</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(xxiii)     </w:t>
      </w:r>
      <w:r>
        <w:rPr>
          <w:rFonts w:ascii="Times New Roman;Times;Serif" w:hAnsi="Times New Roman;Times;Serif"/>
          <w:b w:val="false"/>
          <w:i w:val="false"/>
          <w:caps w:val="false"/>
          <w:smallCaps w:val="false"/>
          <w:sz w:val="20"/>
          <w:u w:val="single"/>
        </w:rPr>
        <w:t>Casualty and Impounding</w:t>
      </w:r>
      <w:r>
        <w:rPr>
          <w:rFonts w:ascii="Times New Roman;Times;Serif" w:hAnsi="Times New Roman;Times;Serif"/>
          <w:b w:val="false"/>
          <w:i w:val="false"/>
          <w:caps w:val="false"/>
          <w:smallCaps w:val="false"/>
          <w:sz w:val="20"/>
        </w:rPr>
        <w:t>. No Financed Vehicle financed under a Receivable has suffered a casualty and the Seller has not received any notice that any Financed Vehicle has been impounded.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(xxiv)     </w:t>
      </w:r>
      <w:r>
        <w:rPr>
          <w:rFonts w:ascii="Times New Roman;Times;Serif" w:hAnsi="Times New Roman;Times;Serif"/>
          <w:b w:val="false"/>
          <w:i w:val="false"/>
          <w:caps w:val="false"/>
          <w:smallCaps w:val="false"/>
          <w:sz w:val="20"/>
          <w:u w:val="single"/>
        </w:rPr>
        <w:t>No Agreement to Lend</w:t>
      </w:r>
      <w:r>
        <w:rPr>
          <w:rFonts w:ascii="Times New Roman;Times;Serif" w:hAnsi="Times New Roman;Times;Serif"/>
          <w:b w:val="false"/>
          <w:i w:val="false"/>
          <w:caps w:val="false"/>
          <w:smallCaps w:val="false"/>
          <w:sz w:val="20"/>
        </w:rPr>
        <w:t>. The Obligor with respect to each Receivable does not have any option under the Receivable to borrow from any person any funds secured by the Financed Vehicle.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       </w:t>
      </w:r>
      <w:r>
        <w:rPr>
          <w:rFonts w:ascii="Times New Roman;Times;Serif" w:hAnsi="Times New Roman;Times;Serif"/>
          <w:b w:val="false"/>
          <w:i w:val="false"/>
          <w:caps w:val="false"/>
          <w:smallCaps w:val="false"/>
          <w:sz w:val="20"/>
          <w:u w:val="single"/>
        </w:rPr>
        <w:t>Obligation to Dealers or Others</w:t>
      </w:r>
      <w:r>
        <w:rPr>
          <w:rFonts w:ascii="Times New Roman;Times;Serif" w:hAnsi="Times New Roman;Times;Serif"/>
          <w:b w:val="false"/>
          <w:i w:val="false"/>
          <w:caps w:val="false"/>
          <w:smallCaps w:val="false"/>
          <w:sz w:val="20"/>
        </w:rPr>
        <w:t>. The Borrower and its assignees will assume no obligation to Dealers or other originators or holders of the Receivables (including, but not limited to under dealer reserves) as a result of its purchase of the Receivables.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     </w:t>
      </w:r>
      <w:r>
        <w:rPr>
          <w:rFonts w:ascii="Times New Roman;Times;Serif" w:hAnsi="Times New Roman;Times;Serif"/>
          <w:b w:val="false"/>
          <w:i w:val="false"/>
          <w:caps w:val="false"/>
          <w:smallCaps w:val="false"/>
          <w:sz w:val="20"/>
          <w:u w:val="single"/>
        </w:rPr>
        <w:t>No Impairment</w:t>
      </w:r>
      <w:r>
        <w:rPr>
          <w:rFonts w:ascii="Times New Roman;Times;Serif" w:hAnsi="Times New Roman;Times;Serif"/>
          <w:b w:val="false"/>
          <w:i w:val="false"/>
          <w:caps w:val="false"/>
          <w:smallCaps w:val="false"/>
          <w:sz w:val="20"/>
        </w:rPr>
        <w:t>. Neither Seller nor the Borrower has done anything to convey any right to any Person that would result in such Person having a right to payments due under any Receivables or otherwise to impair the rights of the Borrower, the Administrative Agent or any Lender in any Receivable or the proceeds thereof.</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(xxvii)   </w:t>
      </w:r>
      <w:r>
        <w:rPr>
          <w:rFonts w:ascii="Times New Roman;Times;Serif" w:hAnsi="Times New Roman;Times;Serif"/>
          <w:b w:val="false"/>
          <w:i w:val="false"/>
          <w:caps w:val="false"/>
          <w:smallCaps w:val="false"/>
          <w:sz w:val="20"/>
          <w:u w:val="single"/>
        </w:rPr>
        <w:t>Receivables Not Assumable</w:t>
      </w:r>
      <w:r>
        <w:rPr>
          <w:rFonts w:ascii="Times New Roman;Times;Serif" w:hAnsi="Times New Roman;Times;Serif"/>
          <w:b w:val="false"/>
          <w:i w:val="false"/>
          <w:caps w:val="false"/>
          <w:smallCaps w:val="false"/>
          <w:sz w:val="20"/>
        </w:rPr>
        <w:t>. No Receivable is assumable by another Person in a manner which would release the Obligor thereof from such Obligor’s obligations to the Borrower or Seller with respect to such Receivable.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tbl>
      <w:tblPr>
        <w:tblW w:w="1040" w:type="dxa"/>
        <w:jc w:val="left"/>
        <w:tblInd w:w="0" w:type="dxa"/>
        <w:tblLayout w:type="fixed"/>
        <w:tblCellMar>
          <w:top w:w="0" w:type="dxa"/>
          <w:left w:w="0" w:type="dxa"/>
          <w:bottom w:w="0" w:type="dxa"/>
          <w:right w:w="0" w:type="dxa"/>
        </w:tblCellMar>
      </w:tblPr>
      <w:tblGrid>
        <w:gridCol w:w="75"/>
        <w:gridCol w:w="890"/>
        <w:gridCol w:w="75"/>
      </w:tblGrid>
      <w:tr>
        <w:trPr/>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Sch F - 4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w:t>
      </w:r>
      <w:r>
        <w:rPr>
          <w:rFonts w:ascii="Times New Roman;Times;Serif" w:hAnsi="Times New Roman;Times;Serif"/>
          <w:b w:val="false"/>
          <w:i w:val="false"/>
          <w:caps w:val="false"/>
          <w:smallCaps w:val="false"/>
          <w:sz w:val="20"/>
          <w:u w:val="single"/>
        </w:rPr>
        <w:t>Servicing</w:t>
      </w:r>
      <w:r>
        <w:rPr>
          <w:rFonts w:ascii="Times New Roman;Times;Serif" w:hAnsi="Times New Roman;Times;Serif"/>
          <w:b w:val="false"/>
          <w:i w:val="false"/>
          <w:caps w:val="false"/>
          <w:smallCaps w:val="false"/>
          <w:sz w:val="20"/>
        </w:rPr>
        <w:t>. The servicing of each Receivable and the collection practices relating thereto have been lawful and in accordance with the standards set forth in this Agreement; and other than Seller and any Successor Servicer pursuant to the Loan Documents, no other person has the right to service the Receivable.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w:t>
      </w:r>
      <w:r>
        <w:rPr>
          <w:rFonts w:ascii="Times New Roman;Times;Serif" w:hAnsi="Times New Roman;Times;Serif"/>
          <w:b w:val="false"/>
          <w:i w:val="false"/>
          <w:caps w:val="false"/>
          <w:smallCaps w:val="false"/>
          <w:sz w:val="20"/>
          <w:u w:val="single"/>
        </w:rPr>
        <w:t>Creation of Security Interest</w:t>
      </w:r>
      <w:r>
        <w:rPr>
          <w:rFonts w:ascii="Times New Roman;Times;Serif" w:hAnsi="Times New Roman;Times;Serif"/>
          <w:b w:val="false"/>
          <w:i w:val="false"/>
          <w:caps w:val="false"/>
          <w:smallCaps w:val="false"/>
          <w:sz w:val="20"/>
        </w:rPr>
        <w:t>. This Agreement creates a valid and continuing security interest (as defined in the UCC) in the Receivables Collateral in favor of the Borrower, which security interest is prior to all other Liens (other than the Liens of the Seller under the Purchase Agreement) and is enforceable as such as against creditors of and purchasers from the Seller. This Agreement creates a valid and continuing security interest (as defined in the UCC) in the Collateral in favor of the Administrative Agent for the benefit of the Secured Parties, which security interest is prior to all other Liens, and such security interest is enforceable as such as against creditors of and purchasers from the Borrower.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val="false"/>
          <w:i w:val="false"/>
          <w:caps w:val="false"/>
          <w:smallCaps w:val="false"/>
          <w:sz w:val="20"/>
          <w:u w:val="single"/>
        </w:rPr>
        <w:t>Perfection of Security Interest in Receivables and Collateral</w:t>
      </w:r>
      <w:r>
        <w:rPr>
          <w:rFonts w:ascii="Times New Roman;Times;Serif" w:hAnsi="Times New Roman;Times;Serif"/>
          <w:b w:val="false"/>
          <w:i w:val="false"/>
          <w:caps w:val="false"/>
          <w:smallCaps w:val="false"/>
          <w:sz w:val="20"/>
        </w:rPr>
        <w:t xml:space="preserve">. The Seller has caused the filing of all appropriate financing statements in the proper filing office in the appropriate jurisdictions under </w:t>
      </w:r>
      <w:r>
        <w:rPr>
          <w:rFonts w:ascii="Times New Roman;Times;Serif" w:hAnsi="Times New Roman;Times;Serif"/>
          <w:b w:val="false"/>
          <w:i w:val="false"/>
          <w:caps w:val="false"/>
          <w:smallCaps w:val="false"/>
          <w:sz w:val="20"/>
          <w:u w:val="single"/>
        </w:rPr>
        <w:t>applicable law in order</w:t>
      </w:r>
      <w:r>
        <w:rPr>
          <w:rFonts w:ascii="Times New Roman;Times;Serif" w:hAnsi="Times New Roman;Times;Serif"/>
          <w:b w:val="false"/>
          <w:i w:val="false"/>
          <w:caps w:val="false"/>
          <w:smallCaps w:val="false"/>
          <w:sz w:val="20"/>
        </w:rPr>
        <w:t xml:space="preserve"> to perfect the first priority security interest in the Receivables and Collateral granted to the Borrower hereunder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and the related Assignment.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w:t>
      </w:r>
      <w:r>
        <w:rPr>
          <w:rFonts w:ascii="Times New Roman;Times;Serif" w:hAnsi="Times New Roman;Times;Serif"/>
          <w:b w:val="false"/>
          <w:i w:val="false"/>
          <w:caps w:val="false"/>
          <w:smallCaps w:val="false"/>
          <w:sz w:val="20"/>
          <w:u w:val="single"/>
        </w:rPr>
        <w:t>Perfection of Security Interest in Collateral</w:t>
      </w:r>
      <w:r>
        <w:rPr>
          <w:rFonts w:ascii="Times New Roman;Times;Serif" w:hAnsi="Times New Roman;Times;Serif"/>
          <w:b w:val="false"/>
          <w:i w:val="false"/>
          <w:caps w:val="false"/>
          <w:smallCaps w:val="false"/>
          <w:sz w:val="20"/>
        </w:rPr>
        <w:t>. The Borrower has caused the filing of all appropriate financing statements in the proper filing office in the appropriate jurisdictions under applicable law in order to perfect the first priority security interest in the Receivables and the other Collateral granted to Administrative Agent for the benefit of the Secured Parties pursuant to this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(xxxii)   </w:t>
      </w:r>
      <w:r>
        <w:rPr>
          <w:rFonts w:ascii="Times New Roman;Times;Serif" w:hAnsi="Times New Roman;Times;Serif"/>
          <w:b w:val="false"/>
          <w:i w:val="false"/>
          <w:caps w:val="false"/>
          <w:smallCaps w:val="false"/>
          <w:sz w:val="20"/>
          <w:u w:val="single"/>
        </w:rPr>
        <w:t>Perfection of Security Interests in Financed Vehicles</w:t>
      </w:r>
      <w:r>
        <w:rPr>
          <w:rFonts w:ascii="Times New Roman;Times;Serif" w:hAnsi="Times New Roman;Times;Serif"/>
          <w:b w:val="false"/>
          <w:i w:val="false"/>
          <w:caps w:val="false"/>
          <w:smallCaps w:val="false"/>
          <w:sz w:val="20"/>
        </w:rPr>
        <w:t>. Except with respect to Consumer Lender Receivables until the Perfection Date, the Seller has taken all steps necessary to perfect its security interest against the Obligors in the Financed Vehicles securing the Receivables and such security interest has been validly assigned by the Seller to the Borrower and pledged by the Borrower to Administrative Agent for the benefit of the Secured Parties.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(xxxiii)     </w:t>
      </w:r>
      <w:r>
        <w:rPr>
          <w:rFonts w:ascii="Times New Roman;Times;Serif" w:hAnsi="Times New Roman;Times;Serif"/>
          <w:b w:val="false"/>
          <w:i w:val="false"/>
          <w:caps w:val="false"/>
          <w:smallCaps w:val="false"/>
          <w:sz w:val="20"/>
          <w:u w:val="single"/>
        </w:rPr>
        <w:t>No Other Security Interests – Seller</w:t>
      </w:r>
      <w:r>
        <w:rPr>
          <w:rFonts w:ascii="Times New Roman;Times;Serif" w:hAnsi="Times New Roman;Times;Serif"/>
          <w:b w:val="false"/>
          <w:i w:val="false"/>
          <w:caps w:val="false"/>
          <w:smallCaps w:val="false"/>
          <w:sz w:val="20"/>
        </w:rPr>
        <w:t xml:space="preserve">. Other than the security interest granted to the Borrower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and the related Assignment, the Seller has not pledged, assigned, sold, granted a security interest in, or otherwise conveyed any of the Receivables or the Collateral, other than such security interests as are released at or before the conveyance thereof. The Seller has not authorized the filing of and is not aware of any financing statements filed against the Seller that include a description of collateral covering any portion of the Receivables Collateral other than any financing statement relating to the security interest granted to the Borrower hereunder or that has been terminated or released as to the Receivables and the Collateral. The Seller is not aware of any judgment or tax lien filings against the Seller or the Borrower.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(xxxiv)   </w:t>
      </w:r>
      <w:r>
        <w:rPr>
          <w:rFonts w:ascii="Times New Roman;Times;Serif" w:hAnsi="Times New Roman;Times;Serif"/>
          <w:b w:val="false"/>
          <w:i w:val="false"/>
          <w:caps w:val="false"/>
          <w:smallCaps w:val="false"/>
          <w:sz w:val="20"/>
          <w:u w:val="single"/>
        </w:rPr>
        <w:t>No Other Security Interests – Borrower</w:t>
      </w:r>
      <w:r>
        <w:rPr>
          <w:rFonts w:ascii="Times New Roman;Times;Serif" w:hAnsi="Times New Roman;Times;Serif"/>
          <w:b w:val="false"/>
          <w:i w:val="false"/>
          <w:caps w:val="false"/>
          <w:smallCaps w:val="false"/>
          <w:sz w:val="20"/>
        </w:rPr>
        <w:t>. Other than the security interest in the Collateral granted to the Administrative Agent for the benefit of the Secured Parties pursuant to this Agreement, the Borrower has not pledged, assigned, sold, granted a security interest in, or otherwise conveyed any of the Collateral. The Borrower has not authorized the filing of and is not aware of any financing statements filed against the Borrower that include a description of collateral covering any portion of the Collateral other than any financing statement relating to the security interests described in the preceding clauses, or a security interest that has been terminated or released with respect to the Collateral. The Borrower is not aware of any judgment or tax lien filings against the Borrower.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     </w:t>
      </w:r>
      <w:r>
        <w:rPr>
          <w:rFonts w:ascii="Times New Roman;Times;Serif" w:hAnsi="Times New Roman;Times;Serif"/>
          <w:b w:val="false"/>
          <w:i w:val="false"/>
          <w:caps w:val="false"/>
          <w:smallCaps w:val="false"/>
          <w:sz w:val="20"/>
          <w:u w:val="single"/>
        </w:rPr>
        <w:t>Notations on Contracts; Financing Statement Disclosure</w:t>
      </w:r>
      <w:r>
        <w:rPr>
          <w:rFonts w:ascii="Times New Roman;Times;Serif" w:hAnsi="Times New Roman;Times;Serif"/>
          <w:b w:val="false"/>
          <w:i w:val="false"/>
          <w:caps w:val="false"/>
          <w:smallCaps w:val="false"/>
          <w:sz w:val="20"/>
        </w:rPr>
        <w:t>. The Servicer has in its possession copies of all Contracts that constitute or evidence the Receivables. The Contracts that constitute or evidence the Receivables do not have any marks or notations indicating that they have been pledged, assigned or otherwise conveyed to any Person other than the Borrower and/or the Administrative Agent for the benefit of the Secured Parties. All financing statements filed or to be filed against the Seller in favor of the Borrower in connection herewith describing the Collateral contain a statement to the following effect: “A purchase of or security interest in any collateral described in this financing statement will violate the rights of the secured party.”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40" w:type="dxa"/>
        <w:jc w:val="left"/>
        <w:tblInd w:w="0" w:type="dxa"/>
        <w:tblLayout w:type="fixed"/>
        <w:tblCellMar>
          <w:top w:w="0" w:type="dxa"/>
          <w:left w:w="0" w:type="dxa"/>
          <w:bottom w:w="0" w:type="dxa"/>
          <w:right w:w="0" w:type="dxa"/>
        </w:tblCellMar>
      </w:tblPr>
      <w:tblGrid>
        <w:gridCol w:w="75"/>
        <w:gridCol w:w="890"/>
        <w:gridCol w:w="75"/>
      </w:tblGrid>
      <w:tr>
        <w:trPr/>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Sch F - 5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(xxxvi)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On or prior to each Addition Date, the Seller will have caused its records (including electronic ledgers) relating to each Receivable to be conveyed by it on such Addition Date to be clearly and unambiguously marked to reflect that such Receivable was conveyed by it to the Borrower and pledged by the Borrower to the Administrative Agent for the benefit of the Secured Parties.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       </w:t>
      </w:r>
      <w:r>
        <w:rPr>
          <w:rFonts w:ascii="Times New Roman;Times;Serif" w:hAnsi="Times New Roman;Times;Serif"/>
          <w:b w:val="false"/>
          <w:i w:val="false"/>
          <w:caps w:val="false"/>
          <w:smallCaps w:val="false"/>
          <w:sz w:val="20"/>
          <w:u w:val="single"/>
        </w:rPr>
        <w:t>Computer Information</w:t>
      </w:r>
      <w:r>
        <w:rPr>
          <w:rFonts w:ascii="Times New Roman;Times;Serif" w:hAnsi="Times New Roman;Times;Serif"/>
          <w:b w:val="false"/>
          <w:i w:val="false"/>
          <w:caps w:val="false"/>
          <w:smallCaps w:val="false"/>
          <w:sz w:val="20"/>
        </w:rPr>
        <w:t>. The computer tape or other electronic transmission made available by the Seller to the Borrower on each Addition Date is, as of the related Cutoff Date, complete and accurate and includes a description of the same Receivables described in Schedule A to the related Assignment.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(xxxviii)                     </w:t>
      </w:r>
      <w:r>
        <w:rPr>
          <w:rFonts w:ascii="Times New Roman;Times;Serif" w:hAnsi="Times New Roman;Times;Serif"/>
          <w:b w:val="false"/>
          <w:i w:val="false"/>
          <w:caps w:val="false"/>
          <w:smallCaps w:val="false"/>
          <w:sz w:val="20"/>
          <w:u w:val="single"/>
        </w:rPr>
        <w:t>Remaining Principal Balance</w:t>
      </w:r>
      <w:r>
        <w:rPr>
          <w:rFonts w:ascii="Times New Roman;Times;Serif" w:hAnsi="Times New Roman;Times;Serif"/>
          <w:b w:val="false"/>
          <w:i w:val="false"/>
          <w:caps w:val="false"/>
          <w:smallCaps w:val="false"/>
          <w:sz w:val="20"/>
        </w:rPr>
        <w:t>. As of the related Cutoff Date, each Receivable has a remaining Principal Balance of at least [***] and the Principal Balance of each Receivable set forth in Schedule A to the related Assignment is true and accurate in all respects.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(xxxix) </w:t>
      </w:r>
      <w:r>
        <w:rPr>
          <w:rFonts w:ascii="Times New Roman;Times;Serif" w:hAnsi="Times New Roman;Times;Serif"/>
          <w:b w:val="false"/>
          <w:i w:val="false"/>
          <w:caps w:val="false"/>
          <w:smallCaps w:val="false"/>
          <w:sz w:val="20"/>
          <w:u w:val="single"/>
        </w:rPr>
        <w:t>Delivery of Custodian Files</w:t>
      </w:r>
      <w:r>
        <w:rPr>
          <w:rFonts w:ascii="Times New Roman;Times;Serif" w:hAnsi="Times New Roman;Times;Serif"/>
          <w:b w:val="false"/>
          <w:i w:val="false"/>
          <w:caps w:val="false"/>
          <w:smallCaps w:val="false"/>
          <w:sz w:val="20"/>
        </w:rPr>
        <w:t xml:space="preserve">. A complete Custodian File (other than, if applicable, a Lien Certificate missing from the related Custodian File as described in </w:t>
      </w:r>
      <w:r>
        <w:rPr>
          <w:rFonts w:ascii="Times New Roman;Times;Serif" w:hAnsi="Times New Roman;Times;Serif"/>
          <w:b w:val="false"/>
          <w:i w:val="false"/>
          <w:caps w:val="false"/>
          <w:smallCaps w:val="false"/>
          <w:sz w:val="20"/>
          <w:u w:val="single"/>
        </w:rPr>
        <w:t>Section 3.4(b)</w:t>
      </w:r>
      <w:r>
        <w:rPr>
          <w:rFonts w:ascii="Times New Roman;Times;Serif" w:hAnsi="Times New Roman;Times;Serif"/>
          <w:b w:val="false"/>
          <w:i w:val="false"/>
          <w:caps w:val="false"/>
          <w:smallCaps w:val="false"/>
          <w:sz w:val="20"/>
        </w:rPr>
        <w:t xml:space="preserve">) with respect to each Receivable has been, prior to the Addition Date, delivered to the Custodian at the location listed in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(xl) </w:t>
      </w:r>
      <w:r>
        <w:rPr>
          <w:rFonts w:ascii="Times New Roman;Times;Serif" w:hAnsi="Times New Roman;Times;Serif"/>
          <w:b w:val="false"/>
          <w:i w:val="false"/>
          <w:caps w:val="false"/>
          <w:smallCaps w:val="false"/>
          <w:sz w:val="20"/>
          <w:u w:val="single"/>
        </w:rPr>
        <w:t>Full Amount Advanced</w:t>
      </w:r>
      <w:r>
        <w:rPr>
          <w:rFonts w:ascii="Times New Roman;Times;Serif" w:hAnsi="Times New Roman;Times;Serif"/>
          <w:b w:val="false"/>
          <w:i w:val="false"/>
          <w:caps w:val="false"/>
          <w:smallCaps w:val="false"/>
          <w:sz w:val="20"/>
        </w:rPr>
        <w:t>. The full amount of each Receivable has been advanced to each Obligor, and there are no requirements for future advances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(xli) </w:t>
      </w:r>
      <w:r>
        <w:rPr>
          <w:rFonts w:ascii="Times New Roman;Times;Serif" w:hAnsi="Times New Roman;Times;Serif"/>
          <w:b w:val="false"/>
          <w:i w:val="false"/>
          <w:caps w:val="false"/>
          <w:smallCaps w:val="false"/>
          <w:sz w:val="20"/>
          <w:u w:val="single"/>
        </w:rPr>
        <w:t>Illinois Receivables</w:t>
      </w:r>
      <w:r>
        <w:rPr>
          <w:rFonts w:ascii="Times New Roman;Times;Serif" w:hAnsi="Times New Roman;Times;Serif"/>
          <w:b w:val="false"/>
          <w:i w:val="false"/>
          <w:caps w:val="false"/>
          <w:smallCaps w:val="false"/>
          <w:sz w:val="20"/>
        </w:rPr>
        <w:t>. (a) The Seller does not own a substantial interest in the business of a Dealer within the meaning of Illinois Sales Finance Agency Act Rules and Regulations, Section 160.230(1) and (b) with respect to each Receivable originated in the State of Illinois, (i) the printed or typed portion of the related Form of Receivable complies with the requirements of 815 ILCS 375/3(b) and (ii) the Seller has not, and for so long as such Receivable is outstanding shall not, place or cause to be placed on the related Financed Vehicle any collateral protection insurance in violation of 815 ILCS 180/10.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(xlii) </w:t>
      </w:r>
      <w:r>
        <w:rPr>
          <w:rFonts w:ascii="Times New Roman;Times;Serif" w:hAnsi="Times New Roman;Times;Serif"/>
          <w:b w:val="false"/>
          <w:i w:val="false"/>
          <w:caps w:val="false"/>
          <w:smallCaps w:val="false"/>
          <w:sz w:val="20"/>
          <w:u w:val="single"/>
        </w:rPr>
        <w:t>California Receivables</w:t>
      </w:r>
      <w:r>
        <w:rPr>
          <w:rFonts w:ascii="Times New Roman;Times;Serif" w:hAnsi="Times New Roman;Times;Serif"/>
          <w:b w:val="false"/>
          <w:i w:val="false"/>
          <w:caps w:val="false"/>
          <w:smallCaps w:val="false"/>
          <w:sz w:val="20"/>
        </w:rPr>
        <w:t>. Each Receivable originated in the State of California has been, and at all times during the term of the Sale and Servicing Agreement will be, serviced by the Servicer in compliance with Cal. Civil Code § 2981, et seq.</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(xliii) </w:t>
      </w:r>
      <w:r>
        <w:rPr>
          <w:rFonts w:ascii="Times New Roman;Times;Serif" w:hAnsi="Times New Roman;Times;Serif"/>
          <w:b w:val="false"/>
          <w:i w:val="false"/>
          <w:caps w:val="false"/>
          <w:smallCaps w:val="false"/>
          <w:sz w:val="20"/>
          <w:u w:val="single"/>
        </w:rPr>
        <w:t>Electronic Chattel Paper</w:t>
      </w:r>
      <w:r>
        <w:rPr>
          <w:rFonts w:ascii="Times New Roman;Times;Serif" w:hAnsi="Times New Roman;Times;Serif"/>
          <w:b w:val="false"/>
          <w:i w:val="false"/>
          <w:caps w:val="false"/>
          <w:smallCaps w:val="false"/>
          <w:sz w:val="20"/>
        </w:rPr>
        <w:t>. To the extent an Electronic Contract constitutes “electronic chattel paper” within the meaning of Section 9-102 of the UCC, there is only one single Authoritative Copy of each electronic “record” constituting or forming a part of such Electronic Contract that is “electronic chattel paper,” the record or records composing the “electronic chattel paper” are created, stored and assigned in such a manner that (A) a single Authoritative Copy of the record or records exists which is unique, identifiable and unalterable (other than a revision that is readily identifiable as an authorized or unauthorized revision), (B) each copy of the Authoritative Copy and any copy of a copy is readily identifiable as a copy that is not the Authoritative Copy, (C) the Authoritative Copy has been communicated to and is maintained by the Custodian with an Electronic Vault Provider, (D) the Authoritative Copy does not have any stamps, marks or notations indicating that such Electronic Contract has been pledged, assigned or otherwise conveyed to any Person other than the Seller, the Borrower or the Administrative Agent other than any such stamps, marks or notations that relate to a pledge, assignment, conveyance or other interest that has been that has been cancelled, terminated or voided, and (E) none of the Seller, the Servicer, the Electronic Vault Provider or any other Person has communicated an Authoritative Copy of any such Electronic Contract to any Person other than the Custodian.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40" w:type="dxa"/>
        <w:jc w:val="left"/>
        <w:tblInd w:w="0" w:type="dxa"/>
        <w:tblLayout w:type="fixed"/>
        <w:tblCellMar>
          <w:top w:w="0" w:type="dxa"/>
          <w:left w:w="0" w:type="dxa"/>
          <w:bottom w:w="0" w:type="dxa"/>
          <w:right w:w="0" w:type="dxa"/>
        </w:tblCellMar>
      </w:tblPr>
      <w:tblGrid>
        <w:gridCol w:w="75"/>
        <w:gridCol w:w="890"/>
        <w:gridCol w:w="75"/>
      </w:tblGrid>
      <w:tr>
        <w:trPr/>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Sch F - 6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PERFECTION REPRESENTATIONS, WARRANTIES AND COVENANTS OF THE BORROWER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PERFECTION REPRESENTATIONS, WARRANTIES AND COVENANTS OF THE BORROWER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representations, warranties and covenants contained elsewhere in this Loan and Security Agreement, the Borrower hereby represents, warrants, and covenants to the Administrative Agent and the Secured Parties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Loan and Security Agreement creates a valid and continuing security interest (as defined in the UCC) in the Collateral in favor of the Administrative Agent, on behalf of the Secured Parties, which security interest is prior to all other liens, and is enforceable as such as against creditors of and purchasers from the Borrower.</w:t>
      </w:r>
    </w:p>
    <w:p>
      <w:pPr>
        <w:pStyle w:val="TextBody"/>
        <w:bidi w:val="0"/>
        <w:spacing w:before="0" w:after="0"/>
        <w:ind w:left="0" w:right="0" w:firstLine="80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Collateral may constitute of one or more of the following: “accounts,” “chattel paper,” “deposit accounts,” “documents,” “general intangibles,” “goods,” “instruments,” “investment property,” “letters of credit,” “letter of credit rights,” “money,” “payment intangibles” and “securities entitlements” within the meaning of the UCC.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Immediately prior to the transfer of a Receivable by the Seller to the Borrower, the Seller owns and has good and marketable title to all of the Receivables free and clear of any adverse claim, except for any Consumer Lender Receivables until the Perfection Date.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Seller has received all consents and approvals required by the terms of the Receivables to the grant of the security interest therein to the Borrower.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Perfection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has caused the filing of all appropriate financing statements in the proper filing offices in the appropriate jurisdictions under applicable law in order to perfect the grant of the security interest in the portions of the Collateral with respect to which the filing of a financing statement may be used to perfect the security interest of the Administrative Agent, on behalf of the Secured Parties.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Priority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Other than the security interest granted by the Borrower to the Administrative Agent, on behalf of the Secured Parties, under the Loan and Security Agreement, the Borrower has not pledged, assigned, sold, granted a security interest in, or otherwise conveyed any of the Collateral. The Borrower has not authorized the filing of, or is aware of any financing statements against the Borrower that include a description of collateral covering the any item of the Collateral other than any financing statement relating to the security interest granted to the Administrative Agent, on behalf of the Secured Parties, under the Loan and Security Agreement or that has been released or terminated.</w:t>
      </w:r>
    </w:p>
    <w:p>
      <w:pPr>
        <w:pStyle w:val="TextBody"/>
        <w:bidi w:val="0"/>
        <w:spacing w:before="0" w:after="0"/>
        <w:ind w:left="0" w:right="0" w:firstLine="80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is not aware of any judgment, ERISA or tax lien filings against the Borrower.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Survival of Perfection Representations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Notwithstanding any other provision of the Loan and Security Agreement, the representations contained in this </w:t>
      </w:r>
      <w:r>
        <w:rPr>
          <w:rFonts w:ascii="Times New Roman;Times;Serif" w:hAnsi="Times New Roman;Times;Serif"/>
          <w:b w:val="false"/>
          <w:i w:val="false"/>
          <w:caps w:val="false"/>
          <w:smallCaps w:val="false"/>
          <w:sz w:val="20"/>
          <w:u w:val="single"/>
        </w:rPr>
        <w:t>Schedule G</w:t>
      </w:r>
      <w:r>
        <w:rPr>
          <w:rFonts w:ascii="Times New Roman;Times;Serif" w:hAnsi="Times New Roman;Times;Serif"/>
          <w:b w:val="false"/>
          <w:i w:val="false"/>
          <w:caps w:val="false"/>
          <w:smallCaps w:val="false"/>
          <w:sz w:val="20"/>
        </w:rPr>
        <w:t xml:space="preserve"> shall be continuing, and remain in full force and effect until such time as all obligations under the Loans have been finally paid.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85" w:type="dxa"/>
        <w:jc w:val="left"/>
        <w:tblInd w:w="0" w:type="dxa"/>
        <w:tblLayout w:type="fixed"/>
        <w:tblCellMar>
          <w:top w:w="0" w:type="dxa"/>
          <w:left w:w="0" w:type="dxa"/>
          <w:bottom w:w="0" w:type="dxa"/>
          <w:right w:w="0" w:type="dxa"/>
        </w:tblCellMar>
      </w:tblPr>
      <w:tblGrid>
        <w:gridCol w:w="75"/>
        <w:gridCol w:w="935"/>
        <w:gridCol w:w="75"/>
      </w:tblGrid>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Sch G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 Waiver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The parties to the Loan and Security Agreement shall not, without obtaining the prior written consent of the Administrative Agent, waive any of the representations contained in this </w:t>
      </w:r>
      <w:r>
        <w:rPr>
          <w:rFonts w:ascii="Times New Roman;Times;Serif" w:hAnsi="Times New Roman;Times;Serif"/>
          <w:b w:val="false"/>
          <w:i w:val="false"/>
          <w:caps w:val="false"/>
          <w:smallCaps w:val="false"/>
          <w:sz w:val="20"/>
          <w:u w:val="single"/>
        </w:rPr>
        <w:t>Schedule G</w:t>
      </w:r>
      <w:r>
        <w:rPr>
          <w:rFonts w:ascii="Times New Roman;Times;Serif" w:hAnsi="Times New Roman;Times;Serif"/>
          <w:b w:val="false"/>
          <w:i w:val="false"/>
          <w:caps w:val="false"/>
          <w:smallCaps w:val="false"/>
          <w:sz w:val="20"/>
        </w:rPr>
        <w:t xml:space="preserve"> or waive a breach of any of the representations contained in this </w:t>
      </w:r>
      <w:r>
        <w:rPr>
          <w:rFonts w:ascii="Times New Roman;Times;Serif" w:hAnsi="Times New Roman;Times;Serif"/>
          <w:b w:val="false"/>
          <w:i w:val="false"/>
          <w:caps w:val="false"/>
          <w:smallCaps w:val="false"/>
          <w:sz w:val="20"/>
          <w:u w:val="single"/>
        </w:rPr>
        <w:t>Schedule G</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Maintenance of Perfection and Priority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covenants that, in order to evidence the interests of the Administrative Agent, on behalf of the Secured Parties, under the Loan and Security Agreement, it shall take such action, or execute and deliver such instruments to maintain and perfect, as a first priority interest, the Administrative Agent’s interest, held on behalf of the Secured Parties, in the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85" w:type="dxa"/>
        <w:jc w:val="left"/>
        <w:tblInd w:w="0" w:type="dxa"/>
        <w:tblLayout w:type="fixed"/>
        <w:tblCellMar>
          <w:top w:w="0" w:type="dxa"/>
          <w:left w:w="0" w:type="dxa"/>
          <w:bottom w:w="0" w:type="dxa"/>
          <w:right w:w="0" w:type="dxa"/>
        </w:tblCellMar>
      </w:tblPr>
      <w:tblGrid>
        <w:gridCol w:w="75"/>
        <w:gridCol w:w="935"/>
        <w:gridCol w:w="75"/>
      </w:tblGrid>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Sch G - 2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 OF DATA FILE AND IMAGE FILE</w:t>
      </w:r>
    </w:p>
    <w:p>
      <w:pPr>
        <w:pStyle w:val="TextBody"/>
        <w:bidi w:val="0"/>
        <w:spacing w:before="0" w:after="0"/>
        <w:ind w:left="1076"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85" w:type="dxa"/>
        <w:jc w:val="left"/>
        <w:tblInd w:w="0" w:type="dxa"/>
        <w:tblLayout w:type="fixed"/>
        <w:tblCellMar>
          <w:top w:w="0" w:type="dxa"/>
          <w:left w:w="0" w:type="dxa"/>
          <w:bottom w:w="0" w:type="dxa"/>
          <w:right w:w="0" w:type="dxa"/>
        </w:tblCellMar>
      </w:tblPr>
      <w:tblGrid>
        <w:gridCol w:w="75"/>
        <w:gridCol w:w="935"/>
        <w:gridCol w:w="75"/>
      </w:tblGrid>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Sch H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1080" w:right="0" w:hanging="0"/>
        <w:jc w:val="center"/>
        <w:rPr>
          <w:caps w:val="false"/>
          <w:smallCaps w:val="false"/>
        </w:rPr>
      </w:pPr>
      <w:r>
        <w:rPr>
          <w:caps w:val="false"/>
          <w:smallCaps w:val="false"/>
        </w:rPr>
        <w:t> </w:t>
      </w:r>
    </w:p>
    <w:p>
      <w:pPr>
        <w:pStyle w:val="TextBody"/>
        <w:bidi w:val="0"/>
        <w:spacing w:before="0" w:after="0"/>
        <w:ind w:left="107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ADVANCE REQUEST</w:t>
      </w:r>
    </w:p>
    <w:p>
      <w:pPr>
        <w:pStyle w:val="TextBody"/>
        <w:bidi w:val="0"/>
        <w:spacing w:before="0" w:after="0"/>
        <w:ind w:left="1076" w:right="0" w:hanging="0"/>
        <w:jc w:val="center"/>
        <w:rPr>
          <w:caps w:val="false"/>
          <w:smallCaps w:val="false"/>
        </w:rPr>
      </w:pPr>
      <w:r>
        <w:rPr>
          <w:caps w:val="false"/>
          <w:smallCaps w:val="false"/>
        </w:rPr>
        <w:t> </w:t>
      </w:r>
    </w:p>
    <w:p>
      <w:pPr>
        <w:pStyle w:val="TextBody"/>
        <w:bidi w:val="0"/>
        <w:spacing w:before="0" w:after="0"/>
        <w:ind w:left="107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1078"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One, National Association</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 Park Ave, 31st Floor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10171</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Austin Brown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Page Eleven Funding LLC – Loan and Security Agreement Ladies and Gentlemen: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 Responsible Officer of Page Eleven Funding LLC (the “</w:t>
      </w:r>
      <w:r>
        <w:rPr>
          <w:rFonts w:ascii="Times New Roman;Times;Serif" w:hAnsi="Times New Roman;Times;Serif"/>
          <w:b w:val="false"/>
          <w:i/>
          <w:caps w:val="false"/>
          <w:smallCaps w:val="false"/>
          <w:sz w:val="20"/>
          <w:u w:val="single"/>
        </w:rPr>
        <w:t>Borrower</w:t>
      </w:r>
      <w:r>
        <w:rPr>
          <w:rFonts w:ascii="Times New Roman;Times;Serif" w:hAnsi="Times New Roman;Times;Serif"/>
          <w:b w:val="false"/>
          <w:i w:val="false"/>
          <w:caps w:val="false"/>
          <w:smallCaps w:val="false"/>
          <w:sz w:val="20"/>
        </w:rPr>
        <w:t>”) and is authorized to execute and deliver this Advance Request on behalf of the Borrower pursuant to the Loan and Security Agreement, dated as of October 17, 2025, (as amended, restated, supplemented or otherwise modified from time to time, the “</w:t>
      </w:r>
      <w:r>
        <w:rPr>
          <w:rFonts w:ascii="Times New Roman;Times;Serif" w:hAnsi="Times New Roman;Times;Serif"/>
          <w:b w:val="false"/>
          <w:i/>
          <w:caps w:val="false"/>
          <w:smallCaps w:val="false"/>
          <w:sz w:val="20"/>
          <w:u w:val="single"/>
        </w:rPr>
        <w:t>Loan and Security Agreement</w:t>
      </w:r>
      <w:r>
        <w:rPr>
          <w:rFonts w:ascii="Times New Roman;Times;Serif" w:hAnsi="Times New Roman;Times;Serif"/>
          <w:b w:val="false"/>
          <w:i w:val="false"/>
          <w:caps w:val="false"/>
          <w:smallCaps w:val="false"/>
          <w:sz w:val="20"/>
        </w:rPr>
        <w:t>”), among Page Eleven Funding LLC, as borrower (the “</w:t>
      </w:r>
      <w:r>
        <w:rPr>
          <w:rFonts w:ascii="Times New Roman;Times;Serif" w:hAnsi="Times New Roman;Times;Serif"/>
          <w:b w:val="false"/>
          <w:i/>
          <w:caps w:val="false"/>
          <w:smallCaps w:val="false"/>
          <w:sz w:val="20"/>
          <w:u w:val="single"/>
        </w:rPr>
        <w:t>Borrower</w:t>
      </w:r>
      <w:r>
        <w:rPr>
          <w:rFonts w:ascii="Times New Roman;Times;Serif" w:hAnsi="Times New Roman;Times;Serif"/>
          <w:b w:val="false"/>
          <w:i w:val="false"/>
          <w:caps w:val="false"/>
          <w:smallCaps w:val="false"/>
          <w:sz w:val="20"/>
        </w:rPr>
        <w:t>”), Consumer Portfolio Services, Inc., as servicer (the “</w:t>
      </w:r>
      <w:r>
        <w:rPr>
          <w:rFonts w:ascii="Times New Roman;Times;Serif" w:hAnsi="Times New Roman;Times;Serif"/>
          <w:b w:val="false"/>
          <w:i/>
          <w:caps w:val="false"/>
          <w:smallCaps w:val="false"/>
          <w:sz w:val="20"/>
          <w:u w:val="single"/>
        </w:rPr>
        <w:t>Servicer</w:t>
      </w:r>
      <w:r>
        <w:rPr>
          <w:rFonts w:ascii="Times New Roman;Times;Serif" w:hAnsi="Times New Roman;Times;Serif"/>
          <w:b w:val="false"/>
          <w:i w:val="false"/>
          <w:caps w:val="false"/>
          <w:smallCaps w:val="false"/>
          <w:sz w:val="20"/>
        </w:rPr>
        <w:t>”) and as seller (the “</w:t>
      </w:r>
      <w:r>
        <w:rPr>
          <w:rFonts w:ascii="Times New Roman;Times;Serif" w:hAnsi="Times New Roman;Times;Serif"/>
          <w:b w:val="false"/>
          <w:i/>
          <w:caps w:val="false"/>
          <w:smallCaps w:val="false"/>
          <w:sz w:val="20"/>
          <w:u w:val="single"/>
        </w:rPr>
        <w:t>Seller</w:t>
      </w:r>
      <w:r>
        <w:rPr>
          <w:rFonts w:ascii="Times New Roman;Times;Serif" w:hAnsi="Times New Roman;Times;Serif"/>
          <w:b w:val="false"/>
          <w:i w:val="false"/>
          <w:caps w:val="false"/>
          <w:smallCaps w:val="false"/>
          <w:sz w:val="20"/>
        </w:rPr>
        <w:t>”), Computershare Trust Company, N.A., as Custodian (the “</w:t>
      </w:r>
      <w:r>
        <w:rPr>
          <w:rFonts w:ascii="Times New Roman;Times;Serif" w:hAnsi="Times New Roman;Times;Serif"/>
          <w:b w:val="false"/>
          <w:i/>
          <w:caps w:val="false"/>
          <w:smallCaps w:val="false"/>
          <w:sz w:val="20"/>
          <w:u w:val="single"/>
        </w:rPr>
        <w:t>Custodian</w:t>
      </w:r>
      <w:r>
        <w:rPr>
          <w:rFonts w:ascii="Times New Roman;Times;Serif" w:hAnsi="Times New Roman;Times;Serif"/>
          <w:b w:val="false"/>
          <w:i w:val="false"/>
          <w:caps w:val="false"/>
          <w:smallCaps w:val="false"/>
          <w:sz w:val="20"/>
        </w:rPr>
        <w:t>”), as Paying Agent (“</w:t>
      </w:r>
      <w:r>
        <w:rPr>
          <w:rFonts w:ascii="Times New Roman;Times;Serif" w:hAnsi="Times New Roman;Times;Serif"/>
          <w:b w:val="false"/>
          <w:i/>
          <w:caps w:val="false"/>
          <w:smallCaps w:val="false"/>
          <w:sz w:val="20"/>
          <w:u w:val="single"/>
        </w:rPr>
        <w:t>Paying Agent</w:t>
      </w:r>
      <w:r>
        <w:rPr>
          <w:rFonts w:ascii="Times New Roman;Times;Serif" w:hAnsi="Times New Roman;Times;Serif"/>
          <w:b w:val="false"/>
          <w:i w:val="false"/>
          <w:caps w:val="false"/>
          <w:smallCaps w:val="false"/>
          <w:sz w:val="20"/>
        </w:rPr>
        <w:t>”) and as backup servicer (“</w:t>
      </w:r>
      <w:r>
        <w:rPr>
          <w:rFonts w:ascii="Times New Roman;Times;Serif" w:hAnsi="Times New Roman;Times;Serif"/>
          <w:b w:val="false"/>
          <w:i/>
          <w:caps w:val="false"/>
          <w:smallCaps w:val="false"/>
          <w:sz w:val="20"/>
          <w:u w:val="single"/>
        </w:rPr>
        <w:t>Backup Servicer</w:t>
      </w:r>
      <w:r>
        <w:rPr>
          <w:rFonts w:ascii="Times New Roman;Times;Serif" w:hAnsi="Times New Roman;Times;Serif"/>
          <w:b w:val="false"/>
          <w:i w:val="false"/>
          <w:caps w:val="false"/>
          <w:smallCaps w:val="false"/>
          <w:sz w:val="20"/>
        </w:rPr>
        <w:t>”), Capital One, National Association, as administrative agent (in such capacity, the “</w:t>
      </w:r>
      <w:r>
        <w:rPr>
          <w:rFonts w:ascii="Times New Roman;Times;Serif" w:hAnsi="Times New Roman;Times;Serif"/>
          <w:b w:val="false"/>
          <w:i/>
          <w:caps w:val="false"/>
          <w:smallCaps w:val="false"/>
          <w:sz w:val="20"/>
          <w:u w:val="single"/>
        </w:rPr>
        <w:t>Administrative Agent</w:t>
      </w:r>
      <w:r>
        <w:rPr>
          <w:rFonts w:ascii="Times New Roman;Times;Serif" w:hAnsi="Times New Roman;Times;Serif"/>
          <w:b w:val="false"/>
          <w:i w:val="false"/>
          <w:caps w:val="false"/>
          <w:smallCaps w:val="false"/>
          <w:sz w:val="20"/>
        </w:rPr>
        <w:t>”), and a bank and a lender group agent. Capitalized terms not otherwise defined herein have the meanings ascribed thereto in the Loan and Security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hereby requests that an Advance be made under the Loan and Security Agreement on [●] in the amount of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the undersigned hereby certifies, on behalf of the Borrower, as follows: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hereof, the Class A Borrowing Base (calculated as of the previous Determination Date, or with respect to any Receivables added to the Collateral following such Determination Date, but prior to or on such date of determination, the related Cut-off Date, which is [●]) is [●]. Attached to this Advance Request is a true, complete and correct calculation of the Class A Borrowing Base.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hereof, the Class B Borrowing Base (calculated as of the previous Determination Date, or with respect to any Receivables added to the Collateral following such Determination Date, but prior to or on such date of determination, the related Cut-off Date, which is [●]) is [●]. Attached to this Advance Request is a true, complete and correct calculation of the Class B Borrowing Base.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of the conditions applicable to the requested Advance as set forth in the Loan and Security Agreement have been satisfied as of the date hereof and will remain satisfied to the date of such Advance, including: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representations and warranties contained in Article Five of the Loan and Security Agreement are true and correct in all respects on and as of the date hereof, before and after giving effect to the Advance and to the application of the proceeds therefrom as though made on and as of the date 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event has occurred, or would result from such Advance or from the application of the proceeds therefrom, which constitutes a Termination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is in material compliance with each of its covenants set forth in the Loan and Security Agreement;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best of the Borrower’s knowledge, no event has occurred which constitutes a Servicer Termination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requested Advance will not, on the Advance Date, exceed the Class A Available Amount or the Class B Available Amount.</w:t>
      </w:r>
    </w:p>
    <w:p>
      <w:pPr>
        <w:pStyle w:val="TextBody"/>
        <w:bidi w:val="0"/>
        <w:spacing w:before="0" w:after="0"/>
        <w:jc w:val="both"/>
        <w:rPr>
          <w:caps w:val="false"/>
          <w:smallCaps w:val="false"/>
        </w:rPr>
      </w:pPr>
      <w:r>
        <w:rPr>
          <w:caps w:val="false"/>
          <w:smallCaps w:val="false"/>
        </w:rPr>
        <w:t> </w:t>
      </w:r>
    </w:p>
    <w:tbl>
      <w:tblPr>
        <w:tblW w:w="2390" w:type="dxa"/>
        <w:jc w:val="left"/>
        <w:tblInd w:w="0" w:type="dxa"/>
        <w:tblLayout w:type="fixed"/>
        <w:tblCellMar>
          <w:top w:w="0" w:type="dxa"/>
          <w:left w:w="0" w:type="dxa"/>
          <w:bottom w:w="0" w:type="dxa"/>
          <w:right w:w="0" w:type="dxa"/>
        </w:tblCellMar>
      </w:tblPr>
      <w:tblGrid>
        <w:gridCol w:w="75"/>
        <w:gridCol w:w="2315"/>
      </w:tblGrid>
      <w:tr>
        <w:trPr/>
        <w:tc>
          <w:tcPr>
            <w:tcW w:w="7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jc w:val="left"/>
              <w:rPr/>
            </w:pPr>
            <w:r>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Eleven Funding LLC</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By:__________________</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Name:________________</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_________________</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965"/>
        <w:gridCol w:w="7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Exh A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100" w:type="dxa"/>
        <w:jc w:val="left"/>
        <w:tblInd w:w="0" w:type="dxa"/>
        <w:tblLayout w:type="fixed"/>
        <w:tblCellMar>
          <w:top w:w="0" w:type="dxa"/>
          <w:left w:w="0" w:type="dxa"/>
          <w:bottom w:w="0" w:type="dxa"/>
          <w:right w:w="0" w:type="dxa"/>
        </w:tblCellMar>
      </w:tblPr>
      <w:tblGrid>
        <w:gridCol w:w="75"/>
        <w:gridCol w:w="950"/>
        <w:gridCol w:w="75"/>
      </w:tblGrid>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Exh B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ASSIGNMENT AND ACCEPTANCE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Loan and Security Agreement, dated as of October 17, 2025, (as amended, restated, supplemented or otherwise modified from time to time, the “</w:t>
      </w:r>
      <w:r>
        <w:rPr>
          <w:rFonts w:ascii="Times New Roman;Times;Serif" w:hAnsi="Times New Roman;Times;Serif"/>
          <w:b w:val="false"/>
          <w:i/>
          <w:caps w:val="false"/>
          <w:smallCaps w:val="false"/>
          <w:sz w:val="20"/>
          <w:u w:val="single"/>
        </w:rPr>
        <w:t>Loan and Security Agreement</w:t>
      </w:r>
      <w:r>
        <w:rPr>
          <w:rFonts w:ascii="Times New Roman;Times;Serif" w:hAnsi="Times New Roman;Times;Serif"/>
          <w:b w:val="false"/>
          <w:i w:val="false"/>
          <w:caps w:val="false"/>
          <w:smallCaps w:val="false"/>
          <w:sz w:val="20"/>
        </w:rPr>
        <w:t>”), among Page Eleven Funding LLC, as borrower (the “</w:t>
      </w:r>
      <w:r>
        <w:rPr>
          <w:rFonts w:ascii="Times New Roman;Times;Serif" w:hAnsi="Times New Roman;Times;Serif"/>
          <w:b w:val="false"/>
          <w:i/>
          <w:caps w:val="false"/>
          <w:smallCaps w:val="false"/>
          <w:sz w:val="20"/>
          <w:u w:val="single"/>
        </w:rPr>
        <w:t>Borrower</w:t>
      </w:r>
      <w:r>
        <w:rPr>
          <w:rFonts w:ascii="Times New Roman;Times;Serif" w:hAnsi="Times New Roman;Times;Serif"/>
          <w:b w:val="false"/>
          <w:i w:val="false"/>
          <w:caps w:val="false"/>
          <w:smallCaps w:val="false"/>
          <w:sz w:val="20"/>
        </w:rPr>
        <w:t>”), Consumer Portfolio Services, Inc., as servicer (the “</w:t>
      </w:r>
      <w:r>
        <w:rPr>
          <w:rFonts w:ascii="Times New Roman;Times;Serif" w:hAnsi="Times New Roman;Times;Serif"/>
          <w:b w:val="false"/>
          <w:i/>
          <w:caps w:val="false"/>
          <w:smallCaps w:val="false"/>
          <w:sz w:val="20"/>
          <w:u w:val="single"/>
        </w:rPr>
        <w:t>Servicer</w:t>
      </w:r>
      <w:r>
        <w:rPr>
          <w:rFonts w:ascii="Times New Roman;Times;Serif" w:hAnsi="Times New Roman;Times;Serif"/>
          <w:b w:val="false"/>
          <w:i w:val="false"/>
          <w:caps w:val="false"/>
          <w:smallCaps w:val="false"/>
          <w:sz w:val="20"/>
        </w:rPr>
        <w:t>”) and as seller (the “</w:t>
      </w:r>
      <w:r>
        <w:rPr>
          <w:rFonts w:ascii="Times New Roman;Times;Serif" w:hAnsi="Times New Roman;Times;Serif"/>
          <w:b w:val="false"/>
          <w:i/>
          <w:caps w:val="false"/>
          <w:smallCaps w:val="false"/>
          <w:sz w:val="20"/>
          <w:u w:val="single"/>
        </w:rPr>
        <w:t>Seller</w:t>
      </w:r>
      <w:r>
        <w:rPr>
          <w:rFonts w:ascii="Times New Roman;Times;Serif" w:hAnsi="Times New Roman;Times;Serif"/>
          <w:b w:val="false"/>
          <w:i w:val="false"/>
          <w:caps w:val="false"/>
          <w:smallCaps w:val="false"/>
          <w:sz w:val="20"/>
        </w:rPr>
        <w:t>”), Computershare Trust Company, N.A., as Custodian (the “</w:t>
      </w:r>
      <w:r>
        <w:rPr>
          <w:rFonts w:ascii="Times New Roman;Times;Serif" w:hAnsi="Times New Roman;Times;Serif"/>
          <w:b w:val="false"/>
          <w:i/>
          <w:caps w:val="false"/>
          <w:smallCaps w:val="false"/>
          <w:sz w:val="20"/>
          <w:u w:val="single"/>
        </w:rPr>
        <w:t>Custodian</w:t>
      </w:r>
      <w:r>
        <w:rPr>
          <w:rFonts w:ascii="Times New Roman;Times;Serif" w:hAnsi="Times New Roman;Times;Serif"/>
          <w:b w:val="false"/>
          <w:i w:val="false"/>
          <w:caps w:val="false"/>
          <w:smallCaps w:val="false"/>
          <w:sz w:val="20"/>
        </w:rPr>
        <w:t>”), as Paying Agent (“</w:t>
      </w:r>
      <w:r>
        <w:rPr>
          <w:rFonts w:ascii="Times New Roman;Times;Serif" w:hAnsi="Times New Roman;Times;Serif"/>
          <w:b w:val="false"/>
          <w:i/>
          <w:caps w:val="false"/>
          <w:smallCaps w:val="false"/>
          <w:sz w:val="20"/>
          <w:u w:val="single"/>
        </w:rPr>
        <w:t>Paying Agent</w:t>
      </w:r>
      <w:r>
        <w:rPr>
          <w:rFonts w:ascii="Times New Roman;Times;Serif" w:hAnsi="Times New Roman;Times;Serif"/>
          <w:b w:val="false"/>
          <w:i w:val="false"/>
          <w:caps w:val="false"/>
          <w:smallCaps w:val="false"/>
          <w:sz w:val="20"/>
        </w:rPr>
        <w:t>”) and as backup servicer (“</w:t>
      </w:r>
      <w:r>
        <w:rPr>
          <w:rFonts w:ascii="Times New Roman;Times;Serif" w:hAnsi="Times New Roman;Times;Serif"/>
          <w:b w:val="false"/>
          <w:i/>
          <w:caps w:val="false"/>
          <w:smallCaps w:val="false"/>
          <w:sz w:val="20"/>
          <w:u w:val="single"/>
        </w:rPr>
        <w:t>Backup Servicer</w:t>
      </w:r>
      <w:r>
        <w:rPr>
          <w:rFonts w:ascii="Times New Roman;Times;Serif" w:hAnsi="Times New Roman;Times;Serif"/>
          <w:b w:val="false"/>
          <w:i w:val="false"/>
          <w:caps w:val="false"/>
          <w:smallCaps w:val="false"/>
          <w:sz w:val="20"/>
        </w:rPr>
        <w:t>”), Capital One, National Association, as administrative agent (in such capacity, the “</w:t>
      </w:r>
      <w:r>
        <w:rPr>
          <w:rFonts w:ascii="Times New Roman;Times;Serif" w:hAnsi="Times New Roman;Times;Serif"/>
          <w:b w:val="false"/>
          <w:i/>
          <w:caps w:val="false"/>
          <w:smallCaps w:val="false"/>
          <w:sz w:val="20"/>
          <w:u w:val="single"/>
        </w:rPr>
        <w:t>Administrative Agent</w:t>
      </w:r>
      <w:r>
        <w:rPr>
          <w:rFonts w:ascii="Times New Roman;Times;Serif" w:hAnsi="Times New Roman;Times;Serif"/>
          <w:b w:val="false"/>
          <w:i w:val="false"/>
          <w:caps w:val="false"/>
          <w:smallCaps w:val="false"/>
          <w:sz w:val="20"/>
        </w:rPr>
        <w:t>”), and a bank and a lender group agent. Capitalized terms used but not otherwise defined herein shall have the meaning given to them in the Loan and Security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u w:val="single"/>
        </w:rPr>
        <w:t>Assignor</w:t>
      </w:r>
      <w:r>
        <w:rPr>
          <w:rFonts w:ascii="Times New Roman;Times;Serif" w:hAnsi="Times New Roman;Times;Serif"/>
          <w:b w:val="false"/>
          <w:i w:val="false"/>
          <w:caps w:val="false"/>
          <w:smallCaps w:val="false"/>
          <w:sz w:val="20"/>
        </w:rPr>
        <w:t>”) and [●] (the “</w:t>
      </w:r>
      <w:r>
        <w:rPr>
          <w:rFonts w:ascii="Times New Roman;Times;Serif" w:hAnsi="Times New Roman;Times;Serif"/>
          <w:b w:val="false"/>
          <w:i/>
          <w:caps w:val="false"/>
          <w:smallCaps w:val="false"/>
          <w:sz w:val="20"/>
          <w:u w:val="single"/>
        </w:rPr>
        <w:t>Assignee</w:t>
      </w:r>
      <w:r>
        <w:rPr>
          <w:rFonts w:ascii="Times New Roman;Times;Serif" w:hAnsi="Times New Roman;Times;Serif"/>
          <w:b w:val="false"/>
          <w:i w:val="false"/>
          <w:caps w:val="false"/>
          <w:smallCaps w:val="false"/>
          <w:sz w:val="20"/>
        </w:rPr>
        <w:t>”) agree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Assignor hereby sells and assigns to the Assignee, and the Assignee hereby purchases and assumes from the Assignor, that interest in and to all of the Assignor’s rights and obligations under the Loan and Security Agreement as of the date hereof which represents the percentage interest specified in Section 1 of Schedule 1 of all outstanding rights and obligations of the Assignor under the Loan and Security Agreement, including such interest in the Commitment of the Assignor and the Lender Principal Amount Outstanding of the Assignor. After giving effect to such sale and assignment, the Commitment and the Lender Principal Amount Outstanding of the Assignee will be as set forth in Section 2 of Schedule 1.</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Assignor represents and warrants that it is the legal and beneficial owner of the interest being assigned by it hereunder and that such interest is free and clear of any Lien.</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Assignor and the Assignee confirm to and agree with each other and the other parties to Loan and Security Agreement that: (i) other than as provided herein, the Assignor makes no representation or warranty and assumes no responsibility with respect to any statements, warranties or representations made in or in connection with the Loan and Security Agreement or the execution, legality, validity, enforceability, genuineness, sufficiency or value of the Loan and Security Agreement or any other instrument or document furnished pursuant thereto; (ii) the Assignee confirms that it has received a copy of the Loan and Security Agreement, together with copies of such financial statements and other documents and information as it has deemed appropriate to make its own credit analysis and decision to enter into such Assignment and Acceptance; (iii) the Assignee will, independently and without reliance upon the Administrative Agent, the Assignor, the Lender Group Agent or any other Lender party to the Loan and Security Agreement and based on such documents and information as it shall deem appropriate at the time, continue to make its own credit decisions in taking or not taking action under the Loan and Security Agreement; (iv) the Assignor and the Assignee confirm that the Assignee is an Eligible Assignee; (v) the Assignee appoints and authorizes the Administrative Agent and the Lender Group Agent to take such action as agent on its behalf and to exercise such powers under the Loan and Security Agreement as are delegated to such agent by the terms hereof, together with such powers as are reasonably incidental thereto; (vi) the Assignee agrees that it will perform in accordance with their terms all of the obligations which by the terms of the Loan and Security Agreement are required to be performed by it as a Lender, including the provision of applicable forms pursuant to Section 2.12(d) and confidentiality provisions of Article Fourteen and (vii) this Assignment and Acceptance meets all other requirements for such an Assignment and Acceptance set forth in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of the Loan and Security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100" w:type="dxa"/>
        <w:jc w:val="left"/>
        <w:tblInd w:w="0" w:type="dxa"/>
        <w:tblLayout w:type="fixed"/>
        <w:tblCellMar>
          <w:top w:w="0" w:type="dxa"/>
          <w:left w:w="0" w:type="dxa"/>
          <w:bottom w:w="0" w:type="dxa"/>
          <w:right w:w="0" w:type="dxa"/>
        </w:tblCellMar>
      </w:tblPr>
      <w:tblGrid>
        <w:gridCol w:w="75"/>
        <w:gridCol w:w="950"/>
        <w:gridCol w:w="75"/>
      </w:tblGrid>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Exh C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Following the execution of this Assignment and Acceptance by the Assignor and the Assignee, it will be delivered to the Lender Group Agent for acceptance. The effective date of this Assignment and Acceptance (the “</w:t>
      </w:r>
      <w:r>
        <w:rPr>
          <w:rFonts w:ascii="Times New Roman;Times;Serif" w:hAnsi="Times New Roman;Times;Serif"/>
          <w:b w:val="false"/>
          <w:i/>
          <w:caps w:val="false"/>
          <w:smallCaps w:val="false"/>
          <w:sz w:val="20"/>
          <w:u w:val="single"/>
        </w:rPr>
        <w:t>Assignment Date</w:t>
      </w:r>
      <w:r>
        <w:rPr>
          <w:rFonts w:ascii="Times New Roman;Times;Serif" w:hAnsi="Times New Roman;Times;Serif"/>
          <w:b w:val="false"/>
          <w:i w:val="false"/>
          <w:caps w:val="false"/>
          <w:smallCaps w:val="false"/>
          <w:sz w:val="20"/>
        </w:rPr>
        <w:t>”) shall be the date of acceptance thereof by the Lender Group Agent and recordation in the Register, unless a later date is specified in Section 3 of Schedule 1.</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Assignor and the Assignee agree to reimburse the Administrative Agent and the Lender Group Agent for all reasonable fees, costs and expenses (including reasonable fees and out-of-pocket expenses of counsel for the Administrative Agent and the Lender Group Agent) incurred by the Administrative Agent and the Lender Group Agent in connection with this Assignment and Acceptance.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Upon such acceptance by the Lender Group Agent, (i) the Assignee shall be a party to the Loan and Security Agreement and, to the extent provided in this Assignment and Acceptance, have the rights and obligations of a Lender thereunder,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(ii) the Assignor shall, to the extent such rights have been assigned by it under this Assignment and Acceptance, relinquish its assigned rights and be released from its assigned obligations under the Loan and Security Agreement (and, in the case of an Assignment and Acceptance covering all or the remaining portion of an assigning Assignor’s rights and obligations under the Loan and Security Agreement, Assignor shall cease to be a party thereto).</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Upon such acceptance by the Lender Group Agent, from and after the Assignment Date, the Lender Group Agent shall make, or cause to be made, all payments under the Loan and Security Agreement in respect of the interest assigned hereby (including all payments of principal, interest and fees with respect thereto) to the Assignee. The Assignor and Assignee shall make all appropriate adjustments in payments under the Loan and Security Agreement for periods prior to the Assignment Date directly between themselves.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This Assignment and Acceptance shall be governed by, and construed in accordance with, the laws of the State of New York.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100" w:type="dxa"/>
        <w:jc w:val="left"/>
        <w:tblInd w:w="0" w:type="dxa"/>
        <w:tblLayout w:type="fixed"/>
        <w:tblCellMar>
          <w:top w:w="0" w:type="dxa"/>
          <w:left w:w="0" w:type="dxa"/>
          <w:bottom w:w="0" w:type="dxa"/>
          <w:right w:w="0" w:type="dxa"/>
        </w:tblCellMar>
      </w:tblPr>
      <w:tblGrid>
        <w:gridCol w:w="75"/>
        <w:gridCol w:w="950"/>
        <w:gridCol w:w="75"/>
      </w:tblGrid>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Exh C - 2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Assignor and the Assignee have executed this Acceptance and Assignment as of the </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 xml:space="preserve">day of </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 20</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765" w:type="dxa"/>
        <w:jc w:val="left"/>
        <w:tblInd w:w="0" w:type="dxa"/>
        <w:tblLayout w:type="fixed"/>
        <w:tblCellMar>
          <w:top w:w="0" w:type="dxa"/>
          <w:left w:w="0" w:type="dxa"/>
          <w:bottom w:w="0" w:type="dxa"/>
          <w:right w:w="0" w:type="dxa"/>
        </w:tblCellMar>
      </w:tblPr>
      <w:tblGrid>
        <w:gridCol w:w="75"/>
        <w:gridCol w:w="2690"/>
      </w:tblGrid>
      <w:tr>
        <w:trPr/>
        <w:tc>
          <w:tcPr>
            <w:tcW w:w="7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jc w:val="left"/>
              <w:rPr/>
            </w:pPr>
            <w:r>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[ASSIGNEE], as Assignee</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By:_____________________</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Title:_____________________</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765" w:type="dxa"/>
        <w:jc w:val="left"/>
        <w:tblInd w:w="0" w:type="dxa"/>
        <w:tblLayout w:type="fixed"/>
        <w:tblCellMar>
          <w:top w:w="0" w:type="dxa"/>
          <w:left w:w="0" w:type="dxa"/>
          <w:bottom w:w="0" w:type="dxa"/>
          <w:right w:w="0" w:type="dxa"/>
        </w:tblCellMar>
      </w:tblPr>
      <w:tblGrid>
        <w:gridCol w:w="75"/>
        <w:gridCol w:w="2690"/>
      </w:tblGrid>
      <w:tr>
        <w:trPr/>
        <w:tc>
          <w:tcPr>
            <w:tcW w:w="7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jc w:val="left"/>
              <w:rPr/>
            </w:pPr>
            <w:r>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[ASSIGNOR], as Assignee</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By:_____________________</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Title:_____________________</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100" w:type="dxa"/>
        <w:jc w:val="left"/>
        <w:tblInd w:w="0" w:type="dxa"/>
        <w:tblLayout w:type="fixed"/>
        <w:tblCellMar>
          <w:top w:w="0" w:type="dxa"/>
          <w:left w:w="0" w:type="dxa"/>
          <w:bottom w:w="0" w:type="dxa"/>
          <w:right w:w="0" w:type="dxa"/>
        </w:tblCellMar>
      </w:tblPr>
      <w:tblGrid>
        <w:gridCol w:w="75"/>
        <w:gridCol w:w="950"/>
        <w:gridCol w:w="75"/>
      </w:tblGrid>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Exh C - 3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and Acceptance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w:t>
      </w:r>
    </w:p>
    <w:p>
      <w:pPr>
        <w:pStyle w:val="TextBody"/>
        <w:bidi w:val="0"/>
        <w:spacing w:before="0" w:after="0"/>
        <w:ind w:left="5647"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4160"/>
        <w:gridCol w:w="455"/>
      </w:tblGrid>
      <w:tr>
        <w:trPr/>
        <w:tc>
          <w:tcPr>
            <w:tcW w:w="416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1.</w:t>
            </w:r>
          </w:p>
        </w:tc>
        <w:tc>
          <w:tcPr>
            <w:tcW w:w="45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Interest:</w:t>
            </w:r>
          </w:p>
        </w:tc>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2.</w:t>
            </w:r>
          </w:p>
        </w:tc>
        <w:tc>
          <w:tcPr>
            <w:tcW w:w="45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Assignee’s Commitment:</w:t>
            </w:r>
          </w:p>
        </w:tc>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 of Loans Owing to the Assignee:</w:t>
            </w:r>
          </w:p>
        </w:tc>
        <w:tc>
          <w:tcPr>
            <w:tcW w:w="455" w:type="dxa"/>
            <w:tcBorders/>
            <w:vAlign w:val="center"/>
          </w:tcPr>
          <w:p>
            <w:pPr>
              <w:pStyle w:val="TableContents"/>
              <w:bidi w:val="0"/>
              <w:spacing w:before="0" w:after="283"/>
              <w:jc w:val="left"/>
              <w:rPr/>
            </w:pPr>
            <w:r>
              <w:rPr/>
              <w:t>$[●]</w:t>
            </w:r>
          </w:p>
        </w:tc>
      </w:tr>
      <w:tr>
        <w:trPr/>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5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3.</w:t>
            </w:r>
          </w:p>
        </w:tc>
        <w:tc>
          <w:tcPr>
            <w:tcW w:w="45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 Date:</w:t>
            </w:r>
          </w:p>
        </w:tc>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100" w:type="dxa"/>
        <w:jc w:val="left"/>
        <w:tblInd w:w="0" w:type="dxa"/>
        <w:tblLayout w:type="fixed"/>
        <w:tblCellMar>
          <w:top w:w="0" w:type="dxa"/>
          <w:left w:w="0" w:type="dxa"/>
          <w:bottom w:w="0" w:type="dxa"/>
          <w:right w:w="0" w:type="dxa"/>
        </w:tblCellMar>
      </w:tblPr>
      <w:tblGrid>
        <w:gridCol w:w="75"/>
        <w:gridCol w:w="950"/>
        <w:gridCol w:w="75"/>
      </w:tblGrid>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Exh C - 4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GUIDELINES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file with Administrative Agent]</w:t>
      </w:r>
    </w:p>
    <w:p>
      <w:pPr>
        <w:pStyle w:val="TextBody"/>
        <w:bidi w:val="0"/>
        <w:spacing w:before="0" w:after="0"/>
        <w:ind w:left="1078"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965"/>
        <w:gridCol w:w="7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Exh D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E</w:t>
      </w:r>
    </w:p>
    <w:p>
      <w:pPr>
        <w:pStyle w:val="TextBody"/>
        <w:bidi w:val="0"/>
        <w:spacing w:before="0" w:after="0"/>
        <w:ind w:left="1071"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PURCHASE GUIDELINES</w:t>
      </w:r>
    </w:p>
    <w:p>
      <w:pPr>
        <w:pStyle w:val="TextBody"/>
        <w:bidi w:val="0"/>
        <w:spacing w:before="0" w:after="0"/>
        <w:ind w:left="107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file with Administrative Agent]</w:t>
      </w:r>
    </w:p>
    <w:p>
      <w:pPr>
        <w:pStyle w:val="TextBody"/>
        <w:bidi w:val="0"/>
        <w:spacing w:before="0" w:after="0"/>
        <w:ind w:left="1078"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85" w:type="dxa"/>
        <w:jc w:val="left"/>
        <w:tblInd w:w="0" w:type="dxa"/>
        <w:tblLayout w:type="fixed"/>
        <w:tblCellMar>
          <w:top w:w="0" w:type="dxa"/>
          <w:left w:w="0" w:type="dxa"/>
          <w:bottom w:w="0" w:type="dxa"/>
          <w:right w:w="0" w:type="dxa"/>
        </w:tblCellMar>
      </w:tblPr>
      <w:tblGrid>
        <w:gridCol w:w="75"/>
        <w:gridCol w:w="935"/>
        <w:gridCol w:w="75"/>
      </w:tblGrid>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Exh E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(this “</w:t>
      </w:r>
      <w:r>
        <w:rPr>
          <w:rFonts w:ascii="Times New Roman;Times;Serif" w:hAnsi="Times New Roman;Times;Serif"/>
          <w:b w:val="false"/>
          <w:i/>
          <w:caps w:val="false"/>
          <w:smallCaps w:val="false"/>
          <w:sz w:val="20"/>
          <w:u w:val="single"/>
        </w:rPr>
        <w:t>Power of Attorney</w:t>
      </w:r>
      <w:r>
        <w:rPr>
          <w:rFonts w:ascii="Times New Roman;Times;Serif" w:hAnsi="Times New Roman;Times;Serif"/>
          <w:b w:val="false"/>
          <w:i w:val="false"/>
          <w:caps w:val="false"/>
          <w:smallCaps w:val="false"/>
          <w:sz w:val="20"/>
        </w:rPr>
        <w:t>”) is executed and delivered by Page Eleven Funding LLC (“</w:t>
      </w:r>
      <w:r>
        <w:rPr>
          <w:rFonts w:ascii="Times New Roman;Times;Serif" w:hAnsi="Times New Roman;Times;Serif"/>
          <w:b w:val="false"/>
          <w:i/>
          <w:caps w:val="false"/>
          <w:smallCaps w:val="false"/>
          <w:sz w:val="20"/>
          <w:u w:val="single"/>
        </w:rPr>
        <w:t>Grantor</w:t>
      </w:r>
      <w:r>
        <w:rPr>
          <w:rFonts w:ascii="Times New Roman;Times;Serif" w:hAnsi="Times New Roman;Times;Serif"/>
          <w:b w:val="false"/>
          <w:i w:val="false"/>
          <w:caps w:val="false"/>
          <w:smallCaps w:val="false"/>
          <w:sz w:val="20"/>
        </w:rPr>
        <w:t>”) to Capital One, National Association, as Administrative Agent (“</w:t>
      </w:r>
      <w:r>
        <w:rPr>
          <w:rFonts w:ascii="Times New Roman;Times;Serif" w:hAnsi="Times New Roman;Times;Serif"/>
          <w:b w:val="false"/>
          <w:i/>
          <w:caps w:val="false"/>
          <w:smallCaps w:val="false"/>
          <w:sz w:val="20"/>
          <w:u w:val="single"/>
        </w:rPr>
        <w:t>Attorney</w:t>
      </w:r>
      <w:r>
        <w:rPr>
          <w:rFonts w:ascii="Times New Roman;Times;Serif" w:hAnsi="Times New Roman;Times;Serif"/>
          <w:b w:val="false"/>
          <w:i w:val="false"/>
          <w:caps w:val="false"/>
          <w:smallCaps w:val="false"/>
          <w:sz w:val="20"/>
        </w:rPr>
        <w:t>”), pursuant to (i) Loan and Security Agreement, dated as of October 17, 2025, (as amended, restated, supplemented or otherwise modified from time to time, the “</w:t>
      </w:r>
      <w:r>
        <w:rPr>
          <w:rFonts w:ascii="Times New Roman;Times;Serif" w:hAnsi="Times New Roman;Times;Serif"/>
          <w:b w:val="false"/>
          <w:i/>
          <w:caps w:val="false"/>
          <w:smallCaps w:val="false"/>
          <w:sz w:val="20"/>
          <w:u w:val="single"/>
        </w:rPr>
        <w:t>Loan and Security Agreement</w:t>
      </w:r>
      <w:r>
        <w:rPr>
          <w:rFonts w:ascii="Times New Roman;Times;Serif" w:hAnsi="Times New Roman;Times;Serif"/>
          <w:b w:val="false"/>
          <w:i w:val="false"/>
          <w:caps w:val="false"/>
          <w:smallCaps w:val="false"/>
          <w:sz w:val="20"/>
        </w:rPr>
        <w:t>”), among Page Eleven Funding LLC, as borrower (the “</w:t>
      </w:r>
      <w:r>
        <w:rPr>
          <w:rFonts w:ascii="Times New Roman;Times;Serif" w:hAnsi="Times New Roman;Times;Serif"/>
          <w:b w:val="false"/>
          <w:i/>
          <w:caps w:val="false"/>
          <w:smallCaps w:val="false"/>
          <w:sz w:val="20"/>
          <w:u w:val="single"/>
        </w:rPr>
        <w:t>Borrower</w:t>
      </w:r>
      <w:r>
        <w:rPr>
          <w:rFonts w:ascii="Times New Roman;Times;Serif" w:hAnsi="Times New Roman;Times;Serif"/>
          <w:b w:val="false"/>
          <w:i w:val="false"/>
          <w:caps w:val="false"/>
          <w:smallCaps w:val="false"/>
          <w:sz w:val="20"/>
        </w:rPr>
        <w:t>”), Consumer Portfolio Services, Inc., as servicer (the “</w:t>
      </w:r>
      <w:r>
        <w:rPr>
          <w:rFonts w:ascii="Times New Roman;Times;Serif" w:hAnsi="Times New Roman;Times;Serif"/>
          <w:b w:val="false"/>
          <w:i/>
          <w:caps w:val="false"/>
          <w:smallCaps w:val="false"/>
          <w:sz w:val="20"/>
          <w:u w:val="single"/>
        </w:rPr>
        <w:t>Servicer</w:t>
      </w:r>
      <w:r>
        <w:rPr>
          <w:rFonts w:ascii="Times New Roman;Times;Serif" w:hAnsi="Times New Roman;Times;Serif"/>
          <w:b w:val="false"/>
          <w:i w:val="false"/>
          <w:caps w:val="false"/>
          <w:smallCaps w:val="false"/>
          <w:sz w:val="20"/>
        </w:rPr>
        <w:t>”) and as seller (the “</w:t>
      </w:r>
      <w:r>
        <w:rPr>
          <w:rFonts w:ascii="Times New Roman;Times;Serif" w:hAnsi="Times New Roman;Times;Serif"/>
          <w:b w:val="false"/>
          <w:i/>
          <w:caps w:val="false"/>
          <w:smallCaps w:val="false"/>
          <w:sz w:val="20"/>
          <w:u w:val="single"/>
        </w:rPr>
        <w:t>Seller</w:t>
      </w:r>
      <w:r>
        <w:rPr>
          <w:rFonts w:ascii="Times New Roman;Times;Serif" w:hAnsi="Times New Roman;Times;Serif"/>
          <w:b w:val="false"/>
          <w:i w:val="false"/>
          <w:caps w:val="false"/>
          <w:smallCaps w:val="false"/>
          <w:sz w:val="20"/>
        </w:rPr>
        <w:t>”), Computershare Trust Company, N.A., as Custodian (the “</w:t>
      </w:r>
      <w:r>
        <w:rPr>
          <w:rFonts w:ascii="Times New Roman;Times;Serif" w:hAnsi="Times New Roman;Times;Serif"/>
          <w:b w:val="false"/>
          <w:i/>
          <w:caps w:val="false"/>
          <w:smallCaps w:val="false"/>
          <w:sz w:val="20"/>
          <w:u w:val="single"/>
        </w:rPr>
        <w:t>Custodian</w:t>
      </w:r>
      <w:r>
        <w:rPr>
          <w:rFonts w:ascii="Times New Roman;Times;Serif" w:hAnsi="Times New Roman;Times;Serif"/>
          <w:b w:val="false"/>
          <w:i w:val="false"/>
          <w:caps w:val="false"/>
          <w:smallCaps w:val="false"/>
          <w:sz w:val="20"/>
        </w:rPr>
        <w:t>”), as paying agent (“</w:t>
      </w:r>
      <w:r>
        <w:rPr>
          <w:rFonts w:ascii="Times New Roman;Times;Serif" w:hAnsi="Times New Roman;Times;Serif"/>
          <w:b w:val="false"/>
          <w:i/>
          <w:caps w:val="false"/>
          <w:smallCaps w:val="false"/>
          <w:sz w:val="20"/>
          <w:u w:val="single"/>
        </w:rPr>
        <w:t>Paying Agent</w:t>
      </w:r>
      <w:r>
        <w:rPr>
          <w:rFonts w:ascii="Times New Roman;Times;Serif" w:hAnsi="Times New Roman;Times;Serif"/>
          <w:b w:val="false"/>
          <w:i w:val="false"/>
          <w:caps w:val="false"/>
          <w:smallCaps w:val="false"/>
          <w:sz w:val="20"/>
        </w:rPr>
        <w:t>”) and as backup servicer (“</w:t>
      </w:r>
      <w:r>
        <w:rPr>
          <w:rFonts w:ascii="Times New Roman;Times;Serif" w:hAnsi="Times New Roman;Times;Serif"/>
          <w:b w:val="false"/>
          <w:i/>
          <w:caps w:val="false"/>
          <w:smallCaps w:val="false"/>
          <w:sz w:val="20"/>
          <w:u w:val="single"/>
        </w:rPr>
        <w:t>Backup Servicer</w:t>
      </w:r>
      <w:r>
        <w:rPr>
          <w:rFonts w:ascii="Times New Roman;Times;Serif" w:hAnsi="Times New Roman;Times;Serif"/>
          <w:b w:val="false"/>
          <w:i w:val="false"/>
          <w:caps w:val="false"/>
          <w:smallCaps w:val="false"/>
          <w:sz w:val="20"/>
        </w:rPr>
        <w:t>”) Capital One, National Association, as administrative agent (in such capacity, the “</w:t>
      </w:r>
      <w:r>
        <w:rPr>
          <w:rFonts w:ascii="Times New Roman;Times;Serif" w:hAnsi="Times New Roman;Times;Serif"/>
          <w:b w:val="false"/>
          <w:i/>
          <w:caps w:val="false"/>
          <w:smallCaps w:val="false"/>
          <w:sz w:val="20"/>
          <w:u w:val="single"/>
        </w:rPr>
        <w:t>Administrative Agent</w:t>
      </w:r>
      <w:r>
        <w:rPr>
          <w:rFonts w:ascii="Times New Roman;Times;Serif" w:hAnsi="Times New Roman;Times;Serif"/>
          <w:b w:val="false"/>
          <w:i w:val="false"/>
          <w:caps w:val="false"/>
          <w:smallCaps w:val="false"/>
          <w:sz w:val="20"/>
        </w:rPr>
        <w:t>”), and a bank and a lender group agent, and (ii) the other Transaction Documents. Capitalized terms used herein that are not otherwise defined shall have the meanings ascribed thereto in the Loan and Security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to whom this Power of Attorney is presented, as authority for Attorney to take any action or actions contemplated hereby, shall inquire into or seek confirmation from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Grantor irrevocably waives any right to commence any suit or action, in law or equity, against any person or entity that acts in reliance upon or acknowledges the authority granted under this Power of Attorney. The power of attorney granted hereby is coupled with an interest and may not be revoked or canceled by Grantor until all Aggregate Unpaids have been indefeasibly paid in full and Attorney has provided its written consent thereto.</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hereby irrevocably constitutes and appoints Attorney (and all officers, employees or agents designated by Attorney), with full power of substitution, as its true and lawful attorney-in-fact with full irrevocable power and authority in its place and stead and in its name or in Attorney’s own name, from time to time in Attorney’s discretion, to take any and all appropriate action and to execute and deliver any and all documents and instruments that may be necessary or desirable to accomplish the purposes of the Agreement, and, without limiting the generality of the foregoing, hereby grants to Attorney the power and right, on its behalf, without notice to or assent by it, upon the occurrence and during the continuance of any Termination Event, to do the following: (a) exercise all rights and privileges of Grantor under the Purchase Agreement; (b) pay or discharge any taxes, Liens or other encumbrances levied or placed on or threatened against Grantor or Grantor’s property; (c) defend any suit, action or proceeding brought against Grantor if Grantor does not defend such suit, action or proceeding or if Attorney believes that it is not pursuing such defense in a manner that will maximize the recovery to Attorney, and settle, compromise or adjust any suit, action or proceeding described above and, in connection therewith, give such discharges or releases as Attorney may deem appropriate; (d) file or prosecute any claim, litigation, suit or proceeding in any court of competent jurisdiction or before any arbitrator, or take any other action otherwise deemed appropriate by Attorney for the purpose of collecting any and all such moneys due to Grantor whenever payable and to enforce any other right in respect of Grantor’s property; (e) sell, transfer, pledge, make any agreement with respect to or otherwise deal with, any of Grantor’s property, and execute, in connection with such sale or action, any endorsements, assignments or other instruments of conveyance or transfer in connection therewith; and (f) cause the certified public accountants then engaged by Grantor to prepare and deliver to Attorney at any time and from time to time, promptly upon Attorney’s request, any reports required to be prepared by or on behalf of Grantor under the Loan and Security Agreement or any other Transaction Document, all as though Attorney were the absolute owner of its property for all purposes, and to do, at Attorney’s option and Grantor’s expense, at any time or from time to time, all acts and other things that Attorney reasonably deems necessary to perfect, preserve, or realize upon its property or assets and the Liens of the Administrative Agent, as agent for the Secured Parties thereon, all as fully and effectively as it might do. Grantor hereby ratifies, to the extent permitted by law, all that said attorneys shall lawfully do or cause to be done by virtue hereof.</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Power of Attorney is executed by Grantor as of this _____ day of __________20__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90" w:type="dxa"/>
        <w:jc w:val="left"/>
        <w:tblInd w:w="0" w:type="dxa"/>
        <w:tblLayout w:type="fixed"/>
        <w:tblCellMar>
          <w:top w:w="0" w:type="dxa"/>
          <w:left w:w="0" w:type="dxa"/>
          <w:bottom w:w="0" w:type="dxa"/>
          <w:right w:w="0" w:type="dxa"/>
        </w:tblCellMar>
      </w:tblPr>
      <w:tblGrid>
        <w:gridCol w:w="75"/>
        <w:gridCol w:w="2315"/>
      </w:tblGrid>
      <w:tr>
        <w:trPr/>
        <w:tc>
          <w:tcPr>
            <w:tcW w:w="7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jc w:val="left"/>
              <w:rPr/>
            </w:pPr>
            <w:r>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Eleven Funding LLC</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By:__________________</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Name:________________</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_________________</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Sworn to and subscribed before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 this _____ day of ________, 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SEAL]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70" w:type="dxa"/>
        <w:jc w:val="left"/>
        <w:tblInd w:w="0" w:type="dxa"/>
        <w:tblLayout w:type="fixed"/>
        <w:tblCellMar>
          <w:top w:w="0" w:type="dxa"/>
          <w:left w:w="0" w:type="dxa"/>
          <w:bottom w:w="0" w:type="dxa"/>
          <w:right w:w="0" w:type="dxa"/>
        </w:tblCellMar>
      </w:tblPr>
      <w:tblGrid>
        <w:gridCol w:w="75"/>
        <w:gridCol w:w="920"/>
        <w:gridCol w:w="75"/>
      </w:tblGrid>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Exh F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PERMITTED TAKE-OUT RELEASE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w:t>
      </w:r>
    </w:p>
    <w:p>
      <w:pPr>
        <w:pStyle w:val="TextBody"/>
        <w:bidi w:val="0"/>
        <w:spacing w:before="0" w:after="0"/>
        <w:ind w:left="1076" w:right="0" w:hanging="0"/>
        <w:jc w:val="center"/>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Loan and Security Agreement, dated as of October 17, 2025, (as amended, restated, supplemented or otherwise modified from time to time, the “</w:t>
      </w:r>
      <w:r>
        <w:rPr>
          <w:rFonts w:ascii="Times New Roman;Times;Serif" w:hAnsi="Times New Roman;Times;Serif"/>
          <w:b w:val="false"/>
          <w:i/>
          <w:caps w:val="false"/>
          <w:smallCaps w:val="false"/>
          <w:sz w:val="20"/>
          <w:u w:val="single"/>
        </w:rPr>
        <w:t>Loan and Security Agreement</w:t>
      </w:r>
      <w:r>
        <w:rPr>
          <w:rFonts w:ascii="Times New Roman;Times;Serif" w:hAnsi="Times New Roman;Times;Serif"/>
          <w:b w:val="false"/>
          <w:i w:val="false"/>
          <w:caps w:val="false"/>
          <w:smallCaps w:val="false"/>
          <w:sz w:val="20"/>
        </w:rPr>
        <w:t>”), among Page Eleven Funding LLC, as borrower (the “</w:t>
      </w:r>
      <w:r>
        <w:rPr>
          <w:rFonts w:ascii="Times New Roman;Times;Serif" w:hAnsi="Times New Roman;Times;Serif"/>
          <w:b w:val="false"/>
          <w:i/>
          <w:caps w:val="false"/>
          <w:smallCaps w:val="false"/>
          <w:sz w:val="20"/>
          <w:u w:val="single"/>
        </w:rPr>
        <w:t>Borrower</w:t>
      </w:r>
      <w:r>
        <w:rPr>
          <w:rFonts w:ascii="Times New Roman;Times;Serif" w:hAnsi="Times New Roman;Times;Serif"/>
          <w:b w:val="false"/>
          <w:i w:val="false"/>
          <w:caps w:val="false"/>
          <w:smallCaps w:val="false"/>
          <w:sz w:val="20"/>
        </w:rPr>
        <w:t>”), Consumer Portfolio Services, Inc., as servicer (the “</w:t>
      </w:r>
      <w:r>
        <w:rPr>
          <w:rFonts w:ascii="Times New Roman;Times;Serif" w:hAnsi="Times New Roman;Times;Serif"/>
          <w:b w:val="false"/>
          <w:i/>
          <w:caps w:val="false"/>
          <w:smallCaps w:val="false"/>
          <w:sz w:val="20"/>
          <w:u w:val="single"/>
        </w:rPr>
        <w:t>Servicer</w:t>
      </w:r>
      <w:r>
        <w:rPr>
          <w:rFonts w:ascii="Times New Roman;Times;Serif" w:hAnsi="Times New Roman;Times;Serif"/>
          <w:b w:val="false"/>
          <w:i w:val="false"/>
          <w:caps w:val="false"/>
          <w:smallCaps w:val="false"/>
          <w:sz w:val="20"/>
        </w:rPr>
        <w:t>”) and as seller (the “</w:t>
      </w:r>
      <w:r>
        <w:rPr>
          <w:rFonts w:ascii="Times New Roman;Times;Serif" w:hAnsi="Times New Roman;Times;Serif"/>
          <w:b w:val="false"/>
          <w:i/>
          <w:caps w:val="false"/>
          <w:smallCaps w:val="false"/>
          <w:sz w:val="20"/>
          <w:u w:val="single"/>
        </w:rPr>
        <w:t>Seller</w:t>
      </w:r>
      <w:r>
        <w:rPr>
          <w:rFonts w:ascii="Times New Roman;Times;Serif" w:hAnsi="Times New Roman;Times;Serif"/>
          <w:b w:val="false"/>
          <w:i w:val="false"/>
          <w:caps w:val="false"/>
          <w:smallCaps w:val="false"/>
          <w:sz w:val="20"/>
        </w:rPr>
        <w:t>”), Computershare Trust Company, N.A., as Custodian (the “</w:t>
      </w:r>
      <w:r>
        <w:rPr>
          <w:rFonts w:ascii="Times New Roman;Times;Serif" w:hAnsi="Times New Roman;Times;Serif"/>
          <w:b w:val="false"/>
          <w:i/>
          <w:caps w:val="false"/>
          <w:smallCaps w:val="false"/>
          <w:sz w:val="20"/>
          <w:u w:val="single"/>
        </w:rPr>
        <w:t>Custodian</w:t>
      </w:r>
      <w:r>
        <w:rPr>
          <w:rFonts w:ascii="Times New Roman;Times;Serif" w:hAnsi="Times New Roman;Times;Serif"/>
          <w:b w:val="false"/>
          <w:i w:val="false"/>
          <w:caps w:val="false"/>
          <w:smallCaps w:val="false"/>
          <w:sz w:val="20"/>
        </w:rPr>
        <w:t>”), as Paying Agent (“</w:t>
      </w:r>
      <w:r>
        <w:rPr>
          <w:rFonts w:ascii="Times New Roman;Times;Serif" w:hAnsi="Times New Roman;Times;Serif"/>
          <w:b w:val="false"/>
          <w:i/>
          <w:caps w:val="false"/>
          <w:smallCaps w:val="false"/>
          <w:sz w:val="20"/>
          <w:u w:val="single"/>
        </w:rPr>
        <w:t>Paying Agent</w:t>
      </w:r>
      <w:r>
        <w:rPr>
          <w:rFonts w:ascii="Times New Roman;Times;Serif" w:hAnsi="Times New Roman;Times;Serif"/>
          <w:b w:val="false"/>
          <w:i w:val="false"/>
          <w:caps w:val="false"/>
          <w:smallCaps w:val="false"/>
          <w:sz w:val="20"/>
        </w:rPr>
        <w:t>”) and as backup servicer (“</w:t>
      </w:r>
      <w:r>
        <w:rPr>
          <w:rFonts w:ascii="Times New Roman;Times;Serif" w:hAnsi="Times New Roman;Times;Serif"/>
          <w:b w:val="false"/>
          <w:i/>
          <w:caps w:val="false"/>
          <w:smallCaps w:val="false"/>
          <w:sz w:val="20"/>
          <w:u w:val="single"/>
        </w:rPr>
        <w:t>Backup Servicer</w:t>
      </w:r>
      <w:r>
        <w:rPr>
          <w:rFonts w:ascii="Times New Roman;Times;Serif" w:hAnsi="Times New Roman;Times;Serif"/>
          <w:b w:val="false"/>
          <w:i w:val="false"/>
          <w:caps w:val="false"/>
          <w:smallCaps w:val="false"/>
          <w:sz w:val="20"/>
        </w:rPr>
        <w:t>”), Capital One, National Association, as administrative agent (in such capacity, the “</w:t>
      </w:r>
      <w:r>
        <w:rPr>
          <w:rFonts w:ascii="Times New Roman;Times;Serif" w:hAnsi="Times New Roman;Times;Serif"/>
          <w:b w:val="false"/>
          <w:i/>
          <w:caps w:val="false"/>
          <w:smallCaps w:val="false"/>
          <w:sz w:val="20"/>
          <w:u w:val="single"/>
        </w:rPr>
        <w:t>Administrative Agent</w:t>
      </w:r>
      <w:r>
        <w:rPr>
          <w:rFonts w:ascii="Times New Roman;Times;Serif" w:hAnsi="Times New Roman;Times;Serif"/>
          <w:b w:val="false"/>
          <w:i w:val="false"/>
          <w:caps w:val="false"/>
          <w:smallCaps w:val="false"/>
          <w:sz w:val="20"/>
        </w:rPr>
        <w:t>”), and a bank and a lender group agent. Capitalized terms not defined herein shall have the meaning given such terms in the Loan and Security Agreement.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and the Servicer hereby represent and warrant that each condition in the Loan and Security Agreement and each other Transaction Document, to the consummation of the Permitted Take-Out to which this Permitted Take-Out Release relates, has been satisfied, including but not limited to delivery of the executed Permitted Take-Out Date Certificate, in substantially the form attached hereto as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 Upon deposit in the Collection Account of</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accordance with Section 2.14(a)(v) in immediately available funds, the Administrative Agent hereby releases all of its right, title and interest, including Lien, in and to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Receivables to be transferred by the Borrower in the related Permitted Take-Out and described in Schedule I hereto (the “</w:t>
      </w:r>
      <w:r>
        <w:rPr>
          <w:rFonts w:ascii="Times New Roman;Times;Serif" w:hAnsi="Times New Roman;Times;Serif"/>
          <w:b w:val="false"/>
          <w:i/>
          <w:caps w:val="false"/>
          <w:smallCaps w:val="false"/>
          <w:sz w:val="20"/>
          <w:u w:val="single"/>
        </w:rPr>
        <w:t>Take-Out Receivables</w:t>
      </w:r>
      <w:r>
        <w:rPr>
          <w:rFonts w:ascii="Times New Roman;Times;Serif" w:hAnsi="Times New Roman;Times;Serif"/>
          <w:b w:val="false"/>
          <w:i w:val="false"/>
          <w:caps w:val="false"/>
          <w:smallCaps w:val="false"/>
          <w:sz w:val="20"/>
        </w:rPr>
        <w:t>” and such Schedule, the “</w:t>
      </w:r>
      <w:r>
        <w:rPr>
          <w:rFonts w:ascii="Times New Roman;Times;Serif" w:hAnsi="Times New Roman;Times;Serif"/>
          <w:b w:val="false"/>
          <w:i/>
          <w:caps w:val="false"/>
          <w:smallCaps w:val="false"/>
          <w:sz w:val="20"/>
          <w:u w:val="single"/>
        </w:rPr>
        <w:t>Schedule of Take-Out Receivables</w:t>
      </w:r>
      <w:r>
        <w:rPr>
          <w:rFonts w:ascii="Times New Roman;Times;Serif" w:hAnsi="Times New Roman;Times;Serif"/>
          <w:b w:val="false"/>
          <w:i w:val="false"/>
          <w:caps w:val="false"/>
          <w:smallCaps w:val="false"/>
          <w:sz w:val="20"/>
        </w:rPr>
        <w:t>”), together with the related Contracts, whether now existing or hereafter acquired, and any accounts or obligations evidenced thereby, any guarantee thereof, all Collections related thereto, and all monies due (including any payments made under any guarantee or similar credit enhancement with respect to any such Take-Out Receivables) to become due or received by any Person in payment of any of the foregoing on or after the related Permitted Take-Out Date;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of the Borrower’s interest in the Financed Vehicles relating to the Take-Out Receivables (including repossessed vehicles) or in any document or writing evidencing any security interest in any such Financed Vehicle and each security interest in each such Financed Vehicle, whether now existing or hereafter acquired, including all proceeds from any sale or other disposition of such Financed Vehicles;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Custodian Files, Servicer Files and the Schedule of Take-Out Receivables, relating to the Take-Out Receivables, whether now existing or hereafter acquired, and all right, title and interest of the Borrower in and to the documents, agreements and instruments included in the such Custodian Files and Servicer Files, including rights of recourse of the Borrower against the Seller;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of the Borrower’s interest in all records, documents and writings evidencing or related to the Take-Out Receivables or the related Contracts;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of the Borrower’s interest in all rights to payment under all Insurance Policies with respect to a Financed Vehicle related to a Take-Out Receivable, including any monies collected from whatever source in connection with any default of an Obligor with respect to such Financed Vehicle and any proceeds from claims or refunds of premiums on any such Insurance Policy, whether now existing or hereafter acquired, and all proceeds thereof;</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of the Borrower’s interest in all guaranties, indemnities, warranties, insurance (and proceeds and premium refunds thereof) and other agreements or arrangements of whatever character from time to time supporting or securing payment of the Take-Out Receivables, whether pursuant to the related Contracts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965"/>
        <w:gridCol w:w="7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Exh G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of the Borrower’s interest in all rights to payment under all service contracts and other contracts and agreements associated with the Take-Out Receivables and all of the Borrower’s interest in all recourse rights against the related Dealer;</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Liens, guaranties and other encumbrances in favor of or assigned or transferred to the Borrower in and to the Take-Out Receivables, whether now existing or hereafter acquired, and the related Financed Vehicles, whether now existing or hereafter acquired;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all deposit accounts, monies, deposits, funds, accounts and instruments relating to the foregoing;</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of the Borrower’s right, title and interest in and to the Purchase Agreement, relating to the Take-Out Receivables and remedies thereunder and the assignment to the Administrative Agent of all UCC financing statements filed by the Borrower against the Seller under or in connection with the Purchase Agreement and relating to such Take-Out Receivables;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all income and proceeds of the foregoing.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appear on the following page]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965"/>
        <w:gridCol w:w="7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Exh G - 2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and the Borrower hereby direct the Custodian to deliver the Custodian Files for the Take-Out Receivables to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as of ___________, 20___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9470" w:type="dxa"/>
        <w:jc w:val="left"/>
        <w:tblInd w:w="0" w:type="dxa"/>
        <w:tblLayout w:type="fixed"/>
        <w:tblCellMar>
          <w:top w:w="0" w:type="dxa"/>
          <w:left w:w="0" w:type="dxa"/>
          <w:bottom w:w="0" w:type="dxa"/>
          <w:right w:w="0" w:type="dxa"/>
        </w:tblCellMar>
      </w:tblPr>
      <w:tblGrid>
        <w:gridCol w:w="75"/>
        <w:gridCol w:w="9395"/>
      </w:tblGrid>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Page Eleven Funding LLC</w:t>
            </w:r>
            <w:r>
              <w:rPr>
                <w:rFonts w:ascii="Times New Roman;Times;Serif" w:hAnsi="Times New Roman;Times;Serif"/>
                <w:sz w:val="20"/>
              </w:rPr>
              <w:t>, as Borrower</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By:_______________________</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pPr>
            <w:r>
              <w:rPr/>
              <w:t>     </w:t>
            </w:r>
            <w:r>
              <w:rPr>
                <w:rFonts w:ascii="Times New Roman;Times;Serif" w:hAnsi="Times New Roman;Times;Serif"/>
                <w:sz w:val="20"/>
              </w:rPr>
              <w:t>Name: ____________________</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pPr>
            <w:r>
              <w:rPr/>
              <w:t>     </w:t>
            </w:r>
            <w:r>
              <w:rPr>
                <w:rFonts w:ascii="Times New Roman;Times;Serif" w:hAnsi="Times New Roman;Times;Serif"/>
                <w:sz w:val="20"/>
              </w:rPr>
              <w:t>Title:</w:t>
            </w:r>
            <w:r>
              <w:rPr>
                <w:sz w:val="20"/>
              </w:rPr>
              <w:t>______________________</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Consumer Portfolio Services, Inc.</w:t>
            </w:r>
            <w:r>
              <w:rPr>
                <w:rFonts w:ascii="Times New Roman;Times;Serif" w:hAnsi="Times New Roman;Times;Serif"/>
                <w:sz w:val="20"/>
              </w:rPr>
              <w:t>, as Servicer</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By:_______________________</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pPr>
            <w:r>
              <w:rPr/>
              <w:t>     </w:t>
            </w:r>
            <w:r>
              <w:rPr>
                <w:rFonts w:ascii="Times New Roman;Times;Serif" w:hAnsi="Times New Roman;Times;Serif"/>
                <w:sz w:val="20"/>
              </w:rPr>
              <w:t>Name: ____________________</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pPr>
            <w:r>
              <w:rPr/>
              <w:t>    </w:t>
            </w:r>
            <w:r>
              <w:rPr>
                <w:rFonts w:ascii="Times New Roman;Times;Serif" w:hAnsi="Times New Roman;Times;Serif"/>
                <w:sz w:val="20"/>
              </w:rPr>
              <w:t>Title:______________________</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Capital One, National Association</w:t>
            </w:r>
            <w:r>
              <w:rPr>
                <w:rFonts w:ascii="Times New Roman;Times;Serif" w:hAnsi="Times New Roman;Times;Serif"/>
                <w:sz w:val="20"/>
              </w:rPr>
              <w:t>, not in its individual capacity but solely in its capacity as Administrative Agent</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By:_______________________</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pPr>
            <w:r>
              <w:rPr/>
              <w:t>     </w:t>
            </w:r>
            <w:r>
              <w:rPr>
                <w:rFonts w:ascii="Times New Roman;Times;Serif" w:hAnsi="Times New Roman;Times;Serif"/>
                <w:sz w:val="20"/>
              </w:rPr>
              <w:t>Name: ____________________</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pPr>
            <w:r>
              <w:rPr/>
              <w:t>    </w:t>
            </w:r>
            <w:r>
              <w:rPr>
                <w:sz w:val="20"/>
              </w:rPr>
              <w:t>Title:______________________</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Acknowledged:</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Computershare Trust Company, N.A.,</w:t>
            </w:r>
            <w:r>
              <w:rPr>
                <w:rFonts w:ascii="Times New Roman;Times;Serif" w:hAnsi="Times New Roman;Times;Serif"/>
                <w:sz w:val="20"/>
              </w:rPr>
              <w:t xml:space="preserve"> not in its individual capacity but solely in its capacity as Custodian</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By:_______________________</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pPr>
            <w:r>
              <w:rPr/>
              <w:t>     </w:t>
            </w:r>
            <w:r>
              <w:rPr>
                <w:rFonts w:ascii="Times New Roman;Times;Serif" w:hAnsi="Times New Roman;Times;Serif"/>
                <w:sz w:val="20"/>
              </w:rPr>
              <w:t>Name: ____________________</w:t>
            </w:r>
          </w:p>
        </w:tc>
      </w:tr>
      <w:tr>
        <w:trPr/>
        <w:tc>
          <w:tcPr>
            <w:tcW w:w="75"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both"/>
              <w:rPr/>
            </w:pPr>
            <w:r>
              <w:rPr/>
              <w:t>     </w:t>
            </w:r>
            <w:r>
              <w:rPr>
                <w:rFonts w:ascii="Times New Roman;Times;Serif" w:hAnsi="Times New Roman;Times;Serif"/>
                <w:sz w:val="20"/>
              </w:rPr>
              <w:t>Title:</w:t>
            </w:r>
            <w:r>
              <w:rPr>
                <w:sz w:val="20"/>
              </w:rPr>
              <w:t xml:space="preserve"> ____________________</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965"/>
        <w:gridCol w:w="7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Exh G - 3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1079" w:right="0" w:hanging="0"/>
        <w:jc w:val="center"/>
        <w:rPr>
          <w:caps w:val="false"/>
          <w:smallCaps w:val="false"/>
        </w:rPr>
      </w:pPr>
      <w:r>
        <w:rPr>
          <w:caps w:val="false"/>
          <w:smallCaps w:val="false"/>
        </w:rPr>
        <w:t> </w:t>
      </w:r>
    </w:p>
    <w:p>
      <w:pPr>
        <w:pStyle w:val="TextBody"/>
        <w:bidi w:val="0"/>
        <w:spacing w:before="0" w:after="0"/>
        <w:ind w:left="1079"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1</w:t>
      </w:r>
    </w:p>
    <w:p>
      <w:pPr>
        <w:pStyle w:val="TextBody"/>
        <w:bidi w:val="0"/>
        <w:spacing w:before="0" w:after="0"/>
        <w:ind w:left="1079"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78" w:right="119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TAKE-OUT DATE CERTIFICATE PURSUANT TO Section 2.14(a) OF THE LOAN AND SECURITY AGREEMENT</w:t>
      </w:r>
    </w:p>
    <w:p>
      <w:pPr>
        <w:pStyle w:val="TextBody"/>
        <w:bidi w:val="0"/>
        <w:spacing w:before="0" w:after="0"/>
        <w:ind w:left="2278" w:right="1198"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 as the servicer (the “</w:t>
      </w:r>
      <w:r>
        <w:rPr>
          <w:rFonts w:ascii="Times New Roman;Times;Serif" w:hAnsi="Times New Roman;Times;Serif"/>
          <w:b w:val="false"/>
          <w:i/>
          <w:caps w:val="false"/>
          <w:smallCaps w:val="false"/>
          <w:sz w:val="20"/>
          <w:u w:val="single"/>
        </w:rPr>
        <w:t>Servicer</w:t>
      </w:r>
      <w:r>
        <w:rPr>
          <w:rFonts w:ascii="Times New Roman;Times;Serif" w:hAnsi="Times New Roman;Times;Serif"/>
          <w:b w:val="false"/>
          <w:i w:val="false"/>
          <w:caps w:val="false"/>
          <w:smallCaps w:val="false"/>
          <w:sz w:val="20"/>
        </w:rPr>
        <w:t>”), delivers this certificate pursuant to Section 2.14(a) of the Loan and Security Agreement, dated as of October 17, 2025, (as amended, restated, supplemented or otherwise modified from time to time, the “</w:t>
      </w:r>
      <w:r>
        <w:rPr>
          <w:rFonts w:ascii="Times New Roman;Times;Serif" w:hAnsi="Times New Roman;Times;Serif"/>
          <w:b w:val="false"/>
          <w:i/>
          <w:caps w:val="false"/>
          <w:smallCaps w:val="false"/>
          <w:sz w:val="20"/>
          <w:u w:val="single"/>
        </w:rPr>
        <w:t>Loan and Security Agreement</w:t>
      </w:r>
      <w:r>
        <w:rPr>
          <w:rFonts w:ascii="Times New Roman;Times;Serif" w:hAnsi="Times New Roman;Times;Serif"/>
          <w:b w:val="false"/>
          <w:i w:val="false"/>
          <w:caps w:val="false"/>
          <w:smallCaps w:val="false"/>
          <w:sz w:val="20"/>
        </w:rPr>
        <w:t>”), among Page Eleven Funding LLC, as borrower (the “</w:t>
      </w:r>
      <w:r>
        <w:rPr>
          <w:rFonts w:ascii="Times New Roman;Times;Serif" w:hAnsi="Times New Roman;Times;Serif"/>
          <w:b w:val="false"/>
          <w:i/>
          <w:caps w:val="false"/>
          <w:smallCaps w:val="false"/>
          <w:sz w:val="20"/>
          <w:u w:val="single"/>
        </w:rPr>
        <w:t>Borrower</w:t>
      </w:r>
      <w:r>
        <w:rPr>
          <w:rFonts w:ascii="Times New Roman;Times;Serif" w:hAnsi="Times New Roman;Times;Serif"/>
          <w:b w:val="false"/>
          <w:i w:val="false"/>
          <w:caps w:val="false"/>
          <w:smallCaps w:val="false"/>
          <w:sz w:val="20"/>
        </w:rPr>
        <w:t>”), Consumer Portfolio Services, Inc., as servicer (the “</w:t>
      </w:r>
      <w:r>
        <w:rPr>
          <w:rFonts w:ascii="Times New Roman;Times;Serif" w:hAnsi="Times New Roman;Times;Serif"/>
          <w:b w:val="false"/>
          <w:i/>
          <w:caps w:val="false"/>
          <w:smallCaps w:val="false"/>
          <w:sz w:val="20"/>
          <w:u w:val="single"/>
        </w:rPr>
        <w:t>Servicer</w:t>
      </w:r>
      <w:r>
        <w:rPr>
          <w:rFonts w:ascii="Times New Roman;Times;Serif" w:hAnsi="Times New Roman;Times;Serif"/>
          <w:b w:val="false"/>
          <w:i w:val="false"/>
          <w:caps w:val="false"/>
          <w:smallCaps w:val="false"/>
          <w:sz w:val="20"/>
        </w:rPr>
        <w:t>”) and as seller (the “</w:t>
      </w:r>
      <w:r>
        <w:rPr>
          <w:rFonts w:ascii="Times New Roman;Times;Serif" w:hAnsi="Times New Roman;Times;Serif"/>
          <w:b w:val="false"/>
          <w:i/>
          <w:caps w:val="false"/>
          <w:smallCaps w:val="false"/>
          <w:sz w:val="20"/>
          <w:u w:val="single"/>
        </w:rPr>
        <w:t>Seller</w:t>
      </w:r>
      <w:r>
        <w:rPr>
          <w:rFonts w:ascii="Times New Roman;Times;Serif" w:hAnsi="Times New Roman;Times;Serif"/>
          <w:b w:val="false"/>
          <w:i w:val="false"/>
          <w:caps w:val="false"/>
          <w:smallCaps w:val="false"/>
          <w:sz w:val="20"/>
        </w:rPr>
        <w:t>”), Computershare Trust Company, N.A., as Custodian (the “</w:t>
      </w:r>
      <w:r>
        <w:rPr>
          <w:rFonts w:ascii="Times New Roman;Times;Serif" w:hAnsi="Times New Roman;Times;Serif"/>
          <w:b w:val="false"/>
          <w:i/>
          <w:caps w:val="false"/>
          <w:smallCaps w:val="false"/>
          <w:sz w:val="20"/>
          <w:u w:val="single"/>
        </w:rPr>
        <w:t>Custodian</w:t>
      </w:r>
      <w:r>
        <w:rPr>
          <w:rFonts w:ascii="Times New Roman;Times;Serif" w:hAnsi="Times New Roman;Times;Serif"/>
          <w:b w:val="false"/>
          <w:i w:val="false"/>
          <w:caps w:val="false"/>
          <w:smallCaps w:val="false"/>
          <w:sz w:val="20"/>
        </w:rPr>
        <w:t>”), as Paying Agent (“</w:t>
      </w:r>
      <w:r>
        <w:rPr>
          <w:rFonts w:ascii="Times New Roman;Times;Serif" w:hAnsi="Times New Roman;Times;Serif"/>
          <w:b w:val="false"/>
          <w:i/>
          <w:caps w:val="false"/>
          <w:smallCaps w:val="false"/>
          <w:sz w:val="20"/>
          <w:u w:val="single"/>
        </w:rPr>
        <w:t>Paying Agent</w:t>
      </w:r>
      <w:r>
        <w:rPr>
          <w:rFonts w:ascii="Times New Roman;Times;Serif" w:hAnsi="Times New Roman;Times;Serif"/>
          <w:b w:val="false"/>
          <w:i w:val="false"/>
          <w:caps w:val="false"/>
          <w:smallCaps w:val="false"/>
          <w:sz w:val="20"/>
        </w:rPr>
        <w:t>”) and as backup servicer (“</w:t>
      </w:r>
      <w:r>
        <w:rPr>
          <w:rFonts w:ascii="Times New Roman;Times;Serif" w:hAnsi="Times New Roman;Times;Serif"/>
          <w:b w:val="false"/>
          <w:i/>
          <w:caps w:val="false"/>
          <w:smallCaps w:val="false"/>
          <w:sz w:val="20"/>
          <w:u w:val="single"/>
        </w:rPr>
        <w:t>Backup Servicer</w:t>
      </w:r>
      <w:r>
        <w:rPr>
          <w:rFonts w:ascii="Times New Roman;Times;Serif" w:hAnsi="Times New Roman;Times;Serif"/>
          <w:b w:val="false"/>
          <w:i w:val="false"/>
          <w:caps w:val="false"/>
          <w:smallCaps w:val="false"/>
          <w:sz w:val="20"/>
        </w:rPr>
        <w:t>”), Capital One, National Association, as administrative agent (in such capacity, the “</w:t>
      </w:r>
      <w:r>
        <w:rPr>
          <w:rFonts w:ascii="Times New Roman;Times;Serif" w:hAnsi="Times New Roman;Times;Serif"/>
          <w:b w:val="false"/>
          <w:i/>
          <w:caps w:val="false"/>
          <w:smallCaps w:val="false"/>
          <w:sz w:val="20"/>
          <w:u w:val="single"/>
        </w:rPr>
        <w:t>Administrative Agent</w:t>
      </w:r>
      <w:r>
        <w:rPr>
          <w:rFonts w:ascii="Times New Roman;Times;Serif" w:hAnsi="Times New Roman;Times;Serif"/>
          <w:b w:val="false"/>
          <w:i w:val="false"/>
          <w:caps w:val="false"/>
          <w:smallCaps w:val="false"/>
          <w:sz w:val="20"/>
        </w:rPr>
        <w:t>”), and a bank and a lender group agent, and hereby certifies, as of the date hereof,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has sufficient funds on the related Permitted Take-Out Date to effect the Permitted Take-Out in accordance with the Loan and Security Agreement (taking into account, to the extent necessary, the proceeds of sales of the Collateral in the Permitted Take-Out);</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after giving effect of the Permitted Take-Out, the release of by the Administrative Agent of the related Receivables on the Permitted Take-Out Date and the transfer by the Borrower of the related Receivables on the Permitted Take-Out Date, no Potential Termination Event, Potential Amortization Event, Termination Event or Amortization Event has occurred and is continuing; and</w:t>
      </w:r>
    </w:p>
    <w:p>
      <w:pPr>
        <w:pStyle w:val="TextBody"/>
        <w:bidi w:val="0"/>
        <w:spacing w:before="0" w:after="0"/>
        <w:ind w:left="800" w:right="0" w:firstLine="800"/>
        <w:jc w:val="both"/>
        <w:rPr>
          <w:caps w:val="false"/>
          <w:smallCaps w:val="false"/>
        </w:rPr>
      </w:pPr>
      <w:r>
        <w:rPr>
          <w:caps w:val="false"/>
          <w:smallCaps w:val="false"/>
        </w:rPr>
        <w:t> </w:t>
      </w:r>
    </w:p>
    <w:p>
      <w:pPr>
        <w:pStyle w:val="TextBody"/>
        <w:bidi w:val="0"/>
        <w:spacing w:before="0" w:after="0"/>
        <w:ind w:left="80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has delivered to the Administrative Agent a list specifying all Contracts under which the Receivables to be released pursuant to such Permitted Take-Out arose. Capitalized terms used herein that are not otherwise defined shall have the meanings ascribed to them in the Loan and Security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appears on the following page]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965"/>
        <w:gridCol w:w="7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Exh G - 4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Servicer has caused this certificate to be executed on its behalf this _____ day of ____________, 20___.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75"/>
        <w:gridCol w:w="3005"/>
      </w:tblGrid>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Consumer Portfolio Services, Inc.</w:t>
            </w:r>
          </w:p>
        </w:tc>
      </w:tr>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By:_______________________</w:t>
            </w:r>
          </w:p>
        </w:tc>
      </w:tr>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both"/>
              <w:rPr/>
            </w:pPr>
            <w:r>
              <w:rPr/>
              <w:t>     </w:t>
            </w:r>
            <w:r>
              <w:rPr>
                <w:rFonts w:ascii="Times New Roman;Times;Serif" w:hAnsi="Times New Roman;Times;Serif"/>
                <w:sz w:val="20"/>
              </w:rPr>
              <w:t>Name: ____________________</w:t>
            </w:r>
          </w:p>
        </w:tc>
      </w:tr>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both"/>
              <w:rPr/>
            </w:pPr>
            <w:r>
              <w:rPr/>
              <w:t>     </w:t>
            </w:r>
            <w:r>
              <w:rPr>
                <w:rFonts w:ascii="Times New Roman;Times;Serif" w:hAnsi="Times New Roman;Times;Serif"/>
                <w:sz w:val="20"/>
              </w:rPr>
              <w:t>Title:</w:t>
            </w:r>
            <w:r>
              <w:rPr>
                <w:sz w:val="20"/>
              </w:rPr>
              <w:t xml:space="preserve"> ____________________</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965"/>
        <w:gridCol w:w="7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Exh G - 5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H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965"/>
        <w:gridCol w:w="7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Exh H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MONTHLY SERVICER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10" w:type="dxa"/>
        <w:jc w:val="left"/>
        <w:tblInd w:w="0" w:type="dxa"/>
        <w:tblLayout w:type="fixed"/>
        <w:tblCellMar>
          <w:top w:w="0" w:type="dxa"/>
          <w:left w:w="0" w:type="dxa"/>
          <w:bottom w:w="0" w:type="dxa"/>
          <w:right w:w="0" w:type="dxa"/>
        </w:tblCellMar>
      </w:tblPr>
      <w:tblGrid>
        <w:gridCol w:w="75"/>
        <w:gridCol w:w="860"/>
        <w:gridCol w:w="75"/>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Exh I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J</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REQUEST FOR RELEASE OF CUSTODIAN FILE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5" w:type="dxa"/>
        <w:jc w:val="left"/>
        <w:tblInd w:w="0" w:type="dxa"/>
        <w:tblLayout w:type="fixed"/>
        <w:tblCellMar>
          <w:top w:w="0" w:type="dxa"/>
          <w:left w:w="0" w:type="dxa"/>
          <w:bottom w:w="0" w:type="dxa"/>
          <w:right w:w="0" w:type="dxa"/>
        </w:tblCellMar>
      </w:tblPr>
      <w:tblGrid>
        <w:gridCol w:w="75"/>
        <w:gridCol w:w="875"/>
        <w:gridCol w:w="75"/>
      </w:tblGrid>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Exh J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RECEIVABLE RECEIPT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965"/>
        <w:gridCol w:w="7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Exh K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Receivable Receipt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965"/>
        <w:gridCol w:w="7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Exh K - 2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Receivable Receipt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75"/>
        <w:gridCol w:w="965"/>
        <w:gridCol w:w="7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Exh K - 3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CUSTODIAN FEE LETTER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to come from Custodian when available</w:t>
      </w: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85" w:type="dxa"/>
        <w:jc w:val="left"/>
        <w:tblInd w:w="0" w:type="dxa"/>
        <w:tblLayout w:type="fixed"/>
        <w:tblCellMar>
          <w:top w:w="0" w:type="dxa"/>
          <w:left w:w="0" w:type="dxa"/>
          <w:bottom w:w="0" w:type="dxa"/>
          <w:right w:w="0" w:type="dxa"/>
        </w:tblCellMar>
      </w:tblPr>
      <w:tblGrid>
        <w:gridCol w:w="75"/>
        <w:gridCol w:w="935"/>
        <w:gridCol w:w="75"/>
      </w:tblGrid>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Exh L - 1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79" w:name="cpss_ex3101.htm"/>
      <w:bookmarkStart w:id="880" w:name="kscpss_ex3101"/>
      <w:bookmarkEnd w:id="879"/>
      <w:bookmarkEnd w:id="880"/>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Charles E. Bradley, Jr.,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quarterly period ended June 30, 2026 of Consumer Portfolio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720" w:right="0" w:hanging="0"/>
        <w:jc w:val="both"/>
        <w:rPr>
          <w:caps w:val="false"/>
          <w:smallCaps w:val="false"/>
        </w:rPr>
      </w:pPr>
      <w:r>
        <w:rPr>
          <w:caps w:val="false"/>
          <w:smallCaps w:val="false"/>
        </w:rPr>
        <w:t> </w:t>
      </w:r>
    </w:p>
    <w:tbl>
      <w:tblPr>
        <w:tblW w:w="2810" w:type="dxa"/>
        <w:jc w:val="left"/>
        <w:tblInd w:w="0" w:type="dxa"/>
        <w:tblLayout w:type="fixed"/>
        <w:tblCellMar>
          <w:top w:w="0" w:type="dxa"/>
          <w:left w:w="0" w:type="dxa"/>
          <w:bottom w:w="0" w:type="dxa"/>
          <w:right w:w="0" w:type="dxa"/>
        </w:tblCellMar>
      </w:tblPr>
      <w:tblGrid>
        <w:gridCol w:w="2675"/>
        <w:gridCol w:w="60"/>
        <w:gridCol w:w="75"/>
      </w:tblGrid>
      <w:tr>
        <w:trPr/>
        <w:tc>
          <w:tcPr>
            <w:tcW w:w="2675" w:type="dxa"/>
            <w:tcBorders/>
            <w:vAlign w:val="center"/>
          </w:tcPr>
          <w:p>
            <w:pPr>
              <w:pStyle w:val="TableContents"/>
              <w:bidi w:val="0"/>
              <w:spacing w:before="0" w:after="283"/>
              <w:jc w:val="both"/>
              <w:rPr>
                <w:sz w:val="20"/>
              </w:rPr>
            </w:pPr>
            <w:r>
              <w:rPr>
                <w:sz w:val="20"/>
              </w:rPr>
              <w:t>Date: August 07, 2026</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67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 CHARLES E. BRADLEY, JR.</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675" w:type="dxa"/>
            <w:tcBorders/>
            <w:vAlign w:val="center"/>
          </w:tcPr>
          <w:p>
            <w:pPr>
              <w:pStyle w:val="TableContents"/>
              <w:bidi w:val="0"/>
              <w:jc w:val="left"/>
              <w:rPr/>
            </w:pPr>
            <w:r>
              <w:rPr/>
              <w:t>Charles E. Bradley, Jr.</w:t>
            </w:r>
          </w:p>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81" w:name="cpss_ex3102.htm"/>
      <w:bookmarkStart w:id="882" w:name="kscpss_ex3102"/>
      <w:bookmarkEnd w:id="881"/>
      <w:bookmarkEnd w:id="882"/>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Denesh Bharwani,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quarterly period ended June 30, 2026 of Consumer Portfolio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720" w:right="0" w:hanging="0"/>
        <w:jc w:val="both"/>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4055"/>
        <w:gridCol w:w="60"/>
        <w:gridCol w:w="75"/>
      </w:tblGrid>
      <w:tr>
        <w:trPr/>
        <w:tc>
          <w:tcPr>
            <w:tcW w:w="4055" w:type="dxa"/>
            <w:tcBorders/>
            <w:vAlign w:val="center"/>
          </w:tcPr>
          <w:p>
            <w:pPr>
              <w:pStyle w:val="TableContents"/>
              <w:bidi w:val="0"/>
              <w:spacing w:before="0" w:after="283"/>
              <w:jc w:val="both"/>
              <w:rPr>
                <w:sz w:val="20"/>
              </w:rPr>
            </w:pPr>
            <w:r>
              <w:rPr>
                <w:sz w:val="20"/>
              </w:rPr>
              <w:t>Date: August 07, 2026</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055"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  DENESH BHARWANI</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055" w:type="dxa"/>
            <w:tcBorders/>
            <w:vAlign w:val="center"/>
          </w:tcPr>
          <w:p>
            <w:pPr>
              <w:pStyle w:val="TableContents"/>
              <w:bidi w:val="0"/>
              <w:spacing w:before="0" w:after="283"/>
              <w:jc w:val="left"/>
              <w:rPr/>
            </w:pPr>
            <w:r>
              <w:rPr/>
              <w:t>Denesh Bharwani, Chief Financial Officer</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83" w:name="cpss_ex3200.htm"/>
      <w:bookmarkStart w:id="884" w:name="kscpss_ex3200"/>
      <w:bookmarkEnd w:id="883"/>
      <w:bookmarkEnd w:id="884"/>
      <w:r>
        <w:rPr>
          <w:rFonts w:ascii="Times New Roman;Times;Serif" w:hAnsi="Times New Roman;Times;Serif"/>
          <w:b/>
          <w:i w:val="false"/>
          <w:caps w:val="false"/>
          <w:smallCaps w:val="false"/>
          <w:sz w:val="20"/>
        </w:rPr>
        <w:t xml:space="preserve">Exhibit 32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Certification Pursuant To</w:t>
        <w:br/>
        <w:t>18 U.S.C. Section 1350,</w:t>
        <w:br/>
        <w:t>As Adopted Pursuant To</w:t>
        <w:b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Consumer Portfolio Services, Inc. (the “Company”) for the quarterly period ended June 30, 2026,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360"/>
        <w:jc w:val="left"/>
        <w:rPr>
          <w:caps w:val="false"/>
          <w:smallCaps w:val="false"/>
        </w:rPr>
      </w:pPr>
      <w:r>
        <w:rPr>
          <w:caps w:val="false"/>
          <w:smallCaps w:val="false"/>
        </w:rPr>
        <w:t> </w:t>
      </w:r>
    </w:p>
    <w:tbl>
      <w:tblPr>
        <w:tblW w:w="2855" w:type="dxa"/>
        <w:jc w:val="left"/>
        <w:tblInd w:w="0" w:type="dxa"/>
        <w:tblLayout w:type="fixed"/>
        <w:tblCellMar>
          <w:top w:w="0" w:type="dxa"/>
          <w:left w:w="0" w:type="dxa"/>
          <w:bottom w:w="28" w:type="dxa"/>
          <w:right w:w="0" w:type="dxa"/>
        </w:tblCellMar>
      </w:tblPr>
      <w:tblGrid>
        <w:gridCol w:w="2720"/>
        <w:gridCol w:w="60"/>
        <w:gridCol w:w="75"/>
      </w:tblGrid>
      <w:tr>
        <w:trPr/>
        <w:tc>
          <w:tcPr>
            <w:tcW w:w="272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07,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CHARLES E. BRADLEY, JR.</w:t>
            </w:r>
          </w:p>
        </w:tc>
        <w:tc>
          <w:tcPr>
            <w:tcW w:w="6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720" w:type="dxa"/>
            <w:tcBorders/>
            <w:tcMar>
              <w:bottom w:w="0" w:type="dxa"/>
            </w:tcMar>
            <w:vAlign w:val="center"/>
          </w:tcPr>
          <w:p>
            <w:pPr>
              <w:pStyle w:val="TableContents"/>
              <w:bidi w:val="0"/>
              <w:spacing w:before="0" w:after="283"/>
              <w:jc w:val="left"/>
              <w:rPr/>
            </w:pPr>
            <w:r>
              <w:rPr/>
              <w:t>Charles E. Bradley, Jr.</w:t>
            </w:r>
          </w:p>
        </w:tc>
        <w:tc>
          <w:tcPr>
            <w:tcW w:w="6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720" w:type="dxa"/>
            <w:tcBorders/>
            <w:tcMar>
              <w:bottom w:w="0" w:type="dxa"/>
            </w:tcMar>
            <w:vAlign w:val="center"/>
          </w:tcPr>
          <w:p>
            <w:pPr>
              <w:pStyle w:val="TableContents"/>
              <w:bidi w:val="0"/>
              <w:spacing w:before="0" w:after="283"/>
              <w:jc w:val="left"/>
              <w:rPr/>
            </w:pPr>
            <w:r>
              <w:rPr/>
              <w:t>Chief Executive Officer</w:t>
            </w:r>
          </w:p>
        </w:tc>
        <w:tc>
          <w:tcPr>
            <w:tcW w:w="6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72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DENESH BHARWANI</w:t>
            </w:r>
          </w:p>
        </w:tc>
        <w:tc>
          <w:tcPr>
            <w:tcW w:w="6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720" w:type="dxa"/>
            <w:tcBorders/>
            <w:tcMar>
              <w:bottom w:w="0" w:type="dxa"/>
            </w:tcMar>
            <w:vAlign w:val="center"/>
          </w:tcPr>
          <w:p>
            <w:pPr>
              <w:pStyle w:val="TableContents"/>
              <w:bidi w:val="0"/>
              <w:spacing w:before="0" w:after="283"/>
              <w:jc w:val="left"/>
              <w:rPr/>
            </w:pPr>
            <w:r>
              <w:rPr/>
              <w:t>Denesh Bharwani</w:t>
            </w:r>
          </w:p>
        </w:tc>
        <w:tc>
          <w:tcPr>
            <w:tcW w:w="6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720" w:type="dxa"/>
            <w:tcBorders/>
            <w:tcMar>
              <w:bottom w:w="0" w:type="dxa"/>
            </w:tcMar>
            <w:vAlign w:val="center"/>
          </w:tcPr>
          <w:p>
            <w:pPr>
              <w:pStyle w:val="TableContents"/>
              <w:bidi w:val="0"/>
              <w:spacing w:before="0" w:after="283"/>
              <w:jc w:val="left"/>
              <w:rPr/>
            </w:pPr>
            <w:r>
              <w:rPr/>
              <w:t>Chief Financial Officer</w:t>
            </w:r>
          </w:p>
        </w:tc>
        <w:tc>
          <w:tcPr>
            <w:tcW w:w="6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117485</Words>
  <Characters>629446</Characters>
  <CharactersWithSpaces>759282</CharactersWithSpaces>
  <Paragraphs>15869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