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hyperlink w:anchor="page2">
        <w:r>
          <w:rPr>
            <w:rFonts w:ascii="Arial" w:cs="Arial" w:eastAsia="Arial" w:hAnsi="Arial"/>
            <w:sz w:val="13"/>
            <w:szCs w:val="13"/>
            <w:u w:val="single" w:color="auto"/>
            <w:color w:val="0000EE"/>
          </w:rPr>
          <w:t>Table of Contents</w:t>
        </w:r>
      </w:hyperlink>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740" w:right="980" w:hanging="2748"/>
        <w:spacing w:after="0" w:line="501" w:lineRule="auto"/>
        <w:tabs>
          <w:tab w:leader="none" w:pos="1283"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ind w:left="44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1-11416</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CONSUMER PORTFOLIO SERVICES, INC.</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96" w:lineRule="exact"/>
        <w:rPr>
          <w:sz w:val="24"/>
          <w:szCs w:val="24"/>
          <w:color w:val="auto"/>
        </w:rPr>
      </w:pPr>
    </w:p>
    <w:tbl>
      <w:tblPr>
        <w:tblLayout w:type="fixed"/>
        <w:tblInd w:w="2180" w:type="dxa"/>
        <w:tblCellMar>
          <w:top w:w="0" w:type="dxa"/>
          <w:left w:w="0" w:type="dxa"/>
          <w:bottom w:w="0" w:type="dxa"/>
          <w:right w:w="0" w:type="dxa"/>
        </w:tblCellMar>
      </w:tblPr>
      <w:tr>
        <w:trPr>
          <w:trHeight w:val="212"/>
        </w:trPr>
        <w:tc>
          <w:tcPr>
            <w:tcW w:w="6300" w:type="dxa"/>
            <w:vAlign w:val="bottom"/>
          </w:tcPr>
          <w:p>
            <w:pPr>
              <w:jc w:val="center"/>
              <w:ind w:right="2796"/>
              <w:spacing w:after="0"/>
              <w:rPr>
                <w:sz w:val="20"/>
                <w:szCs w:val="20"/>
                <w:color w:val="auto"/>
              </w:rPr>
            </w:pPr>
            <w:r>
              <w:rPr>
                <w:rFonts w:ascii="Arial" w:cs="Arial" w:eastAsia="Arial" w:hAnsi="Arial"/>
                <w:sz w:val="18"/>
                <w:szCs w:val="18"/>
                <w:color w:val="auto"/>
                <w:w w:val="97"/>
              </w:rPr>
              <w:t>California</w:t>
            </w:r>
          </w:p>
        </w:tc>
        <w:tc>
          <w:tcPr>
            <w:tcW w:w="2100" w:type="dxa"/>
            <w:vAlign w:val="bottom"/>
          </w:tcPr>
          <w:p>
            <w:pPr>
              <w:jc w:val="right"/>
              <w:ind w:right="459"/>
              <w:spacing w:after="0"/>
              <w:rPr>
                <w:sz w:val="20"/>
                <w:szCs w:val="20"/>
                <w:color w:val="auto"/>
              </w:rPr>
            </w:pPr>
            <w:r>
              <w:rPr>
                <w:rFonts w:ascii="Arial" w:cs="Arial" w:eastAsia="Arial" w:hAnsi="Arial"/>
                <w:sz w:val="18"/>
                <w:szCs w:val="18"/>
                <w:color w:val="auto"/>
              </w:rPr>
              <w:t>33-0459135</w:t>
            </w:r>
          </w:p>
        </w:tc>
      </w:tr>
      <w:tr>
        <w:trPr>
          <w:trHeight w:val="182"/>
        </w:trPr>
        <w:tc>
          <w:tcPr>
            <w:tcW w:w="6300" w:type="dxa"/>
            <w:vAlign w:val="bottom"/>
          </w:tcPr>
          <w:p>
            <w:pPr>
              <w:jc w:val="center"/>
              <w:ind w:right="2776"/>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100" w:type="dxa"/>
            <w:vAlign w:val="bottom"/>
          </w:tcPr>
          <w:p>
            <w:pPr>
              <w:jc w:val="center"/>
              <w:ind w:left="39"/>
              <w:spacing w:after="0"/>
              <w:rPr>
                <w:sz w:val="20"/>
                <w:szCs w:val="20"/>
                <w:color w:val="auto"/>
              </w:rPr>
            </w:pPr>
            <w:r>
              <w:rPr>
                <w:rFonts w:ascii="Arial" w:cs="Arial" w:eastAsia="Arial" w:hAnsi="Arial"/>
                <w:sz w:val="14"/>
                <w:szCs w:val="14"/>
                <w:color w:val="auto"/>
                <w:w w:val="97"/>
              </w:rPr>
              <w:t>(IRS Employer Identification No.)</w:t>
            </w:r>
          </w:p>
        </w:tc>
      </w:tr>
      <w:tr>
        <w:trPr>
          <w:trHeight w:val="403"/>
        </w:trPr>
        <w:tc>
          <w:tcPr>
            <w:tcW w:w="6300" w:type="dxa"/>
            <w:vAlign w:val="bottom"/>
          </w:tcPr>
          <w:p>
            <w:pPr>
              <w:jc w:val="center"/>
              <w:ind w:right="2796"/>
              <w:spacing w:after="0"/>
              <w:rPr>
                <w:sz w:val="20"/>
                <w:szCs w:val="20"/>
                <w:color w:val="auto"/>
              </w:rPr>
            </w:pPr>
            <w:r>
              <w:rPr>
                <w:rFonts w:ascii="Arial" w:cs="Arial" w:eastAsia="Arial" w:hAnsi="Arial"/>
                <w:sz w:val="18"/>
                <w:szCs w:val="18"/>
                <w:color w:val="auto"/>
                <w:w w:val="89"/>
              </w:rPr>
              <w:t>3800 Howard Hughes Parkway, Suite 1400,</w:t>
            </w: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89169</w:t>
            </w:r>
          </w:p>
        </w:tc>
      </w:tr>
      <w:tr>
        <w:trPr>
          <w:trHeight w:val="212"/>
        </w:trPr>
        <w:tc>
          <w:tcPr>
            <w:tcW w:w="6300" w:type="dxa"/>
            <w:vAlign w:val="bottom"/>
          </w:tcPr>
          <w:p>
            <w:pPr>
              <w:jc w:val="center"/>
              <w:ind w:right="2796"/>
              <w:spacing w:after="0"/>
              <w:rPr>
                <w:sz w:val="20"/>
                <w:szCs w:val="20"/>
                <w:color w:val="auto"/>
              </w:rPr>
            </w:pPr>
            <w:r>
              <w:rPr>
                <w:rFonts w:ascii="Arial" w:cs="Arial" w:eastAsia="Arial" w:hAnsi="Arial"/>
                <w:sz w:val="18"/>
                <w:szCs w:val="18"/>
                <w:color w:val="auto"/>
                <w:w w:val="87"/>
              </w:rPr>
              <w:t>Las Vegas, Nevada</w:t>
            </w:r>
          </w:p>
        </w:tc>
        <w:tc>
          <w:tcPr>
            <w:tcW w:w="2100" w:type="dxa"/>
            <w:vAlign w:val="bottom"/>
          </w:tcPr>
          <w:p>
            <w:pPr>
              <w:spacing w:after="0"/>
              <w:rPr>
                <w:sz w:val="18"/>
                <w:szCs w:val="18"/>
                <w:color w:val="auto"/>
              </w:rPr>
            </w:pPr>
          </w:p>
        </w:tc>
      </w:tr>
      <w:tr>
        <w:trPr>
          <w:trHeight w:val="182"/>
        </w:trPr>
        <w:tc>
          <w:tcPr>
            <w:tcW w:w="6300" w:type="dxa"/>
            <w:vAlign w:val="bottom"/>
          </w:tcPr>
          <w:p>
            <w:pPr>
              <w:jc w:val="center"/>
              <w:ind w:right="2796"/>
              <w:spacing w:after="0"/>
              <w:rPr>
                <w:sz w:val="20"/>
                <w:szCs w:val="20"/>
                <w:color w:val="auto"/>
              </w:rPr>
            </w:pPr>
            <w:r>
              <w:rPr>
                <w:rFonts w:ascii="Arial" w:cs="Arial" w:eastAsia="Arial" w:hAnsi="Arial"/>
                <w:sz w:val="14"/>
                <w:szCs w:val="14"/>
                <w:color w:val="auto"/>
                <w:w w:val="95"/>
              </w:rPr>
              <w:t>(Address of principal executive offices)</w:t>
            </w:r>
          </w:p>
        </w:tc>
        <w:tc>
          <w:tcPr>
            <w:tcW w:w="2100" w:type="dxa"/>
            <w:vAlign w:val="bottom"/>
          </w:tcPr>
          <w:p>
            <w:pPr>
              <w:jc w:val="center"/>
              <w:ind w:left="59"/>
              <w:spacing w:after="0"/>
              <w:rPr>
                <w:sz w:val="20"/>
                <w:szCs w:val="20"/>
                <w:color w:val="auto"/>
              </w:rPr>
            </w:pPr>
            <w:r>
              <w:rPr>
                <w:rFonts w:ascii="Arial" w:cs="Arial" w:eastAsia="Arial" w:hAnsi="Arial"/>
                <w:sz w:val="14"/>
                <w:szCs w:val="14"/>
                <w:color w:val="auto"/>
                <w:w w:val="96"/>
              </w:rPr>
              <w:t>(Zip Code)</w:t>
            </w:r>
          </w:p>
        </w:tc>
      </w:tr>
      <w:tr>
        <w:trPr>
          <w:trHeight w:val="417"/>
        </w:trPr>
        <w:tc>
          <w:tcPr>
            <w:tcW w:w="6300" w:type="dxa"/>
            <w:vAlign w:val="bottom"/>
          </w:tcPr>
          <w:p>
            <w:pPr>
              <w:ind w:left="900"/>
              <w:spacing w:after="0"/>
              <w:rPr>
                <w:sz w:val="20"/>
                <w:szCs w:val="20"/>
                <w:color w:val="auto"/>
              </w:rPr>
            </w:pPr>
            <w:r>
              <w:rPr>
                <w:rFonts w:ascii="Arial" w:cs="Arial" w:eastAsia="Arial" w:hAnsi="Arial"/>
                <w:sz w:val="18"/>
                <w:szCs w:val="18"/>
                <w:b w:val="1"/>
                <w:bCs w:val="1"/>
                <w:color w:val="auto"/>
                <w:w w:val="92"/>
              </w:rPr>
              <w:t>Registrant’s telephone number, including Area Code: (949) 753-6800</w:t>
            </w:r>
          </w:p>
        </w:tc>
        <w:tc>
          <w:tcPr>
            <w:tcW w:w="2100" w:type="dxa"/>
            <w:vAlign w:val="bottom"/>
          </w:tcPr>
          <w:p>
            <w:pPr>
              <w:spacing w:after="0"/>
              <w:rPr>
                <w:sz w:val="24"/>
                <w:szCs w:val="24"/>
                <w:color w:val="auto"/>
              </w:rPr>
            </w:pP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Yes [X] No [  ]</w:t>
      </w:r>
    </w:p>
    <w:p>
      <w:pPr>
        <w:spacing w:after="0" w:line="225"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Yes [X] No [ ]</w:t>
      </w:r>
    </w:p>
    <w:p>
      <w:pPr>
        <w:spacing w:after="0" w:line="12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355"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 ]</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sectPr>
          <w:pgSz w:w="11900" w:h="16838" w:orient="portrait"/>
          <w:cols w:equalWidth="0" w:num="3">
            <w:col w:w="5000" w:space="720"/>
            <w:col w:w="2180" w:space="80"/>
            <w:col w:w="3440"/>
          </w:cols>
          <w:pgMar w:left="240" w:top="355" w:right="239" w:bottom="1440" w:gutter="0" w:footer="0" w:header="0"/>
          <w:type w:val="continuous"/>
        </w:sectPr>
      </w:pPr>
    </w:p>
    <w:p>
      <w:pPr>
        <w:spacing w:after="0"/>
        <w:rPr>
          <w:sz w:val="20"/>
          <w:szCs w:val="20"/>
          <w:color w:val="auto"/>
        </w:rPr>
      </w:pPr>
      <w:r>
        <w:rPr>
          <w:rFonts w:ascii="Arial" w:cs="Arial" w:eastAsia="Arial" w:hAnsi="Arial"/>
          <w:sz w:val="16"/>
          <w:szCs w:val="16"/>
          <w:color w:val="auto"/>
        </w:rPr>
        <w:t>Emerging Growth Company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2">
            <w:col w:w="2160" w:space="140"/>
            <w:col w:w="9120"/>
          </w:cols>
          <w:pgMar w:left="240" w:top="355"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As of October 31, 2018 the registrant had 22,589,549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580" w:type="dxa"/>
            <w:vAlign w:val="bottom"/>
            <w:gridSpan w:val="13"/>
          </w:tcPr>
          <w:p>
            <w:pPr>
              <w:jc w:val="center"/>
              <w:ind w:right="2220"/>
              <w:spacing w:after="0"/>
              <w:rPr>
                <w:sz w:val="20"/>
                <w:szCs w:val="20"/>
                <w:color w:val="auto"/>
              </w:rPr>
            </w:pPr>
            <w:r>
              <w:rPr>
                <w:rFonts w:ascii="Arial" w:cs="Arial" w:eastAsia="Arial" w:hAnsi="Arial"/>
                <w:sz w:val="18"/>
                <w:szCs w:val="18"/>
                <w:b w:val="1"/>
                <w:bCs w:val="1"/>
                <w:color w:val="auto"/>
                <w:w w:val="99"/>
              </w:rPr>
              <w:t>CONSUMER PORTFOLIO SERVICES, INC. AND SUBSIDIARIES</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80" w:type="dxa"/>
            <w:vAlign w:val="bottom"/>
            <w:gridSpan w:val="10"/>
          </w:tcPr>
          <w:p>
            <w:pPr>
              <w:jc w:val="center"/>
              <w:ind w:right="3540"/>
              <w:spacing w:after="0"/>
              <w:rPr>
                <w:sz w:val="20"/>
                <w:szCs w:val="20"/>
                <w:color w:val="auto"/>
              </w:rPr>
            </w:pPr>
            <w:r>
              <w:rPr>
                <w:rFonts w:ascii="Arial" w:cs="Arial" w:eastAsia="Arial" w:hAnsi="Arial"/>
                <w:sz w:val="18"/>
                <w:szCs w:val="18"/>
                <w:color w:val="auto"/>
                <w:w w:val="96"/>
              </w:rPr>
              <w:t>INDEX TO FORM 10-Q</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20" w:type="dxa"/>
            <w:vAlign w:val="bottom"/>
            <w:gridSpan w:val="12"/>
          </w:tcPr>
          <w:p>
            <w:pPr>
              <w:jc w:val="center"/>
              <w:ind w:right="2800"/>
              <w:spacing w:after="0"/>
              <w:rPr>
                <w:sz w:val="20"/>
                <w:szCs w:val="20"/>
                <w:color w:val="auto"/>
              </w:rPr>
            </w:pPr>
            <w:r>
              <w:rPr>
                <w:rFonts w:ascii="Arial" w:cs="Arial" w:eastAsia="Arial" w:hAnsi="Arial"/>
                <w:sz w:val="18"/>
                <w:szCs w:val="18"/>
                <w:b w:val="1"/>
                <w:bCs w:val="1"/>
                <w:color w:val="auto"/>
                <w:w w:val="91"/>
              </w:rPr>
              <w:t>For the Quarterly Period Ended September 30, 2018</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40" w:type="dxa"/>
            <w:vAlign w:val="bottom"/>
            <w:gridSpan w:val="11"/>
            <w:vMerge w:val="restart"/>
          </w:tcPr>
          <w:p>
            <w:pPr>
              <w:jc w:val="center"/>
              <w:ind w:right="33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40" w:type="dxa"/>
            <w:vAlign w:val="bottom"/>
            <w:gridSpan w:val="2"/>
          </w:tcPr>
          <w:p>
            <w:pPr>
              <w:ind w:left="16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40" w:type="dxa"/>
            <w:vAlign w:val="bottom"/>
            <w:gridSpan w:val="11"/>
            <w:vMerge w:val="continue"/>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292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60" w:type="dxa"/>
            <w:vAlign w:val="bottom"/>
            <w:tcBorders>
              <w:top w:val="single" w:sz="8" w:color="0000EE"/>
            </w:tcBorders>
            <w:gridSpan w:val="5"/>
          </w:tcPr>
          <w:p>
            <w:pPr>
              <w:spacing w:after="0"/>
              <w:rPr>
                <w:sz w:val="24"/>
                <w:szCs w:val="24"/>
                <w:color w:val="auto"/>
              </w:rPr>
            </w:pPr>
          </w:p>
        </w:tc>
        <w:tc>
          <w:tcPr>
            <w:tcW w:w="338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73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 as of September 30, 2018 and December 31, 2017</w:t>
              </w:r>
            </w:hyperlink>
          </w:p>
        </w:tc>
        <w:tc>
          <w:tcPr>
            <w:tcW w:w="1980" w:type="dxa"/>
            <w:vAlign w:val="bottom"/>
            <w:gridSpan w:val="4"/>
          </w:tcPr>
          <w:p>
            <w:pPr>
              <w:spacing w:after="0"/>
              <w:rPr>
                <w:sz w:val="17"/>
                <w:szCs w:val="17"/>
                <w:color w:val="auto"/>
              </w:rPr>
            </w:pPr>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2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for the three-month and nine-month periods ended September 30,</w:t>
              </w:r>
            </w:hyperlink>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2018 and 2017</w:t>
              </w:r>
            </w:hyperlink>
          </w:p>
        </w:tc>
        <w:tc>
          <w:tcPr>
            <w:tcW w:w="8100" w:type="dxa"/>
            <w:vAlign w:val="bottom"/>
            <w:gridSpan w:val="16"/>
          </w:tcPr>
          <w:p>
            <w:pPr>
              <w:spacing w:after="0"/>
              <w:rPr>
                <w:sz w:val="17"/>
                <w:szCs w:val="17"/>
                <w:color w:val="auto"/>
              </w:rPr>
            </w:pPr>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0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Comprehensive Income for the three-month and nine-month periods ended</w:t>
              </w:r>
            </w:hyperlink>
          </w:p>
        </w:tc>
        <w:tc>
          <w:tcPr>
            <w:tcW w:w="3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September 30, 2018 and 2017</w:t>
              </w:r>
            </w:hyperlink>
          </w:p>
        </w:tc>
        <w:tc>
          <w:tcPr>
            <w:tcW w:w="7020" w:type="dxa"/>
            <w:vAlign w:val="bottom"/>
            <w:gridSpan w:val="12"/>
          </w:tcPr>
          <w:p>
            <w:pPr>
              <w:spacing w:after="0"/>
              <w:rPr>
                <w:sz w:val="17"/>
                <w:szCs w:val="17"/>
                <w:color w:val="auto"/>
              </w:rPr>
            </w:pPr>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1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Cash Flows for the nine-month periods ended September 30, 2018 and 2017</w:t>
              </w:r>
            </w:hyperlink>
          </w:p>
        </w:tc>
        <w:tc>
          <w:tcPr>
            <w:tcW w:w="200" w:type="dxa"/>
            <w:vAlign w:val="bottom"/>
            <w:gridSpan w:val="2"/>
          </w:tcPr>
          <w:p>
            <w:pPr>
              <w:spacing w:after="0"/>
              <w:rPr>
                <w:sz w:val="17"/>
                <w:szCs w:val="17"/>
                <w:color w:val="auto"/>
              </w:rPr>
            </w:pPr>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8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4560" w:type="dxa"/>
            <w:vAlign w:val="bottom"/>
            <w:gridSpan w:val="8"/>
          </w:tcPr>
          <w:p>
            <w:pPr>
              <w:spacing w:after="0"/>
              <w:rPr>
                <w:sz w:val="17"/>
                <w:szCs w:val="17"/>
                <w:color w:val="auto"/>
              </w:rPr>
            </w:pPr>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360" w:type="dxa"/>
            <w:vAlign w:val="bottom"/>
            <w:gridSpan w:val="2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6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2900" w:type="dxa"/>
            <w:vAlign w:val="bottom"/>
            <w:gridSpan w:val="5"/>
          </w:tcPr>
          <w:p>
            <w:pPr>
              <w:spacing w:after="0"/>
              <w:rPr>
                <w:sz w:val="17"/>
                <w:szCs w:val="17"/>
                <w:color w:val="auto"/>
              </w:rPr>
            </w:pPr>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844"/>
        </w:trPr>
        <w:tc>
          <w:tcPr>
            <w:tcW w:w="1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OTHER INFORMATION</w:t>
              </w:r>
            </w:hyperlink>
          </w:p>
        </w:tc>
        <w:tc>
          <w:tcPr>
            <w:tcW w:w="352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Legal Proceedings</w:t>
              </w:r>
            </w:hyperlink>
          </w:p>
        </w:tc>
        <w:tc>
          <w:tcPr>
            <w:tcW w:w="8020" w:type="dxa"/>
            <w:vAlign w:val="bottom"/>
            <w:gridSpan w:val="15"/>
          </w:tcPr>
          <w:p>
            <w:pPr>
              <w:spacing w:after="0"/>
              <w:rPr>
                <w:sz w:val="24"/>
                <w:szCs w:val="24"/>
                <w:color w:val="auto"/>
              </w:rPr>
            </w:pPr>
          </w:p>
        </w:tc>
        <w:tc>
          <w:tcPr>
            <w:tcW w:w="54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36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500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Unregistered Sales of Equity Securities and Use of Proceeds</w:t>
              </w:r>
            </w:hyperlink>
          </w:p>
        </w:tc>
        <w:tc>
          <w:tcPr>
            <w:tcW w:w="5000" w:type="dxa"/>
            <w:vAlign w:val="bottom"/>
            <w:gridSpan w:val="9"/>
          </w:tcPr>
          <w:p>
            <w:pPr>
              <w:spacing w:after="0"/>
              <w:rPr>
                <w:sz w:val="17"/>
                <w:szCs w:val="17"/>
                <w:color w:val="auto"/>
              </w:rPr>
            </w:pPr>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360" w:type="dxa"/>
            <w:vAlign w:val="bottom"/>
            <w:gridSpan w:val="2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0" w:type="dxa"/>
            <w:vAlign w:val="bottom"/>
            <w:gridSpan w:val="1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360" w:type="dxa"/>
            <w:vAlign w:val="bottom"/>
            <w:gridSpan w:val="2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796"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September 30,</w:t>
            </w:r>
          </w:p>
        </w:tc>
        <w:tc>
          <w:tcPr>
            <w:tcW w:w="180" w:type="dxa"/>
            <w:vAlign w:val="bottom"/>
          </w:tcPr>
          <w:p>
            <w:pPr>
              <w:spacing w:after="0"/>
              <w:rPr>
                <w:sz w:val="19"/>
                <w:szCs w:val="19"/>
                <w:color w:val="auto"/>
              </w:rPr>
            </w:pPr>
          </w:p>
        </w:tc>
        <w:tc>
          <w:tcPr>
            <w:tcW w:w="15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10,537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12,731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110,473</w:t>
            </w:r>
          </w:p>
        </w:tc>
        <w:tc>
          <w:tcPr>
            <w:tcW w:w="1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111,965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1,697,841</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2,304,984</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16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(82,472)</w:t>
            </w:r>
          </w:p>
        </w:tc>
        <w:tc>
          <w:tcPr>
            <w:tcW w:w="180" w:type="dxa"/>
            <w:vAlign w:val="bottom"/>
          </w:tcPr>
          <w:p>
            <w:pPr>
              <w:spacing w:after="0"/>
              <w:rPr>
                <w:sz w:val="19"/>
                <w:szCs w:val="19"/>
                <w:color w:val="auto"/>
              </w:rPr>
            </w:pP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(109,187)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1,615,369</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2,195,797</w:t>
            </w:r>
          </w:p>
        </w:tc>
        <w:tc>
          <w:tcPr>
            <w:tcW w:w="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6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614,807</w:t>
            </w:r>
          </w:p>
        </w:tc>
        <w:tc>
          <w:tcPr>
            <w:tcW w:w="1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1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1,801</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 net</w:t>
            </w:r>
          </w:p>
        </w:tc>
        <w:tc>
          <w:tcPr>
            <w:tcW w:w="16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28,686</w:t>
            </w: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32,446</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36,232</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46,753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25,665</w:t>
            </w:r>
          </w:p>
        </w:tc>
        <w:tc>
          <w:tcPr>
            <w:tcW w:w="18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23,397</w:t>
            </w: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2,443,570</w:t>
            </w:r>
          </w:p>
        </w:tc>
        <w:tc>
          <w:tcPr>
            <w:tcW w:w="32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2,424,841</w:t>
            </w:r>
          </w:p>
        </w:tc>
        <w:tc>
          <w:tcPr>
            <w:tcW w:w="2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33,324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28,715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127,695</w:t>
            </w: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112,408</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39,013</w:t>
            </w:r>
          </w:p>
        </w:tc>
        <w:tc>
          <w:tcPr>
            <w:tcW w:w="180" w:type="dxa"/>
            <w:vAlign w:val="bottom"/>
          </w:tcPr>
          <w:p>
            <w:pPr>
              <w:spacing w:after="0"/>
              <w:rPr>
                <w:sz w:val="18"/>
                <w:szCs w:val="18"/>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2,034,281</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2,083,215</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tcPr>
          <w:p>
            <w:pPr>
              <w:spacing w:after="0"/>
              <w:rPr>
                <w:sz w:val="19"/>
                <w:szCs w:val="19"/>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16,948</w:t>
            </w:r>
          </w:p>
        </w:tc>
        <w:tc>
          <w:tcPr>
            <w:tcW w:w="18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16,566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2,251,261</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2,240,904</w:t>
            </w:r>
          </w:p>
        </w:tc>
        <w:tc>
          <w:tcPr>
            <w:tcW w:w="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line="201" w:lineRule="exact"/>
              <w:rPr>
                <w:sz w:val="20"/>
                <w:szCs w:val="20"/>
                <w:color w:val="auto"/>
              </w:rPr>
            </w:pPr>
            <w:r>
              <w:rPr>
                <w:rFonts w:ascii="Arial" w:cs="Arial" w:eastAsia="Arial" w:hAnsi="Arial"/>
                <w:sz w:val="18"/>
                <w:szCs w:val="18"/>
                <w:color w:val="auto"/>
              </w:rPr>
              <w:t>Preferred stock, $1 par value; authorized 4,998,130 shares; none issued</w:t>
            </w:r>
          </w:p>
        </w:tc>
        <w:tc>
          <w:tcPr>
            <w:tcW w:w="160" w:type="dxa"/>
            <w:vAlign w:val="bottom"/>
          </w:tcPr>
          <w:p>
            <w:pPr>
              <w:spacing w:after="0"/>
              <w:rPr>
                <w:sz w:val="17"/>
                <w:szCs w:val="17"/>
                <w:color w:val="auto"/>
              </w:rPr>
            </w:pPr>
          </w:p>
        </w:tc>
        <w:tc>
          <w:tcPr>
            <w:tcW w:w="176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54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1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1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w w:val="94"/>
              </w:rPr>
              <w:t>Common stock, no par value; authorized 75,000,000 shares; 22,656,075 and 21,488,589 shares issued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and outstanding at September 30, 2018 and December 31, 2017, respectively</w:t>
            </w:r>
          </w:p>
        </w:tc>
        <w:tc>
          <w:tcPr>
            <w:tcW w:w="1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70,444</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71,582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129,047</w:t>
            </w:r>
          </w:p>
        </w:tc>
        <w:tc>
          <w:tcPr>
            <w:tcW w:w="18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119,537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(7,182)</w:t>
            </w:r>
          </w:p>
        </w:tc>
        <w:tc>
          <w:tcPr>
            <w:tcW w:w="180" w:type="dxa"/>
            <w:vAlign w:val="bottom"/>
            <w:shd w:val="clear" w:color="auto" w:fill="EEEEEE"/>
          </w:tcPr>
          <w:p>
            <w:pPr>
              <w:spacing w:after="0"/>
              <w:rPr>
                <w:sz w:val="19"/>
                <w:szCs w:val="19"/>
                <w:color w:val="auto"/>
              </w:rPr>
            </w:pPr>
          </w:p>
        </w:tc>
        <w:tc>
          <w:tcPr>
            <w:tcW w:w="154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(7,182)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192,309</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183,937</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2,443,570</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2,424,841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460" w:type="dxa"/>
            <w:vAlign w:val="bottom"/>
            <w:gridSpan w:val="6"/>
          </w:tcPr>
          <w:p>
            <w:pPr>
              <w:ind w:left="2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32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93,617</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107,014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291,535</w:t>
            </w:r>
          </w:p>
        </w:tc>
        <w:tc>
          <w:tcPr>
            <w:tcW w:w="5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319,074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EEEEEE"/>
          </w:tcPr>
          <w:p>
            <w:pPr>
              <w:spacing w:after="0"/>
              <w:rPr>
                <w:sz w:val="19"/>
                <w:szCs w:val="19"/>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2,014</w:t>
            </w:r>
          </w:p>
        </w:tc>
        <w:tc>
          <w:tcPr>
            <w:tcW w:w="3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2,474</w:t>
            </w:r>
          </w:p>
        </w:tc>
        <w:tc>
          <w:tcPr>
            <w:tcW w:w="24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7,022</w:t>
            </w:r>
          </w:p>
        </w:tc>
        <w:tc>
          <w:tcPr>
            <w:tcW w:w="1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95,631</w:t>
            </w:r>
          </w:p>
        </w:tc>
        <w:tc>
          <w:tcPr>
            <w:tcW w:w="36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109,488</w:t>
            </w:r>
          </w:p>
        </w:tc>
        <w:tc>
          <w:tcPr>
            <w:tcW w:w="32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298,557</w:t>
            </w:r>
          </w:p>
        </w:tc>
        <w:tc>
          <w:tcPr>
            <w:tcW w:w="16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327,158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Employee costs</w:t>
            </w: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18,806</w:t>
            </w:r>
          </w:p>
        </w:tc>
        <w:tc>
          <w:tcPr>
            <w:tcW w:w="3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18,455</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59,288</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7,784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6,355</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22,730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25,808</w:t>
            </w:r>
          </w:p>
        </w:tc>
        <w:tc>
          <w:tcPr>
            <w:tcW w:w="3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23,317</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75,057</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68,641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31,959</w:t>
            </w:r>
          </w:p>
        </w:tc>
        <w:tc>
          <w:tcPr>
            <w:tcW w:w="3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47,336</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107,997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143,053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Marketing</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4,377</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3,807</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13,176</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Occupancy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1,935</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1,865</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5,644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256</w:t>
            </w:r>
          </w:p>
        </w:tc>
        <w:tc>
          <w:tcPr>
            <w:tcW w:w="3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746</w:t>
            </w:r>
          </w:p>
        </w:tc>
        <w:tc>
          <w:tcPr>
            <w:tcW w:w="1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90,925</w:t>
            </w:r>
          </w:p>
        </w:tc>
        <w:tc>
          <w:tcPr>
            <w:tcW w:w="36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101,379</w:t>
            </w:r>
          </w:p>
        </w:tc>
        <w:tc>
          <w:tcPr>
            <w:tcW w:w="32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284,638</w:t>
            </w:r>
          </w:p>
        </w:tc>
        <w:tc>
          <w:tcPr>
            <w:tcW w:w="16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303,304</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4,706</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8,109</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13,919</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23,854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1,508</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3,446</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4,409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10,138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3,198</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4,663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9,510</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13,716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0.14</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0.21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0.44</w:t>
            </w:r>
          </w:p>
        </w:tc>
        <w:tc>
          <w:tcPr>
            <w:tcW w:w="5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0.13</w:t>
            </w:r>
          </w:p>
        </w:tc>
        <w:tc>
          <w:tcPr>
            <w:tcW w:w="3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22,636</w:t>
            </w:r>
          </w:p>
        </w:tc>
        <w:tc>
          <w:tcPr>
            <w:tcW w:w="3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22,473</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21,800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24,735</w:t>
            </w:r>
          </w:p>
        </w:tc>
        <w:tc>
          <w:tcPr>
            <w:tcW w:w="3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26,779</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25,178</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27,606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 w:name="page5"/>
    <w:bookmarkEnd w:id="4"/>
    <w:p>
      <w:pPr>
        <w:jc w:val="center"/>
        <w:ind w:left="260" w:right="1820"/>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460" w:type="dxa"/>
            <w:vAlign w:val="bottom"/>
            <w:gridSpan w:val="7"/>
          </w:tcPr>
          <w:p>
            <w:pPr>
              <w:ind w:left="2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3,198</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4,663</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9,510</w:t>
            </w:r>
          </w:p>
        </w:tc>
        <w:tc>
          <w:tcPr>
            <w:tcW w:w="380" w:type="dxa"/>
            <w:vAlign w:val="bottom"/>
            <w:gridSpan w:val="2"/>
            <w:shd w:val="clear" w:color="auto" w:fill="EEEEEE"/>
          </w:tcPr>
          <w:p>
            <w:pPr>
              <w:jc w:val="right"/>
              <w:ind w:right="25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13,716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9"/>
              </w:rPr>
              <w:t>Other comprehensive income/(loss); change in funded status of pension</w:t>
            </w:r>
          </w:p>
        </w:tc>
        <w:tc>
          <w:tcPr>
            <w:tcW w:w="2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plan</w:t>
            </w:r>
          </w:p>
        </w:tc>
        <w:tc>
          <w:tcPr>
            <w:tcW w:w="24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21"/>
                <w:szCs w:val="21"/>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21"/>
                <w:szCs w:val="21"/>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8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3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4,663</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91"/>
              </w:rPr>
              <w:t>Nine Months 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9,510</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Accretion of deferred acquisition fees and origination costs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2,119</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Net interest income accretion on fair value receivables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13,010</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746</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6,430</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107,997</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143,053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2,816</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Accrued interest receivable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10,521</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3,760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(2,892)</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5,784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4,609</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158,626</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168,252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Purchases of finance receivables held for investment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(668,284)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Payments received on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470,312</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487,869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Purchases of finance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(659,641)</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Payments received on finance receivables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31,824</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Change in repossessions held in inventory</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(795)</w:t>
            </w: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(157,676</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EEEEEE"/>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(179,035</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issuance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622,098</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656,315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Proceeds from issuance of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2,226</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Payments on subordinated renewable notes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(1,844)</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Net advances of warehouse lines of credit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15,005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Net advances of residual interest financing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Repayment of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(671,700)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(634,171)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 of financing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(6,467)</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Purchase of common stock</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(4,437)</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 of options and warrants</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rPr>
          <w:sz w:val="20"/>
          <w:szCs w:val="20"/>
          <w:color w:val="auto"/>
        </w:rPr>
      </w:pPr>
      <w:r>
        <w:rPr>
          <w:rFonts w:ascii="Arial" w:cs="Arial" w:eastAsia="Arial" w:hAnsi="Arial"/>
          <w:sz w:val="15"/>
          <w:szCs w:val="15"/>
          <w:color w:val="auto"/>
        </w:rPr>
        <w:t>Increase (decrease) in cash and cash equivalents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Cash and restricted cash at beginning of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and restricted cash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(3,686)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30"/>
        </w:trPr>
        <w:tc>
          <w:tcPr>
            <w:tcW w:w="54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124,696</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126,690</w:t>
            </w:r>
          </w:p>
        </w:tc>
      </w:tr>
      <w:tr>
        <w:trPr>
          <w:trHeight w:val="223"/>
        </w:trPr>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121,010</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127,064</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-325120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060" w:space="720"/>
            <w:col w:w="364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720" w:type="dxa"/>
            <w:vAlign w:val="bottom"/>
            <w:shd w:val="clear" w:color="auto" w:fill="EEEEEE"/>
          </w:tcPr>
          <w:p>
            <w:pPr>
              <w:spacing w:after="0"/>
              <w:rPr>
                <w:sz w:val="17"/>
                <w:szCs w:val="17"/>
                <w:color w:val="auto"/>
              </w:rPr>
            </w:pPr>
          </w:p>
        </w:tc>
        <w:tc>
          <w:tcPr>
            <w:tcW w:w="266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2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paid during the period for:</w:t>
            </w:r>
          </w:p>
        </w:tc>
        <w:tc>
          <w:tcPr>
            <w:tcW w:w="26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Interest</w:t>
            </w:r>
          </w:p>
        </w:tc>
        <w:tc>
          <w:tcPr>
            <w:tcW w:w="26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68,042</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61,756</w:t>
            </w:r>
          </w:p>
        </w:tc>
      </w:tr>
      <w:tr>
        <w:trPr>
          <w:trHeight w:val="216"/>
        </w:trPr>
        <w:tc>
          <w:tcPr>
            <w:tcW w:w="57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Income taxes</w:t>
            </w:r>
          </w:p>
        </w:tc>
        <w:tc>
          <w:tcPr>
            <w:tcW w:w="2660" w:type="dxa"/>
            <w:vAlign w:val="bottom"/>
            <w:shd w:val="clear" w:color="auto" w:fill="EEEEEE"/>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7,256</w:t>
            </w:r>
          </w:p>
        </w:tc>
        <w:tc>
          <w:tcPr>
            <w:tcW w:w="760" w:type="dxa"/>
            <w:vAlign w:val="bottom"/>
            <w:shd w:val="clear" w:color="auto" w:fill="EEEEEE"/>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6,157</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 (iii) acquired installment purchase contracts in four merger and acquisition transactions. In this report, we refer to all of such contracts and loans as "automobile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nine month period ended September 30, 2018 are not necessarily indicative of the operating results to be expected for the full year.</w:t>
      </w:r>
    </w:p>
    <w:p>
      <w:pPr>
        <w:spacing w:after="0" w:line="188"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 Measured at Fair Value</w:t>
      </w:r>
    </w:p>
    <w:p>
      <w:pPr>
        <w:spacing w:after="0" w:line="22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carrying value of the receivables.</w:t>
      </w:r>
    </w:p>
    <w:p>
      <w:pPr>
        <w:spacing w:after="0" w:line="178"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re-evaluate the fair value of such receivables at the close of each measurement period. If the reevaluation were to yield a value materially different from the carrying value, an adjustment would be required.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carrying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following table presents the primary components of Other Income for the three-month and nine-month periods ending September 30,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9"/>
                <w:szCs w:val="19"/>
                <w:color w:val="auto"/>
              </w:rPr>
            </w:pPr>
          </w:p>
        </w:tc>
        <w:tc>
          <w:tcPr>
            <w:tcW w:w="246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9"/>
              </w:rPr>
              <w:t>September 30,</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0"/>
              </w:rPr>
              <w:t>(In thousands)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gridSpan w:val="2"/>
          </w:tcPr>
          <w:p>
            <w:pPr>
              <w:spacing w:after="0"/>
              <w:rPr>
                <w:sz w:val="18"/>
                <w:szCs w:val="18"/>
                <w:color w:val="auto"/>
              </w:rPr>
            </w:pPr>
          </w:p>
        </w:tc>
      </w:t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1,328</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1,628</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4,833</w:t>
            </w:r>
          </w:p>
        </w:tc>
        <w:tc>
          <w:tcPr>
            <w:tcW w:w="380" w:type="dxa"/>
            <w:vAlign w:val="bottom"/>
            <w:gridSpan w:val="2"/>
            <w:shd w:val="clear" w:color="auto" w:fill="EEEEEE"/>
          </w:tcPr>
          <w:p>
            <w:pPr>
              <w:jc w:val="right"/>
              <w:ind w:right="25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5,261</w:t>
            </w:r>
          </w:p>
        </w:tc>
        <w:tc>
          <w:tcPr>
            <w:tcW w:w="80" w:type="dxa"/>
            <w:vAlign w:val="bottom"/>
            <w:shd w:val="clear" w:color="auto" w:fill="EEEEEE"/>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2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360</w:t>
            </w:r>
          </w:p>
        </w:tc>
        <w:tc>
          <w:tcPr>
            <w:tcW w:w="3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1,510</w:t>
            </w:r>
          </w:p>
        </w:tc>
        <w:tc>
          <w:tcPr>
            <w:tcW w:w="80" w:type="dxa"/>
            <w:vAlign w:val="bottom"/>
          </w:tcPr>
          <w:p>
            <w:pPr>
              <w:spacing w:after="0"/>
              <w:rPr>
                <w:sz w:val="18"/>
                <w:szCs w:val="18"/>
                <w:color w:val="auto"/>
              </w:rPr>
            </w:pPr>
          </w:p>
        </w:tc>
      </w:t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198</w:t>
            </w: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EEEEEE"/>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Sales tax refunds</w:t>
            </w:r>
          </w:p>
        </w:tc>
        <w:tc>
          <w:tcPr>
            <w:tcW w:w="2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220</w:t>
            </w:r>
          </w:p>
        </w:tc>
        <w:tc>
          <w:tcPr>
            <w:tcW w:w="3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18"/>
                <w:szCs w:val="18"/>
                <w:color w:val="auto"/>
              </w:rPr>
            </w:pPr>
          </w:p>
        </w:tc>
      </w:tr>
      <w:tr>
        <w:trPr>
          <w:trHeight w:val="230"/>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EEEEEE"/>
          </w:tcPr>
          <w:p>
            <w:pPr>
              <w:spacing w:after="0"/>
              <w:rPr>
                <w:sz w:val="19"/>
                <w:szCs w:val="19"/>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3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133</w:t>
            </w:r>
          </w:p>
        </w:tc>
        <w:tc>
          <w:tcPr>
            <w:tcW w:w="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EEEEEE"/>
          </w:tcPr>
          <w:p>
            <w:pPr>
              <w:spacing w:after="0"/>
              <w:rPr>
                <w:sz w:val="19"/>
                <w:szCs w:val="19"/>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On January 1, 2018, the Company adopted Accounting Standards Codification (“ASC”) Topic 606, “Revenue from Contracts with Customers”. The majority of the Company’s revenues come from interest income which is outside the scope of ASC 606. The Company’s services that fall within the scope of ASC 606 are presented within Other Income and are recognized as revenue as the Company satisfies its obligation to the customer. Services within the scope of ASC 606 include revenue associated with direct mail and other related products and services that we offer to our dealers.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In connection with the amendment to and partial repayment of our residual interest financing in July 2008, we issued warrants exercisable for 2,500,000 common shares, and allocated $4,071,429 of the aggregate consideration received in that transaction to the issuance of the warrants. The warrants represented the right to purchase CPS common shares at a nominal exercise price. In March 2010 we repurchased the warrants for 500,000 of these shares for $1.0 million. Warrants to purchase 2,000,000 shares were outstanding as of December 31, 2017. All of such warrants were exercised on July 10, 2018 and 1,999,995 net shares were issued to the holder, following surrender of five shares in payment of the exercise price.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For the three and nine months ended September 30, 2018, we recorded stock-based compensation costs in the amount of $663,000 and $2.8 million, respectively. These stock-based compensation costs were $1.7 million and $4.3 million for the three and nine months ended September 30, 2017. As of September 30, 2018, unrecognized stock-based compensation costs to be recognized over future periods equaled $4.3 million. This amount will be recognized as expense over a weighted-average period of 2.2 years.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00" w:type="dxa"/>
            <w:vAlign w:val="bottom"/>
            <w:gridSpan w:val="3"/>
          </w:tcPr>
          <w:p>
            <w:pPr>
              <w:jc w:val="right"/>
              <w:ind w:right="880"/>
              <w:spacing w:after="0"/>
              <w:rPr>
                <w:sz w:val="20"/>
                <w:szCs w:val="20"/>
                <w:color w:val="auto"/>
              </w:rPr>
            </w:pPr>
            <w:r>
              <w:rPr>
                <w:rFonts w:ascii="Arial" w:cs="Arial" w:eastAsia="Arial" w:hAnsi="Arial"/>
                <w:sz w:val="18"/>
                <w:szCs w:val="18"/>
                <w:color w:val="auto"/>
                <w:w w:val="95"/>
              </w:rPr>
              <w:t>The following represents stock option activity for the nine months ended September 30, 2018: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Exercise 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13,135</w:t>
            </w:r>
          </w:p>
        </w:tc>
        <w:tc>
          <w:tcPr>
            <w:tcW w:w="2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4.66</w:t>
            </w:r>
          </w:p>
        </w:tc>
        <w:tc>
          <w:tcPr>
            <w:tcW w:w="40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color w:val="auto"/>
              </w:rPr>
              <w:t>3.49</w:t>
            </w:r>
          </w:p>
        </w:tc>
        <w:tc>
          <w:tcPr>
            <w:tcW w:w="14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1.53</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color w:val="auto"/>
              </w:rPr>
              <w:t>7.20</w:t>
            </w:r>
          </w:p>
        </w:tc>
        <w:tc>
          <w:tcPr>
            <w:tcW w:w="14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14,401</w:t>
            </w:r>
          </w:p>
        </w:tc>
        <w:tc>
          <w:tcPr>
            <w:tcW w:w="240" w:type="dxa"/>
            <w:vAlign w:val="bottom"/>
            <w:tcBorders>
              <w:top w:val="single" w:sz="8" w:color="EEEEEE"/>
            </w:tcBorders>
            <w:shd w:val="clear" w:color="auto" w:fill="EEEEEE"/>
          </w:tcPr>
          <w:p>
            <w:pPr>
              <w:spacing w:after="0"/>
              <w:rPr>
                <w:sz w:val="19"/>
                <w:szCs w:val="19"/>
                <w:color w:val="auto"/>
              </w:rPr>
            </w:pPr>
          </w:p>
        </w:tc>
        <w:tc>
          <w:tcPr>
            <w:tcW w:w="280" w:type="dxa"/>
            <w:vAlign w:val="bottom"/>
            <w:tcBorders>
              <w:top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EEEEEE"/>
            </w:tcBorders>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4.57</w:t>
            </w:r>
          </w:p>
        </w:tc>
        <w:tc>
          <w:tcPr>
            <w:tcW w:w="1480" w:type="dxa"/>
            <w:vAlign w:val="bottom"/>
            <w:tcBorders>
              <w:top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87"/>
              </w:rPr>
              <w:t>4.05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42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5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10,417</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4.79</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3.60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At September 30, 2018, the aggregate intrinsic value of options outstanding and exercisable was $7.7 million and $7.2 million, respectively. There were 315,500 options exercised for the nine months ended September 30, 2018 compared to 618,773 for the comparable period in 2017. The total intrinsic value of options exercised was $869,000 and $1.8 million for the nine-month periods ended September 30, 2018 and 2017. There were 2,893,000 shares available for future stock option grants under existing plans as of September 30,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describes the purchase of our common stock for the nine-month periods ended September 30, 2018 and 2017:</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Open market purchases</w:t>
      </w:r>
    </w:p>
    <w:p>
      <w:pPr>
        <w:spacing w:after="0" w:line="23" w:lineRule="exact"/>
        <w:rPr>
          <w:sz w:val="20"/>
          <w:szCs w:val="20"/>
          <w:color w:val="auto"/>
        </w:rPr>
      </w:pPr>
    </w:p>
    <w:p>
      <w:pPr>
        <w:ind w:right="1260"/>
        <w:spacing w:after="0" w:line="250" w:lineRule="auto"/>
        <w:rPr>
          <w:sz w:val="20"/>
          <w:szCs w:val="20"/>
          <w:color w:val="auto"/>
        </w:rPr>
      </w:pPr>
      <w:r>
        <w:rPr>
          <w:rFonts w:ascii="Arial" w:cs="Arial" w:eastAsia="Arial" w:hAnsi="Arial"/>
          <w:sz w:val="18"/>
          <w:szCs w:val="18"/>
          <w:color w:val="auto"/>
        </w:rPr>
        <w:t>Shares redeemed upon net exercise of stock options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stock purchases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gridSpan w:val="4"/>
          </w:tcPr>
          <w:p>
            <w:pPr>
              <w:ind w:left="36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3000" w:type="dxa"/>
            <w:vAlign w:val="bottom"/>
            <w:gridSpan w:val="5"/>
          </w:tcPr>
          <w:p>
            <w:pPr>
              <w:ind w:left="580"/>
              <w:spacing w:after="0"/>
              <w:rPr>
                <w:sz w:val="20"/>
                <w:szCs w:val="20"/>
                <w:color w:val="auto"/>
              </w:rPr>
            </w:pPr>
            <w:r>
              <w:rPr>
                <w:rFonts w:ascii="Arial" w:cs="Arial" w:eastAsia="Arial" w:hAnsi="Arial"/>
                <w:sz w:val="18"/>
                <w:szCs w:val="18"/>
                <w:b w:val="1"/>
                <w:bCs w:val="1"/>
                <w:color w:val="auto"/>
              </w:rPr>
              <w:t>September 30, 2018</w:t>
            </w:r>
          </w:p>
        </w:tc>
        <w:tc>
          <w:tcPr>
            <w:tcW w:w="2620" w:type="dxa"/>
            <w:vAlign w:val="bottom"/>
            <w:gridSpan w:val="6"/>
          </w:tcPr>
          <w:p>
            <w:pPr>
              <w:ind w:left="540"/>
              <w:spacing w:after="0"/>
              <w:rPr>
                <w:sz w:val="20"/>
                <w:szCs w:val="20"/>
                <w:color w:val="auto"/>
              </w:rPr>
            </w:pPr>
            <w:r>
              <w:rPr>
                <w:rFonts w:ascii="Arial" w:cs="Arial" w:eastAsia="Arial" w:hAnsi="Arial"/>
                <w:sz w:val="18"/>
                <w:szCs w:val="18"/>
                <w:b w:val="1"/>
                <w:bCs w:val="1"/>
                <w:color w:val="auto"/>
              </w:rPr>
              <w:t>September 30, 2017</w:t>
            </w:r>
          </w:p>
        </w:tc>
      </w:tr>
      <w:tr>
        <w:trPr>
          <w:trHeight w:val="223"/>
        </w:trPr>
        <w:tc>
          <w:tcPr>
            <w:tcW w:w="152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Avg. Price</w:t>
            </w:r>
          </w:p>
        </w:tc>
        <w:tc>
          <w:tcPr>
            <w:tcW w:w="320" w:type="dxa"/>
            <w:vAlign w:val="bottom"/>
          </w:tcPr>
          <w:p>
            <w:pPr>
              <w:spacing w:after="0"/>
              <w:rPr>
                <w:sz w:val="19"/>
                <w:szCs w:val="19"/>
                <w:color w:val="auto"/>
              </w:rPr>
            </w:pPr>
          </w:p>
        </w:tc>
        <w:tc>
          <w:tcPr>
            <w:tcW w:w="146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Avg. Price</w:t>
            </w:r>
          </w:p>
        </w:tc>
        <w:tc>
          <w:tcPr>
            <w:tcW w:w="20" w:type="dxa"/>
            <w:vAlign w:val="bottom"/>
          </w:tcPr>
          <w:p>
            <w:pPr>
              <w:spacing w:after="0"/>
              <w:rPr>
                <w:sz w:val="19"/>
                <w:szCs w:val="19"/>
                <w:color w:val="auto"/>
              </w:rPr>
            </w:pPr>
          </w:p>
        </w:tc>
      </w:tr>
      <w:tr>
        <w:trPr>
          <w:trHeight w:val="195"/>
        </w:trPr>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1,024,410</w:t>
            </w:r>
          </w:p>
        </w:tc>
        <w:tc>
          <w:tcPr>
            <w:tcW w:w="3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3.79</w:t>
            </w:r>
          </w:p>
        </w:tc>
        <w:tc>
          <w:tcPr>
            <w:tcW w:w="3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2,292,070</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4.51</w:t>
            </w:r>
          </w:p>
        </w:tc>
        <w:tc>
          <w:tcPr>
            <w:tcW w:w="20" w:type="dxa"/>
            <w:vAlign w:val="bottom"/>
          </w:tcPr>
          <w:p>
            <w:pPr>
              <w:spacing w:after="0"/>
              <w:rPr>
                <w:sz w:val="16"/>
                <w:szCs w:val="16"/>
                <w:color w:val="auto"/>
              </w:rPr>
            </w:pPr>
          </w:p>
        </w:tc>
      </w:tr>
      <w:tr>
        <w:trPr>
          <w:trHeight w:val="230"/>
        </w:trPr>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33,604</w:t>
            </w:r>
          </w:p>
        </w:tc>
        <w:tc>
          <w:tcPr>
            <w:tcW w:w="14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4.37</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44,942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4.65</w:t>
            </w:r>
          </w:p>
        </w:tc>
      </w:tr>
      <w:tr>
        <w:trPr>
          <w:trHeight w:val="230"/>
        </w:trPr>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90,000</w:t>
            </w:r>
          </w:p>
        </w:tc>
        <w:tc>
          <w:tcPr>
            <w:tcW w:w="14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4.13</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1,148,014</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2,337,012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4.51</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-608330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-325120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5000" w:space="720"/>
            <w:col w:w="5700"/>
          </w:cols>
          <w:pgMar w:left="240" w:top="796" w:right="239" w:bottom="1440" w:gutter="0" w:footer="0" w:header="0"/>
          <w:type w:val="continuous"/>
        </w:sectPr>
      </w:pPr>
    </w:p>
    <w:p>
      <w:pPr>
        <w:spacing w:after="0" w:line="2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net income or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September 30, 2018,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record at each measurement date, most recently as of September 30, 2018, our best estimate of probable incurred losses for legal contingencies. The amount of losses that may ultimately be incurred cannot be estimated with certainty.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In February 2016, the FASB issued ASU No. 2016-02, Leases (Topic 842) (“ASU 2016-02”), which modifies lease accounting for lessees to increase transparency and comparability by recording lease assets and liabilities for operating leases and disclosing key information about leasing arrangements. We will adopt ASU 2016-02 effective January 1, 2019 utilizing the modified retrospective transition method. The Company is currently evaluating the impact of adopting ASU 2016-20.</w:t>
      </w:r>
    </w:p>
    <w:p>
      <w:pPr>
        <w:spacing w:after="0" w:line="187" w:lineRule="exact"/>
        <w:rPr>
          <w:sz w:val="20"/>
          <w:szCs w:val="20"/>
          <w:color w:val="auto"/>
        </w:rPr>
      </w:pPr>
    </w:p>
    <w:p>
      <w:pPr>
        <w:ind w:left="400" w:hanging="262"/>
        <w:spacing w:after="0"/>
        <w:tabs>
          <w:tab w:leader="none" w:pos="4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w w:val="98"/>
              </w:rPr>
              <w:t>The following table presents the components of Finance Receivables, net of unearned interest:</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Automobile finance receivables, net of unearned interest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1,693,584</w:t>
            </w:r>
          </w:p>
        </w:tc>
        <w:tc>
          <w:tcPr>
            <w:tcW w:w="360" w:type="dxa"/>
            <w:vAlign w:val="bottom"/>
          </w:tcPr>
          <w:p>
            <w:pPr>
              <w:spacing w:after="0"/>
              <w:rPr>
                <w:sz w:val="18"/>
                <w:szCs w:val="18"/>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2,298,608</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Unearned acquisition fees and originations costs.</w:t>
            </w:r>
          </w:p>
        </w:tc>
        <w:tc>
          <w:tcPr>
            <w:tcW w:w="16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4,257</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6,376</w:t>
            </w:r>
          </w:p>
        </w:tc>
        <w:tc>
          <w:tcPr>
            <w:tcW w:w="80" w:type="dxa"/>
            <w:vAlign w:val="bottom"/>
            <w:shd w:val="clear" w:color="auto" w:fill="EEEEEE"/>
          </w:tcPr>
          <w:p>
            <w:pPr>
              <w:spacing w:after="0"/>
              <w:rPr>
                <w:sz w:val="19"/>
                <w:szCs w:val="19"/>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1,697,841</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2,304,984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September 30, 2018 and December 31, 2017: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2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8"/>
                <w:szCs w:val="18"/>
                <w:color w:val="auto"/>
              </w:rPr>
            </w:pPr>
          </w:p>
        </w:tc>
      </w:tr>
      <w:tr>
        <w:trPr>
          <w:trHeight w:val="216"/>
        </w:trPr>
        <w:tc>
          <w:tcPr>
            <w:tcW w:w="7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1,475,029</w:t>
            </w:r>
          </w:p>
        </w:tc>
        <w:tc>
          <w:tcPr>
            <w:tcW w:w="360" w:type="dxa"/>
            <w:vAlign w:val="bottom"/>
          </w:tcPr>
          <w:p>
            <w:pPr>
              <w:spacing w:after="0"/>
              <w:rPr>
                <w:sz w:val="18"/>
                <w:szCs w:val="18"/>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2,069,617</w:t>
            </w:r>
          </w:p>
        </w:tc>
        <w:tc>
          <w:tcPr>
            <w:tcW w:w="8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75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1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132,030</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138,395</w:t>
            </w:r>
          </w:p>
        </w:tc>
        <w:tc>
          <w:tcPr>
            <w:tcW w:w="80" w:type="dxa"/>
            <w:vAlign w:val="bottom"/>
            <w:shd w:val="clear" w:color="auto" w:fill="EEEEEE"/>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7560" w:type="dxa"/>
            <w:vAlign w:val="bottom"/>
          </w:tcPr>
          <w:p>
            <w:pPr>
              <w:ind w:left="20"/>
              <w:spacing w:after="0"/>
              <w:rPr>
                <w:sz w:val="20"/>
                <w:szCs w:val="20"/>
                <w:color w:val="auto"/>
              </w:rPr>
            </w:pPr>
            <w:r>
              <w:rPr>
                <w:rFonts w:ascii="Arial" w:cs="Arial" w:eastAsia="Arial" w:hAnsi="Arial"/>
                <w:sz w:val="18"/>
                <w:szCs w:val="18"/>
                <w:color w:val="auto"/>
              </w:rPr>
              <w:t>- 90 days.</w:t>
            </w:r>
          </w:p>
        </w:tc>
        <w:tc>
          <w:tcPr>
            <w:tcW w:w="160" w:type="dxa"/>
            <w:vAlign w:val="bottom"/>
          </w:tcPr>
          <w:p>
            <w:pPr>
              <w:spacing w:after="0"/>
              <w:rPr>
                <w:sz w:val="18"/>
                <w:szCs w:val="18"/>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58,667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63,081</w:t>
            </w:r>
          </w:p>
        </w:tc>
        <w:tc>
          <w:tcPr>
            <w:tcW w:w="80" w:type="dxa"/>
            <w:vAlign w:val="bottom"/>
          </w:tcPr>
          <w:p>
            <w:pPr>
              <w:spacing w:after="0"/>
              <w:rPr>
                <w:sz w:val="18"/>
                <w:szCs w:val="18"/>
                <w:color w:val="auto"/>
              </w:rPr>
            </w:pPr>
          </w:p>
        </w:tc>
      </w:tr>
      <w:tr>
        <w:trPr>
          <w:trHeight w:val="230"/>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75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16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27,858</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27,515</w:t>
            </w:r>
          </w:p>
        </w:tc>
        <w:tc>
          <w:tcPr>
            <w:tcW w:w="80" w:type="dxa"/>
            <w:vAlign w:val="bottom"/>
            <w:shd w:val="clear" w:color="auto" w:fill="EEEEEE"/>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1,693,584</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2,298,608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Finance receivables totaling $27.9 million and $27.5 million at September 30, 2018 and December 31, 2017, respectively, including all receivables greater than 90 days delinquent, have been placed on non-accrual status as a result of their delinquency status.</w:t>
      </w:r>
    </w:p>
    <w:p>
      <w:pPr>
        <w:spacing w:after="0" w:line="17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credit losses is charged to our consolidated statement of operations. Net losses incurred on finance receivables are charged to the allowance. We establish the allowance for new receivables over the 12-month period following their acquisition.</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a summary of the activity for the allowance for finance credit losses for the three-month and nine-month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period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Provision for credit losses on finance receivables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Charge-offs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Recoveries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276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9"/>
                <w:szCs w:val="19"/>
                <w:color w:val="auto"/>
              </w:rPr>
            </w:pPr>
          </w:p>
        </w:tc>
        <w:tc>
          <w:tcPr>
            <w:tcW w:w="242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9"/>
              </w:rPr>
              <w:t>September 30,</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240" w:type="dxa"/>
            <w:vAlign w:val="bottom"/>
          </w:tcPr>
          <w:p>
            <w:pPr>
              <w:spacing w:after="0"/>
              <w:rPr>
                <w:sz w:val="16"/>
                <w:szCs w:val="16"/>
                <w:color w:val="auto"/>
              </w:rPr>
            </w:pPr>
          </w:p>
        </w:tc>
        <w:tc>
          <w:tcPr>
            <w:tcW w:w="1660" w:type="dxa"/>
            <w:vAlign w:val="bottom"/>
            <w:gridSpan w:val="3"/>
          </w:tcPr>
          <w:p>
            <w:pPr>
              <w:jc w:val="center"/>
              <w:ind w:left="450"/>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jc w:val="center"/>
              <w:ind w:right="150"/>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60" w:type="dxa"/>
            <w:vAlign w:val="bottom"/>
            <w:gridSpan w:val="2"/>
          </w:tcPr>
          <w:p>
            <w:pPr>
              <w:spacing w:after="0"/>
              <w:rPr>
                <w:sz w:val="16"/>
                <w:szCs w:val="16"/>
                <w:color w:val="auto"/>
              </w:rPr>
            </w:pPr>
          </w:p>
        </w:tc>
      </w:tr>
      <w:tr>
        <w:trPr>
          <w:trHeight w:val="216"/>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94,376</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107,315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109,187</w:t>
            </w:r>
          </w:p>
        </w:tc>
        <w:tc>
          <w:tcPr>
            <w:tcW w:w="380" w:type="dxa"/>
            <w:vAlign w:val="bottom"/>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95,578</w:t>
            </w:r>
          </w:p>
        </w:tc>
        <w:tc>
          <w:tcPr>
            <w:tcW w:w="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31,959</w:t>
            </w:r>
          </w:p>
        </w:tc>
        <w:tc>
          <w:tcPr>
            <w:tcW w:w="3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47,336</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107,997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143,053</w:t>
            </w:r>
          </w:p>
        </w:tc>
        <w:tc>
          <w:tcPr>
            <w:tcW w:w="40" w:type="dxa"/>
            <w:vAlign w:val="bottom"/>
          </w:tcPr>
          <w:p>
            <w:pPr>
              <w:spacing w:after="0"/>
              <w:rPr>
                <w:sz w:val="18"/>
                <w:szCs w:val="18"/>
                <w:color w:val="auto"/>
              </w:rPr>
            </w:pPr>
          </w:p>
        </w:tc>
      </w:tr>
      <w:tr>
        <w:trPr>
          <w:trHeight w:val="230"/>
        </w:trPr>
        <w:tc>
          <w:tcPr>
            <w:tcW w:w="2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(54,033)</w:t>
            </w:r>
          </w:p>
        </w:tc>
        <w:tc>
          <w:tcPr>
            <w:tcW w:w="3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(53,628)</w:t>
            </w:r>
          </w:p>
        </w:tc>
        <w:tc>
          <w:tcPr>
            <w:tcW w:w="2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(163,628)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(152,401)</w:t>
            </w:r>
          </w:p>
        </w:tc>
      </w:tr>
      <w:tr>
        <w:trPr>
          <w:trHeight w:val="230"/>
        </w:trPr>
        <w:tc>
          <w:tcPr>
            <w:tcW w:w="24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10,170</w:t>
            </w:r>
          </w:p>
        </w:tc>
        <w:tc>
          <w:tcPr>
            <w:tcW w:w="38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7,596</w:t>
            </w:r>
          </w:p>
        </w:tc>
        <w:tc>
          <w:tcPr>
            <w:tcW w:w="24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28,916</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22,389</w:t>
            </w:r>
          </w:p>
        </w:tc>
        <w:tc>
          <w:tcPr>
            <w:tcW w:w="40" w:type="dxa"/>
            <w:vAlign w:val="bottom"/>
          </w:tcPr>
          <w:p>
            <w:pPr>
              <w:spacing w:after="0"/>
              <w:rPr>
                <w:sz w:val="20"/>
                <w:szCs w:val="20"/>
                <w:color w:val="auto"/>
              </w:rPr>
            </w:pPr>
          </w:p>
        </w:tc>
      </w:tr>
      <w:tr>
        <w:trPr>
          <w:trHeight w:val="223"/>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82,472</w:t>
            </w:r>
          </w:p>
        </w:tc>
        <w:tc>
          <w:tcPr>
            <w:tcW w:w="3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108,619</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82,472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108,619</w:t>
            </w:r>
          </w:p>
        </w:tc>
        <w:tc>
          <w:tcPr>
            <w:tcW w:w="40" w:type="dxa"/>
            <w:vAlign w:val="bottom"/>
          </w:tcPr>
          <w:p>
            <w:pPr>
              <w:spacing w:after="0"/>
              <w:rPr>
                <w:sz w:val="19"/>
                <w:szCs w:val="19"/>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-736600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-462280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-179705</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700"/>
          </w:cols>
          <w:pgMar w:left="240" w:top="796" w:right="2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Gross balance of repossessions in inventory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Allowance for losses on repossessed inventory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repossessed inventory included in other assets</w:t>
      </w:r>
    </w:p>
    <w:p>
      <w:pPr>
        <w:spacing w:after="0" w:line="200" w:lineRule="exact"/>
        <w:rPr>
          <w:sz w:val="20"/>
          <w:szCs w:val="20"/>
          <w:color w:val="auto"/>
        </w:rPr>
      </w:pPr>
    </w:p>
    <w:p>
      <w:pPr>
        <w:spacing w:after="0" w:line="33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160" w:type="dxa"/>
            <w:vAlign w:val="bottom"/>
          </w:tcPr>
          <w:p>
            <w:pPr>
              <w:spacing w:after="0"/>
              <w:rPr>
                <w:sz w:val="16"/>
                <w:szCs w:val="16"/>
                <w:color w:val="auto"/>
              </w:rPr>
            </w:pPr>
          </w:p>
        </w:tc>
        <w:tc>
          <w:tcPr>
            <w:tcW w:w="3380" w:type="dxa"/>
            <w:vAlign w:val="bottom"/>
            <w:gridSpan w:val="5"/>
          </w:tcPr>
          <w:p>
            <w:pPr>
              <w:jc w:val="right"/>
              <w:ind w:right="1130"/>
              <w:spacing w:after="0" w:line="195" w:lineRule="exact"/>
              <w:rPr>
                <w:sz w:val="20"/>
                <w:szCs w:val="20"/>
                <w:color w:val="auto"/>
              </w:rPr>
            </w:pPr>
            <w:r>
              <w:rPr>
                <w:rFonts w:ascii="Arial" w:cs="Arial" w:eastAsia="Arial" w:hAnsi="Arial"/>
                <w:sz w:val="18"/>
                <w:szCs w:val="18"/>
                <w:b w:val="1"/>
                <w:bCs w:val="1"/>
                <w:color w:val="auto"/>
              </w:rPr>
              <w:t>(In thousands)</w:t>
            </w:r>
          </w:p>
        </w:tc>
        <w:tc>
          <w:tcPr>
            <w:tcW w:w="60" w:type="dxa"/>
            <w:vAlign w:val="bottom"/>
            <w:gridSpan w:val="2"/>
          </w:tcPr>
          <w:p>
            <w:pPr>
              <w:spacing w:after="0"/>
              <w:rPr>
                <w:sz w:val="16"/>
                <w:szCs w:val="16"/>
                <w:color w:val="auto"/>
              </w:rPr>
            </w:pPr>
          </w:p>
        </w:tc>
      </w:tr>
      <w:tr>
        <w:trPr>
          <w:trHeight w:val="216"/>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32,323</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33,679</w:t>
            </w:r>
          </w:p>
        </w:tc>
        <w:tc>
          <w:tcPr>
            <w:tcW w:w="40" w:type="dxa"/>
            <w:vAlign w:val="bottom"/>
          </w:tcPr>
          <w:p>
            <w:pPr>
              <w:spacing w:after="0"/>
              <w:rPr>
                <w:sz w:val="18"/>
                <w:szCs w:val="18"/>
                <w:color w:val="auto"/>
              </w:rPr>
            </w:pPr>
          </w:p>
        </w:tc>
      </w:tr>
      <w:tr>
        <w:trPr>
          <w:trHeight w:val="244"/>
        </w:trPr>
        <w:tc>
          <w:tcPr>
            <w:tcW w:w="160" w:type="dxa"/>
            <w:vAlign w:val="bottom"/>
          </w:tcPr>
          <w:p>
            <w:pPr>
              <w:spacing w:after="0"/>
              <w:rPr>
                <w:sz w:val="21"/>
                <w:szCs w:val="21"/>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(23,292)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(24,024)</w:t>
            </w:r>
          </w:p>
        </w:tc>
      </w:tr>
      <w:tr>
        <w:trPr>
          <w:trHeight w:val="223"/>
        </w:trPr>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9,031</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9,655</w:t>
            </w:r>
          </w:p>
        </w:tc>
        <w:tc>
          <w:tcPr>
            <w:tcW w:w="4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-462280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-179705</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824" w:lineRule="exact"/>
        <w:rPr>
          <w:sz w:val="20"/>
          <w:szCs w:val="20"/>
          <w:color w:val="auto"/>
        </w:rPr>
      </w:pPr>
    </w:p>
    <w:p>
      <w:pPr>
        <w:sectPr>
          <w:pgSz w:w="11900" w:h="16838" w:orient="portrait"/>
          <w:cols w:equalWidth="0" w:num="2">
            <w:col w:w="7060" w:space="720"/>
            <w:col w:w="3640"/>
          </w:cols>
          <w:pgMar w:left="240" w:top="796" w:right="239" w:bottom="1440" w:gutter="0" w:footer="0" w:header="0"/>
          <w:type w:val="continuous"/>
        </w:sectPr>
      </w:pPr>
    </w:p>
    <w:p>
      <w:pPr>
        <w:spacing w:after="0" w:line="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2"/>
            <w:vMerge w:val="restart"/>
          </w:tcPr>
          <w:p>
            <w:pPr>
              <w:jc w:val="center"/>
              <w:ind w:right="188"/>
              <w:spacing w:after="0"/>
              <w:rPr>
                <w:sz w:val="20"/>
                <w:szCs w:val="20"/>
                <w:color w:val="auto"/>
              </w:rPr>
            </w:pPr>
            <w:r>
              <w:rPr>
                <w:rFonts w:ascii="Arial" w:cs="Arial" w:eastAsia="Arial" w:hAnsi="Arial"/>
                <w:sz w:val="14"/>
                <w:szCs w:val="14"/>
                <w:b w:val="1"/>
                <w:bCs w:val="1"/>
                <w:color w:val="auto"/>
                <w:w w:val="97"/>
              </w:rPr>
              <w:t>Final</w:t>
            </w: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Receivables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4"/>
              </w:rPr>
              <w:t>Outstanding</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87"/>
              </w:rPr>
              <w:t>Scheduled</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Pledged at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Initial</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Principal at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Principal at</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Interest Rate at</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2"/>
              </w:rPr>
              <w:t>Payment</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200" w:type="dxa"/>
            <w:vAlign w:val="bottom"/>
            <w:gridSpan w:val="2"/>
          </w:tcPr>
          <w:p>
            <w:pPr>
              <w:ind w:left="800"/>
              <w:spacing w:after="0"/>
              <w:rPr>
                <w:sz w:val="20"/>
                <w:szCs w:val="20"/>
                <w:color w:val="auto"/>
              </w:rPr>
            </w:pPr>
            <w:r>
              <w:rPr>
                <w:rFonts w:ascii="Arial" w:cs="Arial" w:eastAsia="Arial" w:hAnsi="Arial"/>
                <w:sz w:val="14"/>
                <w:szCs w:val="14"/>
                <w:b w:val="1"/>
                <w:bCs w:val="1"/>
                <w:color w:val="auto"/>
              </w:rPr>
              <w:t>Series</w:t>
            </w:r>
          </w:p>
        </w:tc>
        <w:tc>
          <w:tcPr>
            <w:tcW w:w="210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7"/>
              </w:rPr>
              <w:t>Date (1)</w:t>
            </w: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2018 (2)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4"/>
                <w:szCs w:val="14"/>
                <w:color w:val="auto"/>
              </w:rPr>
            </w:pP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gridSpan w:val="6"/>
          </w:tcPr>
          <w:p>
            <w:pPr>
              <w:ind w:left="11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EEEEEE"/>
          </w:tcPr>
          <w:p>
            <w:pPr>
              <w:ind w:left="120"/>
              <w:spacing w:after="0" w:line="149" w:lineRule="exact"/>
              <w:rPr>
                <w:sz w:val="20"/>
                <w:szCs w:val="20"/>
                <w:color w:val="auto"/>
              </w:rPr>
            </w:pPr>
            <w:r>
              <w:rPr>
                <w:rFonts w:ascii="Arial" w:cs="Arial" w:eastAsia="Arial" w:hAnsi="Arial"/>
                <w:sz w:val="14"/>
                <w:szCs w:val="14"/>
                <w:color w:val="auto"/>
              </w:rPr>
              <w:t>CPS 2013-B</w:t>
            </w:r>
          </w:p>
        </w:tc>
        <w:tc>
          <w:tcPr>
            <w:tcW w:w="2100" w:type="dxa"/>
            <w:vAlign w:val="bottom"/>
            <w:gridSpan w:val="2"/>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September 2020</w:t>
            </w: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205,000</w:t>
            </w: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18,407</w:t>
            </w:r>
          </w:p>
        </w:tc>
        <w:tc>
          <w:tcPr>
            <w:tcW w:w="100" w:type="dxa"/>
            <w:vAlign w:val="bottom"/>
            <w:shd w:val="clear" w:color="auto" w:fill="EEEEEE"/>
          </w:tcPr>
          <w:p>
            <w:pPr>
              <w:spacing w:after="0"/>
              <w:rPr>
                <w:sz w:val="12"/>
                <w:szCs w:val="12"/>
                <w:color w:val="auto"/>
              </w:rPr>
            </w:pPr>
          </w:p>
        </w:tc>
        <w:tc>
          <w:tcPr>
            <w:tcW w:w="13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CPS 2013-C</w:t>
            </w:r>
          </w:p>
        </w:tc>
        <w:tc>
          <w:tcPr>
            <w:tcW w:w="21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December 2020</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205,000</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25,559</w:t>
            </w:r>
          </w:p>
        </w:tc>
        <w:tc>
          <w:tcPr>
            <w:tcW w:w="10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EEEEEE"/>
          </w:tcPr>
          <w:p>
            <w:pPr>
              <w:ind w:left="120"/>
              <w:spacing w:after="0" w:line="149" w:lineRule="exact"/>
              <w:rPr>
                <w:sz w:val="20"/>
                <w:szCs w:val="20"/>
                <w:color w:val="auto"/>
              </w:rPr>
            </w:pPr>
            <w:r>
              <w:rPr>
                <w:rFonts w:ascii="Arial" w:cs="Arial" w:eastAsia="Arial" w:hAnsi="Arial"/>
                <w:sz w:val="14"/>
                <w:szCs w:val="14"/>
                <w:color w:val="auto"/>
              </w:rPr>
              <w:t>CPS 2013-D</w:t>
            </w:r>
          </w:p>
        </w:tc>
        <w:tc>
          <w:tcPr>
            <w:tcW w:w="2100" w:type="dxa"/>
            <w:vAlign w:val="bottom"/>
            <w:gridSpan w:val="2"/>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March 2021</w:t>
            </w: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183,000</w:t>
            </w: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24,917</w:t>
            </w:r>
          </w:p>
        </w:tc>
        <w:tc>
          <w:tcPr>
            <w:tcW w:w="100" w:type="dxa"/>
            <w:vAlign w:val="bottom"/>
            <w:shd w:val="clear" w:color="auto" w:fill="EEEEEE"/>
          </w:tcPr>
          <w:p>
            <w:pPr>
              <w:spacing w:after="0"/>
              <w:rPr>
                <w:sz w:val="12"/>
                <w:szCs w:val="12"/>
                <w:color w:val="auto"/>
              </w:rPr>
            </w:pPr>
          </w:p>
        </w:tc>
        <w:tc>
          <w:tcPr>
            <w:tcW w:w="13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CPS 2014-A</w:t>
            </w:r>
          </w:p>
        </w:tc>
        <w:tc>
          <w:tcPr>
            <w:tcW w:w="21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June 2021</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20,652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180,000</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18,447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30,521</w:t>
            </w:r>
          </w:p>
        </w:tc>
        <w:tc>
          <w:tcPr>
            <w:tcW w:w="10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EEEEEE"/>
          </w:tcPr>
          <w:p>
            <w:pPr>
              <w:ind w:left="120"/>
              <w:spacing w:after="0" w:line="149" w:lineRule="exact"/>
              <w:rPr>
                <w:sz w:val="20"/>
                <w:szCs w:val="20"/>
                <w:color w:val="auto"/>
              </w:rPr>
            </w:pPr>
            <w:r>
              <w:rPr>
                <w:rFonts w:ascii="Arial" w:cs="Arial" w:eastAsia="Arial" w:hAnsi="Arial"/>
                <w:sz w:val="14"/>
                <w:szCs w:val="14"/>
                <w:color w:val="auto"/>
              </w:rPr>
              <w:t>CPS 2014-B</w:t>
            </w:r>
          </w:p>
        </w:tc>
        <w:tc>
          <w:tcPr>
            <w:tcW w:w="2100" w:type="dxa"/>
            <w:vAlign w:val="bottom"/>
            <w:gridSpan w:val="2"/>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September 2021</w:t>
            </w: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30,370</w:t>
            </w: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202,500</w:t>
            </w: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28,542</w:t>
            </w: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44,516</w:t>
            </w:r>
          </w:p>
        </w:tc>
        <w:tc>
          <w:tcPr>
            <w:tcW w:w="100" w:type="dxa"/>
            <w:vAlign w:val="bottom"/>
            <w:shd w:val="clear" w:color="auto" w:fill="EEEEEE"/>
          </w:tcPr>
          <w:p>
            <w:pPr>
              <w:spacing w:after="0"/>
              <w:rPr>
                <w:sz w:val="12"/>
                <w:szCs w:val="12"/>
                <w:color w:val="auto"/>
              </w:rPr>
            </w:pPr>
          </w:p>
        </w:tc>
        <w:tc>
          <w:tcPr>
            <w:tcW w:w="13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CPS 2014-C</w:t>
            </w:r>
          </w:p>
        </w:tc>
        <w:tc>
          <w:tcPr>
            <w:tcW w:w="21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December 2021</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49,690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273,000</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47,685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71,174</w:t>
            </w:r>
          </w:p>
        </w:tc>
        <w:tc>
          <w:tcPr>
            <w:tcW w:w="10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EEEEEE"/>
          </w:tcPr>
          <w:p>
            <w:pPr>
              <w:ind w:left="120"/>
              <w:spacing w:after="0" w:line="149" w:lineRule="exact"/>
              <w:rPr>
                <w:sz w:val="20"/>
                <w:szCs w:val="20"/>
                <w:color w:val="auto"/>
              </w:rPr>
            </w:pPr>
            <w:r>
              <w:rPr>
                <w:rFonts w:ascii="Arial" w:cs="Arial" w:eastAsia="Arial" w:hAnsi="Arial"/>
                <w:sz w:val="14"/>
                <w:szCs w:val="14"/>
                <w:color w:val="auto"/>
              </w:rPr>
              <w:t>CPS 2014-D</w:t>
            </w:r>
          </w:p>
        </w:tc>
        <w:tc>
          <w:tcPr>
            <w:tcW w:w="2100" w:type="dxa"/>
            <w:vAlign w:val="bottom"/>
            <w:gridSpan w:val="2"/>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March 2022</w:t>
            </w: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55,838</w:t>
            </w: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267,500</w:t>
            </w: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53,711</w:t>
            </w: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79,099</w:t>
            </w:r>
          </w:p>
        </w:tc>
        <w:tc>
          <w:tcPr>
            <w:tcW w:w="100" w:type="dxa"/>
            <w:vAlign w:val="bottom"/>
            <w:shd w:val="clear" w:color="auto" w:fill="EEEEEE"/>
          </w:tcPr>
          <w:p>
            <w:pPr>
              <w:spacing w:after="0"/>
              <w:rPr>
                <w:sz w:val="12"/>
                <w:szCs w:val="12"/>
                <w:color w:val="auto"/>
              </w:rPr>
            </w:pPr>
          </w:p>
        </w:tc>
        <w:tc>
          <w:tcPr>
            <w:tcW w:w="13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CPS 2015-A</w:t>
            </w:r>
          </w:p>
        </w:tc>
        <w:tc>
          <w:tcPr>
            <w:tcW w:w="21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June 2022</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62,557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245,000</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60,077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87,194</w:t>
            </w:r>
          </w:p>
        </w:tc>
        <w:tc>
          <w:tcPr>
            <w:tcW w:w="10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EEEEEE"/>
          </w:tcPr>
          <w:p>
            <w:pPr>
              <w:ind w:left="120"/>
              <w:spacing w:after="0" w:line="149" w:lineRule="exact"/>
              <w:rPr>
                <w:sz w:val="20"/>
                <w:szCs w:val="20"/>
                <w:color w:val="auto"/>
              </w:rPr>
            </w:pPr>
            <w:r>
              <w:rPr>
                <w:rFonts w:ascii="Arial" w:cs="Arial" w:eastAsia="Arial" w:hAnsi="Arial"/>
                <w:sz w:val="14"/>
                <w:szCs w:val="14"/>
                <w:color w:val="auto"/>
              </w:rPr>
              <w:t>CPS 2015-B</w:t>
            </w:r>
          </w:p>
        </w:tc>
        <w:tc>
          <w:tcPr>
            <w:tcW w:w="2100" w:type="dxa"/>
            <w:vAlign w:val="bottom"/>
            <w:gridSpan w:val="2"/>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September 2022</w:t>
            </w: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74,678</w:t>
            </w: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250,000</w:t>
            </w: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73,012</w:t>
            </w: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102,873</w:t>
            </w:r>
          </w:p>
        </w:tc>
        <w:tc>
          <w:tcPr>
            <w:tcW w:w="100" w:type="dxa"/>
            <w:vAlign w:val="bottom"/>
            <w:shd w:val="clear" w:color="auto" w:fill="EEEEEE"/>
          </w:tcPr>
          <w:p>
            <w:pPr>
              <w:spacing w:after="0"/>
              <w:rPr>
                <w:sz w:val="12"/>
                <w:szCs w:val="12"/>
                <w:color w:val="auto"/>
              </w:rPr>
            </w:pPr>
          </w:p>
        </w:tc>
        <w:tc>
          <w:tcPr>
            <w:tcW w:w="13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CPS 2015-C</w:t>
            </w:r>
          </w:p>
        </w:tc>
        <w:tc>
          <w:tcPr>
            <w:tcW w:w="21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December 2022</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103,397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300,000</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102,156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141,362</w:t>
            </w:r>
          </w:p>
        </w:tc>
        <w:tc>
          <w:tcPr>
            <w:tcW w:w="10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EEEEEE"/>
          </w:tcPr>
          <w:p>
            <w:pPr>
              <w:ind w:left="120"/>
              <w:spacing w:after="0" w:line="149" w:lineRule="exact"/>
              <w:rPr>
                <w:sz w:val="20"/>
                <w:szCs w:val="20"/>
                <w:color w:val="auto"/>
              </w:rPr>
            </w:pPr>
            <w:r>
              <w:rPr>
                <w:rFonts w:ascii="Arial" w:cs="Arial" w:eastAsia="Arial" w:hAnsi="Arial"/>
                <w:sz w:val="14"/>
                <w:szCs w:val="14"/>
                <w:color w:val="auto"/>
              </w:rPr>
              <w:t>CPS 2016-A</w:t>
            </w:r>
          </w:p>
        </w:tc>
        <w:tc>
          <w:tcPr>
            <w:tcW w:w="2100" w:type="dxa"/>
            <w:vAlign w:val="bottom"/>
            <w:gridSpan w:val="2"/>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March 2023</w:t>
            </w: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135,737</w:t>
            </w: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329,460</w:t>
            </w: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133,612</w:t>
            </w: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180,761</w:t>
            </w:r>
          </w:p>
        </w:tc>
        <w:tc>
          <w:tcPr>
            <w:tcW w:w="100" w:type="dxa"/>
            <w:vAlign w:val="bottom"/>
            <w:shd w:val="clear" w:color="auto" w:fill="EEEEEE"/>
          </w:tcPr>
          <w:p>
            <w:pPr>
              <w:spacing w:after="0"/>
              <w:rPr>
                <w:sz w:val="12"/>
                <w:szCs w:val="12"/>
                <w:color w:val="auto"/>
              </w:rPr>
            </w:pPr>
          </w:p>
        </w:tc>
        <w:tc>
          <w:tcPr>
            <w:tcW w:w="13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CPS 2016-B</w:t>
            </w:r>
          </w:p>
        </w:tc>
        <w:tc>
          <w:tcPr>
            <w:tcW w:w="21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June 2023</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153,931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332,690</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149,522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201,199</w:t>
            </w:r>
          </w:p>
        </w:tc>
        <w:tc>
          <w:tcPr>
            <w:tcW w:w="10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EEEEEE"/>
          </w:tcPr>
          <w:p>
            <w:pPr>
              <w:ind w:left="120"/>
              <w:spacing w:after="0" w:line="149" w:lineRule="exact"/>
              <w:rPr>
                <w:sz w:val="20"/>
                <w:szCs w:val="20"/>
                <w:color w:val="auto"/>
              </w:rPr>
            </w:pPr>
            <w:r>
              <w:rPr>
                <w:rFonts w:ascii="Arial" w:cs="Arial" w:eastAsia="Arial" w:hAnsi="Arial"/>
                <w:sz w:val="14"/>
                <w:szCs w:val="14"/>
                <w:color w:val="auto"/>
              </w:rPr>
              <w:t>CPS 2016-C</w:t>
            </w:r>
          </w:p>
        </w:tc>
        <w:tc>
          <w:tcPr>
            <w:tcW w:w="2100" w:type="dxa"/>
            <w:vAlign w:val="bottom"/>
            <w:gridSpan w:val="2"/>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September 2023</w:t>
            </w: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154,934</w:t>
            </w: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318,500</w:t>
            </w: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151,409</w:t>
            </w: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203,504</w:t>
            </w:r>
          </w:p>
        </w:tc>
        <w:tc>
          <w:tcPr>
            <w:tcW w:w="100" w:type="dxa"/>
            <w:vAlign w:val="bottom"/>
            <w:shd w:val="clear" w:color="auto" w:fill="EEEEEE"/>
          </w:tcPr>
          <w:p>
            <w:pPr>
              <w:spacing w:after="0"/>
              <w:rPr>
                <w:sz w:val="12"/>
                <w:szCs w:val="12"/>
                <w:color w:val="auto"/>
              </w:rPr>
            </w:pPr>
          </w:p>
        </w:tc>
        <w:tc>
          <w:tcPr>
            <w:tcW w:w="13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CPS 2016-D</w:t>
            </w:r>
          </w:p>
        </w:tc>
        <w:tc>
          <w:tcPr>
            <w:tcW w:w="21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April 2024</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117,334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206,325</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114,540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149,671</w:t>
            </w:r>
          </w:p>
        </w:tc>
        <w:tc>
          <w:tcPr>
            <w:tcW w:w="10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EEEEEE"/>
          </w:tcPr>
          <w:p>
            <w:pPr>
              <w:ind w:left="120"/>
              <w:spacing w:after="0" w:line="149" w:lineRule="exact"/>
              <w:rPr>
                <w:sz w:val="20"/>
                <w:szCs w:val="20"/>
                <w:color w:val="auto"/>
              </w:rPr>
            </w:pPr>
            <w:r>
              <w:rPr>
                <w:rFonts w:ascii="Arial" w:cs="Arial" w:eastAsia="Arial" w:hAnsi="Arial"/>
                <w:sz w:val="14"/>
                <w:szCs w:val="14"/>
                <w:color w:val="auto"/>
              </w:rPr>
              <w:t>CPS 2017-A</w:t>
            </w:r>
          </w:p>
        </w:tc>
        <w:tc>
          <w:tcPr>
            <w:tcW w:w="2100" w:type="dxa"/>
            <w:vAlign w:val="bottom"/>
            <w:gridSpan w:val="2"/>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April 2024</w:t>
            </w: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127,389</w:t>
            </w: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206,320</w:t>
            </w: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124,560</w:t>
            </w: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161,892</w:t>
            </w:r>
          </w:p>
        </w:tc>
        <w:tc>
          <w:tcPr>
            <w:tcW w:w="100" w:type="dxa"/>
            <w:vAlign w:val="bottom"/>
            <w:shd w:val="clear" w:color="auto" w:fill="EEEEEE"/>
          </w:tcPr>
          <w:p>
            <w:pPr>
              <w:spacing w:after="0"/>
              <w:rPr>
                <w:sz w:val="12"/>
                <w:szCs w:val="12"/>
                <w:color w:val="auto"/>
              </w:rPr>
            </w:pPr>
          </w:p>
        </w:tc>
        <w:tc>
          <w:tcPr>
            <w:tcW w:w="13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CPS 2017-B</w:t>
            </w:r>
          </w:p>
        </w:tc>
        <w:tc>
          <w:tcPr>
            <w:tcW w:w="21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December 2023</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153,829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225,170</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140,756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186,594</w:t>
            </w:r>
          </w:p>
        </w:tc>
        <w:tc>
          <w:tcPr>
            <w:tcW w:w="10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EEEEEE"/>
          </w:tcPr>
          <w:p>
            <w:pPr>
              <w:ind w:left="120"/>
              <w:spacing w:after="0" w:line="149" w:lineRule="exact"/>
              <w:rPr>
                <w:sz w:val="20"/>
                <w:szCs w:val="20"/>
                <w:color w:val="auto"/>
              </w:rPr>
            </w:pPr>
            <w:r>
              <w:rPr>
                <w:rFonts w:ascii="Arial" w:cs="Arial" w:eastAsia="Arial" w:hAnsi="Arial"/>
                <w:sz w:val="14"/>
                <w:szCs w:val="14"/>
                <w:color w:val="auto"/>
              </w:rPr>
              <w:t>CPS 2017-C</w:t>
            </w:r>
          </w:p>
        </w:tc>
        <w:tc>
          <w:tcPr>
            <w:tcW w:w="2100" w:type="dxa"/>
            <w:vAlign w:val="bottom"/>
            <w:gridSpan w:val="2"/>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September 2024</w:t>
            </w: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156,928</w:t>
            </w: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224,825</w:t>
            </w: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146,720</w:t>
            </w: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197,155</w:t>
            </w:r>
          </w:p>
        </w:tc>
        <w:tc>
          <w:tcPr>
            <w:tcW w:w="100" w:type="dxa"/>
            <w:vAlign w:val="bottom"/>
            <w:shd w:val="clear" w:color="auto" w:fill="EEEEEE"/>
          </w:tcPr>
          <w:p>
            <w:pPr>
              <w:spacing w:after="0"/>
              <w:rPr>
                <w:sz w:val="12"/>
                <w:szCs w:val="12"/>
                <w:color w:val="auto"/>
              </w:rPr>
            </w:pPr>
          </w:p>
        </w:tc>
        <w:tc>
          <w:tcPr>
            <w:tcW w:w="13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CPS 2017-D</w:t>
            </w:r>
          </w:p>
        </w:tc>
        <w:tc>
          <w:tcPr>
            <w:tcW w:w="21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June 2024</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155,682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196,300</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146,842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189,277</w:t>
            </w:r>
          </w:p>
        </w:tc>
        <w:tc>
          <w:tcPr>
            <w:tcW w:w="10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EEEEEE"/>
          </w:tcPr>
          <w:p>
            <w:pPr>
              <w:ind w:left="120"/>
              <w:spacing w:after="0" w:line="149" w:lineRule="exact"/>
              <w:rPr>
                <w:sz w:val="20"/>
                <w:szCs w:val="20"/>
                <w:color w:val="auto"/>
              </w:rPr>
            </w:pPr>
            <w:r>
              <w:rPr>
                <w:rFonts w:ascii="Arial" w:cs="Arial" w:eastAsia="Arial" w:hAnsi="Arial"/>
                <w:sz w:val="14"/>
                <w:szCs w:val="14"/>
                <w:color w:val="auto"/>
              </w:rPr>
              <w:t>CPS 2018-A</w:t>
            </w:r>
          </w:p>
        </w:tc>
        <w:tc>
          <w:tcPr>
            <w:tcW w:w="2100" w:type="dxa"/>
            <w:vAlign w:val="bottom"/>
            <w:gridSpan w:val="2"/>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March 2025</w:t>
            </w: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164,281</w:t>
            </w: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190,000</w:t>
            </w: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154,758</w:t>
            </w: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320" w:type="dxa"/>
            <w:vAlign w:val="bottom"/>
            <w:gridSpan w:val="3"/>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CPS 2018-B</w:t>
            </w:r>
          </w:p>
        </w:tc>
        <w:tc>
          <w:tcPr>
            <w:tcW w:w="21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December 2024</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188,338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201,823</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180,508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62"/>
        </w:trPr>
        <w:tc>
          <w:tcPr>
            <w:tcW w:w="2200" w:type="dxa"/>
            <w:vAlign w:val="bottom"/>
            <w:gridSpan w:val="2"/>
            <w:shd w:val="clear" w:color="auto" w:fill="EEEEEE"/>
          </w:tcPr>
          <w:p>
            <w:pPr>
              <w:ind w:left="120"/>
              <w:spacing w:after="0"/>
              <w:rPr>
                <w:sz w:val="20"/>
                <w:szCs w:val="20"/>
                <w:color w:val="auto"/>
              </w:rPr>
            </w:pPr>
            <w:r>
              <w:rPr>
                <w:rFonts w:ascii="Arial" w:cs="Arial" w:eastAsia="Arial" w:hAnsi="Arial"/>
                <w:sz w:val="14"/>
                <w:szCs w:val="14"/>
                <w:color w:val="auto"/>
              </w:rPr>
              <w:t>CPS 2018-C</w:t>
            </w:r>
          </w:p>
        </w:tc>
        <w:tc>
          <w:tcPr>
            <w:tcW w:w="2100" w:type="dxa"/>
            <w:vAlign w:val="bottom"/>
            <w:gridSpan w:val="2"/>
            <w:shd w:val="clear" w:color="auto" w:fill="EEEEEE"/>
          </w:tcPr>
          <w:p>
            <w:pPr>
              <w:jc w:val="right"/>
              <w:ind w:right="188"/>
              <w:spacing w:after="0"/>
              <w:rPr>
                <w:sz w:val="20"/>
                <w:szCs w:val="20"/>
                <w:color w:val="auto"/>
              </w:rPr>
            </w:pPr>
            <w:r>
              <w:rPr>
                <w:rFonts w:ascii="Arial" w:cs="Arial" w:eastAsia="Arial" w:hAnsi="Arial"/>
                <w:sz w:val="14"/>
                <w:szCs w:val="14"/>
                <w:color w:val="auto"/>
              </w:rPr>
              <w:t>September 2025</w:t>
            </w: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229,241</w:t>
            </w:r>
          </w:p>
        </w:tc>
        <w:tc>
          <w:tcPr>
            <w:tcW w:w="12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230,275</w:t>
            </w:r>
          </w:p>
        </w:tc>
        <w:tc>
          <w:tcPr>
            <w:tcW w:w="120" w:type="dxa"/>
            <w:vAlign w:val="bottom"/>
            <w:shd w:val="clear" w:color="auto" w:fill="EEEEEE"/>
          </w:tcPr>
          <w:p>
            <w:pPr>
              <w:spacing w:after="0"/>
              <w:rPr>
                <w:sz w:val="14"/>
                <w:szCs w:val="14"/>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219,216</w:t>
            </w:r>
          </w:p>
        </w:tc>
        <w:tc>
          <w:tcPr>
            <w:tcW w:w="1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320" w:type="dxa"/>
            <w:vAlign w:val="bottom"/>
            <w:gridSpan w:val="3"/>
            <w:shd w:val="clear" w:color="auto" w:fill="EEEEEE"/>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2,134,806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4,972,688</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2,046,073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2,095,675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ind w:left="60"/>
              <w:spacing w:after="0"/>
              <w:rPr>
                <w:sz w:val="20"/>
                <w:szCs w:val="20"/>
                <w:color w:val="auto"/>
              </w:rPr>
            </w:pPr>
            <w:r>
              <w:rPr>
                <w:rFonts w:ascii="Arial" w:cs="Arial" w:eastAsia="Arial" w:hAnsi="Arial"/>
                <w:sz w:val="22"/>
                <w:szCs w:val="22"/>
                <w:color w:val="auto"/>
              </w:rPr>
              <w:t>_</w:t>
            </w:r>
            <w:r>
              <w:rPr>
                <w:rFonts w:ascii="Arial" w:cs="Arial" w:eastAsia="Arial" w:hAnsi="Arial"/>
                <w:sz w:val="14"/>
                <w:szCs w:val="14"/>
                <w:color w:val="auto"/>
              </w:rPr>
              <w:t>________</w:t>
            </w:r>
          </w:p>
        </w:tc>
        <w:tc>
          <w:tcPr>
            <w:tcW w:w="240" w:type="dxa"/>
            <w:vAlign w:val="bottom"/>
            <w:vMerge w:val="restart"/>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96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left="340" w:hanging="332"/>
        <w:spacing w:after="0" w:line="238" w:lineRule="auto"/>
        <w:tabs>
          <w:tab w:leader="none" w:pos="34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$233.8 million in 2018, $853.1 million in 2019, $527.2 million in 2020, $272.2 million in 2021, $112.5 million in 2022, $35.5 million in 2023.</w:t>
      </w:r>
    </w:p>
    <w:p>
      <w:pPr>
        <w:spacing w:after="0" w:line="115" w:lineRule="exact"/>
        <w:rPr>
          <w:rFonts w:ascii="Arial" w:cs="Arial" w:eastAsia="Arial" w:hAnsi="Arial"/>
          <w:sz w:val="14"/>
          <w:szCs w:val="14"/>
          <w:i w:val="1"/>
          <w:iCs w:val="1"/>
          <w:color w:val="auto"/>
        </w:rPr>
      </w:pPr>
    </w:p>
    <w:p>
      <w:pPr>
        <w:ind w:left="340" w:hanging="332"/>
        <w:spacing w:after="0"/>
        <w:tabs>
          <w:tab w:leader="none" w:pos="34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repossessed assets that are included in Other assets on our Unaudited Condensed Consolidated Balance Sheet.</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Debt issuance costs of $11.8 million and $12.5 million as of September 30, 2018 and December 31, 2017, respectively, have been excluded from the table above. These debt issuance costs are presented as a direct deduction to the carrying amount of the securitization trust debt on our Unaudited Condensed Consolidated Balance Sheets.</w:t>
      </w:r>
    </w:p>
    <w:p>
      <w:pPr>
        <w:spacing w:after="0" w:line="18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September 30, 2018, we were in compliance with all such covenants.</w:t>
      </w:r>
    </w:p>
    <w:p>
      <w:pPr>
        <w:spacing w:after="0" w:line="166"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September 30, 2018, restricted cash under the various agreements totaled approximately $110.5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78"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On October 17, 2018 we completed our fourth securitization transaction of 2018. In the transaction, qualified institutional buyers purchased $233.7 million of asset-backed notes secured by $245 million in automobile receivables purchased by us. The sold notes, issued by CPS Auto Receivables Trust 2018-D, consist of five classes. Ratings of the notes were provided by Standard &amp; Poor’s and Kroll Bond Rating Agency, and were based on the structure of the transaction, the historical performance of similar receivables and CPS’s experience as a servicer. The weighted average yield on the notes is approximately 4.25%.</w:t>
      </w:r>
    </w:p>
    <w:p>
      <w:pPr>
        <w:spacing w:after="0" w:line="188"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terms and amounts of our other debt outstanding at September 30, 2018 and December 31, 2017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60" w:type="dxa"/>
            <w:vAlign w:val="bottom"/>
            <w:gridSpan w:val="6"/>
          </w:tcPr>
          <w:p>
            <w:pPr>
              <w:ind w:left="18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60" w:type="dxa"/>
            <w:vAlign w:val="bottom"/>
            <w:gridSpan w:val="2"/>
            <w:vMerge w:val="restart"/>
          </w:tcPr>
          <w:p>
            <w:pPr>
              <w:ind w:left="940"/>
              <w:spacing w:after="0"/>
              <w:rPr>
                <w:sz w:val="20"/>
                <w:szCs w:val="20"/>
                <w:color w:val="auto"/>
              </w:rPr>
            </w:pPr>
            <w:r>
              <w:rPr>
                <w:rFonts w:ascii="Arial" w:cs="Arial" w:eastAsia="Arial" w:hAnsi="Arial"/>
                <w:sz w:val="18"/>
                <w:szCs w:val="18"/>
                <w:color w:val="auto"/>
              </w:rPr>
              <w:t>Description</w:t>
            </w:r>
          </w:p>
        </w:tc>
        <w:tc>
          <w:tcPr>
            <w:tcW w:w="286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Interest Rate</w:t>
            </w:r>
          </w:p>
        </w:tc>
        <w:tc>
          <w:tcPr>
            <w:tcW w:w="28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6"/>
              </w:rPr>
              <w:t>Maturity</w:t>
            </w:r>
          </w:p>
        </w:tc>
        <w:tc>
          <w:tcPr>
            <w:tcW w:w="260" w:type="dxa"/>
            <w:vAlign w:val="bottom"/>
          </w:tcPr>
          <w:p>
            <w:pPr>
              <w:spacing w:after="0"/>
              <w:rPr>
                <w:sz w:val="19"/>
                <w:szCs w:val="19"/>
                <w:color w:val="auto"/>
              </w:rPr>
            </w:pPr>
          </w:p>
        </w:tc>
        <w:tc>
          <w:tcPr>
            <w:tcW w:w="1680" w:type="dxa"/>
            <w:vAlign w:val="bottom"/>
            <w:gridSpan w:val="4"/>
          </w:tcPr>
          <w:p>
            <w:pPr>
              <w:ind w:left="540"/>
              <w:spacing w:after="0"/>
              <w:rPr>
                <w:sz w:val="20"/>
                <w:szCs w:val="20"/>
                <w:color w:val="auto"/>
              </w:rPr>
            </w:pPr>
            <w:r>
              <w:rPr>
                <w:rFonts w:ascii="Arial" w:cs="Arial" w:eastAsia="Arial" w:hAnsi="Arial"/>
                <w:sz w:val="18"/>
                <w:szCs w:val="18"/>
                <w:b w:val="1"/>
                <w:bCs w:val="1"/>
                <w:color w:val="auto"/>
                <w:w w:val="90"/>
              </w:rPr>
              <w:t>(In thousands)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6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91"/>
              </w:rPr>
              <w:t>5.50% over one month Libor</w:t>
            </w:r>
          </w:p>
        </w:tc>
        <w:tc>
          <w:tcPr>
            <w:tcW w:w="27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86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6"/>
              </w:rPr>
              <w:t>(Minimum 6.50%)</w:t>
            </w:r>
          </w:p>
        </w:tc>
        <w:tc>
          <w:tcPr>
            <w:tcW w:w="286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6"/>
              </w:rPr>
              <w:t>April 2019</w:t>
            </w:r>
          </w:p>
        </w:tc>
        <w:tc>
          <w:tcPr>
            <w:tcW w:w="260" w:type="dxa"/>
            <w:vAlign w:val="bottom"/>
            <w:shd w:val="clear" w:color="auto" w:fill="EEEEEE"/>
          </w:tcPr>
          <w:p>
            <w:pPr>
              <w:jc w:val="right"/>
              <w:ind w:right="1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79,438</w:t>
            </w:r>
          </w:p>
        </w:tc>
        <w:tc>
          <w:tcPr>
            <w:tcW w:w="520" w:type="dxa"/>
            <w:vAlign w:val="bottom"/>
            <w:gridSpan w:val="2"/>
            <w:shd w:val="clear" w:color="auto" w:fill="EEEEEE"/>
          </w:tcPr>
          <w:p>
            <w:pPr>
              <w:jc w:val="right"/>
              <w:ind w:right="19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6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91"/>
              </w:rPr>
              <w:t>3.00% over one month Libor</w:t>
            </w:r>
          </w:p>
        </w:tc>
        <w:tc>
          <w:tcPr>
            <w:tcW w:w="27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86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6"/>
              </w:rPr>
              <w:t>(Minimum 4.5%)</w:t>
            </w:r>
          </w:p>
        </w:tc>
        <w:tc>
          <w:tcPr>
            <w:tcW w:w="286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88"/>
              </w:rPr>
              <w:t>September 2020</w:t>
            </w:r>
          </w:p>
        </w:tc>
        <w:tc>
          <w:tcPr>
            <w:tcW w:w="2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38,241</w:t>
            </w:r>
          </w:p>
        </w:tc>
        <w:tc>
          <w:tcPr>
            <w:tcW w:w="16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6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89"/>
              </w:rPr>
              <w:t>6.75% over a commercial paper rate</w:t>
            </w:r>
          </w:p>
        </w:tc>
        <w:tc>
          <w:tcPr>
            <w:tcW w:w="27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86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6"/>
              </w:rPr>
              <w:t>(Minimum 7.75%)</w:t>
            </w:r>
          </w:p>
        </w:tc>
        <w:tc>
          <w:tcPr>
            <w:tcW w:w="286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0"/>
              </w:rPr>
              <w:t>November 2019</w:t>
            </w:r>
          </w:p>
        </w:tc>
        <w:tc>
          <w:tcPr>
            <w:tcW w:w="2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11,599</w:t>
            </w:r>
          </w:p>
        </w:tc>
        <w:tc>
          <w:tcPr>
            <w:tcW w:w="16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8.60%</w:t>
            </w:r>
          </w:p>
        </w:tc>
        <w:tc>
          <w:tcPr>
            <w:tcW w:w="120" w:type="dxa"/>
            <w:vAlign w:val="bottom"/>
            <w:shd w:val="clear" w:color="auto" w:fill="EEEEEE"/>
          </w:tcPr>
          <w:p>
            <w:pPr>
              <w:spacing w:after="0"/>
              <w:rPr>
                <w:sz w:val="18"/>
                <w:szCs w:val="18"/>
                <w:color w:val="auto"/>
              </w:rPr>
            </w:pPr>
          </w:p>
        </w:tc>
        <w:tc>
          <w:tcPr>
            <w:tcW w:w="286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7"/>
              </w:rPr>
              <w:t>January 2026</w:t>
            </w: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6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88"/>
              </w:rPr>
              <w:t>Weighted average rate of 8.31% and</w:t>
            </w:r>
          </w:p>
        </w:tc>
        <w:tc>
          <w:tcPr>
            <w:tcW w:w="2860" w:type="dxa"/>
            <w:vAlign w:val="bottom"/>
            <w:gridSpan w:val="2"/>
            <w:shd w:val="clear" w:color="auto" w:fill="EEEEEE"/>
          </w:tcPr>
          <w:p>
            <w:pPr>
              <w:jc w:val="center"/>
              <w:ind w:right="120"/>
              <w:spacing w:after="0" w:line="201" w:lineRule="exact"/>
              <w:rPr>
                <w:sz w:val="20"/>
                <w:szCs w:val="20"/>
                <w:color w:val="auto"/>
              </w:rPr>
            </w:pPr>
            <w:r>
              <w:rPr>
                <w:rFonts w:ascii="Arial" w:cs="Arial" w:eastAsia="Arial" w:hAnsi="Arial"/>
                <w:sz w:val="18"/>
                <w:szCs w:val="18"/>
                <w:color w:val="auto"/>
                <w:w w:val="91"/>
              </w:rPr>
              <w:t>Weighted average maturity of August</w:t>
            </w:r>
          </w:p>
        </w:tc>
        <w:tc>
          <w:tcPr>
            <w:tcW w:w="2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6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8"/>
              </w:rPr>
              <w:t>7.99% at September 30, 2018 and</w:t>
            </w:r>
          </w:p>
        </w:tc>
        <w:tc>
          <w:tcPr>
            <w:tcW w:w="286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89"/>
              </w:rPr>
              <w:t>2020 and March 2020 at September</w:t>
            </w: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6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89"/>
              </w:rPr>
              <w:t>December 31, 2017,</w:t>
            </w:r>
          </w:p>
        </w:tc>
        <w:tc>
          <w:tcPr>
            <w:tcW w:w="286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9"/>
              </w:rPr>
              <w:t>30, 2018 and December 31, 2017,</w:t>
            </w: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86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2"/>
              </w:rPr>
              <w:t>respectively</w:t>
            </w:r>
          </w:p>
        </w:tc>
        <w:tc>
          <w:tcPr>
            <w:tcW w:w="286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0"/>
              </w:rPr>
              <w:t>respectively</w:t>
            </w:r>
          </w:p>
        </w:tc>
        <w:tc>
          <w:tcPr>
            <w:tcW w:w="2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16,948</w:t>
            </w:r>
          </w:p>
        </w:tc>
        <w:tc>
          <w:tcPr>
            <w:tcW w:w="16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16,566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274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274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274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274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jc w:val="right"/>
              <w:ind w:right="10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186,226</w:t>
            </w: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360" w:type="dxa"/>
            <w:vAlign w:val="bottom"/>
            <w:tcBorders>
              <w:bottom w:val="single" w:sz="8" w:color="auto"/>
            </w:tcBorders>
            <w:shd w:val="clear" w:color="auto" w:fill="EEEEEE"/>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130,841</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On September 21, 2018, we renewed our $100 million warehouse credit line that was first established in May 2012. There was $38.2 million outstanding under this facility at September 30, 2018. The revolving period for this facility was extended to September 2020 followed by an amortization period through September 2021 for any receivables pledged at the end of the revolving period.</w:t>
      </w:r>
    </w:p>
    <w:p>
      <w:pPr>
        <w:spacing w:after="0" w:line="18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On May 16, 2018, we completed a $40 million securitization of residual interests from previously issued securitizations. In this residual interest financing transaction, qualified institutional buyers purchased $40.0 million of asset-backed notes secured by residual interests in thirteen CPS securitizations consecutively conducted from September 2013 through December 2016, and an 80% interest in a CPS affiliate that owns the residual interests in the four CPS securitizations conducted in 2017. The sold notes (“2018-1 Notes”), issued by CPS Auto Securitization Trust 2018-1, consist of a single class with a coupon of 8.595%.</w:t>
      </w:r>
    </w:p>
    <w:p>
      <w:pPr>
        <w:spacing w:after="0" w:line="188"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The agreed valuation of the collateral for the 2018-1 Notes is the sum of the amounts on deposit in the underlying spread accounts for each related securitization and the over-collateralization of each related securitization, which is the difference between the outstanding principal balances of the related receivables less the principal balance of the outstanding notes issued in the related securitization. With respect to the securitizations conducted by CPS in 2017, only 80% of such amounts are included in the collateral. On each monthly payment date, the 2018-1 Notes are entitled to interest at the coupon rate and, if necessary, a principal payment necessary to maintain a specified minimum collateral ratio.</w:t>
      </w:r>
    </w:p>
    <w:p>
      <w:pPr>
        <w:spacing w:after="0" w:line="173"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Unamortized debt issuance costs of $987,000 have been excluded from the amount reported above for residual interest financing. Similarly, unamortized debt issuance costs of $1.6 million and $1.9 million as of September 30, 2018 and December 31, 2017, respectively, have been excluded from the Warehouse lines of credit amounts in the table above. These debt issuance costs are presented as a direct deduction to the carrying amount of the debt on our Unaudited Condensed Consolidated Balance Sheets.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i w:val="1"/>
                <w:iCs w:val="1"/>
                <w:color w:val="auto"/>
              </w:rPr>
              <w:t>Interest Income and Interest Expense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720" w:type="dxa"/>
            <w:vAlign w:val="bottom"/>
          </w:tcPr>
          <w:p>
            <w:pPr>
              <w:ind w:left="360"/>
              <w:spacing w:after="0"/>
              <w:rPr>
                <w:sz w:val="20"/>
                <w:szCs w:val="20"/>
                <w:color w:val="auto"/>
              </w:rPr>
            </w:pPr>
            <w:r>
              <w:rPr>
                <w:rFonts w:ascii="Arial" w:cs="Arial" w:eastAsia="Arial" w:hAnsi="Arial"/>
                <w:sz w:val="18"/>
                <w:szCs w:val="18"/>
                <w:color w:val="auto"/>
              </w:rPr>
              <w:t>The following table presents the components of interest income: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246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9"/>
              </w:rPr>
              <w:t>September 30,</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0"/>
              </w:rPr>
              <w:t>(In thousands)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gridSpan w:val="2"/>
          </w:tcPr>
          <w:p>
            <w:pPr>
              <w:spacing w:after="0"/>
              <w:rPr>
                <w:sz w:val="18"/>
                <w:szCs w:val="18"/>
                <w:color w:val="auto"/>
              </w:rPr>
            </w:pPr>
          </w:p>
        </w:tc>
      </w:t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79,573</w:t>
            </w: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106,830</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264,545</w:t>
            </w:r>
          </w:p>
        </w:tc>
        <w:tc>
          <w:tcPr>
            <w:tcW w:w="380" w:type="dxa"/>
            <w:vAlign w:val="bottom"/>
            <w:gridSpan w:val="2"/>
            <w:shd w:val="clear" w:color="auto" w:fill="EEEEEE"/>
          </w:tcPr>
          <w:p>
            <w:pPr>
              <w:jc w:val="right"/>
              <w:ind w:right="25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318,670</w:t>
            </w:r>
          </w:p>
        </w:tc>
        <w:tc>
          <w:tcPr>
            <w:tcW w:w="80" w:type="dxa"/>
            <w:vAlign w:val="bottom"/>
            <w:shd w:val="clear" w:color="auto" w:fill="EEEEEE"/>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Interest on finance receivables at fair value</w:t>
            </w:r>
          </w:p>
        </w:tc>
        <w:tc>
          <w:tcPr>
            <w:tcW w:w="2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13,482</w:t>
            </w:r>
          </w:p>
        </w:tc>
        <w:tc>
          <w:tcPr>
            <w:tcW w:w="3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25,822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Other interest income</w:t>
            </w:r>
          </w:p>
        </w:tc>
        <w:tc>
          <w:tcPr>
            <w:tcW w:w="24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562</w:t>
            </w:r>
          </w:p>
        </w:tc>
        <w:tc>
          <w:tcPr>
            <w:tcW w:w="3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1,168</w:t>
            </w:r>
          </w:p>
        </w:tc>
        <w:tc>
          <w:tcPr>
            <w:tcW w:w="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404</w:t>
            </w:r>
          </w:p>
        </w:tc>
        <w:tc>
          <w:tcPr>
            <w:tcW w:w="80" w:type="dxa"/>
            <w:vAlign w:val="bottom"/>
            <w:shd w:val="clear" w:color="auto" w:fill="EEEEEE"/>
          </w:tcPr>
          <w:p>
            <w:pPr>
              <w:spacing w:after="0"/>
              <w:rPr>
                <w:sz w:val="19"/>
                <w:szCs w:val="19"/>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93,617</w:t>
            </w:r>
          </w:p>
        </w:tc>
        <w:tc>
          <w:tcPr>
            <w:tcW w:w="3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107,014</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291,535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components of interest expense:</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trust debt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Warehouse lines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Residual interest financing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Subordinated renewable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r>
      <w:tr>
        <w:trPr>
          <w:trHeight w:val="195"/>
        </w:trPr>
        <w:tc>
          <w:tcPr>
            <w:tcW w:w="240" w:type="dxa"/>
            <w:vAlign w:val="bottom"/>
          </w:tcPr>
          <w:p>
            <w:pPr>
              <w:spacing w:after="0"/>
              <w:rPr>
                <w:sz w:val="16"/>
                <w:szCs w:val="16"/>
                <w:color w:val="auto"/>
              </w:rPr>
            </w:pPr>
          </w:p>
        </w:tc>
        <w:tc>
          <w:tcPr>
            <w:tcW w:w="1660" w:type="dxa"/>
            <w:vAlign w:val="bottom"/>
            <w:gridSpan w:val="2"/>
          </w:tcPr>
          <w:p>
            <w:pPr>
              <w:jc w:val="right"/>
              <w:spacing w:after="0" w:line="195" w:lineRule="exact"/>
              <w:rPr>
                <w:sz w:val="20"/>
                <w:szCs w:val="20"/>
                <w:color w:val="auto"/>
              </w:rPr>
            </w:pPr>
            <w:r>
              <w:rPr>
                <w:rFonts w:ascii="Arial" w:cs="Arial" w:eastAsia="Arial" w:hAnsi="Arial"/>
                <w:sz w:val="18"/>
                <w:szCs w:val="18"/>
                <w:b w:val="1"/>
                <w:bCs w:val="1"/>
                <w:color w:val="auto"/>
              </w:rPr>
              <w:t>(In thousands)</w:t>
            </w:r>
          </w:p>
        </w:tc>
        <w:tc>
          <w:tcPr>
            <w:tcW w:w="780" w:type="dxa"/>
            <w:vAlign w:val="bottom"/>
          </w:tcPr>
          <w:p>
            <w:pPr>
              <w:spacing w:after="0"/>
              <w:rPr>
                <w:sz w:val="16"/>
                <w:szCs w:val="16"/>
                <w:color w:val="auto"/>
              </w:rPr>
            </w:pPr>
          </w:p>
        </w:tc>
      </w:tr>
      <w:tr>
        <w:trPr>
          <w:trHeight w:val="216"/>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22,678</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20,973</w:t>
            </w:r>
          </w:p>
        </w:tc>
      </w:tr>
      <w:tr>
        <w:trPr>
          <w:trHeight w:val="216"/>
        </w:trPr>
        <w:tc>
          <w:tcPr>
            <w:tcW w:w="24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1,827</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1,994</w:t>
            </w:r>
          </w:p>
        </w:tc>
      </w:tr>
      <w:tr>
        <w:trPr>
          <w:trHeight w:val="230"/>
        </w:trPr>
        <w:tc>
          <w:tcPr>
            <w:tcW w:w="24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936</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-410845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-136525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400" w:hanging="1508"/>
        <w:spacing w:after="0"/>
        <w:tabs>
          <w:tab w:leader="none" w:pos="2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350</w:t>
      </w:r>
    </w:p>
    <w:p>
      <w:pPr>
        <w:spacing w:after="0" w:line="5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$25,808$</w:t>
      </w:r>
      <w:r>
        <w:rPr>
          <w:rFonts w:ascii="Arial" w:cs="Arial" w:eastAsia="Arial" w:hAnsi="Arial"/>
          <w:sz w:val="16"/>
          <w:szCs w:val="16"/>
          <w:color w:val="auto"/>
        </w:rPr>
        <w:t>23,317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-139065</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r>
      <w:tr>
        <w:trPr>
          <w:trHeight w:val="195"/>
        </w:trPr>
        <w:tc>
          <w:tcPr>
            <w:tcW w:w="240" w:type="dxa"/>
            <w:vAlign w:val="bottom"/>
          </w:tcPr>
          <w:p>
            <w:pPr>
              <w:spacing w:after="0"/>
              <w:rPr>
                <w:sz w:val="16"/>
                <w:szCs w:val="16"/>
                <w:color w:val="auto"/>
              </w:rPr>
            </w:pPr>
          </w:p>
        </w:tc>
        <w:tc>
          <w:tcPr>
            <w:tcW w:w="2360" w:type="dxa"/>
            <w:vAlign w:val="bottom"/>
            <w:gridSpan w:val="5"/>
          </w:tcPr>
          <w:p>
            <w:pPr>
              <w:jc w:val="right"/>
              <w:ind w:right="650"/>
              <w:spacing w:after="0" w:line="195" w:lineRule="exact"/>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6"/>
                <w:szCs w:val="16"/>
                <w:color w:val="auto"/>
              </w:rPr>
            </w:pPr>
          </w:p>
        </w:tc>
      </w:tr>
      <w:tr>
        <w:trPr>
          <w:trHeight w:val="216"/>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66,762</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61,589</w:t>
            </w:r>
          </w:p>
        </w:tc>
      </w:tr>
      <w:tr>
        <w:trPr>
          <w:trHeight w:val="216"/>
        </w:trPr>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5,850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6,081</w:t>
            </w:r>
          </w:p>
        </w:tc>
      </w:tr>
      <w:tr>
        <w:trPr>
          <w:trHeight w:val="230"/>
        </w:trPr>
        <w:tc>
          <w:tcPr>
            <w:tcW w:w="24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1,387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4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1,058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971</w:t>
            </w:r>
          </w:p>
        </w:tc>
      </w:tr>
      <w:tr>
        <w:trPr>
          <w:trHeight w:val="223"/>
        </w:trPr>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75,057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68,641</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5000" w:space="720"/>
            <w:col w:w="2680" w:space="320"/>
            <w:col w:w="2700"/>
          </w:cols>
          <w:pgMar w:left="240" w:top="796" w:right="2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Earnings per share for the three-month and nine-month periods ended September 30, 2018 and 2017 were calculated using the weighted average number of shares outstanding for the related period. The following table reconciles the number of shares used in the computations of basic and diluted earnings per share for the three-month and nine-month periods ended September 30, 2018 and 2017:</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hanging="179"/>
        <w:spacing w:after="0" w:line="277" w:lineRule="auto"/>
        <w:rPr>
          <w:sz w:val="20"/>
          <w:szCs w:val="20"/>
          <w:color w:val="auto"/>
        </w:rPr>
      </w:pPr>
      <w:r>
        <w:rPr>
          <w:rFonts w:ascii="Arial" w:cs="Arial" w:eastAsia="Arial" w:hAnsi="Arial"/>
          <w:sz w:val="18"/>
          <w:szCs w:val="18"/>
          <w:color w:val="auto"/>
        </w:rPr>
        <w:t>Weighted average number of common shares outstanding during the period used to compute basic earnings per share</w:t>
      </w:r>
    </w:p>
    <w:p>
      <w:pPr>
        <w:spacing w:after="0" w:line="170" w:lineRule="exact"/>
        <w:rPr>
          <w:sz w:val="20"/>
          <w:szCs w:val="20"/>
          <w:color w:val="auto"/>
        </w:rPr>
      </w:pPr>
    </w:p>
    <w:p>
      <w:pPr>
        <w:ind w:left="180" w:right="40" w:hanging="179"/>
        <w:spacing w:after="0" w:line="277" w:lineRule="auto"/>
        <w:rPr>
          <w:sz w:val="20"/>
          <w:szCs w:val="20"/>
          <w:color w:val="auto"/>
        </w:rPr>
      </w:pPr>
      <w:r>
        <w:rPr>
          <w:rFonts w:ascii="Arial" w:cs="Arial" w:eastAsia="Arial" w:hAnsi="Arial"/>
          <w:sz w:val="18"/>
          <w:szCs w:val="18"/>
          <w:color w:val="auto"/>
        </w:rPr>
        <w:t>Incremental common shares attributable to exercise of outstanding options and warrants</w:t>
      </w:r>
    </w:p>
    <w:p>
      <w:pPr>
        <w:spacing w:after="0" w:line="197" w:lineRule="exact"/>
        <w:rPr>
          <w:sz w:val="20"/>
          <w:szCs w:val="20"/>
          <w:color w:val="auto"/>
        </w:rPr>
      </w:pPr>
    </w:p>
    <w:p>
      <w:pPr>
        <w:ind w:left="180" w:right="400" w:hanging="179"/>
        <w:spacing w:after="0" w:line="277" w:lineRule="auto"/>
        <w:rPr>
          <w:sz w:val="20"/>
          <w:szCs w:val="20"/>
          <w:color w:val="auto"/>
        </w:rPr>
      </w:pPr>
      <w:r>
        <w:rPr>
          <w:rFonts w:ascii="Arial" w:cs="Arial" w:eastAsia="Arial" w:hAnsi="Arial"/>
          <w:sz w:val="18"/>
          <w:szCs w:val="18"/>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262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190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9"/>
              </w:rPr>
              <w:t>September 30,</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2017</w:t>
            </w:r>
          </w:p>
        </w:tc>
        <w:tc>
          <w:tcPr>
            <w:tcW w:w="20" w:type="dxa"/>
            <w:vAlign w:val="bottom"/>
          </w:tcPr>
          <w:p>
            <w:pPr>
              <w:spacing w:after="0"/>
              <w:rPr>
                <w:sz w:val="19"/>
                <w:szCs w:val="19"/>
                <w:color w:val="auto"/>
              </w:rPr>
            </w:pPr>
          </w:p>
        </w:tc>
      </w:tr>
      <w:tr>
        <w:trPr>
          <w:trHeight w:val="228"/>
        </w:trPr>
        <w:tc>
          <w:tcPr>
            <w:tcW w:w="190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0"/>
              </w:rPr>
              <w:t>(In thousands)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9"/>
                <w:szCs w:val="19"/>
                <w:color w:val="auto"/>
              </w:rPr>
            </w:pPr>
          </w:p>
        </w:tc>
      </w:tr>
      <w:tr>
        <w:trPr>
          <w:trHeight w:val="414"/>
        </w:trPr>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22,636</w:t>
            </w:r>
          </w:p>
        </w:tc>
        <w:tc>
          <w:tcPr>
            <w:tcW w:w="38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22,473</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21,800</w:t>
            </w:r>
          </w:p>
        </w:tc>
        <w:tc>
          <w:tcPr>
            <w:tcW w:w="3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23,019</w:t>
            </w:r>
          </w:p>
        </w:tc>
      </w:tr>
      <w:tr>
        <w:trPr>
          <w:trHeight w:val="662"/>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3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w:t>
            </w:r>
          </w:p>
        </w:tc>
        <w:tc>
          <w:tcPr>
            <w:tcW w:w="3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w:t>
            </w:r>
          </w:p>
        </w:tc>
        <w:tc>
          <w:tcPr>
            <w:tcW w:w="3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4,587</w:t>
            </w:r>
          </w:p>
        </w:tc>
      </w:tr>
      <w:tr>
        <w:trPr>
          <w:trHeight w:val="669"/>
        </w:trPr>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24,735</w:t>
            </w:r>
          </w:p>
        </w:tc>
        <w:tc>
          <w:tcPr>
            <w:tcW w:w="38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26,779</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25,178</w:t>
            </w:r>
          </w:p>
        </w:tc>
        <w:tc>
          <w:tcPr>
            <w:tcW w:w="3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27,606</w:t>
            </w: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-1156970</wp:posOffset>
            </wp:positionV>
            <wp:extent cx="724662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-745490</wp:posOffset>
            </wp:positionV>
            <wp:extent cx="7246620" cy="283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-316865</wp:posOffset>
            </wp:positionV>
            <wp:extent cx="7246620"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300"/>
            <w:col w:w="5700"/>
          </w:cols>
          <w:pgMar w:left="240" w:top="796" w:right="239" w:bottom="1440" w:gutter="0" w:footer="0" w:header="0"/>
          <w:type w:val="continuous"/>
        </w:sectPr>
      </w:pPr>
    </w:p>
    <w:p>
      <w:pPr>
        <w:spacing w:after="0" w:line="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and nine-month periods ended September 30, 2018 would have included an additional 11.0 million and 10.1 million shares, respectively, attributable to the exercise of outstanding options and warrants. For the three-month and nine-month periods ended September 30, 2017, an additional 9.7 million and 7.3 million shares, respectively, would be included in the diluted earnings per share calculation.</w:t>
      </w:r>
    </w:p>
    <w:p>
      <w:pPr>
        <w:spacing w:after="0" w:line="18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2013.</w:t>
      </w:r>
    </w:p>
    <w:p>
      <w:pPr>
        <w:spacing w:after="0" w:line="170"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As of September 30, 2018 and December 31, 2017,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47"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5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$28.7 million as of September 30, 2018 is more likely than not based on forecasted future net earnings. Our net deferred tax asset of $28.7 million consists of approximately $19.9 million of net U.S. federal deferred tax assets and $8.8 million of net state deferred tax assets.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Income tax expense was $1.5 million and $4.4 million for the three months and nine months ended September 30, 2018 and represents an effective income tax rate of 32%, compared to income tax expense of $3.4 million and $10.1 million for the three and nine months ended September 30, 2017, and represents an effective income tax rate of and 43%.</w:t>
      </w:r>
    </w:p>
    <w:p>
      <w:pPr>
        <w:spacing w:after="0" w:line="18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8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17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i w:val="1"/>
          <w:iCs w:val="1"/>
          <w:color w:val="auto"/>
        </w:rPr>
        <w:t xml:space="preserve">Department of Justice Industry Inquiry. </w:t>
      </w:r>
      <w:r>
        <w:rPr>
          <w:rFonts w:ascii="Arial" w:cs="Arial" w:eastAsia="Arial" w:hAnsi="Arial"/>
          <w:sz w:val="17"/>
          <w:szCs w:val="17"/>
          <w:color w:val="auto"/>
        </w:rPr>
        <w:t>In January 2015, we were served with a subpoena by the U.S. Department of Justice (the “DOJ”) directing us to</w:t>
      </w:r>
      <w:r>
        <w:rPr>
          <w:rFonts w:ascii="Arial" w:cs="Arial" w:eastAsia="Arial" w:hAnsi="Arial"/>
          <w:sz w:val="17"/>
          <w:szCs w:val="17"/>
          <w:i w:val="1"/>
          <w:iCs w:val="1"/>
          <w:color w:val="auto"/>
        </w:rPr>
        <w:t xml:space="preserve"> </w:t>
      </w:r>
      <w:r>
        <w:rPr>
          <w:rFonts w:ascii="Arial" w:cs="Arial" w:eastAsia="Arial" w:hAnsi="Arial"/>
          <w:sz w:val="17"/>
          <w:szCs w:val="17"/>
          <w:color w:val="auto"/>
        </w:rPr>
        <w:t>produce certain documents relating to our and our subsidiaries’ and affiliates’ origination and securitization of sub-prime automobile contracts since 2005, in connection with an investigation by the DOJ in contemplation of a civil proceeding for potential violations of the Financial Institutions Reform, Recovery, and Enforcement Act of 1989. The DOJ in its investigation requested information relating, among other matters, to the underwriting criteria used to originate these automobile contracts and to the representations and warranties relating to those underwriting criteria that were made in connection with the securitization of the automobile contracts. We are among several other securitizers of sub-prime automobile receivables who received such subpoenas in 2014, 2015 and 2016. We have provided the required information, and we were advised by the DOJ in February 2018 that no further information is required of us and that no enforcement action is recommended.</w:t>
      </w:r>
    </w:p>
    <w:p>
      <w:pPr>
        <w:spacing w:after="0" w:line="17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Although the inquiry commenced January 2015 is thus completed as to us, no assurance can be given as to whether some other government agency may commence inquiries into or actions against us, nor as to whether the DOJ may recommence its investigation, any of which hypothetical proceedings might materially and adversely affect us.</w:t>
      </w:r>
    </w:p>
    <w:p>
      <w:pPr>
        <w:spacing w:after="0" w:line="18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In General</w:t>
      </w:r>
      <w:r>
        <w:rPr>
          <w:rFonts w:ascii="Arial" w:cs="Arial" w:eastAsia="Arial" w:hAnsi="Arial"/>
          <w:sz w:val="18"/>
          <w:szCs w:val="18"/>
          <w:color w:val="auto"/>
        </w:rPr>
        <w:t>. There can be no assurance as to the outcomes of the matters described or referenced above. We record at each measurement date,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as of September 30, 2018, our best estimate of probable incurred losses for legal contingencies, including each of the matters described or referenced above. The amount of losses that may ultimately be incurred cannot be estimated with certainty. However, based on such information as is available to us, we believe that the total of probable incurred losses for legal contingencies as of September 30, 2018 is immaterial, and that the range of reasonably possible losses for the legal proceedings and contingencies we face, including those described or referenced above, as of September 30, 2018 does not exceed $3 million.</w:t>
      </w:r>
    </w:p>
    <w:p>
      <w:pPr>
        <w:spacing w:after="0" w:line="19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 wide discretion vested in the DOJ and other government agencies, and the deference that courts may give to assertions made by government litigants,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On March 8, 2002 we acquired MFN Financial Corporation and its subsidiaries in a merger. We sponsor the MFN Financial Corporation Benefit Plan (the “Plan”). Plan benefits were frozen June 30, 2001. The table below sets forth the Plan’s net periodic benefit cost for the three-month and nine-month periods ended September 30, 2018 and 2017.</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230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40" w:type="dxa"/>
            <w:vAlign w:val="bottom"/>
            <w:gridSpan w:val="5"/>
          </w:tcPr>
          <w:p>
            <w:pPr>
              <w:jc w:val="center"/>
              <w:ind w:left="256"/>
              <w:spacing w:after="0"/>
              <w:rPr>
                <w:sz w:val="20"/>
                <w:szCs w:val="20"/>
                <w:color w:val="auto"/>
              </w:rPr>
            </w:pPr>
            <w:r>
              <w:rPr>
                <w:rFonts w:ascii="Arial" w:cs="Arial" w:eastAsia="Arial" w:hAnsi="Arial"/>
                <w:sz w:val="18"/>
                <w:szCs w:val="18"/>
                <w:b w:val="1"/>
                <w:bCs w:val="1"/>
                <w:color w:val="auto"/>
                <w:w w:val="91"/>
              </w:rPr>
              <w:t>Nine Months Ended</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35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Components of net periodic cost (benefit)</w:t>
            </w:r>
          </w:p>
        </w:tc>
        <w:tc>
          <w:tcPr>
            <w:tcW w:w="780" w:type="dxa"/>
            <w:vAlign w:val="bottom"/>
          </w:tcPr>
          <w:p>
            <w:pPr>
              <w:spacing w:after="0"/>
              <w:rPr>
                <w:sz w:val="19"/>
                <w:szCs w:val="19"/>
                <w:color w:val="auto"/>
              </w:rPr>
            </w:pPr>
          </w:p>
        </w:tc>
        <w:tc>
          <w:tcPr>
            <w:tcW w:w="15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(In thousands)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40" w:type="dxa"/>
            <w:vAlign w:val="bottom"/>
            <w:gridSpan w:val="5"/>
          </w:tcPr>
          <w:p>
            <w:pPr>
              <w:jc w:val="center"/>
              <w:ind w:left="276"/>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7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780" w:type="dxa"/>
            <w:vAlign w:val="bottom"/>
            <w:shd w:val="clear" w:color="auto" w:fill="EEEEEE"/>
          </w:tcPr>
          <w:p>
            <w:pPr>
              <w:jc w:val="right"/>
              <w:ind w:right="5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62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57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650"/>
              <w:spacing w:after="0"/>
              <w:rPr>
                <w:sz w:val="20"/>
                <w:szCs w:val="20"/>
                <w:color w:val="auto"/>
              </w:rPr>
            </w:pPr>
            <w:r>
              <w:rPr>
                <w:rFonts w:ascii="Arial" w:cs="Arial" w:eastAsia="Arial" w:hAnsi="Arial"/>
                <w:sz w:val="15"/>
                <w:szCs w:val="15"/>
                <w:color w:val="auto"/>
                <w:w w:val="71"/>
              </w:rPr>
              <w:t>$</w:t>
            </w:r>
          </w:p>
        </w:tc>
        <w:tc>
          <w:tcPr>
            <w:tcW w:w="4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Interest cost</w:t>
            </w:r>
          </w:p>
        </w:tc>
        <w:tc>
          <w:tcPr>
            <w:tcW w:w="7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194</w:t>
            </w:r>
          </w:p>
        </w:tc>
        <w:tc>
          <w:tcPr>
            <w:tcW w:w="7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214</w:t>
            </w:r>
          </w:p>
        </w:tc>
        <w:tc>
          <w:tcPr>
            <w:tcW w:w="74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assets</w:t>
            </w:r>
          </w:p>
        </w:tc>
        <w:tc>
          <w:tcPr>
            <w:tcW w:w="78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9"/>
              </w:rPr>
              <w:t>(291)</w:t>
            </w:r>
          </w:p>
        </w:tc>
        <w:tc>
          <w:tcPr>
            <w:tcW w:w="7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9"/>
              </w:rPr>
              <w:t>(287)</w:t>
            </w:r>
          </w:p>
        </w:tc>
        <w:tc>
          <w:tcPr>
            <w:tcW w:w="7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(873)</w:t>
            </w:r>
          </w:p>
        </w:tc>
        <w:tc>
          <w:tcPr>
            <w:tcW w:w="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w w:val="95"/>
              </w:rPr>
              <w:t>(861)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Amortization of transition (asset)/obligation</w:t>
            </w:r>
          </w:p>
        </w:tc>
        <w:tc>
          <w:tcPr>
            <w:tcW w:w="7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net (gain) / loss</w:t>
            </w:r>
          </w:p>
        </w:tc>
        <w:tc>
          <w:tcPr>
            <w:tcW w:w="780" w:type="dxa"/>
            <w:vAlign w:val="bottom"/>
            <w:shd w:val="clear" w:color="auto" w:fill="EEEEEE"/>
          </w:tcPr>
          <w:p>
            <w:pPr>
              <w:spacing w:after="0"/>
              <w:rPr>
                <w:sz w:val="19"/>
                <w:szCs w:val="19"/>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w:t>
            </w:r>
          </w:p>
        </w:tc>
        <w:tc>
          <w:tcPr>
            <w:tcW w:w="36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101</w:t>
            </w:r>
          </w:p>
        </w:tc>
        <w:tc>
          <w:tcPr>
            <w:tcW w:w="74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333</w:t>
            </w:r>
          </w:p>
        </w:tc>
        <w:tc>
          <w:tcPr>
            <w:tcW w:w="20" w:type="dxa"/>
            <w:vAlign w:val="bottom"/>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180"/>
              <w:spacing w:after="0"/>
              <w:rPr>
                <w:sz w:val="20"/>
                <w:szCs w:val="20"/>
                <w:color w:val="auto"/>
              </w:rPr>
            </w:pPr>
            <w:r>
              <w:rPr>
                <w:rFonts w:ascii="Arial" w:cs="Arial" w:eastAsia="Arial" w:hAnsi="Arial"/>
                <w:sz w:val="18"/>
                <w:szCs w:val="18"/>
                <w:color w:val="auto"/>
              </w:rPr>
              <w:t>Net periodic cost (benefit)</w:t>
            </w: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We did not make any contributions to the Plan during the three-month period ended September 30, 2017. We made a contribution in the amount of $1.0 million during the three-month period ended September 30, 2018. We do not anticipate making any contributions for the remainder of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Fair Value Measurements</w:t>
      </w:r>
    </w:p>
    <w:p>
      <w:pPr>
        <w:spacing w:after="0" w:line="225"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1"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Effective January 2018 we have elected to use the fair value method to value our portfolio of finance receivables acquired in January 2018 and thereafter.</w:t>
      </w:r>
    </w:p>
    <w:p>
      <w:pPr>
        <w:spacing w:after="0" w:line="248"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Significant changes in any of those inputs in isolation would have a significant impact on our fair value measurement.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table below presents a reconciliation of the finance receivables measured at fair value on a recurring basis using significant unobservable inputs: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9"/>
              </w:rPr>
              <w:t>September 30,</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gridSpan w:val="2"/>
          </w:tcPr>
          <w:p>
            <w:pPr>
              <w:spacing w:after="0"/>
              <w:rPr>
                <w:sz w:val="18"/>
                <w:szCs w:val="18"/>
                <w:color w:val="auto"/>
              </w:rPr>
            </w:pPr>
          </w:p>
        </w:tc>
      </w:t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412,895</w:t>
            </w:r>
          </w:p>
        </w:tc>
        <w:tc>
          <w:tcPr>
            <w:tcW w:w="36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74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EEEEE"/>
          </w:tcPr>
          <w:p>
            <w:pPr>
              <w:jc w:val="right"/>
              <w:ind w:right="250"/>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EEEEEE"/>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Finance receivables at fair value acquired during period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229,030</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659,641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Payments received on finance receivables at fair value</w:t>
            </w: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(18,851)</w:t>
            </w:r>
          </w:p>
        </w:tc>
        <w:tc>
          <w:tcPr>
            <w:tcW w:w="9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(31,824)</w:t>
            </w: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60" w:type="dxa"/>
            <w:vAlign w:val="bottom"/>
            <w:gridSpan w:val="3"/>
            <w:shd w:val="clear" w:color="auto" w:fill="EEEEEE"/>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interest income accretion on fair value receivables</w:t>
            </w:r>
          </w:p>
        </w:tc>
        <w:tc>
          <w:tcPr>
            <w:tcW w:w="2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(8,267)</w:t>
            </w:r>
          </w:p>
        </w:tc>
        <w:tc>
          <w:tcPr>
            <w:tcW w:w="900" w:type="dxa"/>
            <w:vAlign w:val="bottom"/>
          </w:tcPr>
          <w:p>
            <w:pPr>
              <w:spacing w:after="0"/>
              <w:rPr>
                <w:sz w:val="18"/>
                <w:szCs w:val="18"/>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(13,010)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24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spacing w:after="0"/>
              <w:rPr>
                <w:sz w:val="19"/>
                <w:szCs w:val="19"/>
                <w:color w:val="auto"/>
              </w:rPr>
            </w:pPr>
          </w:p>
        </w:tc>
        <w:tc>
          <w:tcPr>
            <w:tcW w:w="58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860" w:type="dxa"/>
            <w:vAlign w:val="bottom"/>
            <w:gridSpan w:val="3"/>
            <w:shd w:val="clear" w:color="auto" w:fill="EEEEEE"/>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614,807</w:t>
            </w:r>
          </w:p>
        </w:tc>
        <w:tc>
          <w:tcPr>
            <w:tcW w:w="360" w:type="dxa"/>
            <w:vAlign w:val="bottom"/>
          </w:tcPr>
          <w:p>
            <w:pPr>
              <w:spacing w:after="0"/>
              <w:rPr>
                <w:sz w:val="19"/>
                <w:szCs w:val="19"/>
                <w:color w:val="auto"/>
              </w:rPr>
            </w:pPr>
          </w:p>
        </w:tc>
        <w:tc>
          <w:tcPr>
            <w:tcW w:w="900" w:type="dxa"/>
            <w:vAlign w:val="bottom"/>
            <w:tcBorders>
              <w:top w:val="single" w:sz="8" w:color="auto"/>
            </w:tcBorders>
          </w:tcPr>
          <w:p>
            <w:pPr>
              <w:jc w:val="right"/>
              <w:ind w:right="74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614,807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w w:val="79"/>
              </w:rPr>
              <w:t>–</w:t>
            </w:r>
          </w:p>
        </w:tc>
        <w:tc>
          <w:tcPr>
            <w:tcW w:w="100" w:type="dxa"/>
            <w:vAlign w:val="bottom"/>
            <w:gridSpan w:val="2"/>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compares the fair values of these finance receivables to their contractual balances for the periods shown: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4"/>
          </w:tcPr>
          <w:p>
            <w:pPr>
              <w:ind w:left="480"/>
              <w:spacing w:after="0"/>
              <w:rPr>
                <w:sz w:val="20"/>
                <w:szCs w:val="20"/>
                <w:color w:val="auto"/>
              </w:rPr>
            </w:pPr>
            <w:r>
              <w:rPr>
                <w:rFonts w:ascii="Arial" w:cs="Arial" w:eastAsia="Arial" w:hAnsi="Arial"/>
                <w:sz w:val="18"/>
                <w:szCs w:val="18"/>
                <w:b w:val="1"/>
                <w:bCs w:val="1"/>
                <w:color w:val="auto"/>
              </w:rPr>
              <w:t>September 30, 2018</w:t>
            </w:r>
          </w:p>
        </w:tc>
        <w:tc>
          <w:tcPr>
            <w:tcW w:w="100" w:type="dxa"/>
            <w:vAlign w:val="bottom"/>
          </w:tcPr>
          <w:p>
            <w:pPr>
              <w:spacing w:after="0"/>
              <w:rPr>
                <w:sz w:val="20"/>
                <w:szCs w:val="20"/>
                <w:color w:val="auto"/>
              </w:rPr>
            </w:pPr>
          </w:p>
        </w:tc>
        <w:tc>
          <w:tcPr>
            <w:tcW w:w="2600" w:type="dxa"/>
            <w:vAlign w:val="bottom"/>
            <w:gridSpan w:val="4"/>
          </w:tcPr>
          <w:p>
            <w:pPr>
              <w:ind w:left="46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50"/>
              <w:spacing w:after="0" w:line="205" w:lineRule="exact"/>
              <w:rPr>
                <w:sz w:val="20"/>
                <w:szCs w:val="20"/>
                <w:color w:val="auto"/>
              </w:rPr>
            </w:pPr>
            <w:r>
              <w:rPr>
                <w:rFonts w:ascii="Arial" w:cs="Arial" w:eastAsia="Arial" w:hAnsi="Arial"/>
                <w:sz w:val="18"/>
                <w:szCs w:val="18"/>
                <w:b w:val="1"/>
                <w:bCs w:val="1"/>
                <w:color w:val="auto"/>
              </w:rPr>
              <w:t>Fair</w:t>
            </w: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70"/>
              <w:spacing w:after="0" w:line="205" w:lineRule="exact"/>
              <w:rPr>
                <w:sz w:val="20"/>
                <w:szCs w:val="20"/>
                <w:color w:val="auto"/>
              </w:rPr>
            </w:pPr>
            <w:r>
              <w:rPr>
                <w:rFonts w:ascii="Arial" w:cs="Arial" w:eastAsia="Arial" w:hAnsi="Arial"/>
                <w:sz w:val="18"/>
                <w:szCs w:val="18"/>
                <w:b w:val="1"/>
                <w:bCs w:val="1"/>
                <w:color w:val="auto"/>
                <w:w w:val="93"/>
              </w:rPr>
              <w:t>Contractual</w:t>
            </w:r>
          </w:p>
        </w:tc>
        <w:tc>
          <w:tcPr>
            <w:tcW w:w="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15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Balance</w:t>
            </w:r>
          </w:p>
        </w:tc>
        <w:tc>
          <w:tcPr>
            <w:tcW w:w="400" w:type="dxa"/>
            <w:vAlign w:val="bottom"/>
          </w:tcPr>
          <w:p>
            <w:pPr>
              <w:spacing w:after="0"/>
              <w:rPr>
                <w:sz w:val="20"/>
                <w:szCs w:val="20"/>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Balance</w:t>
            </w:r>
          </w:p>
        </w:tc>
        <w:tc>
          <w:tcPr>
            <w:tcW w:w="38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560" w:type="dxa"/>
            <w:vAlign w:val="bottom"/>
            <w:tcBorders>
              <w:top w:val="single" w:sz="8" w:color="auto"/>
            </w:tcBorders>
            <w:gridSpan w:val="4"/>
          </w:tcPr>
          <w:p>
            <w:pPr>
              <w:ind w:left="500"/>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614,578</w:t>
            </w:r>
          </w:p>
        </w:tc>
        <w:tc>
          <w:tcPr>
            <w:tcW w:w="40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614,807</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certain qualitative information about our level 3 fair value measurements: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180" w:type="dxa"/>
            <w:vAlign w:val="bottom"/>
          </w:tcPr>
          <w:p>
            <w:pPr>
              <w:spacing w:after="0"/>
              <w:rPr>
                <w:sz w:val="20"/>
                <w:szCs w:val="20"/>
                <w:color w:val="auto"/>
              </w:rPr>
            </w:pPr>
          </w:p>
        </w:tc>
        <w:tc>
          <w:tcPr>
            <w:tcW w:w="3740" w:type="dxa"/>
            <w:vAlign w:val="bottom"/>
            <w:gridSpan w:val="4"/>
          </w:tcPr>
          <w:p>
            <w:pPr>
              <w:ind w:left="960"/>
              <w:spacing w:after="0"/>
              <w:rPr>
                <w:sz w:val="20"/>
                <w:szCs w:val="20"/>
                <w:color w:val="auto"/>
              </w:rPr>
            </w:pPr>
            <w:r>
              <w:rPr>
                <w:rFonts w:ascii="Arial" w:cs="Arial" w:eastAsia="Arial" w:hAnsi="Arial"/>
                <w:sz w:val="18"/>
                <w:szCs w:val="18"/>
                <w:b w:val="1"/>
                <w:bCs w:val="1"/>
                <w:color w:val="auto"/>
              </w:rPr>
              <w:t>Fair Values as of</w:t>
            </w: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4"/>
          </w:tcPr>
          <w:p>
            <w:pPr>
              <w:ind w:left="1300"/>
              <w:spacing w:after="0"/>
              <w:rPr>
                <w:sz w:val="20"/>
                <w:szCs w:val="20"/>
                <w:color w:val="auto"/>
              </w:rPr>
            </w:pPr>
            <w:r>
              <w:rPr>
                <w:rFonts w:ascii="Arial" w:cs="Arial" w:eastAsia="Arial" w:hAnsi="Arial"/>
                <w:sz w:val="18"/>
                <w:szCs w:val="18"/>
                <w:b w:val="1"/>
                <w:bCs w:val="1"/>
                <w:color w:val="auto"/>
              </w:rPr>
              <w:t>Inputs as of</w:t>
            </w:r>
          </w:p>
        </w:tc>
        <w:tc>
          <w:tcPr>
            <w:tcW w:w="0" w:type="dxa"/>
            <w:vAlign w:val="bottom"/>
          </w:tcPr>
          <w:p>
            <w:pPr>
              <w:spacing w:after="0"/>
              <w:rPr>
                <w:sz w:val="1"/>
                <w:szCs w:val="1"/>
                <w:color w:val="auto"/>
              </w:rPr>
            </w:pPr>
          </w:p>
        </w:tc>
      </w:tr>
      <w:tr>
        <w:trPr>
          <w:trHeight w:val="228"/>
        </w:trPr>
        <w:tc>
          <w:tcPr>
            <w:tcW w:w="1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c>
          <w:tcPr>
            <w:tcW w:w="360" w:type="dxa"/>
            <w:vAlign w:val="bottom"/>
          </w:tcPr>
          <w:p>
            <w:pPr>
              <w:spacing w:after="0"/>
              <w:rPr>
                <w:sz w:val="19"/>
                <w:szCs w:val="19"/>
                <w:color w:val="auto"/>
              </w:rPr>
            </w:pPr>
          </w:p>
        </w:tc>
        <w:tc>
          <w:tcPr>
            <w:tcW w:w="17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192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eptember 30,</w:t>
            </w: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1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w:t>
            </w:r>
          </w:p>
        </w:tc>
        <w:tc>
          <w:tcPr>
            <w:tcW w:w="18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measured at fair value</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614,807</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EEEEE"/>
          </w:tcPr>
          <w:p>
            <w:pPr>
              <w:ind w:left="13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0"/>
              </w:rPr>
              <w:t>Discount rate</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8.9% - 10.7%</w:t>
            </w:r>
          </w:p>
        </w:tc>
        <w:tc>
          <w:tcPr>
            <w:tcW w:w="220" w:type="dxa"/>
            <w:vAlign w:val="bottom"/>
            <w:shd w:val="clear" w:color="auto" w:fill="EEEEEE"/>
          </w:tcPr>
          <w:p>
            <w:pPr>
              <w:spacing w:after="0"/>
              <w:rPr>
                <w:sz w:val="20"/>
                <w:szCs w:val="20"/>
                <w:color w:val="auto"/>
              </w:rPr>
            </w:pPr>
          </w:p>
        </w:tc>
        <w:tc>
          <w:tcPr>
            <w:tcW w:w="1680" w:type="dxa"/>
            <w:vAlign w:val="bottom"/>
            <w:gridSpan w:val="2"/>
            <w:shd w:val="clear" w:color="auto" w:fill="EEEEEE"/>
          </w:tcPr>
          <w:p>
            <w:pPr>
              <w:ind w:left="1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3"/>
              </w:rPr>
              <w:t>Cumulative net</w:t>
            </w: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losses</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15% - 16%</w:t>
            </w:r>
          </w:p>
        </w:tc>
        <w:tc>
          <w:tcPr>
            <w:tcW w:w="220" w:type="dxa"/>
            <w:vAlign w:val="bottom"/>
          </w:tcPr>
          <w:p>
            <w:pPr>
              <w:spacing w:after="0"/>
              <w:rPr>
                <w:sz w:val="20"/>
                <w:szCs w:val="20"/>
                <w:color w:val="auto"/>
              </w:rPr>
            </w:pPr>
          </w:p>
        </w:tc>
        <w:tc>
          <w:tcPr>
            <w:tcW w:w="1680" w:type="dxa"/>
            <w:vAlign w:val="bottom"/>
            <w:gridSpan w:val="2"/>
          </w:tcPr>
          <w:p>
            <w:pPr>
              <w:ind w:left="1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following table summarizes the delinquency status of these finance receivables measured at fair value as of September 30, 2018 and December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2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5"/>
          </w:tcPr>
          <w:p>
            <w:pPr>
              <w:ind w:left="104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8"/>
                <w:szCs w:val="18"/>
                <w:color w:val="auto"/>
              </w:rPr>
            </w:pPr>
          </w:p>
        </w:tc>
      </w:tr>
      <w:tr>
        <w:trPr>
          <w:trHeight w:val="216"/>
        </w:trPr>
        <w:tc>
          <w:tcPr>
            <w:tcW w:w="7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595,920</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520" w:type="dxa"/>
            <w:vAlign w:val="bottom"/>
            <w:gridSpan w:val="3"/>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75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1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12,812</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7560" w:type="dxa"/>
            <w:vAlign w:val="bottom"/>
          </w:tcPr>
          <w:p>
            <w:pPr>
              <w:ind w:left="20"/>
              <w:spacing w:after="0"/>
              <w:rPr>
                <w:sz w:val="20"/>
                <w:szCs w:val="20"/>
                <w:color w:val="auto"/>
              </w:rPr>
            </w:pPr>
            <w:r>
              <w:rPr>
                <w:rFonts w:ascii="Arial" w:cs="Arial" w:eastAsia="Arial" w:hAnsi="Arial"/>
                <w:sz w:val="18"/>
                <w:szCs w:val="18"/>
                <w:color w:val="auto"/>
              </w:rPr>
              <w:t>- 90 days</w:t>
            </w:r>
          </w:p>
        </w:tc>
        <w:tc>
          <w:tcPr>
            <w:tcW w:w="160" w:type="dxa"/>
            <w:vAlign w:val="bottom"/>
          </w:tcPr>
          <w:p>
            <w:pPr>
              <w:spacing w:after="0"/>
              <w:rPr>
                <w:sz w:val="18"/>
                <w:szCs w:val="18"/>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3,975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ind w:left="1320"/>
              <w:spacing w:after="0"/>
              <w:rPr>
                <w:sz w:val="20"/>
                <w:szCs w:val="20"/>
                <w:color w:val="auto"/>
              </w:rPr>
            </w:pPr>
            <w:r>
              <w:rPr>
                <w:rFonts w:ascii="Arial" w:cs="Arial" w:eastAsia="Arial" w:hAnsi="Arial"/>
                <w:sz w:val="18"/>
                <w:szCs w:val="18"/>
                <w:color w:val="auto"/>
              </w:rPr>
              <w:t>–</w:t>
            </w:r>
          </w:p>
        </w:tc>
      </w:tr>
      <w:tr>
        <w:trPr>
          <w:trHeight w:val="230"/>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75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16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1,871</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20" w:type="dxa"/>
            <w:vAlign w:val="bottom"/>
            <w:gridSpan w:val="3"/>
            <w:shd w:val="clear" w:color="auto" w:fill="EEEEEE"/>
          </w:tcPr>
          <w:p>
            <w:pPr>
              <w:ind w:left="1320"/>
              <w:spacing w:after="0"/>
              <w:rPr>
                <w:sz w:val="20"/>
                <w:szCs w:val="20"/>
                <w:color w:val="auto"/>
              </w:rPr>
            </w:pPr>
            <w:r>
              <w:rPr>
                <w:rFonts w:ascii="Arial" w:cs="Arial" w:eastAsia="Arial" w:hAnsi="Arial"/>
                <w:sz w:val="18"/>
                <w:szCs w:val="18"/>
                <w:color w:val="auto"/>
              </w:rPr>
              <w:t>–</w:t>
            </w:r>
          </w:p>
        </w:tc>
      </w:tr>
      <w:tr>
        <w:trPr>
          <w:trHeight w:val="223"/>
        </w:trPr>
        <w:tc>
          <w:tcPr>
            <w:tcW w:w="2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614,578</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w w:val="79"/>
              </w:rPr>
              <w:t>–</w:t>
            </w:r>
          </w:p>
        </w:tc>
        <w:tc>
          <w:tcPr>
            <w:tcW w:w="100" w:type="dxa"/>
            <w:vAlign w:val="bottom"/>
            <w:gridSpan w:val="2"/>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September 30, 2018 the finance receivables related to the repossessed vehicles in inventory totaled $32.3 million. We have applied a valuation adjustment, or loss allowance, of $23.3 million, which is based on a recovery rate of approximately 28%, resulting in an estimated fair value and carrying amount of $9.0 million. The fair value and carrying amount of the repossessed inventory at December 31, 2017 was $9.7 million after applying a valuation adjustment of $24.0 million.</w:t>
      </w:r>
    </w:p>
    <w:p>
      <w:pPr>
        <w:spacing w:after="0" w:line="17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There were no transfers in or out of level 1 or level 2 assets and liabilities for the three months ended September 30, 2018 and 2017. We have no material level 3 assets that are measured at fair value on a non-recurring basis.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estimated fair values of financial assets and liabilities at September 30, 2018 and December 31, 2017,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8"/>
          </w:tcPr>
          <w:p>
            <w:pPr>
              <w:jc w:val="center"/>
              <w:ind w:left="470"/>
              <w:spacing w:after="0"/>
              <w:rPr>
                <w:sz w:val="20"/>
                <w:szCs w:val="20"/>
                <w:color w:val="auto"/>
              </w:rPr>
            </w:pPr>
            <w:r>
              <w:rPr>
                <w:rFonts w:ascii="Arial" w:cs="Arial" w:eastAsia="Arial" w:hAnsi="Arial"/>
                <w:sz w:val="18"/>
                <w:szCs w:val="18"/>
                <w:b w:val="1"/>
                <w:bCs w:val="1"/>
                <w:color w:val="auto"/>
                <w:w w:val="88"/>
              </w:rPr>
              <w:t>As of September 30, 2018</w:t>
            </w: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center"/>
              <w:ind w:right="6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40" w:type="dxa"/>
            <w:vAlign w:val="bottom"/>
            <w:tcBorders>
              <w:top w:val="single" w:sz="8" w:color="auto"/>
            </w:tcBorders>
          </w:tcPr>
          <w:p>
            <w:pPr>
              <w:spacing w:after="0"/>
              <w:rPr>
                <w:sz w:val="22"/>
                <w:szCs w:val="22"/>
                <w:color w:val="auto"/>
              </w:rPr>
            </w:pPr>
          </w:p>
        </w:tc>
        <w:tc>
          <w:tcPr>
            <w:tcW w:w="3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3440" w:type="dxa"/>
            <w:vAlign w:val="bottom"/>
            <w:gridSpan w:val="10"/>
          </w:tcPr>
          <w:p>
            <w:pPr>
              <w:jc w:val="right"/>
              <w:ind w:righ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8"/>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38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10,537</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10,537</w:t>
            </w:r>
          </w:p>
        </w:tc>
        <w:tc>
          <w:tcPr>
            <w:tcW w:w="3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10,537</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110,473</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110,473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110,473</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1,615,369</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1,620,076</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4"/>
              </w:rPr>
              <w:t>1,620,076</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Finance receivables measured at fair value</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614,807</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614,807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614,807</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36,232</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36,232</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36,232</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127,695</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127,695</w:t>
            </w:r>
          </w:p>
        </w:tc>
        <w:tc>
          <w:tcPr>
            <w:tcW w:w="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127,695</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4,797</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4,797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2,034,281</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2,033,598</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4"/>
              </w:rPr>
              <w:t>2,033,598</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16,948</w:t>
            </w: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16,948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16,948</w:t>
            </w:r>
          </w:p>
        </w:tc>
        <w:tc>
          <w:tcPr>
            <w:tcW w:w="0" w:type="dxa"/>
            <w:vAlign w:val="bottom"/>
          </w:tcPr>
          <w:p>
            <w:pPr>
              <w:spacing w:after="0"/>
              <w:rPr>
                <w:sz w:val="1"/>
                <w:szCs w:val="1"/>
                <w:color w:val="auto"/>
              </w:rPr>
            </w:pPr>
          </w:p>
        </w:tc>
      </w:tr>
      <w:tr>
        <w:trPr>
          <w:trHeight w:val="647"/>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8"/>
          </w:tcPr>
          <w:p>
            <w:pPr>
              <w:jc w:val="center"/>
              <w:ind w:left="470"/>
              <w:spacing w:after="0"/>
              <w:rPr>
                <w:sz w:val="20"/>
                <w:szCs w:val="20"/>
                <w:color w:val="auto"/>
              </w:rPr>
            </w:pPr>
            <w:r>
              <w:rPr>
                <w:rFonts w:ascii="Arial" w:cs="Arial" w:eastAsia="Arial" w:hAnsi="Arial"/>
                <w:sz w:val="18"/>
                <w:szCs w:val="18"/>
                <w:b w:val="1"/>
                <w:bCs w:val="1"/>
                <w:color w:val="auto"/>
                <w:w w:val="89"/>
              </w:rPr>
              <w:t>As of December 31, 2017</w:t>
            </w: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10"/>
          </w:tcPr>
          <w:p>
            <w:pPr>
              <w:jc w:val="right"/>
              <w:ind w:righ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8"/>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38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12,731</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12,731</w:t>
            </w:r>
          </w:p>
        </w:tc>
        <w:tc>
          <w:tcPr>
            <w:tcW w:w="3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12,731</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111,965</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111,965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111,965</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2,195,797</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2,171,846</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4"/>
              </w:rPr>
              <w:t>2,171,846</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46,753</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46,753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46,753</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112,408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112,408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112,408</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4,212</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4,212</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2,083,215</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2,089,678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2,089,678</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16,566</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16,566</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16,566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September 30, 2018 and December 31, 2017, the amounts that will actually be realized or paid at settlement or maturity of the instruments could be significantly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discount rates at which similar receivables could be sold.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value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and Subordinated Renewable Notes</w:t>
      </w:r>
    </w:p>
    <w:p>
      <w:pPr>
        <w:spacing w:after="0" w:line="225"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 the current market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low incomes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directly originated an immaterial amount of vehicle purchase money loans by lending money directly to consumers. In this report, we refer to all of such contracts and loans as "automobile contracts."</w:t>
      </w:r>
    </w:p>
    <w:p>
      <w:pPr>
        <w:spacing w:after="0" w:line="182"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September 30, 2018, we have originated a total of approximately $15.0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most recently, in September 2011. The September 2011 acquisition consisted of approximately $217.8 million of automobile contracts that we purchased from Fireside Bank of Pleasanton, California. In 2004 and 2009, we were appointed as a third-party servicer for certain portfolios of automobile contracts originated and owned by non-affiliated entities. Recent contract purchase volumes and managed portfolio levels are shown in the table below:</w:t>
      </w:r>
    </w:p>
    <w:p>
      <w:pPr>
        <w:spacing w:after="0" w:line="181" w:lineRule="exact"/>
        <w:rPr>
          <w:sz w:val="20"/>
          <w:szCs w:val="20"/>
          <w:color w:val="auto"/>
        </w:rPr>
      </w:pPr>
    </w:p>
    <w:tbl>
      <w:tblPr>
        <w:tblLayout w:type="fixed"/>
        <w:tblInd w:w="1160" w:type="dxa"/>
        <w:tblCellMar>
          <w:top w:w="0" w:type="dxa"/>
          <w:left w:w="0" w:type="dxa"/>
          <w:bottom w:w="0" w:type="dxa"/>
          <w:right w:w="0" w:type="dxa"/>
        </w:tblCellMar>
      </w:tblPr>
      <w:tr>
        <w:trPr>
          <w:trHeight w:val="166"/>
        </w:trPr>
        <w:tc>
          <w:tcPr>
            <w:tcW w:w="708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Contract Purchases and Outstanding Managed Portfolio</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4"/>
                <w:szCs w:val="14"/>
                <w:i w:val="1"/>
                <w:iCs w:val="1"/>
                <w:color w:val="auto"/>
              </w:rPr>
              <w:t>$ in thousands</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jc w:val="center"/>
              <w:ind w:right="168"/>
              <w:spacing w:after="0" w:line="119" w:lineRule="exact"/>
              <w:rPr>
                <w:sz w:val="20"/>
                <w:szCs w:val="20"/>
                <w:color w:val="auto"/>
              </w:rPr>
            </w:pPr>
            <w:r>
              <w:rPr>
                <w:rFonts w:ascii="Arial" w:cs="Arial" w:eastAsia="Arial" w:hAnsi="Arial"/>
                <w:sz w:val="13"/>
                <w:szCs w:val="13"/>
                <w:b w:val="1"/>
                <w:bCs w:val="1"/>
                <w:color w:val="auto"/>
                <w:w w:val="98"/>
              </w:rPr>
              <w:t>Contracts</w:t>
            </w: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jc w:val="right"/>
              <w:ind w:right="489"/>
              <w:spacing w:after="0" w:line="119" w:lineRule="exact"/>
              <w:rPr>
                <w:sz w:val="20"/>
                <w:szCs w:val="20"/>
                <w:color w:val="auto"/>
              </w:rPr>
            </w:pPr>
            <w:r>
              <w:rPr>
                <w:rFonts w:ascii="Arial" w:cs="Arial" w:eastAsia="Arial" w:hAnsi="Arial"/>
                <w:sz w:val="13"/>
                <w:szCs w:val="13"/>
                <w:b w:val="1"/>
                <w:bCs w:val="1"/>
                <w:color w:val="auto"/>
              </w:rPr>
              <w:t>Managed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Period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0"/>
              </w:rPr>
              <w:t>Purchased in</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Portfolio at</w:t>
            </w:r>
          </w:p>
        </w:tc>
        <w:tc>
          <w:tcPr>
            <w:tcW w:w="0" w:type="dxa"/>
            <w:vAlign w:val="bottom"/>
          </w:tcPr>
          <w:p>
            <w:pPr>
              <w:spacing w:after="0"/>
              <w:rPr>
                <w:sz w:val="1"/>
                <w:szCs w:val="1"/>
                <w:color w:val="auto"/>
              </w:rPr>
            </w:pPr>
          </w:p>
        </w:tc>
      </w:tr>
      <w:tr>
        <w:trPr>
          <w:trHeight w:val="171"/>
        </w:trPr>
        <w:tc>
          <w:tcPr>
            <w:tcW w:w="5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68"/>
              <w:spacing w:after="0"/>
              <w:rPr>
                <w:sz w:val="20"/>
                <w:szCs w:val="20"/>
                <w:color w:val="auto"/>
              </w:rPr>
            </w:pPr>
            <w:r>
              <w:rPr>
                <w:rFonts w:ascii="Arial" w:cs="Arial" w:eastAsia="Arial" w:hAnsi="Arial"/>
                <w:sz w:val="14"/>
                <w:szCs w:val="14"/>
                <w:b w:val="1"/>
                <w:bCs w:val="1"/>
                <w:color w:val="auto"/>
                <w:w w:val="91"/>
              </w:rPr>
              <w:t>Period</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Period End</w:t>
            </w:r>
          </w:p>
        </w:tc>
        <w:tc>
          <w:tcPr>
            <w:tcW w:w="0" w:type="dxa"/>
            <w:vAlign w:val="bottom"/>
          </w:tcPr>
          <w:p>
            <w:pPr>
              <w:spacing w:after="0"/>
              <w:rPr>
                <w:sz w:val="1"/>
                <w:szCs w:val="1"/>
                <w:color w:val="auto"/>
              </w:rPr>
            </w:pPr>
          </w:p>
        </w:tc>
      </w:tr>
      <w:tr>
        <w:trPr>
          <w:trHeight w:val="142"/>
        </w:trPr>
        <w:tc>
          <w:tcPr>
            <w:tcW w:w="5280" w:type="dxa"/>
            <w:vAlign w:val="bottom"/>
            <w:tcBorders>
              <w:top w:val="single" w:sz="8" w:color="auto"/>
            </w:tcBorders>
            <w:shd w:val="clear" w:color="auto" w:fill="EEEEEE"/>
          </w:tcPr>
          <w:p>
            <w:pPr>
              <w:jc w:val="center"/>
              <w:spacing w:after="0" w:line="142" w:lineRule="exact"/>
              <w:rPr>
                <w:sz w:val="20"/>
                <w:szCs w:val="20"/>
                <w:color w:val="auto"/>
              </w:rPr>
            </w:pPr>
            <w:r>
              <w:rPr>
                <w:rFonts w:ascii="Arial" w:cs="Arial" w:eastAsia="Arial" w:hAnsi="Arial"/>
                <w:sz w:val="14"/>
                <w:szCs w:val="14"/>
                <w:color w:val="333333"/>
                <w:w w:val="96"/>
              </w:rPr>
              <w:t>2012</w:t>
            </w:r>
          </w:p>
        </w:tc>
        <w:tc>
          <w:tcPr>
            <w:tcW w:w="22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auto"/>
            </w:tcBorders>
            <w:shd w:val="clear" w:color="auto" w:fill="EEEEEE"/>
          </w:tcPr>
          <w:p>
            <w:pPr>
              <w:jc w:val="right"/>
              <w:ind w:right="109"/>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551,742</w:t>
            </w:r>
          </w:p>
        </w:tc>
        <w:tc>
          <w:tcPr>
            <w:tcW w:w="300" w:type="dxa"/>
            <w:vAlign w:val="bottom"/>
            <w:tcBorders>
              <w:top w:val="single" w:sz="8" w:color="EEEEEE"/>
            </w:tcBorders>
            <w:shd w:val="clear" w:color="auto" w:fill="EEEEEE"/>
          </w:tcPr>
          <w:p>
            <w:pPr>
              <w:spacing w:after="0"/>
              <w:rPr>
                <w:sz w:val="12"/>
                <w:szCs w:val="12"/>
                <w:color w:val="auto"/>
              </w:rPr>
            </w:pPr>
          </w:p>
        </w:tc>
        <w:tc>
          <w:tcPr>
            <w:tcW w:w="380" w:type="dxa"/>
            <w:vAlign w:val="bottom"/>
            <w:tcBorders>
              <w:top w:val="single" w:sz="8" w:color="auto"/>
            </w:tcBorders>
            <w:shd w:val="clear" w:color="auto" w:fill="EEEEEE"/>
          </w:tcPr>
          <w:p>
            <w:pPr>
              <w:jc w:val="right"/>
              <w:ind w:right="26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897,575</w:t>
            </w: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jc w:val="center"/>
              <w:spacing w:after="0" w:line="149" w:lineRule="exact"/>
              <w:rPr>
                <w:sz w:val="20"/>
                <w:szCs w:val="20"/>
                <w:color w:val="auto"/>
              </w:rPr>
            </w:pPr>
            <w:r>
              <w:rPr>
                <w:rFonts w:ascii="Arial" w:cs="Arial" w:eastAsia="Arial" w:hAnsi="Arial"/>
                <w:sz w:val="14"/>
                <w:szCs w:val="14"/>
                <w:color w:val="333333"/>
                <w:w w:val="96"/>
              </w:rPr>
              <w:t>2013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764,087</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1,231,422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333333"/>
                <w:w w:val="96"/>
              </w:rPr>
              <w:t>2014</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944,944</w:t>
            </w:r>
          </w:p>
        </w:tc>
        <w:tc>
          <w:tcPr>
            <w:tcW w:w="3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12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1,643,920</w:t>
            </w: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jc w:val="center"/>
              <w:spacing w:after="0" w:line="149" w:lineRule="exact"/>
              <w:rPr>
                <w:sz w:val="20"/>
                <w:szCs w:val="20"/>
                <w:color w:val="auto"/>
              </w:rPr>
            </w:pPr>
            <w:r>
              <w:rPr>
                <w:rFonts w:ascii="Arial" w:cs="Arial" w:eastAsia="Arial" w:hAnsi="Arial"/>
                <w:sz w:val="14"/>
                <w:szCs w:val="14"/>
                <w:color w:val="333333"/>
                <w:w w:val="96"/>
              </w:rPr>
              <w:t>2015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1,060,538</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2,031,136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333333"/>
                <w:w w:val="96"/>
              </w:rPr>
              <w:t>2016</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1,088,785</w:t>
            </w:r>
          </w:p>
        </w:tc>
        <w:tc>
          <w:tcPr>
            <w:tcW w:w="3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12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2,308,070</w:t>
            </w: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jc w:val="center"/>
              <w:spacing w:after="0" w:line="149" w:lineRule="exact"/>
              <w:rPr>
                <w:sz w:val="20"/>
                <w:szCs w:val="20"/>
                <w:color w:val="auto"/>
              </w:rPr>
            </w:pPr>
            <w:r>
              <w:rPr>
                <w:rFonts w:ascii="Arial" w:cs="Arial" w:eastAsia="Arial" w:hAnsi="Arial"/>
                <w:sz w:val="14"/>
                <w:szCs w:val="14"/>
                <w:color w:val="333333"/>
                <w:w w:val="96"/>
              </w:rPr>
              <w:t>2017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859,069</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2,333,530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1"/>
              </w:rPr>
              <w:t>Nine months ended September 30, 2018</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650,583</w:t>
            </w:r>
          </w:p>
        </w:tc>
        <w:tc>
          <w:tcPr>
            <w:tcW w:w="3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12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2,342,889</w:t>
            </w: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1" w:name="page22"/>
    <w:bookmarkEnd w:id="21"/>
    <w:p>
      <w:pPr>
        <w:jc w:val="both"/>
        <w:ind w:firstLine="360"/>
        <w:spacing w:after="0" w:line="276" w:lineRule="auto"/>
        <w:rPr>
          <w:sz w:val="20"/>
          <w:szCs w:val="20"/>
          <w:color w:val="auto"/>
        </w:rPr>
      </w:pPr>
      <w:r>
        <w:rPr>
          <w:rFonts w:ascii="Arial" w:cs="Arial" w:eastAsia="Arial" w:hAnsi="Arial"/>
          <w:sz w:val="17"/>
          <w:szCs w:val="17"/>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before 2018, we also periodically record as expense a provision for credit losses on the contracts; for automobile contracts acquired after 2017 we take account of estimated credit losses in our computation of a level yield used to determine recognition of interest on the contracts.</w:t>
      </w:r>
    </w:p>
    <w:p>
      <w:pPr>
        <w:spacing w:after="0" w:line="173"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Since 1994 we have conducted 79 term securitizations of automobile contracts that we originated. As of September 30, 2018, 18 of those securitizations are active and all are structured as secured financings. From 1994 through April 2008 we generally utilized financial guarantees for the senior asset-backed notes issued in the securitization. Since September 2010 we have utilized senior subordinated structures without any financial guarantees. We have generally conducted our securitizations on a quarterly basis, near the end of each calendar quarter, resulting in four securitizations per calendar year. However, in 2015, we elected to defer what would have been our December securitization in favor of a securitization in January 2016, and since that time have generally conducted our securitizations near the beginning of each calendar quarter.</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recent history of term securitizations is summarized in the table below:</w:t>
      </w:r>
    </w:p>
    <w:p>
      <w:pPr>
        <w:spacing w:after="0" w:line="217" w:lineRule="exact"/>
        <w:rPr>
          <w:sz w:val="20"/>
          <w:szCs w:val="20"/>
          <w:color w:val="auto"/>
        </w:rPr>
      </w:pPr>
    </w:p>
    <w:tbl>
      <w:tblPr>
        <w:tblLayout w:type="fixed"/>
        <w:tblInd w:w="2920" w:type="dxa"/>
        <w:tblCellMar>
          <w:top w:w="0" w:type="dxa"/>
          <w:left w:w="0" w:type="dxa"/>
          <w:bottom w:w="0" w:type="dxa"/>
          <w:right w:w="0" w:type="dxa"/>
        </w:tblCellMar>
      </w:tblPr>
      <w:tr>
        <w:trPr>
          <w:trHeight w:val="166"/>
        </w:trPr>
        <w:tc>
          <w:tcPr>
            <w:tcW w:w="1440" w:type="dxa"/>
            <w:vAlign w:val="bottom"/>
          </w:tcPr>
          <w:p>
            <w:pPr>
              <w:spacing w:after="0"/>
              <w:rPr>
                <w:sz w:val="14"/>
                <w:szCs w:val="14"/>
                <w:color w:val="auto"/>
              </w:rPr>
            </w:pPr>
          </w:p>
        </w:tc>
        <w:tc>
          <w:tcPr>
            <w:tcW w:w="2680" w:type="dxa"/>
            <w:vAlign w:val="bottom"/>
            <w:gridSpan w:val="6"/>
          </w:tcPr>
          <w:p>
            <w:pPr>
              <w:jc w:val="right"/>
              <w:spacing w:after="0"/>
              <w:rPr>
                <w:sz w:val="20"/>
                <w:szCs w:val="20"/>
                <w:color w:val="auto"/>
              </w:rPr>
            </w:pPr>
            <w:r>
              <w:rPr>
                <w:rFonts w:ascii="Arial" w:cs="Arial" w:eastAsia="Arial" w:hAnsi="Arial"/>
                <w:sz w:val="14"/>
                <w:szCs w:val="14"/>
                <w:b w:val="1"/>
                <w:bCs w:val="1"/>
                <w:color w:val="auto"/>
                <w:w w:val="92"/>
              </w:rPr>
              <w:t>Recent Asset-Backed Term Securitizations</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i w:val="1"/>
                <w:iCs w:val="1"/>
                <w:color w:val="auto"/>
              </w:rPr>
              <w:t>$ in thousands</w:t>
            </w:r>
          </w:p>
        </w:tc>
        <w:tc>
          <w:tcPr>
            <w:tcW w:w="0" w:type="dxa"/>
            <w:vAlign w:val="bottom"/>
          </w:tcPr>
          <w:p>
            <w:pPr>
              <w:spacing w:after="0"/>
              <w:rPr>
                <w:sz w:val="1"/>
                <w:szCs w:val="1"/>
                <w:color w:val="auto"/>
              </w:rPr>
            </w:pPr>
          </w:p>
        </w:tc>
      </w:tr>
      <w:tr>
        <w:trPr>
          <w:trHeight w:val="119"/>
        </w:trPr>
        <w:tc>
          <w:tcPr>
            <w:tcW w:w="1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jc w:val="center"/>
              <w:ind w:left="249"/>
              <w:spacing w:after="0" w:line="119" w:lineRule="exact"/>
              <w:rPr>
                <w:sz w:val="20"/>
                <w:szCs w:val="20"/>
                <w:color w:val="auto"/>
              </w:rPr>
            </w:pPr>
            <w:r>
              <w:rPr>
                <w:rFonts w:ascii="Arial" w:cs="Arial" w:eastAsia="Arial" w:hAnsi="Arial"/>
                <w:sz w:val="13"/>
                <w:szCs w:val="13"/>
                <w:b w:val="1"/>
                <w:bCs w:val="1"/>
                <w:color w:val="auto"/>
              </w:rPr>
              <w:t>Number of</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5"/>
              </w:rPr>
              <w:t>Receivables</w:t>
            </w:r>
          </w:p>
        </w:tc>
        <w:tc>
          <w:tcPr>
            <w:tcW w:w="0" w:type="dxa"/>
            <w:vAlign w:val="bottom"/>
          </w:tcPr>
          <w:p>
            <w:pPr>
              <w:spacing w:after="0"/>
              <w:rPr>
                <w:sz w:val="1"/>
                <w:szCs w:val="1"/>
                <w:color w:val="auto"/>
              </w:rPr>
            </w:pPr>
          </w:p>
        </w:tc>
      </w:tr>
      <w:tr>
        <w:trPr>
          <w:trHeight w:val="149"/>
        </w:trPr>
        <w:tc>
          <w:tcPr>
            <w:tcW w:w="144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Period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ind w:left="249"/>
              <w:spacing w:after="0" w:line="149" w:lineRule="exact"/>
              <w:rPr>
                <w:sz w:val="20"/>
                <w:szCs w:val="20"/>
                <w:color w:val="auto"/>
              </w:rPr>
            </w:pPr>
            <w:r>
              <w:rPr>
                <w:rFonts w:ascii="Arial" w:cs="Arial" w:eastAsia="Arial" w:hAnsi="Arial"/>
                <w:sz w:val="14"/>
                <w:szCs w:val="14"/>
                <w:b w:val="1"/>
                <w:bCs w:val="1"/>
                <w:color w:val="auto"/>
                <w:w w:val="99"/>
              </w:rPr>
              <w:t>Term</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Pledged in Term</w:t>
            </w:r>
          </w:p>
        </w:tc>
        <w:tc>
          <w:tcPr>
            <w:tcW w:w="0" w:type="dxa"/>
            <w:vAlign w:val="bottom"/>
          </w:tcPr>
          <w:p>
            <w:pPr>
              <w:spacing w:after="0"/>
              <w:rPr>
                <w:sz w:val="1"/>
                <w:szCs w:val="1"/>
                <w:color w:val="auto"/>
              </w:rPr>
            </w:pPr>
          </w:p>
        </w:tc>
      </w:tr>
      <w:tr>
        <w:trPr>
          <w:trHeight w:val="171"/>
        </w:trPr>
        <w:tc>
          <w:tcPr>
            <w:tcW w:w="1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left="249"/>
              <w:spacing w:after="0"/>
              <w:rPr>
                <w:sz w:val="20"/>
                <w:szCs w:val="20"/>
                <w:color w:val="auto"/>
              </w:rPr>
            </w:pPr>
            <w:r>
              <w:rPr>
                <w:rFonts w:ascii="Arial" w:cs="Arial" w:eastAsia="Arial" w:hAnsi="Arial"/>
                <w:sz w:val="14"/>
                <w:szCs w:val="14"/>
                <w:b w:val="1"/>
                <w:bCs w:val="1"/>
                <w:color w:val="auto"/>
                <w:w w:val="90"/>
              </w:rPr>
              <w:t>Securitizations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Securitizations</w:t>
            </w:r>
          </w:p>
        </w:tc>
        <w:tc>
          <w:tcPr>
            <w:tcW w:w="0" w:type="dxa"/>
            <w:vAlign w:val="bottom"/>
          </w:tcPr>
          <w:p>
            <w:pPr>
              <w:spacing w:after="0"/>
              <w:rPr>
                <w:sz w:val="1"/>
                <w:szCs w:val="1"/>
                <w:color w:val="auto"/>
              </w:rPr>
            </w:pPr>
          </w:p>
        </w:tc>
      </w:tr>
      <w:tr>
        <w:trPr>
          <w:trHeight w:val="142"/>
        </w:trPr>
        <w:tc>
          <w:tcPr>
            <w:tcW w:w="1440" w:type="dxa"/>
            <w:vAlign w:val="bottom"/>
            <w:tcBorders>
              <w:top w:val="single" w:sz="8" w:color="auto"/>
            </w:tcBorders>
            <w:shd w:val="clear" w:color="auto" w:fill="EEEEEE"/>
          </w:tcPr>
          <w:p>
            <w:pPr>
              <w:jc w:val="center"/>
              <w:ind w:left="128"/>
              <w:spacing w:after="0" w:line="142" w:lineRule="exact"/>
              <w:rPr>
                <w:sz w:val="20"/>
                <w:szCs w:val="20"/>
                <w:color w:val="auto"/>
              </w:rPr>
            </w:pPr>
            <w:r>
              <w:rPr>
                <w:rFonts w:ascii="Arial" w:cs="Arial" w:eastAsia="Arial" w:hAnsi="Arial"/>
                <w:sz w:val="14"/>
                <w:szCs w:val="14"/>
                <w:color w:val="333333"/>
                <w:w w:val="89"/>
              </w:rPr>
              <w:t>2012</w:t>
            </w:r>
          </w:p>
        </w:tc>
        <w:tc>
          <w:tcPr>
            <w:tcW w:w="200" w:type="dxa"/>
            <w:vAlign w:val="bottom"/>
            <w:tcBorders>
              <w:top w:val="single" w:sz="8" w:color="auto"/>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380" w:type="dxa"/>
            <w:vAlign w:val="bottom"/>
            <w:tcBorders>
              <w:top w:val="single" w:sz="8" w:color="auto"/>
            </w:tcBorders>
            <w:shd w:val="clear" w:color="auto" w:fill="EEEEEE"/>
          </w:tcPr>
          <w:p>
            <w:pPr>
              <w:jc w:val="center"/>
              <w:ind w:left="249"/>
              <w:spacing w:after="0" w:line="142" w:lineRule="exact"/>
              <w:rPr>
                <w:sz w:val="20"/>
                <w:szCs w:val="20"/>
                <w:color w:val="auto"/>
              </w:rPr>
            </w:pPr>
            <w:r>
              <w:rPr>
                <w:rFonts w:ascii="Arial" w:cs="Arial" w:eastAsia="Arial" w:hAnsi="Arial"/>
                <w:sz w:val="14"/>
                <w:szCs w:val="14"/>
                <w:color w:val="auto"/>
                <w:w w:val="76"/>
              </w:rPr>
              <w:t>4</w:t>
            </w:r>
          </w:p>
        </w:tc>
        <w:tc>
          <w:tcPr>
            <w:tcW w:w="340" w:type="dxa"/>
            <w:vAlign w:val="bottom"/>
            <w:tcBorders>
              <w:top w:val="single" w:sz="8" w:color="auto"/>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320" w:type="dxa"/>
            <w:vAlign w:val="bottom"/>
            <w:tcBorders>
              <w:top w:val="single" w:sz="8" w:color="auto"/>
            </w:tcBorders>
            <w:shd w:val="clear" w:color="auto" w:fill="EEEEEE"/>
          </w:tcPr>
          <w:p>
            <w:pPr>
              <w:jc w:val="right"/>
              <w:ind w:right="209"/>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603,500</w:t>
            </w:r>
          </w:p>
        </w:tc>
        <w:tc>
          <w:tcPr>
            <w:tcW w:w="12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jc w:val="center"/>
              <w:ind w:left="128"/>
              <w:spacing w:after="0" w:line="149" w:lineRule="exact"/>
              <w:rPr>
                <w:sz w:val="20"/>
                <w:szCs w:val="20"/>
                <w:color w:val="auto"/>
              </w:rPr>
            </w:pPr>
            <w:r>
              <w:rPr>
                <w:rFonts w:ascii="Arial" w:cs="Arial" w:eastAsia="Arial" w:hAnsi="Arial"/>
                <w:sz w:val="14"/>
                <w:szCs w:val="14"/>
                <w:color w:val="333333"/>
                <w:w w:val="89"/>
              </w:rPr>
              <w:t>2013</w:t>
            </w:r>
          </w:p>
        </w:tc>
        <w:tc>
          <w:tcPr>
            <w:tcW w:w="1800" w:type="dxa"/>
            <w:vAlign w:val="bottom"/>
            <w:gridSpan w:val="3"/>
          </w:tcPr>
          <w:p>
            <w:pPr>
              <w:jc w:val="center"/>
              <w:ind w:left="668"/>
              <w:spacing w:after="0" w:line="149" w:lineRule="exact"/>
              <w:rPr>
                <w:sz w:val="20"/>
                <w:szCs w:val="20"/>
                <w:color w:val="auto"/>
              </w:rPr>
            </w:pPr>
            <w:r>
              <w:rPr>
                <w:rFonts w:ascii="Arial" w:cs="Arial" w:eastAsia="Arial" w:hAnsi="Arial"/>
                <w:sz w:val="14"/>
                <w:szCs w:val="14"/>
                <w:color w:val="auto"/>
                <w:w w:val="76"/>
              </w:rPr>
              <w:t>4</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778,000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EEEEEE"/>
          </w:tcPr>
          <w:p>
            <w:pPr>
              <w:jc w:val="center"/>
              <w:ind w:left="128"/>
              <w:spacing w:after="0" w:line="149" w:lineRule="exact"/>
              <w:rPr>
                <w:sz w:val="20"/>
                <w:szCs w:val="20"/>
                <w:color w:val="auto"/>
              </w:rPr>
            </w:pPr>
            <w:r>
              <w:rPr>
                <w:rFonts w:ascii="Arial" w:cs="Arial" w:eastAsia="Arial" w:hAnsi="Arial"/>
                <w:sz w:val="14"/>
                <w:szCs w:val="14"/>
                <w:color w:val="333333"/>
                <w:w w:val="89"/>
              </w:rPr>
              <w:t>2014</w:t>
            </w:r>
          </w:p>
        </w:tc>
        <w:tc>
          <w:tcPr>
            <w:tcW w:w="1800" w:type="dxa"/>
            <w:vAlign w:val="bottom"/>
            <w:gridSpan w:val="3"/>
            <w:shd w:val="clear" w:color="auto" w:fill="EEEEEE"/>
          </w:tcPr>
          <w:p>
            <w:pPr>
              <w:jc w:val="center"/>
              <w:ind w:left="668"/>
              <w:spacing w:after="0" w:line="149" w:lineRule="exact"/>
              <w:rPr>
                <w:sz w:val="20"/>
                <w:szCs w:val="20"/>
                <w:color w:val="auto"/>
              </w:rPr>
            </w:pPr>
            <w:r>
              <w:rPr>
                <w:rFonts w:ascii="Arial" w:cs="Arial" w:eastAsia="Arial" w:hAnsi="Arial"/>
                <w:sz w:val="14"/>
                <w:szCs w:val="14"/>
                <w:color w:val="auto"/>
                <w:w w:val="76"/>
              </w:rPr>
              <w:t>4</w:t>
            </w: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923,000</w:t>
            </w:r>
          </w:p>
        </w:tc>
        <w:tc>
          <w:tcPr>
            <w:tcW w:w="1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jc w:val="center"/>
              <w:ind w:left="128"/>
              <w:spacing w:after="0" w:line="149" w:lineRule="exact"/>
              <w:rPr>
                <w:sz w:val="20"/>
                <w:szCs w:val="20"/>
                <w:color w:val="auto"/>
              </w:rPr>
            </w:pPr>
            <w:r>
              <w:rPr>
                <w:rFonts w:ascii="Arial" w:cs="Arial" w:eastAsia="Arial" w:hAnsi="Arial"/>
                <w:sz w:val="14"/>
                <w:szCs w:val="14"/>
                <w:color w:val="333333"/>
                <w:w w:val="89"/>
              </w:rPr>
              <w:t>2015</w:t>
            </w:r>
          </w:p>
        </w:tc>
        <w:tc>
          <w:tcPr>
            <w:tcW w:w="1800" w:type="dxa"/>
            <w:vAlign w:val="bottom"/>
            <w:gridSpan w:val="3"/>
          </w:tcPr>
          <w:p>
            <w:pPr>
              <w:jc w:val="center"/>
              <w:ind w:left="668"/>
              <w:spacing w:after="0" w:line="149" w:lineRule="exact"/>
              <w:rPr>
                <w:sz w:val="20"/>
                <w:szCs w:val="20"/>
                <w:color w:val="auto"/>
              </w:rPr>
            </w:pPr>
            <w:r>
              <w:rPr>
                <w:rFonts w:ascii="Arial" w:cs="Arial" w:eastAsia="Arial" w:hAnsi="Arial"/>
                <w:sz w:val="14"/>
                <w:szCs w:val="14"/>
                <w:color w:val="auto"/>
                <w:w w:val="76"/>
              </w:rPr>
              <w:t>3</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795,000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EEEEEE"/>
          </w:tcPr>
          <w:p>
            <w:pPr>
              <w:jc w:val="center"/>
              <w:ind w:left="128"/>
              <w:spacing w:after="0" w:line="149" w:lineRule="exact"/>
              <w:rPr>
                <w:sz w:val="20"/>
                <w:szCs w:val="20"/>
                <w:color w:val="auto"/>
              </w:rPr>
            </w:pPr>
            <w:r>
              <w:rPr>
                <w:rFonts w:ascii="Arial" w:cs="Arial" w:eastAsia="Arial" w:hAnsi="Arial"/>
                <w:sz w:val="14"/>
                <w:szCs w:val="14"/>
                <w:color w:val="333333"/>
                <w:w w:val="89"/>
              </w:rPr>
              <w:t>2016</w:t>
            </w:r>
          </w:p>
        </w:tc>
        <w:tc>
          <w:tcPr>
            <w:tcW w:w="1800" w:type="dxa"/>
            <w:vAlign w:val="bottom"/>
            <w:gridSpan w:val="3"/>
            <w:shd w:val="clear" w:color="auto" w:fill="EEEEEE"/>
          </w:tcPr>
          <w:p>
            <w:pPr>
              <w:jc w:val="center"/>
              <w:ind w:left="668"/>
              <w:spacing w:after="0" w:line="149" w:lineRule="exact"/>
              <w:rPr>
                <w:sz w:val="20"/>
                <w:szCs w:val="20"/>
                <w:color w:val="auto"/>
              </w:rPr>
            </w:pPr>
            <w:r>
              <w:rPr>
                <w:rFonts w:ascii="Arial" w:cs="Arial" w:eastAsia="Arial" w:hAnsi="Arial"/>
                <w:sz w:val="14"/>
                <w:szCs w:val="14"/>
                <w:color w:val="auto"/>
                <w:w w:val="76"/>
              </w:rPr>
              <w:t>4</w:t>
            </w: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1,214,997</w:t>
            </w:r>
          </w:p>
        </w:tc>
        <w:tc>
          <w:tcPr>
            <w:tcW w:w="1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jc w:val="center"/>
              <w:ind w:left="128"/>
              <w:spacing w:after="0" w:line="149" w:lineRule="exact"/>
              <w:rPr>
                <w:sz w:val="20"/>
                <w:szCs w:val="20"/>
                <w:color w:val="auto"/>
              </w:rPr>
            </w:pPr>
            <w:r>
              <w:rPr>
                <w:rFonts w:ascii="Arial" w:cs="Arial" w:eastAsia="Arial" w:hAnsi="Arial"/>
                <w:sz w:val="14"/>
                <w:szCs w:val="14"/>
                <w:color w:val="333333"/>
                <w:w w:val="89"/>
              </w:rPr>
              <w:t>2017</w:t>
            </w:r>
          </w:p>
        </w:tc>
        <w:tc>
          <w:tcPr>
            <w:tcW w:w="1800" w:type="dxa"/>
            <w:vAlign w:val="bottom"/>
            <w:gridSpan w:val="3"/>
          </w:tcPr>
          <w:p>
            <w:pPr>
              <w:jc w:val="center"/>
              <w:ind w:left="668"/>
              <w:spacing w:after="0" w:line="149" w:lineRule="exact"/>
              <w:rPr>
                <w:sz w:val="20"/>
                <w:szCs w:val="20"/>
                <w:color w:val="auto"/>
              </w:rPr>
            </w:pPr>
            <w:r>
              <w:rPr>
                <w:rFonts w:ascii="Arial" w:cs="Arial" w:eastAsia="Arial" w:hAnsi="Arial"/>
                <w:sz w:val="14"/>
                <w:szCs w:val="14"/>
                <w:color w:val="auto"/>
                <w:w w:val="76"/>
              </w:rPr>
              <w:t>4</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870,000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440" w:type="dxa"/>
            <w:vAlign w:val="bottom"/>
            <w:shd w:val="clear" w:color="auto" w:fill="EEEEEE"/>
          </w:tcPr>
          <w:p>
            <w:pPr>
              <w:jc w:val="center"/>
              <w:ind w:left="128"/>
              <w:spacing w:after="0" w:line="130" w:lineRule="exact"/>
              <w:rPr>
                <w:sz w:val="20"/>
                <w:szCs w:val="20"/>
                <w:color w:val="auto"/>
              </w:rPr>
            </w:pPr>
            <w:r>
              <w:rPr>
                <w:rFonts w:ascii="Arial" w:cs="Arial" w:eastAsia="Arial" w:hAnsi="Arial"/>
                <w:sz w:val="14"/>
                <w:szCs w:val="14"/>
                <w:color w:val="auto"/>
                <w:w w:val="92"/>
              </w:rPr>
              <w:t>Nine months ended</w:t>
            </w:r>
          </w:p>
        </w:tc>
        <w:tc>
          <w:tcPr>
            <w:tcW w:w="2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3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3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40" w:type="dxa"/>
            <w:vAlign w:val="bottom"/>
            <w:shd w:val="clear" w:color="auto" w:fill="EEEEEE"/>
          </w:tcPr>
          <w:p>
            <w:pPr>
              <w:jc w:val="center"/>
              <w:ind w:left="128"/>
              <w:spacing w:after="0"/>
              <w:rPr>
                <w:sz w:val="20"/>
                <w:szCs w:val="20"/>
                <w:color w:val="auto"/>
              </w:rPr>
            </w:pPr>
            <w:r>
              <w:rPr>
                <w:rFonts w:ascii="Arial" w:cs="Arial" w:eastAsia="Arial" w:hAnsi="Arial"/>
                <w:sz w:val="14"/>
                <w:szCs w:val="14"/>
                <w:color w:val="auto"/>
                <w:w w:val="91"/>
              </w:rPr>
              <w:t>September 30, 2018</w:t>
            </w:r>
          </w:p>
        </w:tc>
        <w:tc>
          <w:tcPr>
            <w:tcW w:w="1800" w:type="dxa"/>
            <w:vAlign w:val="bottom"/>
            <w:gridSpan w:val="3"/>
            <w:shd w:val="clear" w:color="auto" w:fill="EEEEEE"/>
          </w:tcPr>
          <w:p>
            <w:pPr>
              <w:jc w:val="center"/>
              <w:ind w:left="668"/>
              <w:spacing w:after="0"/>
              <w:rPr>
                <w:sz w:val="20"/>
                <w:szCs w:val="20"/>
                <w:color w:val="auto"/>
              </w:rPr>
            </w:pPr>
            <w:r>
              <w:rPr>
                <w:rFonts w:ascii="Arial" w:cs="Arial" w:eastAsia="Arial" w:hAnsi="Arial"/>
                <w:sz w:val="14"/>
                <w:szCs w:val="14"/>
                <w:color w:val="auto"/>
                <w:w w:val="76"/>
              </w:rPr>
              <w:t>3</w:t>
            </w:r>
          </w:p>
        </w:tc>
        <w:tc>
          <w:tcPr>
            <w:tcW w:w="34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4"/>
                <w:szCs w:val="14"/>
                <w:color w:val="auto"/>
              </w:rPr>
              <w:t>638,452</w:t>
            </w:r>
          </w:p>
        </w:tc>
        <w:tc>
          <w:tcPr>
            <w:tcW w:w="12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Generally, prior to a securitization transaction we fund our automobile contract purchases primarily with proceeds from warehouse credit facilities. Our current short-term funding capacity is $300 million, comprising three credit facilities. The first $100 million credit facility was established in May 2012. This facility was most recently renewed in September 2018, extending the revolving period to September 2020, with an optional amortization period through September 2021. In April 2015, we entered into a second $100 million facility. This facility was renewed in April 2017, extending the revolving period to April 2019, followed by an amortization period to April 2021. In November 2015, we entered into a third $100 million facility. This facility was renewed in November 2017, extending the revolving period to November 2019, followed by an amortization period to November 2021.</w:t>
      </w:r>
    </w:p>
    <w:p>
      <w:pPr>
        <w:spacing w:after="0" w:line="17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3"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September 30, 2018, we were in compliance with all such covenants.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September 30, 2018 with the three months ended September 30, 2017</w:t>
      </w:r>
    </w:p>
    <w:p>
      <w:pPr>
        <w:spacing w:after="0" w:line="225"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During the three months ended September 30, 2018, our revenues were $95.6 million, a decrease of $13.9 million, or 12.7%, from the prior</w:t>
      </w:r>
      <w:r>
        <w:rPr>
          <w:rFonts w:ascii="Arial" w:cs="Arial" w:eastAsia="Arial" w:hAnsi="Arial"/>
          <w:sz w:val="17"/>
          <w:szCs w:val="17"/>
          <w:i w:val="1"/>
          <w:iCs w:val="1"/>
          <w:color w:val="auto"/>
        </w:rPr>
        <w:t xml:space="preserve"> </w:t>
      </w:r>
      <w:r>
        <w:rPr>
          <w:rFonts w:ascii="Arial" w:cs="Arial" w:eastAsia="Arial" w:hAnsi="Arial"/>
          <w:sz w:val="17"/>
          <w:szCs w:val="17"/>
          <w:color w:val="auto"/>
        </w:rPr>
        <w:t>year revenue of $109.5 million. The primary reason for the decrease in revenues is a decrease in interest income. Interest income for the three months ended September 30, 2018 decreased $13.4 million, or 12.5%, to $93.6 million from $107.0 million in the prior year. The primary reason for the decrease in interest income is the lower interest yield on the receivables measured at fair value. The interest yield on receivables measured at fair value is reduced to take account of expected losses and is therefore less than the yield on other finance receivables. The table below shows the average balances and interest yields of our loan portfolio for the three months ended September 30, 2018 and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20" w:type="dxa"/>
            <w:vAlign w:val="bottom"/>
            <w:gridSpan w:val="5"/>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(Dollars in thousands)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Borders>
              <w:top w:val="single" w:sz="8" w:color="EEEEEE"/>
            </w:tcBorders>
            <w:gridSpan w:val="3"/>
            <w:shd w:val="clear" w:color="auto" w:fill="EEEEEE"/>
          </w:tcPr>
          <w:p>
            <w:pPr>
              <w:ind w:left="1220"/>
              <w:spacing w:after="0" w:line="129" w:lineRule="exact"/>
              <w:rPr>
                <w:sz w:val="20"/>
                <w:szCs w:val="20"/>
                <w:color w:val="auto"/>
              </w:rPr>
            </w:pPr>
            <w:r>
              <w:rPr>
                <w:rFonts w:ascii="Arial" w:cs="Arial" w:eastAsia="Arial" w:hAnsi="Arial"/>
                <w:sz w:val="14"/>
                <w:szCs w:val="14"/>
                <w:b w:val="1"/>
                <w:bCs w:val="1"/>
                <w:color w:val="auto"/>
              </w:rPr>
              <w:t>Interest Earning Assets</w:t>
            </w:r>
          </w:p>
        </w:tc>
        <w:tc>
          <w:tcPr>
            <w:tcW w:w="160" w:type="dxa"/>
            <w:vAlign w:val="bottom"/>
            <w:tcBorders>
              <w:top w:val="single" w:sz="8" w:color="auto"/>
            </w:tcBorders>
            <w:shd w:val="clear" w:color="auto" w:fill="EEEEEE"/>
          </w:tcPr>
          <w:p>
            <w:pPr>
              <w:spacing w:after="0"/>
              <w:rPr>
                <w:sz w:val="11"/>
                <w:szCs w:val="11"/>
                <w:color w:val="auto"/>
              </w:rPr>
            </w:pPr>
          </w:p>
        </w:tc>
        <w:tc>
          <w:tcPr>
            <w:tcW w:w="780" w:type="dxa"/>
            <w:vAlign w:val="bottom"/>
            <w:tcBorders>
              <w:top w:val="single" w:sz="8" w:color="auto"/>
            </w:tcBorders>
            <w:shd w:val="clear" w:color="auto" w:fill="EEEEEE"/>
          </w:tcPr>
          <w:p>
            <w:pPr>
              <w:spacing w:after="0"/>
              <w:rPr>
                <w:sz w:val="11"/>
                <w:szCs w:val="11"/>
                <w:color w:val="auto"/>
              </w:rPr>
            </w:pPr>
          </w:p>
        </w:tc>
        <w:tc>
          <w:tcPr>
            <w:tcW w:w="360" w:type="dxa"/>
            <w:vAlign w:val="bottom"/>
            <w:tcBorders>
              <w:top w:val="single" w:sz="8" w:color="EEEEEE"/>
            </w:tcBorders>
            <w:shd w:val="clear" w:color="auto" w:fill="EEEEEE"/>
          </w:tcPr>
          <w:p>
            <w:pPr>
              <w:spacing w:after="0"/>
              <w:rPr>
                <w:sz w:val="11"/>
                <w:szCs w:val="11"/>
                <w:color w:val="auto"/>
              </w:rPr>
            </w:pPr>
          </w:p>
        </w:tc>
        <w:tc>
          <w:tcPr>
            <w:tcW w:w="140" w:type="dxa"/>
            <w:vAlign w:val="bottom"/>
            <w:tcBorders>
              <w:top w:val="single" w:sz="8" w:color="auto"/>
            </w:tcBorders>
            <w:shd w:val="clear" w:color="auto" w:fill="EEEEEE"/>
          </w:tcPr>
          <w:p>
            <w:pPr>
              <w:spacing w:after="0"/>
              <w:rPr>
                <w:sz w:val="11"/>
                <w:szCs w:val="11"/>
                <w:color w:val="auto"/>
              </w:rPr>
            </w:pPr>
          </w:p>
        </w:tc>
        <w:tc>
          <w:tcPr>
            <w:tcW w:w="780" w:type="dxa"/>
            <w:vAlign w:val="bottom"/>
            <w:tcBorders>
              <w:top w:val="single" w:sz="8" w:color="auto"/>
            </w:tcBorders>
            <w:shd w:val="clear" w:color="auto" w:fill="EEEEEE"/>
          </w:tcPr>
          <w:p>
            <w:pPr>
              <w:spacing w:after="0"/>
              <w:rPr>
                <w:sz w:val="11"/>
                <w:szCs w:val="11"/>
                <w:color w:val="auto"/>
              </w:rPr>
            </w:pPr>
          </w:p>
        </w:tc>
        <w:tc>
          <w:tcPr>
            <w:tcW w:w="140" w:type="dxa"/>
            <w:vAlign w:val="bottom"/>
            <w:tcBorders>
              <w:top w:val="single" w:sz="8" w:color="EEEEEE"/>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920" w:type="dxa"/>
            <w:vAlign w:val="bottom"/>
            <w:tcBorders>
              <w:top w:val="single" w:sz="8" w:color="auto"/>
            </w:tcBorders>
            <w:shd w:val="clear" w:color="auto" w:fill="EEEEEE"/>
          </w:tcPr>
          <w:p>
            <w:pPr>
              <w:spacing w:after="0"/>
              <w:rPr>
                <w:sz w:val="11"/>
                <w:szCs w:val="11"/>
                <w:color w:val="auto"/>
              </w:rPr>
            </w:pPr>
          </w:p>
        </w:tc>
        <w:tc>
          <w:tcPr>
            <w:tcW w:w="320" w:type="dxa"/>
            <w:vAlign w:val="bottom"/>
            <w:tcBorders>
              <w:top w:val="single" w:sz="8" w:color="EEEEEE"/>
            </w:tcBorders>
            <w:shd w:val="clear" w:color="auto" w:fill="EEEEEE"/>
          </w:tcPr>
          <w:p>
            <w:pPr>
              <w:spacing w:after="0"/>
              <w:rPr>
                <w:sz w:val="11"/>
                <w:szCs w:val="11"/>
                <w:color w:val="auto"/>
              </w:rPr>
            </w:pPr>
          </w:p>
        </w:tc>
        <w:tc>
          <w:tcPr>
            <w:tcW w:w="140" w:type="dxa"/>
            <w:vAlign w:val="bottom"/>
            <w:tcBorders>
              <w:top w:val="single" w:sz="8" w:color="auto"/>
            </w:tcBorders>
            <w:shd w:val="clear" w:color="auto" w:fill="EEEEEE"/>
          </w:tcPr>
          <w:p>
            <w:pPr>
              <w:spacing w:after="0"/>
              <w:rPr>
                <w:sz w:val="11"/>
                <w:szCs w:val="11"/>
                <w:color w:val="auto"/>
              </w:rPr>
            </w:pPr>
          </w:p>
        </w:tc>
        <w:tc>
          <w:tcPr>
            <w:tcW w:w="780" w:type="dxa"/>
            <w:vAlign w:val="bottom"/>
            <w:tcBorders>
              <w:top w:val="single" w:sz="8" w:color="auto"/>
            </w:tcBorders>
            <w:shd w:val="clear" w:color="auto" w:fill="EEEEEE"/>
          </w:tcPr>
          <w:p>
            <w:pPr>
              <w:spacing w:after="0"/>
              <w:rPr>
                <w:sz w:val="11"/>
                <w:szCs w:val="11"/>
                <w:color w:val="auto"/>
              </w:rPr>
            </w:pPr>
          </w:p>
        </w:tc>
        <w:tc>
          <w:tcPr>
            <w:tcW w:w="160" w:type="dxa"/>
            <w:vAlign w:val="bottom"/>
            <w:tcBorders>
              <w:top w:val="single" w:sz="8" w:color="EEEEEE"/>
            </w:tcBorders>
            <w:shd w:val="clear" w:color="auto" w:fill="EEEEEE"/>
          </w:tcPr>
          <w:p>
            <w:pPr>
              <w:spacing w:after="0"/>
              <w:rPr>
                <w:sz w:val="11"/>
                <w:szCs w:val="11"/>
                <w:color w:val="auto"/>
              </w:rPr>
            </w:pPr>
          </w:p>
        </w:tc>
        <w:tc>
          <w:tcPr>
            <w:tcW w:w="160" w:type="dxa"/>
            <w:vAlign w:val="bottom"/>
            <w:tcBorders>
              <w:top w:val="single" w:sz="8" w:color="EEEEEE"/>
            </w:tcBorders>
            <w:shd w:val="clear" w:color="auto" w:fill="EEEEEE"/>
          </w:tcPr>
          <w:p>
            <w:pPr>
              <w:spacing w:after="0"/>
              <w:rPr>
                <w:sz w:val="11"/>
                <w:szCs w:val="11"/>
                <w:color w:val="auto"/>
              </w:rPr>
            </w:pPr>
          </w:p>
        </w:tc>
        <w:tc>
          <w:tcPr>
            <w:tcW w:w="140" w:type="dxa"/>
            <w:vAlign w:val="bottom"/>
            <w:tcBorders>
              <w:top w:val="single" w:sz="8" w:color="auto"/>
            </w:tcBorders>
            <w:shd w:val="clear" w:color="auto" w:fill="EEEEEE"/>
          </w:tcPr>
          <w:p>
            <w:pPr>
              <w:spacing w:after="0"/>
              <w:rPr>
                <w:sz w:val="11"/>
                <w:szCs w:val="11"/>
                <w:color w:val="auto"/>
              </w:rPr>
            </w:pPr>
          </w:p>
        </w:tc>
        <w:tc>
          <w:tcPr>
            <w:tcW w:w="760" w:type="dxa"/>
            <w:vAlign w:val="bottom"/>
            <w:tcBorders>
              <w:top w:val="single" w:sz="8" w:color="auto"/>
            </w:tcBorders>
            <w:shd w:val="clear" w:color="auto" w:fill="EEEEEE"/>
          </w:tcPr>
          <w:p>
            <w:pPr>
              <w:spacing w:after="0"/>
              <w:rPr>
                <w:sz w:val="11"/>
                <w:szCs w:val="11"/>
                <w:color w:val="auto"/>
              </w:rPr>
            </w:pPr>
          </w:p>
        </w:tc>
        <w:tc>
          <w:tcPr>
            <w:tcW w:w="320" w:type="dxa"/>
            <w:vAlign w:val="bottom"/>
            <w:tcBorders>
              <w:top w:val="single" w:sz="8" w:color="EEEEEE"/>
            </w:tcBorders>
            <w:shd w:val="clear" w:color="auto" w:fill="EEEEEE"/>
          </w:tcPr>
          <w:p>
            <w:pPr>
              <w:spacing w:after="0"/>
              <w:rPr>
                <w:sz w:val="11"/>
                <w:szCs w:val="11"/>
                <w:color w:val="auto"/>
              </w:rPr>
            </w:pPr>
          </w:p>
        </w:tc>
        <w:tc>
          <w:tcPr>
            <w:tcW w:w="920" w:type="dxa"/>
            <w:vAlign w:val="bottom"/>
            <w:tcBorders>
              <w:top w:val="single" w:sz="8" w:color="auto"/>
            </w:tcBorders>
            <w:shd w:val="clear" w:color="auto" w:fill="EEEEEE"/>
          </w:tcPr>
          <w:p>
            <w:pPr>
              <w:spacing w:after="0"/>
              <w:rPr>
                <w:sz w:val="11"/>
                <w:szCs w:val="11"/>
                <w:color w:val="auto"/>
              </w:rPr>
            </w:pPr>
          </w:p>
        </w:tc>
        <w:tc>
          <w:tcPr>
            <w:tcW w:w="20" w:type="dxa"/>
            <w:vAlign w:val="bottom"/>
            <w:tcBorders>
              <w:top w:val="single" w:sz="8" w:color="EEEEEE"/>
            </w:tcBorders>
            <w:shd w:val="clear" w:color="auto" w:fill="EEEEEE"/>
          </w:tcPr>
          <w:p>
            <w:pPr>
              <w:spacing w:after="0"/>
              <w:rPr>
                <w:sz w:val="11"/>
                <w:szCs w:val="11"/>
                <w:color w:val="auto"/>
              </w:rPr>
            </w:pPr>
          </w:p>
        </w:tc>
        <w:tc>
          <w:tcPr>
            <w:tcW w:w="80" w:type="dxa"/>
            <w:vAlign w:val="bottom"/>
            <w:tcBorders>
              <w:top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Borders>
              <w:top w:val="single" w:sz="8" w:color="EEEEEE"/>
            </w:tcBorders>
          </w:tcPr>
          <w:p>
            <w:pPr>
              <w:spacing w:after="0" w:line="142" w:lineRule="exact"/>
              <w:rPr>
                <w:sz w:val="20"/>
                <w:szCs w:val="20"/>
                <w:color w:val="auto"/>
              </w:rPr>
            </w:pPr>
            <w:r>
              <w:rPr>
                <w:rFonts w:ascii="Arial" w:cs="Arial" w:eastAsia="Arial" w:hAnsi="Arial"/>
                <w:sz w:val="14"/>
                <w:szCs w:val="14"/>
                <w:color w:val="auto"/>
                <w:w w:val="96"/>
              </w:rPr>
              <w:t>Finance receivables</w:t>
            </w:r>
          </w:p>
        </w:tc>
        <w:tc>
          <w:tcPr>
            <w:tcW w:w="1440" w:type="dxa"/>
            <w:vAlign w:val="bottom"/>
            <w:tcBorders>
              <w:top w:val="single" w:sz="8" w:color="auto"/>
            </w:tcBorders>
          </w:tcPr>
          <w:p>
            <w:pPr>
              <w:spacing w:after="0"/>
              <w:rPr>
                <w:sz w:val="12"/>
                <w:szCs w:val="12"/>
                <w:color w:val="auto"/>
              </w:rPr>
            </w:pPr>
          </w:p>
        </w:tc>
        <w:tc>
          <w:tcPr>
            <w:tcW w:w="1440" w:type="dxa"/>
            <w:vAlign w:val="bottom"/>
            <w:tcBorders>
              <w:top w:val="single" w:sz="8" w:color="EEEEEE"/>
            </w:tcBorders>
          </w:tcPr>
          <w:p>
            <w:pPr>
              <w:spacing w:after="0"/>
              <w:rPr>
                <w:sz w:val="12"/>
                <w:szCs w:val="12"/>
                <w:color w:val="auto"/>
              </w:rPr>
            </w:pPr>
          </w:p>
        </w:tc>
        <w:tc>
          <w:tcPr>
            <w:tcW w:w="160" w:type="dxa"/>
            <w:vAlign w:val="bottom"/>
            <w:tcBorders>
              <w:top w:val="single" w:sz="8" w:color="EEEEEE"/>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EEEEEE"/>
            </w:tcBorders>
            <w:gridSpan w:val="2"/>
          </w:tcPr>
          <w:p>
            <w:pPr>
              <w:jc w:val="right"/>
              <w:ind w:right="360"/>
              <w:spacing w:after="0" w:line="142" w:lineRule="exact"/>
              <w:rPr>
                <w:sz w:val="20"/>
                <w:szCs w:val="20"/>
                <w:color w:val="auto"/>
              </w:rPr>
            </w:pPr>
            <w:r>
              <w:rPr>
                <w:rFonts w:ascii="Arial" w:cs="Arial" w:eastAsia="Arial" w:hAnsi="Arial"/>
                <w:sz w:val="14"/>
                <w:szCs w:val="14"/>
                <w:color w:val="auto"/>
              </w:rPr>
              <w:t>1,787,428</w:t>
            </w:r>
          </w:p>
        </w:tc>
        <w:tc>
          <w:tcPr>
            <w:tcW w:w="140" w:type="dxa"/>
            <w:vAlign w:val="bottom"/>
            <w:tcBorders>
              <w:top w:val="single" w:sz="8" w:color="EEEEEE"/>
            </w:tcBorders>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EEEEEE"/>
            </w:tcBorders>
            <w:gridSpan w:val="2"/>
          </w:tcPr>
          <w:p>
            <w:pPr>
              <w:jc w:val="right"/>
              <w:ind w:right="140"/>
              <w:spacing w:after="0" w:line="142" w:lineRule="exact"/>
              <w:rPr>
                <w:sz w:val="20"/>
                <w:szCs w:val="20"/>
                <w:color w:val="auto"/>
              </w:rPr>
            </w:pPr>
            <w:r>
              <w:rPr>
                <w:rFonts w:ascii="Arial" w:cs="Arial" w:eastAsia="Arial" w:hAnsi="Arial"/>
                <w:sz w:val="14"/>
                <w:szCs w:val="14"/>
                <w:color w:val="auto"/>
              </w:rPr>
              <w:t>80,135</w:t>
            </w:r>
          </w:p>
        </w:tc>
        <w:tc>
          <w:tcPr>
            <w:tcW w:w="1460" w:type="dxa"/>
            <w:vAlign w:val="bottom"/>
            <w:tcBorders>
              <w:top w:val="single" w:sz="8" w:color="EEEEEE"/>
            </w:tcBorders>
            <w:gridSpan w:val="3"/>
          </w:tcPr>
          <w:p>
            <w:pPr>
              <w:jc w:val="right"/>
              <w:ind w:right="320"/>
              <w:spacing w:after="0" w:line="142" w:lineRule="exact"/>
              <w:rPr>
                <w:sz w:val="20"/>
                <w:szCs w:val="20"/>
                <w:color w:val="auto"/>
              </w:rPr>
            </w:pPr>
            <w:r>
              <w:rPr>
                <w:rFonts w:ascii="Arial" w:cs="Arial" w:eastAsia="Arial" w:hAnsi="Arial"/>
                <w:sz w:val="14"/>
                <w:szCs w:val="14"/>
                <w:color w:val="auto"/>
              </w:rPr>
              <w:t>17.9%</w:t>
            </w:r>
          </w:p>
        </w:tc>
        <w:tc>
          <w:tcPr>
            <w:tcW w:w="140" w:type="dxa"/>
            <w:vAlign w:val="bottom"/>
            <w:tcBorders>
              <w:top w:val="single" w:sz="8" w:color="EEEEEE"/>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EEEEEE"/>
            </w:tcBorders>
            <w:gridSpan w:val="2"/>
          </w:tcPr>
          <w:p>
            <w:pPr>
              <w:jc w:val="right"/>
              <w:ind w:right="160"/>
              <w:spacing w:after="0" w:line="142" w:lineRule="exact"/>
              <w:rPr>
                <w:sz w:val="20"/>
                <w:szCs w:val="20"/>
                <w:color w:val="auto"/>
              </w:rPr>
            </w:pPr>
            <w:r>
              <w:rPr>
                <w:rFonts w:ascii="Arial" w:cs="Arial" w:eastAsia="Arial" w:hAnsi="Arial"/>
                <w:sz w:val="14"/>
                <w:szCs w:val="14"/>
                <w:color w:val="auto"/>
              </w:rPr>
              <w:t>2,344,965</w:t>
            </w:r>
          </w:p>
        </w:tc>
        <w:tc>
          <w:tcPr>
            <w:tcW w:w="300" w:type="dxa"/>
            <w:vAlign w:val="bottom"/>
            <w:tcBorders>
              <w:top w:val="single" w:sz="8" w:color="EEEEEE"/>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EEEEEE"/>
            </w:tcBorders>
            <w:gridSpan w:val="2"/>
          </w:tcPr>
          <w:p>
            <w:pPr>
              <w:jc w:val="right"/>
              <w:ind w:right="320"/>
              <w:spacing w:after="0" w:line="142" w:lineRule="exact"/>
              <w:rPr>
                <w:sz w:val="20"/>
                <w:szCs w:val="20"/>
                <w:color w:val="auto"/>
              </w:rPr>
            </w:pPr>
            <w:r>
              <w:rPr>
                <w:rFonts w:ascii="Arial" w:cs="Arial" w:eastAsia="Arial" w:hAnsi="Arial"/>
                <w:sz w:val="14"/>
                <w:szCs w:val="14"/>
                <w:color w:val="auto"/>
              </w:rPr>
              <w:t>107,014</w:t>
            </w:r>
          </w:p>
        </w:tc>
        <w:tc>
          <w:tcPr>
            <w:tcW w:w="940" w:type="dxa"/>
            <w:vAlign w:val="bottom"/>
            <w:tcBorders>
              <w:top w:val="single" w:sz="8" w:color="EEEEEE"/>
            </w:tcBorders>
            <w:gridSpan w:val="2"/>
          </w:tcPr>
          <w:p>
            <w:pPr>
              <w:jc w:val="right"/>
              <w:ind w:right="20"/>
              <w:spacing w:after="0" w:line="142" w:lineRule="exact"/>
              <w:rPr>
                <w:sz w:val="20"/>
                <w:szCs w:val="20"/>
                <w:color w:val="auto"/>
              </w:rPr>
            </w:pPr>
            <w:r>
              <w:rPr>
                <w:rFonts w:ascii="Arial" w:cs="Arial" w:eastAsia="Arial" w:hAnsi="Arial"/>
                <w:sz w:val="14"/>
                <w:szCs w:val="14"/>
                <w:color w:val="auto"/>
              </w:rPr>
              <w:t>18.3%</w:t>
            </w:r>
          </w:p>
        </w:tc>
        <w:tc>
          <w:tcPr>
            <w:tcW w:w="80" w:type="dxa"/>
            <w:vAlign w:val="bottom"/>
            <w:tcBorders>
              <w:top w:val="single" w:sz="8" w:color="EEEEEE"/>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4"/>
                <w:szCs w:val="14"/>
                <w:color w:val="auto"/>
              </w:rPr>
              <w:t>Finance receivables measured at fair value</w:t>
            </w:r>
          </w:p>
        </w:tc>
        <w:tc>
          <w:tcPr>
            <w:tcW w:w="160" w:type="dxa"/>
            <w:vAlign w:val="bottom"/>
            <w:shd w:val="clear" w:color="auto" w:fill="EEEEEE"/>
          </w:tcPr>
          <w:p>
            <w:pPr>
              <w:spacing w:after="0"/>
              <w:rPr>
                <w:sz w:val="14"/>
                <w:szCs w:val="14"/>
                <w:color w:val="auto"/>
              </w:rPr>
            </w:pPr>
          </w:p>
        </w:tc>
        <w:tc>
          <w:tcPr>
            <w:tcW w:w="1140" w:type="dxa"/>
            <w:vAlign w:val="bottom"/>
            <w:gridSpan w:val="2"/>
            <w:shd w:val="clear" w:color="auto" w:fill="EEEEEE"/>
          </w:tcPr>
          <w:p>
            <w:pPr>
              <w:jc w:val="right"/>
              <w:ind w:right="360"/>
              <w:spacing w:after="0"/>
              <w:rPr>
                <w:sz w:val="20"/>
                <w:szCs w:val="20"/>
                <w:color w:val="auto"/>
              </w:rPr>
            </w:pPr>
            <w:r>
              <w:rPr>
                <w:rFonts w:ascii="Arial" w:cs="Arial" w:eastAsia="Arial" w:hAnsi="Arial"/>
                <w:sz w:val="14"/>
                <w:szCs w:val="14"/>
                <w:color w:val="auto"/>
              </w:rPr>
              <w:t>547,468</w:t>
            </w:r>
          </w:p>
        </w:tc>
        <w:tc>
          <w:tcPr>
            <w:tcW w:w="14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4"/>
                <w:szCs w:val="14"/>
                <w:color w:val="auto"/>
              </w:rPr>
              <w:t>13,482</w:t>
            </w:r>
          </w:p>
        </w:tc>
        <w:tc>
          <w:tcPr>
            <w:tcW w:w="1460" w:type="dxa"/>
            <w:vAlign w:val="bottom"/>
            <w:gridSpan w:val="3"/>
            <w:shd w:val="clear" w:color="auto" w:fill="EEEEEE"/>
          </w:tcPr>
          <w:p>
            <w:pPr>
              <w:jc w:val="right"/>
              <w:ind w:right="320"/>
              <w:spacing w:after="0"/>
              <w:rPr>
                <w:sz w:val="20"/>
                <w:szCs w:val="20"/>
                <w:color w:val="auto"/>
              </w:rPr>
            </w:pPr>
            <w:r>
              <w:rPr>
                <w:rFonts w:ascii="Arial" w:cs="Arial" w:eastAsia="Arial" w:hAnsi="Arial"/>
                <w:sz w:val="14"/>
                <w:szCs w:val="14"/>
                <w:color w:val="auto"/>
              </w:rPr>
              <w:t>9.9%</w:t>
            </w:r>
          </w:p>
        </w:tc>
        <w:tc>
          <w:tcPr>
            <w:tcW w:w="14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0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3"/>
          </w:tcPr>
          <w:p>
            <w:pPr>
              <w:spacing w:after="0" w:line="155" w:lineRule="exact"/>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2,334,896</w:t>
            </w:r>
          </w:p>
        </w:tc>
        <w:tc>
          <w:tcPr>
            <w:tcW w:w="3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93,617</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w:t>
            </w:r>
          </w:p>
        </w:tc>
        <w:tc>
          <w:tcPr>
            <w:tcW w:w="3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2,344,965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107,014</w:t>
            </w:r>
          </w:p>
        </w:tc>
        <w:tc>
          <w:tcPr>
            <w:tcW w:w="32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In the three months ended September 30, 2018, other income of $2.0 million decreased by $460,000, or 18.6% compared to the prior year. The three-month period ended September 30, 2018 includes a decrease of $300,000 in revenues associated with direct mail and other related products and services that we offer to our dealers, a decrease of $70,000 in payments from third-party providers of convenience fees paid by our customers for web based and other electronic payments, and a decrease of $96,000 on payments to us for our interest in certain sold charge offs and acquired third-party portfolios.</w:t>
      </w:r>
    </w:p>
    <w:p>
      <w:pPr>
        <w:spacing w:after="0" w:line="18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interest expense, provision for credit losses, employee costs, marketing and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expenses. Provision for credit losses is affected by the balance and credit performance of our portfolio of finance receivables (other than our portfolio of finance receivables measured at fair value, as to which expected credit losses have the effect of reducing the interest rate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6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3" w:name="page24"/>
    <w:bookmarkEnd w:id="23"/>
    <w:p>
      <w:pPr>
        <w:jc w:val="both"/>
        <w:ind w:firstLine="360"/>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Total operating expenses were $90.9 million for the three months ended September 30, 2018, compared to $101.4 million for the prior period, a decrease of $10.5 million, or 10.3%. The decrease is primarily due to a decrease in provision for credit losses, offsetting increases in employee costs, interest expense and general and administrative expenses.</w:t>
      </w:r>
    </w:p>
    <w:p>
      <w:pPr>
        <w:spacing w:after="0" w:line="18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Employee costs increased by $351,000 or 1.9%, to $18.8 million during the three months ended September 30, 2018, representing 20.7% of total operating expenses, from $18.5 million for the prior year, or 18.2% of total operating expenses. Employee costs for the prior year period were net of $1.3 million of direct employee costs associated with the originations of contracts during that period. Such deferred costs are then recognized over the life of the related receivables using the interest method. In the current period, new originations of our finance receivables contracts are measured at fair value and the related direct originations costs are no longer deferred. All direct origination or acquisition costs are now expensed in the acquisition period. The increase in employee costs were partially offset by a decrease of $1.0 million in stock compensation expense. The table below summarizes our employees by category as well as contract purchases and units in our managed portfolio as of, and for the three-month periods ended, September 30, 2018 and 2017:</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Arial" w:cs="Arial" w:eastAsia="Arial" w:hAnsi="Arial"/>
                <w:sz w:val="14"/>
                <w:szCs w:val="14"/>
                <w:b w:val="1"/>
                <w:bCs w:val="1"/>
                <w:color w:val="auto"/>
                <w:w w:val="99"/>
              </w:rPr>
              <w:t>September 30, 2018</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 in millions)</w:t>
            </w: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Contracts purchased (dollars)</w:t>
            </w:r>
          </w:p>
        </w:tc>
        <w:tc>
          <w:tcPr>
            <w:tcW w:w="21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225.2</w:t>
            </w:r>
          </w:p>
        </w:tc>
        <w:tc>
          <w:tcPr>
            <w:tcW w:w="64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204.7</w:t>
            </w:r>
          </w:p>
        </w:tc>
        <w:tc>
          <w:tcPr>
            <w:tcW w:w="1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Contracts purchased (units)</w:t>
            </w: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12,853</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Arial" w:cs="Arial" w:eastAsia="Arial" w:hAnsi="Arial"/>
                <w:sz w:val="14"/>
                <w:szCs w:val="14"/>
                <w:color w:val="auto"/>
              </w:rPr>
              <w:t>12,589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Managed portfolio outstanding (dollars)</w:t>
            </w:r>
          </w:p>
        </w:tc>
        <w:tc>
          <w:tcPr>
            <w:tcW w:w="21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2,342.9</w:t>
            </w:r>
          </w:p>
        </w:tc>
        <w:tc>
          <w:tcPr>
            <w:tcW w:w="64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2,346.0</w:t>
            </w:r>
          </w:p>
        </w:tc>
        <w:tc>
          <w:tcPr>
            <w:tcW w:w="1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Managed portfolio outstanding (units)</w:t>
            </w: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174,584</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Arial" w:cs="Arial" w:eastAsia="Arial" w:hAnsi="Arial"/>
                <w:sz w:val="14"/>
                <w:szCs w:val="14"/>
                <w:color w:val="auto"/>
              </w:rPr>
              <w:t>174,383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20" w:type="dxa"/>
            <w:vAlign w:val="bottom"/>
            <w:shd w:val="clear" w:color="auto" w:fill="EEEEEE"/>
          </w:tcPr>
          <w:p>
            <w:pPr>
              <w:spacing w:after="0"/>
              <w:rPr>
                <w:sz w:val="12"/>
                <w:szCs w:val="12"/>
                <w:color w:val="auto"/>
              </w:rPr>
            </w:pPr>
          </w:p>
        </w:tc>
        <w:tc>
          <w:tcPr>
            <w:tcW w:w="19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5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Number of Originations staff</w:t>
            </w: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Arial" w:cs="Arial" w:eastAsia="Arial" w:hAnsi="Arial"/>
                <w:sz w:val="14"/>
                <w:szCs w:val="14"/>
                <w:color w:val="auto"/>
              </w:rPr>
              <w:t>210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Number of Marketing staff</w:t>
            </w:r>
          </w:p>
        </w:tc>
        <w:tc>
          <w:tcPr>
            <w:tcW w:w="19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132</w:t>
            </w:r>
          </w:p>
        </w:tc>
        <w:tc>
          <w:tcPr>
            <w:tcW w:w="3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117</w:t>
            </w:r>
          </w:p>
        </w:tc>
        <w:tc>
          <w:tcPr>
            <w:tcW w:w="1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Number of Servicing staff</w:t>
            </w: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567</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Arial" w:cs="Arial" w:eastAsia="Arial" w:hAnsi="Arial"/>
                <w:sz w:val="14"/>
                <w:szCs w:val="14"/>
                <w:color w:val="auto"/>
              </w:rPr>
              <w:t>564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4"/>
                <w:szCs w:val="14"/>
                <w:color w:val="auto"/>
              </w:rPr>
              <w:t>Number of other staff</w:t>
            </w:r>
          </w:p>
        </w:tc>
        <w:tc>
          <w:tcPr>
            <w:tcW w:w="1940" w:type="dxa"/>
            <w:vAlign w:val="bottom"/>
            <w:shd w:val="clear" w:color="auto" w:fill="EEEEEE"/>
          </w:tcPr>
          <w:p>
            <w:pPr>
              <w:spacing w:after="0"/>
              <w:rPr>
                <w:sz w:val="14"/>
                <w:szCs w:val="14"/>
                <w:color w:val="auto"/>
              </w:rPr>
            </w:pPr>
          </w:p>
        </w:tc>
        <w:tc>
          <w:tcPr>
            <w:tcW w:w="180" w:type="dxa"/>
            <w:vAlign w:val="bottom"/>
            <w:tcBorders>
              <w:bottom w:val="single" w:sz="8" w:color="auto"/>
            </w:tcBorders>
            <w:shd w:val="clear" w:color="auto" w:fill="EEEEEE"/>
          </w:tcPr>
          <w:p>
            <w:pPr>
              <w:spacing w:after="0"/>
              <w:rPr>
                <w:sz w:val="14"/>
                <w:szCs w:val="14"/>
                <w:color w:val="auto"/>
              </w:rPr>
            </w:pPr>
          </w:p>
        </w:tc>
        <w:tc>
          <w:tcPr>
            <w:tcW w:w="16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4"/>
                <w:szCs w:val="14"/>
                <w:color w:val="auto"/>
              </w:rPr>
              <w:t>101</w:t>
            </w:r>
          </w:p>
        </w:tc>
        <w:tc>
          <w:tcPr>
            <w:tcW w:w="380" w:type="dxa"/>
            <w:vAlign w:val="bottom"/>
            <w:shd w:val="clear" w:color="auto" w:fill="EEEEEE"/>
          </w:tcPr>
          <w:p>
            <w:pPr>
              <w:spacing w:after="0"/>
              <w:rPr>
                <w:sz w:val="14"/>
                <w:szCs w:val="14"/>
                <w:color w:val="auto"/>
              </w:rPr>
            </w:pPr>
          </w:p>
        </w:tc>
        <w:tc>
          <w:tcPr>
            <w:tcW w:w="260" w:type="dxa"/>
            <w:vAlign w:val="bottom"/>
            <w:tcBorders>
              <w:bottom w:val="single" w:sz="8" w:color="auto"/>
            </w:tcBorders>
            <w:shd w:val="clear" w:color="auto" w:fill="EEEEEE"/>
          </w:tcPr>
          <w:p>
            <w:pPr>
              <w:spacing w:after="0"/>
              <w:rPr>
                <w:sz w:val="14"/>
                <w:szCs w:val="14"/>
                <w:color w:val="auto"/>
              </w:rPr>
            </w:pPr>
          </w:p>
        </w:tc>
        <w:tc>
          <w:tcPr>
            <w:tcW w:w="15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tcPr>
          <w:p>
            <w:pPr>
              <w:spacing w:after="0" w:line="155" w:lineRule="exact"/>
              <w:rPr>
                <w:sz w:val="20"/>
                <w:szCs w:val="20"/>
                <w:color w:val="auto"/>
              </w:rPr>
            </w:pPr>
            <w:r>
              <w:rPr>
                <w:rFonts w:ascii="Arial" w:cs="Arial" w:eastAsia="Arial" w:hAnsi="Arial"/>
                <w:sz w:val="14"/>
                <w:szCs w:val="14"/>
                <w:color w:val="auto"/>
              </w:rPr>
              <w:t>Total number of employees</w:t>
            </w:r>
          </w:p>
        </w:tc>
        <w:tc>
          <w:tcPr>
            <w:tcW w:w="19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1,011</w:t>
            </w:r>
          </w:p>
        </w:tc>
        <w:tc>
          <w:tcPr>
            <w:tcW w:w="3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$7.8 million, an increase of $1.4 million or 22.5% compared to the previous year and represented 8.6% of total operating expenses.</w:t>
      </w:r>
    </w:p>
    <w:p>
      <w:pPr>
        <w:spacing w:after="0" w:line="18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Interest expense for the three months ended September 30, 2018 increased by $2.5 million to $25.8 million, or 10.7% and represented 28.4% of total operating expenses, compared to $23.3 million in the previous year, when it was 23.0% of total operating expenses.</w:t>
      </w:r>
    </w:p>
    <w:p>
      <w:pPr>
        <w:spacing w:after="0" w:line="170"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Interest on securitization trust debt increased by $1.7 million, or 8.1%, for the three months ended September 30, 2018 compared to the prior period. The average balance of securitization trust debt decreased 2.6% to $2,128.1 million for the three months ended September 30, 2018 compared to $2,184.2 million for the three months ended September 30, 2017. However, the blended interest rates on new term securitizations have generally increased since June 2014. As a result, the cost of securitization debt during the three-month period ended September 30, 2018 was 4.3%, compared to 3.8% in the prior year period. For any particular quarterly securitization transaction, the blended cost of funds is ultimately the result of many factors including the market interest rates for risk-free securities (against which our bonds are priced), and the margin over those benchmarks that investors are willing to accept, which in turn is influenced by investor demand for our bonds at the time of the securitization. These and other factors have resulted in a general trend toward higher securitization trust debt interest costs since June 2014. The blended interest rates of our recent securitizations are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4"/>
          <w:szCs w:val="14"/>
          <w:b w:val="1"/>
          <w:bCs w:val="1"/>
          <w:color w:val="auto"/>
        </w:rPr>
        <w:t>Blended Cost of Funds on Recent Asset-Backed Term Securitizations</w:t>
      </w:r>
    </w:p>
    <w:p>
      <w:pPr>
        <w:spacing w:after="0" w:line="136"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0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Period</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Blended Cost of Funds</w:t>
            </w:r>
          </w:p>
        </w:tc>
      </w:tr>
      <w:tr>
        <w:trPr>
          <w:trHeight w:val="142"/>
        </w:trPr>
        <w:tc>
          <w:tcPr>
            <w:tcW w:w="4200" w:type="dxa"/>
            <w:vAlign w:val="bottom"/>
            <w:tcBorders>
              <w:top w:val="single" w:sz="8" w:color="auto"/>
            </w:tcBorders>
            <w:shd w:val="clear" w:color="auto" w:fill="EEEEEE"/>
          </w:tcPr>
          <w:p>
            <w:pPr>
              <w:jc w:val="center"/>
              <w:spacing w:after="0" w:line="142" w:lineRule="exact"/>
              <w:rPr>
                <w:sz w:val="20"/>
                <w:szCs w:val="20"/>
                <w:color w:val="auto"/>
              </w:rPr>
            </w:pPr>
            <w:r>
              <w:rPr>
                <w:rFonts w:ascii="Arial" w:cs="Arial" w:eastAsia="Arial" w:hAnsi="Arial"/>
                <w:sz w:val="14"/>
                <w:szCs w:val="14"/>
                <w:color w:val="auto"/>
                <w:w w:val="91"/>
              </w:rPr>
              <w:t>June 2014</w:t>
            </w:r>
          </w:p>
        </w:tc>
        <w:tc>
          <w:tcPr>
            <w:tcW w:w="800" w:type="dxa"/>
            <w:vAlign w:val="bottom"/>
            <w:tcBorders>
              <w:top w:val="single" w:sz="8" w:color="EEEEEE"/>
            </w:tcBorders>
            <w:shd w:val="clear" w:color="auto" w:fill="EEEEEE"/>
          </w:tcPr>
          <w:p>
            <w:pPr>
              <w:spacing w:after="0"/>
              <w:rPr>
                <w:sz w:val="12"/>
                <w:szCs w:val="12"/>
                <w:color w:val="auto"/>
              </w:rPr>
            </w:pPr>
          </w:p>
        </w:tc>
        <w:tc>
          <w:tcPr>
            <w:tcW w:w="1840" w:type="dxa"/>
            <w:vAlign w:val="bottom"/>
            <w:tcBorders>
              <w:top w:val="single" w:sz="8" w:color="auto"/>
            </w:tcBorders>
            <w:shd w:val="clear" w:color="auto" w:fill="EEEEEE"/>
          </w:tcPr>
          <w:p>
            <w:pPr>
              <w:jc w:val="center"/>
              <w:spacing w:after="0" w:line="142" w:lineRule="exact"/>
              <w:rPr>
                <w:sz w:val="20"/>
                <w:szCs w:val="20"/>
                <w:color w:val="auto"/>
              </w:rPr>
            </w:pPr>
            <w:r>
              <w:rPr>
                <w:rFonts w:ascii="Arial" w:cs="Arial" w:eastAsia="Arial" w:hAnsi="Arial"/>
                <w:sz w:val="14"/>
                <w:szCs w:val="14"/>
                <w:color w:val="auto"/>
                <w:w w:val="90"/>
              </w:rPr>
              <w:t>2.37%</w:t>
            </w:r>
          </w:p>
        </w:tc>
      </w:tr>
      <w:tr>
        <w:trPr>
          <w:trHeight w:val="149"/>
        </w:trPr>
        <w:tc>
          <w:tcPr>
            <w:tcW w:w="500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0"/>
              </w:rPr>
              <w:t>September 2014</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2.71%</w:t>
            </w:r>
          </w:p>
        </w:tc>
      </w:tr>
      <w:tr>
        <w:trPr>
          <w:trHeight w:val="149"/>
        </w:trPr>
        <w:tc>
          <w:tcPr>
            <w:tcW w:w="5000" w:type="dxa"/>
            <w:vAlign w:val="bottom"/>
            <w:gridSpan w:val="2"/>
            <w:shd w:val="clear" w:color="auto" w:fill="EEEEEE"/>
          </w:tcPr>
          <w:p>
            <w:pPr>
              <w:jc w:val="center"/>
              <w:ind w:right="800"/>
              <w:spacing w:after="0" w:line="149" w:lineRule="exact"/>
              <w:rPr>
                <w:sz w:val="20"/>
                <w:szCs w:val="20"/>
                <w:color w:val="auto"/>
              </w:rPr>
            </w:pPr>
            <w:r>
              <w:rPr>
                <w:rFonts w:ascii="Arial" w:cs="Arial" w:eastAsia="Arial" w:hAnsi="Arial"/>
                <w:sz w:val="14"/>
                <w:szCs w:val="14"/>
                <w:color w:val="auto"/>
                <w:w w:val="92"/>
              </w:rPr>
              <w:t>December 2014</w:t>
            </w:r>
          </w:p>
        </w:tc>
        <w:tc>
          <w:tcPr>
            <w:tcW w:w="18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3.07%</w:t>
            </w:r>
          </w:p>
        </w:tc>
      </w:tr>
      <w:tr>
        <w:trPr>
          <w:trHeight w:val="149"/>
        </w:trPr>
        <w:tc>
          <w:tcPr>
            <w:tcW w:w="500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4"/>
              </w:rPr>
              <w:t>March 2015</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3.04%</w:t>
            </w:r>
          </w:p>
        </w:tc>
      </w:tr>
      <w:tr>
        <w:trPr>
          <w:trHeight w:val="149"/>
        </w:trPr>
        <w:tc>
          <w:tcPr>
            <w:tcW w:w="5000" w:type="dxa"/>
            <w:vAlign w:val="bottom"/>
            <w:gridSpan w:val="2"/>
            <w:shd w:val="clear" w:color="auto" w:fill="EEEEEE"/>
          </w:tcPr>
          <w:p>
            <w:pPr>
              <w:jc w:val="center"/>
              <w:ind w:right="800"/>
              <w:spacing w:after="0" w:line="149" w:lineRule="exact"/>
              <w:rPr>
                <w:sz w:val="20"/>
                <w:szCs w:val="20"/>
                <w:color w:val="auto"/>
              </w:rPr>
            </w:pPr>
            <w:r>
              <w:rPr>
                <w:rFonts w:ascii="Arial" w:cs="Arial" w:eastAsia="Arial" w:hAnsi="Arial"/>
                <w:sz w:val="14"/>
                <w:szCs w:val="14"/>
                <w:color w:val="auto"/>
                <w:w w:val="91"/>
              </w:rPr>
              <w:t>June 2015</w:t>
            </w:r>
          </w:p>
        </w:tc>
        <w:tc>
          <w:tcPr>
            <w:tcW w:w="18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3.18%</w:t>
            </w:r>
          </w:p>
        </w:tc>
      </w:tr>
      <w:tr>
        <w:trPr>
          <w:trHeight w:val="149"/>
        </w:trPr>
        <w:tc>
          <w:tcPr>
            <w:tcW w:w="500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0"/>
              </w:rPr>
              <w:t>September 2015</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3.78%</w:t>
            </w:r>
          </w:p>
        </w:tc>
      </w:tr>
      <w:tr>
        <w:trPr>
          <w:trHeight w:val="149"/>
        </w:trPr>
        <w:tc>
          <w:tcPr>
            <w:tcW w:w="5000" w:type="dxa"/>
            <w:vAlign w:val="bottom"/>
            <w:gridSpan w:val="2"/>
            <w:shd w:val="clear" w:color="auto" w:fill="EEEEEE"/>
          </w:tcPr>
          <w:p>
            <w:pPr>
              <w:jc w:val="center"/>
              <w:ind w:right="800"/>
              <w:spacing w:after="0" w:line="149" w:lineRule="exact"/>
              <w:rPr>
                <w:sz w:val="20"/>
                <w:szCs w:val="20"/>
                <w:color w:val="auto"/>
              </w:rPr>
            </w:pPr>
            <w:r>
              <w:rPr>
                <w:rFonts w:ascii="Arial" w:cs="Arial" w:eastAsia="Arial" w:hAnsi="Arial"/>
                <w:sz w:val="14"/>
                <w:szCs w:val="14"/>
                <w:color w:val="auto"/>
                <w:w w:val="89"/>
              </w:rPr>
              <w:t>January 2016</w:t>
            </w:r>
          </w:p>
        </w:tc>
        <w:tc>
          <w:tcPr>
            <w:tcW w:w="18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4.34%</w:t>
            </w:r>
          </w:p>
        </w:tc>
      </w:tr>
      <w:tr>
        <w:trPr>
          <w:trHeight w:val="149"/>
        </w:trPr>
        <w:tc>
          <w:tcPr>
            <w:tcW w:w="50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rPr>
              <w:t>April 2016</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4.65%</w:t>
            </w:r>
          </w:p>
        </w:tc>
      </w:tr>
      <w:tr>
        <w:trPr>
          <w:trHeight w:val="149"/>
        </w:trPr>
        <w:tc>
          <w:tcPr>
            <w:tcW w:w="5000" w:type="dxa"/>
            <w:vAlign w:val="bottom"/>
            <w:gridSpan w:val="2"/>
            <w:shd w:val="clear" w:color="auto" w:fill="EEEEEE"/>
          </w:tcPr>
          <w:p>
            <w:pPr>
              <w:jc w:val="center"/>
              <w:ind w:right="800"/>
              <w:spacing w:after="0" w:line="149" w:lineRule="exact"/>
              <w:rPr>
                <w:sz w:val="20"/>
                <w:szCs w:val="20"/>
                <w:color w:val="auto"/>
              </w:rPr>
            </w:pPr>
            <w:r>
              <w:rPr>
                <w:rFonts w:ascii="Arial" w:cs="Arial" w:eastAsia="Arial" w:hAnsi="Arial"/>
                <w:sz w:val="14"/>
                <w:szCs w:val="14"/>
                <w:color w:val="auto"/>
                <w:w w:val="93"/>
              </w:rPr>
              <w:t>July 2016</w:t>
            </w:r>
          </w:p>
        </w:tc>
        <w:tc>
          <w:tcPr>
            <w:tcW w:w="18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4.48%</w:t>
            </w:r>
          </w:p>
        </w:tc>
      </w:tr>
      <w:tr>
        <w:trPr>
          <w:trHeight w:val="149"/>
        </w:trPr>
        <w:tc>
          <w:tcPr>
            <w:tcW w:w="50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4"/>
              </w:rPr>
              <w:t>October 2016</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3.62%</w:t>
            </w:r>
          </w:p>
        </w:tc>
      </w:tr>
      <w:tr>
        <w:trPr>
          <w:trHeight w:val="149"/>
        </w:trPr>
        <w:tc>
          <w:tcPr>
            <w:tcW w:w="5000" w:type="dxa"/>
            <w:vAlign w:val="bottom"/>
            <w:gridSpan w:val="2"/>
            <w:shd w:val="clear" w:color="auto" w:fill="EEEEEE"/>
          </w:tcPr>
          <w:p>
            <w:pPr>
              <w:jc w:val="center"/>
              <w:ind w:right="800"/>
              <w:spacing w:after="0" w:line="149" w:lineRule="exact"/>
              <w:rPr>
                <w:sz w:val="20"/>
                <w:szCs w:val="20"/>
                <w:color w:val="auto"/>
              </w:rPr>
            </w:pPr>
            <w:r>
              <w:rPr>
                <w:rFonts w:ascii="Arial" w:cs="Arial" w:eastAsia="Arial" w:hAnsi="Arial"/>
                <w:sz w:val="14"/>
                <w:szCs w:val="14"/>
                <w:color w:val="auto"/>
                <w:w w:val="89"/>
              </w:rPr>
              <w:t>January 2017</w:t>
            </w:r>
          </w:p>
        </w:tc>
        <w:tc>
          <w:tcPr>
            <w:tcW w:w="18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3.91%</w:t>
            </w:r>
          </w:p>
        </w:tc>
      </w:tr>
      <w:tr>
        <w:trPr>
          <w:trHeight w:val="149"/>
        </w:trPr>
        <w:tc>
          <w:tcPr>
            <w:tcW w:w="50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rPr>
              <w:t>April 2017</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3.45%</w:t>
            </w:r>
          </w:p>
        </w:tc>
      </w:tr>
      <w:tr>
        <w:trPr>
          <w:trHeight w:val="149"/>
        </w:trPr>
        <w:tc>
          <w:tcPr>
            <w:tcW w:w="5000" w:type="dxa"/>
            <w:vAlign w:val="bottom"/>
            <w:gridSpan w:val="2"/>
            <w:shd w:val="clear" w:color="auto" w:fill="EEEEEE"/>
          </w:tcPr>
          <w:p>
            <w:pPr>
              <w:jc w:val="center"/>
              <w:ind w:right="800"/>
              <w:spacing w:after="0" w:line="149" w:lineRule="exact"/>
              <w:rPr>
                <w:sz w:val="20"/>
                <w:szCs w:val="20"/>
                <w:color w:val="auto"/>
              </w:rPr>
            </w:pPr>
            <w:r>
              <w:rPr>
                <w:rFonts w:ascii="Arial" w:cs="Arial" w:eastAsia="Arial" w:hAnsi="Arial"/>
                <w:sz w:val="14"/>
                <w:szCs w:val="14"/>
                <w:color w:val="auto"/>
                <w:w w:val="93"/>
              </w:rPr>
              <w:t>July 2017</w:t>
            </w:r>
          </w:p>
        </w:tc>
        <w:tc>
          <w:tcPr>
            <w:tcW w:w="18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3.52%</w:t>
            </w:r>
          </w:p>
        </w:tc>
      </w:tr>
      <w:tr>
        <w:trPr>
          <w:trHeight w:val="149"/>
        </w:trPr>
        <w:tc>
          <w:tcPr>
            <w:tcW w:w="50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4"/>
              </w:rPr>
              <w:t>October 2017</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3.39%</w:t>
            </w:r>
          </w:p>
        </w:tc>
      </w:tr>
      <w:tr>
        <w:trPr>
          <w:trHeight w:val="149"/>
        </w:trPr>
        <w:tc>
          <w:tcPr>
            <w:tcW w:w="5000" w:type="dxa"/>
            <w:vAlign w:val="bottom"/>
            <w:gridSpan w:val="2"/>
            <w:shd w:val="clear" w:color="auto" w:fill="EEEEEE"/>
          </w:tcPr>
          <w:p>
            <w:pPr>
              <w:jc w:val="center"/>
              <w:ind w:right="800"/>
              <w:spacing w:after="0" w:line="149" w:lineRule="exact"/>
              <w:rPr>
                <w:sz w:val="20"/>
                <w:szCs w:val="20"/>
                <w:color w:val="auto"/>
              </w:rPr>
            </w:pPr>
            <w:r>
              <w:rPr>
                <w:rFonts w:ascii="Arial" w:cs="Arial" w:eastAsia="Arial" w:hAnsi="Arial"/>
                <w:sz w:val="14"/>
                <w:szCs w:val="14"/>
                <w:color w:val="auto"/>
                <w:w w:val="89"/>
              </w:rPr>
              <w:t>January 2018</w:t>
            </w:r>
          </w:p>
        </w:tc>
        <w:tc>
          <w:tcPr>
            <w:tcW w:w="18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3.46%</w:t>
            </w:r>
          </w:p>
        </w:tc>
      </w:tr>
      <w:tr>
        <w:trPr>
          <w:trHeight w:val="149"/>
        </w:trPr>
        <w:tc>
          <w:tcPr>
            <w:tcW w:w="50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rPr>
              <w:t>April 2018</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3.98%</w:t>
            </w:r>
          </w:p>
        </w:tc>
      </w:tr>
      <w:tr>
        <w:trPr>
          <w:trHeight w:val="149"/>
        </w:trPr>
        <w:tc>
          <w:tcPr>
            <w:tcW w:w="5000" w:type="dxa"/>
            <w:vAlign w:val="bottom"/>
            <w:gridSpan w:val="2"/>
            <w:shd w:val="clear" w:color="auto" w:fill="EEEEEE"/>
          </w:tcPr>
          <w:p>
            <w:pPr>
              <w:jc w:val="center"/>
              <w:ind w:right="800"/>
              <w:spacing w:after="0" w:line="149" w:lineRule="exact"/>
              <w:rPr>
                <w:sz w:val="20"/>
                <w:szCs w:val="20"/>
                <w:color w:val="auto"/>
              </w:rPr>
            </w:pPr>
            <w:r>
              <w:rPr>
                <w:rFonts w:ascii="Arial" w:cs="Arial" w:eastAsia="Arial" w:hAnsi="Arial"/>
                <w:sz w:val="14"/>
                <w:szCs w:val="14"/>
                <w:color w:val="auto"/>
                <w:w w:val="93"/>
              </w:rPr>
              <w:t>July 2018</w:t>
            </w:r>
          </w:p>
        </w:tc>
        <w:tc>
          <w:tcPr>
            <w:tcW w:w="18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4.18%</w:t>
            </w:r>
          </w:p>
        </w:tc>
      </w:tr>
    </w:tbl>
    <w:p>
      <w:pPr>
        <w:spacing w:after="0" w:line="20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Interest expense on subordinated renewable notes increased by $17,000, or 4.8%. The average yield of subordinated notes increased to 8.8% in the three-month period ended September 30, 2018 compared to 8.7% in the prior period.</w:t>
      </w:r>
    </w:p>
    <w:p>
      <w:pPr>
        <w:spacing w:after="0" w:line="17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Interest expense on warehouse debt decreased by $167,000, or 8.4%, for the three months ended September 30, 2018 compared to the prior period. The average rate on the debt increased to 12.5% in the three-month period ended September 30, 2018 compared to 11.9% in the prior period. However, the increase was offset by lower outstanding warehouse debt balance in the current period.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5" w:name="page26"/>
    <w:bookmarkEnd w:id="25"/>
    <w:p>
      <w:pPr>
        <w:ind w:left="360"/>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three-month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00" w:type="dxa"/>
            <w:vAlign w:val="bottom"/>
            <w:gridSpan w:val="6"/>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(Dollars in thousands)</w:t>
            </w: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Annualized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Annualized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 (1)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Yield/Rate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Balance (1)</w:t>
            </w:r>
          </w:p>
        </w:tc>
        <w:tc>
          <w:tcPr>
            <w:tcW w:w="20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Yield/Rate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EEEEEE"/>
            </w:tcBorders>
            <w:shd w:val="clear" w:color="auto" w:fill="EEEEEE"/>
          </w:tcPr>
          <w:p>
            <w:pPr>
              <w:spacing w:after="0"/>
              <w:rPr>
                <w:sz w:val="11"/>
                <w:szCs w:val="11"/>
                <w:color w:val="auto"/>
              </w:rPr>
            </w:pPr>
          </w:p>
        </w:tc>
        <w:tc>
          <w:tcPr>
            <w:tcW w:w="120" w:type="dxa"/>
            <w:vAlign w:val="bottom"/>
            <w:tcBorders>
              <w:top w:val="single" w:sz="8" w:color="EEEEEE"/>
            </w:tcBorders>
            <w:shd w:val="clear" w:color="auto" w:fill="EEEEEE"/>
          </w:tcPr>
          <w:p>
            <w:pPr>
              <w:spacing w:after="0"/>
              <w:rPr>
                <w:sz w:val="11"/>
                <w:szCs w:val="11"/>
                <w:color w:val="auto"/>
              </w:rPr>
            </w:pPr>
          </w:p>
        </w:tc>
        <w:tc>
          <w:tcPr>
            <w:tcW w:w="2440" w:type="dxa"/>
            <w:vAlign w:val="bottom"/>
            <w:tcBorders>
              <w:top w:val="single" w:sz="8" w:color="EEEEEE"/>
            </w:tcBorders>
            <w:gridSpan w:val="3"/>
            <w:shd w:val="clear" w:color="auto" w:fill="EEEEEE"/>
          </w:tcPr>
          <w:p>
            <w:pPr>
              <w:jc w:val="center"/>
              <w:ind w:right="1020"/>
              <w:spacing w:after="0" w:line="129" w:lineRule="exact"/>
              <w:rPr>
                <w:sz w:val="20"/>
                <w:szCs w:val="20"/>
                <w:color w:val="auto"/>
              </w:rPr>
            </w:pPr>
            <w:r>
              <w:rPr>
                <w:rFonts w:ascii="Arial" w:cs="Arial" w:eastAsia="Arial" w:hAnsi="Arial"/>
                <w:sz w:val="14"/>
                <w:szCs w:val="14"/>
                <w:b w:val="1"/>
                <w:bCs w:val="1"/>
                <w:color w:val="auto"/>
                <w:w w:val="90"/>
              </w:rPr>
              <w:t>Interest Earning Assets</w:t>
            </w:r>
          </w:p>
        </w:tc>
        <w:tc>
          <w:tcPr>
            <w:tcW w:w="140" w:type="dxa"/>
            <w:vAlign w:val="bottom"/>
            <w:tcBorders>
              <w:top w:val="single" w:sz="8" w:color="auto"/>
            </w:tcBorders>
            <w:shd w:val="clear" w:color="auto" w:fill="EEEEEE"/>
          </w:tcPr>
          <w:p>
            <w:pPr>
              <w:spacing w:after="0"/>
              <w:rPr>
                <w:sz w:val="11"/>
                <w:szCs w:val="11"/>
                <w:color w:val="auto"/>
              </w:rPr>
            </w:pPr>
          </w:p>
        </w:tc>
        <w:tc>
          <w:tcPr>
            <w:tcW w:w="1020" w:type="dxa"/>
            <w:vAlign w:val="bottom"/>
            <w:tcBorders>
              <w:top w:val="single" w:sz="8" w:color="auto"/>
            </w:tcBorders>
            <w:shd w:val="clear" w:color="auto" w:fill="EEEEEE"/>
          </w:tcPr>
          <w:p>
            <w:pPr>
              <w:spacing w:after="0"/>
              <w:rPr>
                <w:sz w:val="11"/>
                <w:szCs w:val="11"/>
                <w:color w:val="auto"/>
              </w:rPr>
            </w:pPr>
          </w:p>
        </w:tc>
        <w:tc>
          <w:tcPr>
            <w:tcW w:w="120" w:type="dxa"/>
            <w:vAlign w:val="bottom"/>
            <w:tcBorders>
              <w:top w:val="single" w:sz="8" w:color="EEEEEE"/>
            </w:tcBorders>
            <w:shd w:val="clear" w:color="auto" w:fill="EEEEEE"/>
          </w:tcPr>
          <w:p>
            <w:pPr>
              <w:spacing w:after="0"/>
              <w:rPr>
                <w:sz w:val="11"/>
                <w:szCs w:val="11"/>
                <w:color w:val="auto"/>
              </w:rPr>
            </w:pPr>
          </w:p>
        </w:tc>
        <w:tc>
          <w:tcPr>
            <w:tcW w:w="120" w:type="dxa"/>
            <w:vAlign w:val="bottom"/>
            <w:tcBorders>
              <w:top w:val="single" w:sz="8" w:color="EEEEEE"/>
            </w:tcBorders>
            <w:shd w:val="clear" w:color="auto" w:fill="EEEEEE"/>
          </w:tcPr>
          <w:p>
            <w:pPr>
              <w:spacing w:after="0"/>
              <w:rPr>
                <w:sz w:val="11"/>
                <w:szCs w:val="11"/>
                <w:color w:val="auto"/>
              </w:rPr>
            </w:pPr>
          </w:p>
        </w:tc>
        <w:tc>
          <w:tcPr>
            <w:tcW w:w="200" w:type="dxa"/>
            <w:vAlign w:val="bottom"/>
            <w:tcBorders>
              <w:top w:val="single" w:sz="8" w:color="auto"/>
            </w:tcBorders>
            <w:shd w:val="clear" w:color="auto" w:fill="EEEEEE"/>
          </w:tcPr>
          <w:p>
            <w:pPr>
              <w:spacing w:after="0"/>
              <w:rPr>
                <w:sz w:val="11"/>
                <w:szCs w:val="11"/>
                <w:color w:val="auto"/>
              </w:rPr>
            </w:pPr>
          </w:p>
        </w:tc>
        <w:tc>
          <w:tcPr>
            <w:tcW w:w="960" w:type="dxa"/>
            <w:vAlign w:val="bottom"/>
            <w:tcBorders>
              <w:top w:val="single" w:sz="8" w:color="auto"/>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1140" w:type="dxa"/>
            <w:vAlign w:val="bottom"/>
            <w:tcBorders>
              <w:top w:val="single" w:sz="8" w:color="auto"/>
            </w:tcBorders>
            <w:shd w:val="clear" w:color="auto" w:fill="EEEEEE"/>
          </w:tcPr>
          <w:p>
            <w:pPr>
              <w:spacing w:after="0"/>
              <w:rPr>
                <w:sz w:val="11"/>
                <w:szCs w:val="11"/>
                <w:color w:val="auto"/>
              </w:rPr>
            </w:pPr>
          </w:p>
        </w:tc>
        <w:tc>
          <w:tcPr>
            <w:tcW w:w="100" w:type="dxa"/>
            <w:vAlign w:val="bottom"/>
            <w:tcBorders>
              <w:top w:val="single" w:sz="8" w:color="EEEEEE"/>
            </w:tcBorders>
            <w:shd w:val="clear" w:color="auto" w:fill="EEEEEE"/>
          </w:tcPr>
          <w:p>
            <w:pPr>
              <w:spacing w:after="0"/>
              <w:rPr>
                <w:sz w:val="11"/>
                <w:szCs w:val="11"/>
                <w:color w:val="auto"/>
              </w:rPr>
            </w:pPr>
          </w:p>
        </w:tc>
        <w:tc>
          <w:tcPr>
            <w:tcW w:w="120" w:type="dxa"/>
            <w:vAlign w:val="bottom"/>
            <w:tcBorders>
              <w:top w:val="single" w:sz="8" w:color="EEEEEE"/>
            </w:tcBorders>
            <w:shd w:val="clear" w:color="auto" w:fill="EEEEEE"/>
          </w:tcPr>
          <w:p>
            <w:pPr>
              <w:spacing w:after="0"/>
              <w:rPr>
                <w:sz w:val="11"/>
                <w:szCs w:val="11"/>
                <w:color w:val="auto"/>
              </w:rPr>
            </w:pPr>
          </w:p>
        </w:tc>
        <w:tc>
          <w:tcPr>
            <w:tcW w:w="140" w:type="dxa"/>
            <w:vAlign w:val="bottom"/>
            <w:tcBorders>
              <w:top w:val="single" w:sz="8" w:color="auto"/>
            </w:tcBorders>
            <w:shd w:val="clear" w:color="auto" w:fill="EEEEEE"/>
          </w:tcPr>
          <w:p>
            <w:pPr>
              <w:spacing w:after="0"/>
              <w:rPr>
                <w:sz w:val="11"/>
                <w:szCs w:val="11"/>
                <w:color w:val="auto"/>
              </w:rPr>
            </w:pPr>
          </w:p>
        </w:tc>
        <w:tc>
          <w:tcPr>
            <w:tcW w:w="1000" w:type="dxa"/>
            <w:vAlign w:val="bottom"/>
            <w:tcBorders>
              <w:top w:val="single" w:sz="8" w:color="auto"/>
            </w:tcBorders>
            <w:shd w:val="clear" w:color="auto" w:fill="EEEEEE"/>
          </w:tcPr>
          <w:p>
            <w:pPr>
              <w:spacing w:after="0"/>
              <w:rPr>
                <w:sz w:val="11"/>
                <w:szCs w:val="11"/>
                <w:color w:val="auto"/>
              </w:rPr>
            </w:pPr>
          </w:p>
        </w:tc>
        <w:tc>
          <w:tcPr>
            <w:tcW w:w="200" w:type="dxa"/>
            <w:vAlign w:val="bottom"/>
            <w:tcBorders>
              <w:top w:val="single" w:sz="8" w:color="EEEEEE"/>
            </w:tcBorders>
            <w:shd w:val="clear" w:color="auto" w:fill="EEEEEE"/>
          </w:tcPr>
          <w:p>
            <w:pPr>
              <w:spacing w:after="0"/>
              <w:rPr>
                <w:sz w:val="11"/>
                <w:szCs w:val="11"/>
                <w:color w:val="auto"/>
              </w:rPr>
            </w:pPr>
          </w:p>
        </w:tc>
        <w:tc>
          <w:tcPr>
            <w:tcW w:w="200" w:type="dxa"/>
            <w:vAlign w:val="bottom"/>
            <w:tcBorders>
              <w:top w:val="single" w:sz="8" w:color="auto"/>
            </w:tcBorders>
            <w:shd w:val="clear" w:color="auto" w:fill="EEEEEE"/>
          </w:tcPr>
          <w:p>
            <w:pPr>
              <w:spacing w:after="0"/>
              <w:rPr>
                <w:sz w:val="11"/>
                <w:szCs w:val="11"/>
                <w:color w:val="auto"/>
              </w:rPr>
            </w:pPr>
          </w:p>
        </w:tc>
        <w:tc>
          <w:tcPr>
            <w:tcW w:w="940" w:type="dxa"/>
            <w:vAlign w:val="bottom"/>
            <w:tcBorders>
              <w:top w:val="single" w:sz="8" w:color="auto"/>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1140" w:type="dxa"/>
            <w:vAlign w:val="bottom"/>
            <w:tcBorders>
              <w:top w:val="single" w:sz="8" w:color="auto"/>
            </w:tcBorders>
            <w:shd w:val="clear" w:color="auto" w:fill="EEEEEE"/>
          </w:tcPr>
          <w:p>
            <w:pPr>
              <w:spacing w:after="0"/>
              <w:rPr>
                <w:sz w:val="11"/>
                <w:szCs w:val="11"/>
                <w:color w:val="auto"/>
              </w:rPr>
            </w:pPr>
          </w:p>
        </w:tc>
        <w:tc>
          <w:tcPr>
            <w:tcW w:w="100" w:type="dxa"/>
            <w:vAlign w:val="bottom"/>
            <w:tcBorders>
              <w:top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9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6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4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5"/>
          </w:tcPr>
          <w:p>
            <w:pPr>
              <w:spacing w:after="0" w:line="142" w:lineRule="exact"/>
              <w:rPr>
                <w:sz w:val="20"/>
                <w:szCs w:val="20"/>
                <w:color w:val="auto"/>
              </w:rPr>
            </w:pPr>
            <w:r>
              <w:rPr>
                <w:rFonts w:ascii="Arial" w:cs="Arial" w:eastAsia="Arial" w:hAnsi="Arial"/>
                <w:sz w:val="14"/>
                <w:szCs w:val="14"/>
                <w:color w:val="auto"/>
              </w:rPr>
              <w:t>Finance receivables gross (2)</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1,787,427</w:t>
            </w:r>
          </w:p>
        </w:tc>
        <w:tc>
          <w:tcPr>
            <w:tcW w:w="320" w:type="dxa"/>
            <w:vAlign w:val="bottom"/>
            <w:gridSpan w:val="2"/>
          </w:tcPr>
          <w:p>
            <w:pPr>
              <w:jc w:val="right"/>
              <w:ind w:right="89"/>
              <w:spacing w:after="0" w:line="142"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80,135</w:t>
            </w:r>
          </w:p>
        </w:tc>
        <w:tc>
          <w:tcPr>
            <w:tcW w:w="12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17.9%</w:t>
            </w:r>
          </w:p>
        </w:tc>
        <w:tc>
          <w:tcPr>
            <w:tcW w:w="2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2,313,083</w:t>
            </w:r>
          </w:p>
        </w:tc>
        <w:tc>
          <w:tcPr>
            <w:tcW w:w="200" w:type="dxa"/>
            <w:vAlign w:val="bottom"/>
          </w:tcPr>
          <w:p>
            <w:pPr>
              <w:spacing w:after="0"/>
              <w:rPr>
                <w:sz w:val="12"/>
                <w:szCs w:val="12"/>
                <w:color w:val="auto"/>
              </w:rPr>
            </w:pPr>
          </w:p>
        </w:tc>
        <w:tc>
          <w:tcPr>
            <w:tcW w:w="20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107,014</w:t>
            </w:r>
          </w:p>
        </w:tc>
        <w:tc>
          <w:tcPr>
            <w:tcW w:w="12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5"/>
            <w:shd w:val="clear" w:color="auto" w:fill="EEEEEE"/>
          </w:tcPr>
          <w:p>
            <w:pPr>
              <w:spacing w:after="0"/>
              <w:rPr>
                <w:sz w:val="20"/>
                <w:szCs w:val="20"/>
                <w:color w:val="auto"/>
              </w:rPr>
            </w:pPr>
            <w:r>
              <w:rPr>
                <w:rFonts w:ascii="Arial" w:cs="Arial" w:eastAsia="Arial" w:hAnsi="Arial"/>
                <w:sz w:val="14"/>
                <w:szCs w:val="14"/>
                <w:color w:val="auto"/>
              </w:rPr>
              <w:t>Finance receivables at fair value</w:t>
            </w:r>
          </w:p>
        </w:tc>
        <w:tc>
          <w:tcPr>
            <w:tcW w:w="140" w:type="dxa"/>
            <w:vAlign w:val="bottom"/>
            <w:shd w:val="clear" w:color="auto" w:fill="EEEEEE"/>
          </w:tcPr>
          <w:p>
            <w:pPr>
              <w:spacing w:after="0"/>
              <w:rPr>
                <w:sz w:val="14"/>
                <w:szCs w:val="14"/>
                <w:color w:val="auto"/>
              </w:rPr>
            </w:pPr>
          </w:p>
        </w:tc>
        <w:tc>
          <w:tcPr>
            <w:tcW w:w="114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547,468</w:t>
            </w:r>
          </w:p>
        </w:tc>
        <w:tc>
          <w:tcPr>
            <w:tcW w:w="12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13,482</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9.9%</w:t>
            </w:r>
          </w:p>
        </w:tc>
        <w:tc>
          <w:tcPr>
            <w:tcW w:w="12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4"/>
                <w:szCs w:val="14"/>
                <w:color w:val="auto"/>
              </w:rPr>
            </w:pP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2,334,895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93,617</w:t>
            </w:r>
          </w:p>
        </w:tc>
        <w:tc>
          <w:tcPr>
            <w:tcW w:w="220" w:type="dxa"/>
            <w:vAlign w:val="bottom"/>
          </w:tcPr>
          <w:p>
            <w:pPr>
              <w:spacing w:after="0"/>
              <w:rPr>
                <w:sz w:val="12"/>
                <w:szCs w:val="12"/>
                <w:color w:val="auto"/>
              </w:rPr>
            </w:pPr>
          </w:p>
        </w:tc>
        <w:tc>
          <w:tcPr>
            <w:tcW w:w="12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16.0%</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2,313,083</w:t>
            </w: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107,014</w:t>
            </w:r>
          </w:p>
        </w:tc>
        <w:tc>
          <w:tcPr>
            <w:tcW w:w="220" w:type="dxa"/>
            <w:vAlign w:val="bottom"/>
          </w:tcPr>
          <w:p>
            <w:pPr>
              <w:spacing w:after="0"/>
              <w:rPr>
                <w:sz w:val="12"/>
                <w:szCs w:val="12"/>
                <w:color w:val="auto"/>
              </w:rPr>
            </w:pPr>
          </w:p>
        </w:tc>
        <w:tc>
          <w:tcPr>
            <w:tcW w:w="12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60" w:type="dxa"/>
            <w:vAlign w:val="bottom"/>
            <w:tcBorders>
              <w:bottom w:val="single" w:sz="8" w:color="auto"/>
            </w:tcBorders>
            <w:gridSpan w:val="3"/>
          </w:tcPr>
          <w:p>
            <w:pPr>
              <w:jc w:val="center"/>
              <w:spacing w:after="0" w:line="135" w:lineRule="exact"/>
              <w:rPr>
                <w:sz w:val="20"/>
                <w:szCs w:val="20"/>
                <w:color w:val="auto"/>
              </w:rPr>
            </w:pPr>
            <w:r>
              <w:rPr>
                <w:rFonts w:ascii="Arial" w:cs="Arial" w:eastAsia="Arial" w:hAnsi="Arial"/>
                <w:sz w:val="14"/>
                <w:szCs w:val="14"/>
                <w:b w:val="1"/>
                <w:bCs w:val="1"/>
                <w:color w:val="auto"/>
                <w:w w:val="94"/>
              </w:rPr>
              <w:t>Interest Bearing Liabilities</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FFFFFF"/>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5"/>
            <w:shd w:val="clear" w:color="auto" w:fill="EEEEEE"/>
          </w:tcPr>
          <w:p>
            <w:pPr>
              <w:spacing w:after="0" w:line="142" w:lineRule="exact"/>
              <w:rPr>
                <w:sz w:val="20"/>
                <w:szCs w:val="20"/>
                <w:color w:val="auto"/>
              </w:rPr>
            </w:pPr>
            <w:r>
              <w:rPr>
                <w:rFonts w:ascii="Arial" w:cs="Arial" w:eastAsia="Arial" w:hAnsi="Arial"/>
                <w:sz w:val="14"/>
                <w:szCs w:val="14"/>
                <w:color w:val="auto"/>
              </w:rPr>
              <w:t>Warehouse lines of credit (3)</w:t>
            </w:r>
          </w:p>
        </w:tc>
        <w:tc>
          <w:tcPr>
            <w:tcW w:w="140" w:type="dxa"/>
            <w:vAlign w:val="bottom"/>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EEEEEE"/>
          </w:tcPr>
          <w:p>
            <w:pPr>
              <w:jc w:val="right"/>
              <w:ind w:right="120"/>
              <w:spacing w:after="0" w:line="142" w:lineRule="exact"/>
              <w:rPr>
                <w:sz w:val="20"/>
                <w:szCs w:val="20"/>
                <w:color w:val="auto"/>
              </w:rPr>
            </w:pPr>
            <w:r>
              <w:rPr>
                <w:rFonts w:ascii="Arial" w:cs="Arial" w:eastAsia="Arial" w:hAnsi="Arial"/>
                <w:sz w:val="14"/>
                <w:szCs w:val="14"/>
                <w:color w:val="auto"/>
              </w:rPr>
              <w:t>58,806</w:t>
            </w: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1,827</w:t>
            </w:r>
          </w:p>
        </w:tc>
        <w:tc>
          <w:tcPr>
            <w:tcW w:w="1240" w:type="dxa"/>
            <w:vAlign w:val="bottom"/>
            <w:gridSpan w:val="2"/>
            <w:shd w:val="clear" w:color="auto" w:fill="EEEEEE"/>
          </w:tcPr>
          <w:p>
            <w:pPr>
              <w:jc w:val="right"/>
              <w:ind w:right="100"/>
              <w:spacing w:after="0" w:line="142" w:lineRule="exact"/>
              <w:rPr>
                <w:sz w:val="20"/>
                <w:szCs w:val="20"/>
                <w:color w:val="auto"/>
              </w:rPr>
            </w:pPr>
            <w:r>
              <w:rPr>
                <w:rFonts w:ascii="Arial" w:cs="Arial" w:eastAsia="Arial" w:hAnsi="Arial"/>
                <w:sz w:val="14"/>
                <w:szCs w:val="14"/>
                <w:color w:val="auto"/>
              </w:rPr>
              <w:t>12.5%</w:t>
            </w:r>
          </w:p>
        </w:tc>
        <w:tc>
          <w:tcPr>
            <w:tcW w:w="260" w:type="dxa"/>
            <w:vAlign w:val="bottom"/>
            <w:gridSpan w:val="2"/>
            <w:shd w:val="clear" w:color="auto" w:fill="EEEEEE"/>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EEEEEE"/>
          </w:tcPr>
          <w:p>
            <w:pPr>
              <w:jc w:val="right"/>
              <w:ind w:right="200"/>
              <w:spacing w:after="0" w:line="142" w:lineRule="exact"/>
              <w:rPr>
                <w:sz w:val="20"/>
                <w:szCs w:val="20"/>
                <w:color w:val="auto"/>
              </w:rPr>
            </w:pPr>
            <w:r>
              <w:rPr>
                <w:rFonts w:ascii="Arial" w:cs="Arial" w:eastAsia="Arial" w:hAnsi="Arial"/>
                <w:sz w:val="14"/>
                <w:szCs w:val="14"/>
                <w:color w:val="auto"/>
              </w:rPr>
              <w:t>66,514</w:t>
            </w:r>
          </w:p>
        </w:tc>
        <w:tc>
          <w:tcPr>
            <w:tcW w:w="200" w:type="dxa"/>
            <w:vAlign w:val="bottom"/>
            <w:shd w:val="clear" w:color="auto" w:fill="EEEEEE"/>
          </w:tcPr>
          <w:p>
            <w:pPr>
              <w:spacing w:after="0"/>
              <w:rPr>
                <w:sz w:val="12"/>
                <w:szCs w:val="12"/>
                <w:color w:val="auto"/>
              </w:rPr>
            </w:pPr>
          </w:p>
        </w:tc>
        <w:tc>
          <w:tcPr>
            <w:tcW w:w="116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1,994</w:t>
            </w:r>
          </w:p>
        </w:tc>
        <w:tc>
          <w:tcPr>
            <w:tcW w:w="1240" w:type="dxa"/>
            <w:vAlign w:val="bottom"/>
            <w:gridSpan w:val="2"/>
            <w:shd w:val="clear" w:color="auto" w:fill="EEEEEE"/>
          </w:tcPr>
          <w:p>
            <w:pPr>
              <w:jc w:val="right"/>
              <w:ind w:right="100"/>
              <w:spacing w:after="0" w:line="142"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5"/>
          </w:tcPr>
          <w:p>
            <w:pPr>
              <w:spacing w:after="0" w:line="149" w:lineRule="exact"/>
              <w:rPr>
                <w:sz w:val="20"/>
                <w:szCs w:val="20"/>
                <w:color w:val="auto"/>
              </w:rPr>
            </w:pPr>
            <w:r>
              <w:rPr>
                <w:rFonts w:ascii="Arial" w:cs="Arial" w:eastAsia="Arial" w:hAnsi="Arial"/>
                <w:sz w:val="14"/>
                <w:szCs w:val="14"/>
                <w:color w:val="auto"/>
              </w:rPr>
              <w:t>Residual interest financing</w:t>
            </w:r>
          </w:p>
        </w:tc>
        <w:tc>
          <w:tcPr>
            <w:tcW w:w="14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936</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5"/>
            <w:shd w:val="clear" w:color="auto" w:fill="EEEEEE"/>
          </w:tcPr>
          <w:p>
            <w:pPr>
              <w:spacing w:after="0" w:line="149" w:lineRule="exact"/>
              <w:rPr>
                <w:sz w:val="20"/>
                <w:szCs w:val="20"/>
                <w:color w:val="auto"/>
              </w:rPr>
            </w:pPr>
            <w:r>
              <w:rPr>
                <w:rFonts w:ascii="Arial" w:cs="Arial" w:eastAsia="Arial" w:hAnsi="Arial"/>
                <w:sz w:val="14"/>
                <w:szCs w:val="14"/>
                <w:color w:val="auto"/>
              </w:rPr>
              <w:t>Securitization trust debt</w:t>
            </w:r>
          </w:p>
        </w:tc>
        <w:tc>
          <w:tcPr>
            <w:tcW w:w="1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2,128,142</w:t>
            </w: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22,678</w:t>
            </w: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4.3%</w:t>
            </w: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2,184,164</w:t>
            </w: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1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20,973</w:t>
            </w: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5"/>
          </w:tcPr>
          <w:p>
            <w:pPr>
              <w:spacing w:after="0"/>
              <w:rPr>
                <w:sz w:val="20"/>
                <w:szCs w:val="20"/>
                <w:color w:val="auto"/>
              </w:rPr>
            </w:pPr>
            <w:r>
              <w:rPr>
                <w:rFonts w:ascii="Arial" w:cs="Arial" w:eastAsia="Arial" w:hAnsi="Arial"/>
                <w:sz w:val="14"/>
                <w:szCs w:val="14"/>
                <w:color w:val="auto"/>
              </w:rPr>
              <w:t>Subordinated renewable notes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16,655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367</w:t>
            </w: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16,113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350</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4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90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24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4"/>
                <w:szCs w:val="14"/>
                <w:color w:val="auto"/>
              </w:rPr>
              <w:t>4.6%</w:t>
            </w:r>
          </w:p>
        </w:tc>
        <w:tc>
          <w:tcPr>
            <w:tcW w:w="12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24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4"/>
                <w:szCs w:val="14"/>
                <w:color w:val="auto"/>
              </w:rPr>
              <w:t>4.1%</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4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900" w:type="dxa"/>
            <w:vAlign w:val="bottom"/>
            <w:shd w:val="clear" w:color="auto" w:fill="EEEEEE"/>
          </w:tcPr>
          <w:p>
            <w:pPr>
              <w:spacing w:after="0"/>
              <w:rPr>
                <w:sz w:val="14"/>
                <w:szCs w:val="14"/>
                <w:color w:val="auto"/>
              </w:rPr>
            </w:pPr>
          </w:p>
        </w:tc>
        <w:tc>
          <w:tcPr>
            <w:tcW w:w="140" w:type="dxa"/>
            <w:vAlign w:val="bottom"/>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4"/>
                <w:szCs w:val="14"/>
                <w:color w:val="auto"/>
              </w:rPr>
              <w:t>2,243,603</w:t>
            </w:r>
          </w:p>
        </w:tc>
        <w:tc>
          <w:tcPr>
            <w:tcW w:w="1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4"/>
                <w:szCs w:val="14"/>
                <w:color w:val="auto"/>
              </w:rPr>
              <w:t>25,808</w:t>
            </w:r>
          </w:p>
        </w:tc>
        <w:tc>
          <w:tcPr>
            <w:tcW w:w="220" w:type="dxa"/>
            <w:vAlign w:val="bottom"/>
            <w:vMerge w:val="continue"/>
            <w:shd w:val="clear" w:color="auto" w:fill="EEEEEE"/>
          </w:tcPr>
          <w:p>
            <w:pPr>
              <w:spacing w:after="0"/>
              <w:rPr>
                <w:sz w:val="14"/>
                <w:szCs w:val="14"/>
                <w:color w:val="auto"/>
              </w:rPr>
            </w:pPr>
          </w:p>
        </w:tc>
        <w:tc>
          <w:tcPr>
            <w:tcW w:w="1240" w:type="dxa"/>
            <w:vAlign w:val="bottom"/>
            <w:gridSpan w:val="2"/>
            <w:vMerge w:val="continue"/>
            <w:shd w:val="clear" w:color="auto" w:fill="EEEEEE"/>
          </w:tcPr>
          <w:p>
            <w:pPr>
              <w:spacing w:after="0"/>
              <w:rPr>
                <w:sz w:val="14"/>
                <w:szCs w:val="14"/>
                <w:color w:val="auto"/>
              </w:rPr>
            </w:pPr>
          </w:p>
        </w:tc>
        <w:tc>
          <w:tcPr>
            <w:tcW w:w="260" w:type="dxa"/>
            <w:vAlign w:val="bottom"/>
            <w:gridSpan w:val="2"/>
            <w:shd w:val="clear" w:color="auto" w:fill="EEEEEE"/>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4"/>
                <w:szCs w:val="14"/>
                <w:color w:val="auto"/>
              </w:rPr>
              <w:t>2,266,791</w:t>
            </w:r>
          </w:p>
        </w:tc>
        <w:tc>
          <w:tcPr>
            <w:tcW w:w="20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4"/>
                <w:szCs w:val="14"/>
                <w:color w:val="auto"/>
              </w:rPr>
              <w:t>23,317</w:t>
            </w:r>
          </w:p>
        </w:tc>
        <w:tc>
          <w:tcPr>
            <w:tcW w:w="220" w:type="dxa"/>
            <w:vAlign w:val="bottom"/>
            <w:vMerge w:val="continue"/>
            <w:shd w:val="clear" w:color="auto" w:fill="EEEEEE"/>
          </w:tcPr>
          <w:p>
            <w:pPr>
              <w:spacing w:after="0"/>
              <w:rPr>
                <w:sz w:val="14"/>
                <w:szCs w:val="14"/>
                <w:color w:val="auto"/>
              </w:rPr>
            </w:pPr>
          </w:p>
        </w:tc>
        <w:tc>
          <w:tcPr>
            <w:tcW w:w="124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4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bottom w:val="single" w:sz="8" w:color="EEEEEE"/>
            </w:tcBorders>
            <w:gridSpan w:val="2"/>
            <w:vMerge w:val="restart"/>
          </w:tcPr>
          <w:p>
            <w:pPr>
              <w:jc w:val="right"/>
              <w:ind w:right="100"/>
              <w:spacing w:after="0"/>
              <w:rPr>
                <w:sz w:val="20"/>
                <w:szCs w:val="20"/>
                <w:color w:val="auto"/>
              </w:rPr>
            </w:pPr>
            <w:r>
              <w:rPr>
                <w:rFonts w:ascii="Arial" w:cs="Arial" w:eastAsia="Arial" w:hAnsi="Arial"/>
                <w:sz w:val="14"/>
                <w:szCs w:val="14"/>
                <w:color w:val="FFFFFF"/>
              </w:rPr>
              <w:t>$</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bottom w:val="single" w:sz="8" w:color="EEEEEE"/>
            </w:tcBorders>
          </w:tcPr>
          <w:p>
            <w:pPr>
              <w:spacing w:after="0"/>
              <w:rPr>
                <w:sz w:val="11"/>
                <w:szCs w:val="11"/>
                <w:color w:val="auto"/>
              </w:rPr>
            </w:pPr>
          </w:p>
        </w:tc>
        <w:tc>
          <w:tcPr>
            <w:tcW w:w="120" w:type="dxa"/>
            <w:vAlign w:val="bottom"/>
            <w:tcBorders>
              <w:bottom w:val="single" w:sz="8" w:color="EEEEEE"/>
            </w:tcBorders>
          </w:tcPr>
          <w:p>
            <w:pPr>
              <w:spacing w:after="0"/>
              <w:rPr>
                <w:sz w:val="11"/>
                <w:szCs w:val="11"/>
                <w:color w:val="auto"/>
              </w:rPr>
            </w:pPr>
          </w:p>
        </w:tc>
        <w:tc>
          <w:tcPr>
            <w:tcW w:w="1420" w:type="dxa"/>
            <w:vAlign w:val="bottom"/>
            <w:tcBorders>
              <w:bottom w:val="single" w:sz="8" w:color="EEEEEE"/>
            </w:tcBorders>
          </w:tcPr>
          <w:p>
            <w:pPr>
              <w:spacing w:after="0"/>
              <w:rPr>
                <w:sz w:val="11"/>
                <w:szCs w:val="11"/>
                <w:color w:val="auto"/>
              </w:rPr>
            </w:pPr>
          </w:p>
        </w:tc>
        <w:tc>
          <w:tcPr>
            <w:tcW w:w="120" w:type="dxa"/>
            <w:vAlign w:val="bottom"/>
            <w:tcBorders>
              <w:bottom w:val="single" w:sz="8" w:color="EEEEEE"/>
            </w:tcBorders>
          </w:tcPr>
          <w:p>
            <w:pPr>
              <w:spacing w:after="0"/>
              <w:rPr>
                <w:sz w:val="11"/>
                <w:szCs w:val="11"/>
                <w:color w:val="auto"/>
              </w:rPr>
            </w:pPr>
          </w:p>
        </w:tc>
        <w:tc>
          <w:tcPr>
            <w:tcW w:w="900" w:type="dxa"/>
            <w:vAlign w:val="bottom"/>
            <w:tcBorders>
              <w:bottom w:val="single" w:sz="8" w:color="EEEEEE"/>
            </w:tcBorders>
          </w:tcPr>
          <w:p>
            <w:pPr>
              <w:spacing w:after="0"/>
              <w:rPr>
                <w:sz w:val="11"/>
                <w:szCs w:val="11"/>
                <w:color w:val="auto"/>
              </w:rPr>
            </w:pPr>
          </w:p>
        </w:tc>
        <w:tc>
          <w:tcPr>
            <w:tcW w:w="140" w:type="dxa"/>
            <w:vAlign w:val="bottom"/>
            <w:tcBorders>
              <w:bottom w:val="single" w:sz="8" w:color="EEEEEE"/>
            </w:tcBorders>
          </w:tcPr>
          <w:p>
            <w:pPr>
              <w:spacing w:after="0"/>
              <w:rPr>
                <w:sz w:val="11"/>
                <w:szCs w:val="11"/>
                <w:color w:val="auto"/>
              </w:rPr>
            </w:pPr>
          </w:p>
        </w:tc>
        <w:tc>
          <w:tcPr>
            <w:tcW w:w="1020" w:type="dxa"/>
            <w:vAlign w:val="bottom"/>
            <w:tcBorders>
              <w:bottom w:val="single" w:sz="8" w:color="EEEEEE"/>
            </w:tcBorders>
          </w:tcPr>
          <w:p>
            <w:pPr>
              <w:spacing w:after="0"/>
              <w:rPr>
                <w:sz w:val="11"/>
                <w:szCs w:val="11"/>
                <w:color w:val="auto"/>
              </w:rPr>
            </w:pPr>
          </w:p>
        </w:tc>
        <w:tc>
          <w:tcPr>
            <w:tcW w:w="120" w:type="dxa"/>
            <w:vAlign w:val="bottom"/>
            <w:tcBorders>
              <w:bottom w:val="single" w:sz="8" w:color="EEEEEE"/>
            </w:tcBorders>
          </w:tcPr>
          <w:p>
            <w:pPr>
              <w:spacing w:after="0"/>
              <w:rPr>
                <w:sz w:val="11"/>
                <w:szCs w:val="11"/>
                <w:color w:val="auto"/>
              </w:rPr>
            </w:pPr>
          </w:p>
        </w:tc>
        <w:tc>
          <w:tcPr>
            <w:tcW w:w="120" w:type="dxa"/>
            <w:vAlign w:val="bottom"/>
            <w:tcBorders>
              <w:bottom w:val="single" w:sz="8" w:color="EEEEEE"/>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Borders>
              <w:bottom w:val="single" w:sz="8" w:color="EEEEEE"/>
            </w:tcBorders>
          </w:tcPr>
          <w:p>
            <w:pPr>
              <w:spacing w:after="0"/>
              <w:rPr>
                <w:sz w:val="11"/>
                <w:szCs w:val="11"/>
                <w:color w:val="auto"/>
              </w:rPr>
            </w:pPr>
          </w:p>
        </w:tc>
        <w:tc>
          <w:tcPr>
            <w:tcW w:w="1140" w:type="dxa"/>
            <w:vAlign w:val="bottom"/>
            <w:tcBorders>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120" w:type="dxa"/>
            <w:vAlign w:val="bottom"/>
            <w:tcBorders>
              <w:bottom w:val="single" w:sz="8" w:color="EEEEEE"/>
            </w:tcBorders>
          </w:tcPr>
          <w:p>
            <w:pPr>
              <w:spacing w:after="0"/>
              <w:rPr>
                <w:sz w:val="11"/>
                <w:szCs w:val="11"/>
                <w:color w:val="auto"/>
              </w:rPr>
            </w:pPr>
          </w:p>
        </w:tc>
        <w:tc>
          <w:tcPr>
            <w:tcW w:w="140" w:type="dxa"/>
            <w:vAlign w:val="bottom"/>
            <w:tcBorders>
              <w:bottom w:val="single" w:sz="8" w:color="EEEEEE"/>
            </w:tcBorders>
          </w:tcPr>
          <w:p>
            <w:pPr>
              <w:spacing w:after="0"/>
              <w:rPr>
                <w:sz w:val="11"/>
                <w:szCs w:val="11"/>
                <w:color w:val="auto"/>
              </w:rPr>
            </w:pPr>
          </w:p>
        </w:tc>
        <w:tc>
          <w:tcPr>
            <w:tcW w:w="1000" w:type="dxa"/>
            <w:vAlign w:val="bottom"/>
            <w:tcBorders>
              <w:bottom w:val="single" w:sz="8" w:color="EEEEEE"/>
            </w:tcBorders>
          </w:tcPr>
          <w:p>
            <w:pPr>
              <w:spacing w:after="0"/>
              <w:rPr>
                <w:sz w:val="11"/>
                <w:szCs w:val="11"/>
                <w:color w:val="auto"/>
              </w:rPr>
            </w:pPr>
          </w:p>
        </w:tc>
        <w:tc>
          <w:tcPr>
            <w:tcW w:w="200" w:type="dxa"/>
            <w:vAlign w:val="bottom"/>
            <w:tcBorders>
              <w:bottom w:val="single" w:sz="8" w:color="EEEEEE"/>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20" w:type="dxa"/>
            <w:vAlign w:val="bottom"/>
            <w:tcBorders>
              <w:bottom w:val="single" w:sz="8" w:color="EEEEEE"/>
            </w:tcBorders>
          </w:tcPr>
          <w:p>
            <w:pPr>
              <w:spacing w:after="0"/>
              <w:rPr>
                <w:sz w:val="11"/>
                <w:szCs w:val="11"/>
                <w:color w:val="auto"/>
              </w:rPr>
            </w:pPr>
          </w:p>
        </w:tc>
        <w:tc>
          <w:tcPr>
            <w:tcW w:w="1240" w:type="dxa"/>
            <w:vAlign w:val="bottom"/>
            <w:tcBorders>
              <w:bottom w:val="single" w:sz="8" w:color="EEEEEE"/>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bottom w:val="single" w:sz="8" w:color="EEEEEE"/>
            </w:tcBorders>
            <w:gridSpan w:val="5"/>
            <w:shd w:val="clear" w:color="auto" w:fill="EEEEEE"/>
          </w:tcPr>
          <w:p>
            <w:pPr>
              <w:spacing w:after="0" w:line="155" w:lineRule="exact"/>
              <w:rPr>
                <w:sz w:val="20"/>
                <w:szCs w:val="20"/>
                <w:color w:val="auto"/>
              </w:rPr>
            </w:pPr>
            <w:r>
              <w:rPr>
                <w:rFonts w:ascii="Arial" w:cs="Arial" w:eastAsia="Arial" w:hAnsi="Arial"/>
                <w:sz w:val="14"/>
                <w:szCs w:val="14"/>
                <w:color w:val="auto"/>
              </w:rPr>
              <w:t>Net interest income/spread</w:t>
            </w:r>
          </w:p>
        </w:tc>
        <w:tc>
          <w:tcPr>
            <w:tcW w:w="140" w:type="dxa"/>
            <w:vAlign w:val="bottom"/>
            <w:tcBorders>
              <w:bottom w:val="single" w:sz="8" w:color="EEEEEE"/>
            </w:tcBorders>
            <w:shd w:val="clear" w:color="auto" w:fill="EEEEEE"/>
          </w:tcPr>
          <w:p>
            <w:pPr>
              <w:spacing w:after="0"/>
              <w:rPr>
                <w:sz w:val="13"/>
                <w:szCs w:val="13"/>
                <w:color w:val="auto"/>
              </w:rPr>
            </w:pPr>
          </w:p>
        </w:tc>
        <w:tc>
          <w:tcPr>
            <w:tcW w:w="1140" w:type="dxa"/>
            <w:vAlign w:val="bottom"/>
            <w:tcBorders>
              <w:bottom w:val="single" w:sz="8" w:color="EEEEEE"/>
            </w:tcBorders>
            <w:gridSpan w:val="2"/>
            <w:shd w:val="clear" w:color="auto" w:fill="EEEEEE"/>
          </w:tcPr>
          <w:p>
            <w:pPr>
              <w:jc w:val="right"/>
              <w:ind w:right="120"/>
              <w:spacing w:after="0" w:line="155" w:lineRule="exact"/>
              <w:rPr>
                <w:sz w:val="20"/>
                <w:szCs w:val="20"/>
                <w:color w:val="auto"/>
              </w:rPr>
            </w:pPr>
            <w:r>
              <w:rPr>
                <w:rFonts w:ascii="Arial" w:cs="Arial" w:eastAsia="Arial" w:hAnsi="Arial"/>
                <w:sz w:val="14"/>
                <w:szCs w:val="14"/>
                <w:color w:val="FFFFFF"/>
              </w:rPr>
              <w:t>$</w:t>
            </w:r>
          </w:p>
        </w:tc>
        <w:tc>
          <w:tcPr>
            <w:tcW w:w="120" w:type="dxa"/>
            <w:vAlign w:val="bottom"/>
            <w:tcBorders>
              <w:bottom w:val="single" w:sz="8" w:color="EEEEEE"/>
            </w:tcBorders>
            <w:shd w:val="clear" w:color="auto" w:fill="EEEEEE"/>
          </w:tcPr>
          <w:p>
            <w:pPr>
              <w:spacing w:after="0"/>
              <w:rPr>
                <w:sz w:val="13"/>
                <w:szCs w:val="13"/>
                <w:color w:val="auto"/>
              </w:rPr>
            </w:pPr>
          </w:p>
        </w:tc>
        <w:tc>
          <w:tcPr>
            <w:tcW w:w="200" w:type="dxa"/>
            <w:vAlign w:val="bottom"/>
            <w:tcBorders>
              <w:bottom w:val="single" w:sz="8" w:color="auto"/>
            </w:tcBorders>
            <w:shd w:val="clear" w:color="auto" w:fill="EEEEEE"/>
          </w:tcPr>
          <w:p>
            <w:pPr>
              <w:jc w:val="right"/>
              <w:ind w:right="8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67,809</w:t>
            </w:r>
          </w:p>
        </w:tc>
        <w:tc>
          <w:tcPr>
            <w:tcW w:w="220" w:type="dxa"/>
            <w:vAlign w:val="bottom"/>
            <w:tcBorders>
              <w:bottom w:val="single" w:sz="8" w:color="EEEEEE"/>
            </w:tcBorders>
            <w:shd w:val="clear" w:color="auto" w:fill="EEEEEE"/>
          </w:tcPr>
          <w:p>
            <w:pPr>
              <w:spacing w:after="0"/>
              <w:rPr>
                <w:sz w:val="13"/>
                <w:szCs w:val="13"/>
                <w:color w:val="auto"/>
              </w:rPr>
            </w:pPr>
          </w:p>
        </w:tc>
        <w:tc>
          <w:tcPr>
            <w:tcW w:w="1140" w:type="dxa"/>
            <w:vAlign w:val="bottom"/>
            <w:tcBorders>
              <w:bottom w:val="single" w:sz="8" w:color="EEEEEE"/>
            </w:tcBorders>
            <w:shd w:val="clear" w:color="auto" w:fill="EEEEEE"/>
          </w:tcPr>
          <w:p>
            <w:pPr>
              <w:spacing w:after="0"/>
              <w:rPr>
                <w:sz w:val="13"/>
                <w:szCs w:val="13"/>
                <w:color w:val="auto"/>
              </w:rPr>
            </w:pPr>
          </w:p>
        </w:tc>
        <w:tc>
          <w:tcPr>
            <w:tcW w:w="100" w:type="dxa"/>
            <w:vAlign w:val="bottom"/>
            <w:tcBorders>
              <w:bottom w:val="single" w:sz="8" w:color="EEEEEE"/>
            </w:tcBorders>
            <w:shd w:val="clear" w:color="auto" w:fill="EEEEEE"/>
          </w:tcPr>
          <w:p>
            <w:pPr>
              <w:spacing w:after="0"/>
              <w:rPr>
                <w:sz w:val="13"/>
                <w:szCs w:val="13"/>
                <w:color w:val="auto"/>
              </w:rPr>
            </w:pPr>
          </w:p>
        </w:tc>
        <w:tc>
          <w:tcPr>
            <w:tcW w:w="120" w:type="dxa"/>
            <w:vAlign w:val="bottom"/>
            <w:tcBorders>
              <w:bottom w:val="single" w:sz="8" w:color="EEEEEE"/>
            </w:tcBorders>
            <w:shd w:val="clear" w:color="auto" w:fill="EEEEEE"/>
          </w:tcPr>
          <w:p>
            <w:pPr>
              <w:spacing w:after="0"/>
              <w:rPr>
                <w:sz w:val="13"/>
                <w:szCs w:val="13"/>
                <w:color w:val="auto"/>
              </w:rPr>
            </w:pPr>
          </w:p>
        </w:tc>
        <w:tc>
          <w:tcPr>
            <w:tcW w:w="140" w:type="dxa"/>
            <w:vAlign w:val="bottom"/>
            <w:tcBorders>
              <w:bottom w:val="single" w:sz="8" w:color="EEEEEE"/>
            </w:tcBorders>
            <w:shd w:val="clear" w:color="auto" w:fill="EEEEEE"/>
          </w:tcPr>
          <w:p>
            <w:pPr>
              <w:spacing w:after="0"/>
              <w:rPr>
                <w:sz w:val="13"/>
                <w:szCs w:val="13"/>
                <w:color w:val="auto"/>
              </w:rPr>
            </w:pPr>
          </w:p>
        </w:tc>
        <w:tc>
          <w:tcPr>
            <w:tcW w:w="1000" w:type="dxa"/>
            <w:vAlign w:val="bottom"/>
            <w:tcBorders>
              <w:bottom w:val="single" w:sz="8" w:color="EEEEEE"/>
            </w:tcBorders>
            <w:shd w:val="clear" w:color="auto" w:fill="EEEEEE"/>
          </w:tcPr>
          <w:p>
            <w:pPr>
              <w:spacing w:after="0"/>
              <w:rPr>
                <w:sz w:val="13"/>
                <w:szCs w:val="13"/>
                <w:color w:val="auto"/>
              </w:rPr>
            </w:pPr>
          </w:p>
        </w:tc>
        <w:tc>
          <w:tcPr>
            <w:tcW w:w="200" w:type="dxa"/>
            <w:vAlign w:val="bottom"/>
            <w:tcBorders>
              <w:bottom w:val="single" w:sz="8" w:color="EEEEEE"/>
            </w:tcBorders>
            <w:shd w:val="clear" w:color="auto" w:fill="EEEEEE"/>
          </w:tcPr>
          <w:p>
            <w:pPr>
              <w:spacing w:after="0"/>
              <w:rPr>
                <w:sz w:val="13"/>
                <w:szCs w:val="13"/>
                <w:color w:val="auto"/>
              </w:rPr>
            </w:pPr>
          </w:p>
        </w:tc>
        <w:tc>
          <w:tcPr>
            <w:tcW w:w="200" w:type="dxa"/>
            <w:vAlign w:val="bottom"/>
            <w:tcBorders>
              <w:bottom w:val="single" w:sz="8" w:color="auto"/>
            </w:tcBorders>
            <w:shd w:val="clear" w:color="auto" w:fill="EEEEEE"/>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83,697</w:t>
            </w:r>
          </w:p>
        </w:tc>
        <w:tc>
          <w:tcPr>
            <w:tcW w:w="220" w:type="dxa"/>
            <w:vAlign w:val="bottom"/>
            <w:tcBorders>
              <w:bottom w:val="single" w:sz="8" w:color="EEEEEE"/>
            </w:tcBorders>
            <w:shd w:val="clear" w:color="auto" w:fill="EEEEEE"/>
          </w:tcPr>
          <w:p>
            <w:pPr>
              <w:spacing w:after="0"/>
              <w:rPr>
                <w:sz w:val="13"/>
                <w:szCs w:val="13"/>
                <w:color w:val="auto"/>
              </w:rPr>
            </w:pPr>
          </w:p>
        </w:tc>
        <w:tc>
          <w:tcPr>
            <w:tcW w:w="1140" w:type="dxa"/>
            <w:vAlign w:val="bottom"/>
            <w:tcBorders>
              <w:bottom w:val="single" w:sz="8" w:color="EEEEEE"/>
            </w:tcBorders>
            <w:shd w:val="clear" w:color="auto" w:fill="EEEEEE"/>
          </w:tcPr>
          <w:p>
            <w:pPr>
              <w:spacing w:after="0"/>
              <w:rPr>
                <w:sz w:val="13"/>
                <w:szCs w:val="13"/>
                <w:color w:val="auto"/>
              </w:rPr>
            </w:pPr>
          </w:p>
        </w:tc>
        <w:tc>
          <w:tcPr>
            <w:tcW w:w="100" w:type="dxa"/>
            <w:vAlign w:val="bottom"/>
            <w:tcBorders>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gridSpan w:val="6"/>
            <w:vMerge w:val="restart"/>
          </w:tcPr>
          <w:p>
            <w:pPr>
              <w:spacing w:after="0"/>
              <w:rPr>
                <w:sz w:val="20"/>
                <w:szCs w:val="20"/>
                <w:color w:val="auto"/>
              </w:rPr>
            </w:pPr>
            <w:r>
              <w:rPr>
                <w:rFonts w:ascii="Arial" w:cs="Arial" w:eastAsia="Arial" w:hAnsi="Arial"/>
                <w:sz w:val="14"/>
                <w:szCs w:val="14"/>
                <w:color w:val="auto"/>
              </w:rPr>
              <w:t>Net interest yield (3)</w:t>
            </w:r>
          </w:p>
        </w:tc>
        <w:tc>
          <w:tcPr>
            <w:tcW w:w="140" w:type="dxa"/>
            <w:vAlign w:val="bottom"/>
          </w:tcPr>
          <w:p>
            <w:pPr>
              <w:spacing w:after="0" w:line="20" w:lineRule="exact"/>
              <w:rPr>
                <w:sz w:val="1"/>
                <w:szCs w:val="1"/>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FFFFFF"/>
              </w:rPr>
              <w:t>$</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14.4%</w:t>
            </w:r>
          </w:p>
        </w:tc>
        <w:tc>
          <w:tcPr>
            <w:tcW w:w="0" w:type="dxa"/>
            <w:vAlign w:val="bottom"/>
          </w:tcPr>
          <w:p>
            <w:pPr>
              <w:spacing w:after="0" w:line="20" w:lineRule="exact"/>
              <w:rPr>
                <w:sz w:val="1"/>
                <w:szCs w:val="1"/>
                <w:color w:val="auto"/>
              </w:rPr>
            </w:pPr>
          </w:p>
        </w:tc>
      </w:tr>
      <w:tr>
        <w:trPr>
          <w:trHeight w:val="129"/>
        </w:trPr>
        <w:tc>
          <w:tcPr>
            <w:tcW w:w="3340" w:type="dxa"/>
            <w:vAlign w:val="bottom"/>
            <w:gridSpan w:val="6"/>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5"/>
            <w:shd w:val="clear" w:color="auto" w:fill="EEEEEE"/>
          </w:tcPr>
          <w:p>
            <w:pPr>
              <w:spacing w:after="0" w:line="130" w:lineRule="exact"/>
              <w:rPr>
                <w:sz w:val="20"/>
                <w:szCs w:val="20"/>
                <w:color w:val="auto"/>
              </w:rPr>
            </w:pPr>
            <w:r>
              <w:rPr>
                <w:rFonts w:ascii="Arial" w:cs="Arial" w:eastAsia="Arial" w:hAnsi="Arial"/>
                <w:sz w:val="14"/>
                <w:szCs w:val="14"/>
                <w:color w:val="auto"/>
              </w:rPr>
              <w:t>Ratio of average interest earning assets to average</w:t>
            </w:r>
          </w:p>
        </w:tc>
        <w:tc>
          <w:tcPr>
            <w:tcW w:w="140" w:type="dxa"/>
            <w:vAlign w:val="bottom"/>
            <w:shd w:val="clear" w:color="auto" w:fill="EEEEEE"/>
          </w:tcPr>
          <w:p>
            <w:pPr>
              <w:spacing w:after="0"/>
              <w:rPr>
                <w:sz w:val="11"/>
                <w:szCs w:val="11"/>
                <w:color w:val="auto"/>
              </w:rPr>
            </w:pPr>
          </w:p>
        </w:tc>
        <w:tc>
          <w:tcPr>
            <w:tcW w:w="10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5"/>
            <w:shd w:val="clear" w:color="auto" w:fill="EEEEEE"/>
          </w:tcPr>
          <w:p>
            <w:pPr>
              <w:ind w:left="160"/>
              <w:spacing w:after="0"/>
              <w:rPr>
                <w:sz w:val="20"/>
                <w:szCs w:val="20"/>
                <w:color w:val="auto"/>
              </w:rPr>
            </w:pPr>
            <w:r>
              <w:rPr>
                <w:rFonts w:ascii="Arial" w:cs="Arial" w:eastAsia="Arial" w:hAnsi="Arial"/>
                <w:sz w:val="14"/>
                <w:szCs w:val="14"/>
                <w:color w:val="auto"/>
              </w:rPr>
              <w:t>interest bearing liabilities</w:t>
            </w:r>
          </w:p>
        </w:tc>
        <w:tc>
          <w:tcPr>
            <w:tcW w:w="140" w:type="dxa"/>
            <w:vAlign w:val="bottom"/>
            <w:shd w:val="clear" w:color="auto" w:fill="EEEEEE"/>
          </w:tcPr>
          <w:p>
            <w:pPr>
              <w:spacing w:after="0"/>
              <w:rPr>
                <w:sz w:val="14"/>
                <w:szCs w:val="14"/>
                <w:color w:val="auto"/>
              </w:rPr>
            </w:pPr>
          </w:p>
        </w:tc>
        <w:tc>
          <w:tcPr>
            <w:tcW w:w="114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FFFFFF"/>
              </w:rPr>
              <w:t>$</w:t>
            </w:r>
          </w:p>
        </w:tc>
        <w:tc>
          <w:tcPr>
            <w:tcW w:w="12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96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00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94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_________________________</w:t>
      </w:r>
    </w:p>
    <w:p>
      <w:pPr>
        <w:ind w:left="600" w:hanging="232"/>
        <w:spacing w:after="0" w:line="221" w:lineRule="auto"/>
        <w:tabs>
          <w:tab w:leader="none" w:pos="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Average balances are based on month end balances except for warehouse lines of credit, which are based on daily balances.</w:t>
      </w:r>
    </w:p>
    <w:p>
      <w:pPr>
        <w:ind w:left="600" w:hanging="232"/>
        <w:spacing w:after="0" w:line="221" w:lineRule="auto"/>
        <w:tabs>
          <w:tab w:leader="none" w:pos="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of deferred fees and direct costs.</w:t>
      </w:r>
    </w:p>
    <w:p>
      <w:pPr>
        <w:ind w:left="600" w:hanging="232"/>
        <w:spacing w:after="0"/>
        <w:tabs>
          <w:tab w:leader="none" w:pos="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Annualized net interest income divided by average interest earning assets.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40" w:type="dxa"/>
            <w:vAlign w:val="bottom"/>
            <w:gridSpan w:val="7"/>
          </w:tcPr>
          <w:p>
            <w:pPr>
              <w:jc w:val="center"/>
              <w:ind w:left="748"/>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20" w:type="dxa"/>
            <w:vAlign w:val="bottom"/>
            <w:gridSpan w:val="2"/>
            <w:vMerge w:val="restart"/>
          </w:tcPr>
          <w:p>
            <w:pPr>
              <w:spacing w:after="0"/>
              <w:rPr>
                <w:sz w:val="20"/>
                <w:szCs w:val="20"/>
                <w:color w:val="auto"/>
              </w:rPr>
            </w:pPr>
            <w:r>
              <w:rPr>
                <w:rFonts w:ascii="Arial" w:cs="Arial" w:eastAsia="Arial" w:hAnsi="Arial"/>
                <w:sz w:val="14"/>
                <w:szCs w:val="14"/>
                <w:color w:val="FFFFFF"/>
              </w:rPr>
              <w:t>$</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6"/>
          </w:tcPr>
          <w:p>
            <w:pPr>
              <w:jc w:val="center"/>
              <w:ind w:left="1028"/>
              <w:spacing w:after="0"/>
              <w:rPr>
                <w:sz w:val="20"/>
                <w:szCs w:val="20"/>
                <w:color w:val="auto"/>
              </w:rPr>
            </w:pPr>
            <w:r>
              <w:rPr>
                <w:rFonts w:ascii="Arial" w:cs="Arial" w:eastAsia="Arial" w:hAnsi="Arial"/>
                <w:sz w:val="14"/>
                <w:szCs w:val="14"/>
                <w:b w:val="1"/>
                <w:bCs w:val="1"/>
                <w:color w:val="auto"/>
                <w:w w:val="92"/>
              </w:rPr>
              <w:t>Compared to September 30, 2017</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3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jc w:val="right"/>
              <w:ind w:right="699"/>
              <w:spacing w:after="0" w:line="123"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2"/>
          </w:tcPr>
          <w:p>
            <w:pPr>
              <w:jc w:val="right"/>
              <w:ind w:right="568"/>
              <w:spacing w:after="0" w:line="123" w:lineRule="exact"/>
              <w:rPr>
                <w:sz w:val="20"/>
                <w:szCs w:val="20"/>
                <w:color w:val="auto"/>
              </w:rPr>
            </w:pPr>
            <w:r>
              <w:rPr>
                <w:rFonts w:ascii="Arial" w:cs="Arial" w:eastAsia="Arial" w:hAnsi="Arial"/>
                <w:sz w:val="14"/>
                <w:szCs w:val="14"/>
                <w:b w:val="1"/>
                <w:bCs w:val="1"/>
                <w:color w:val="auto"/>
              </w:rPr>
              <w:t>Change Due</w:t>
            </w:r>
          </w:p>
        </w:tc>
        <w:tc>
          <w:tcPr>
            <w:tcW w:w="260" w:type="dxa"/>
            <w:vAlign w:val="bottom"/>
          </w:tcPr>
          <w:p>
            <w:pPr>
              <w:spacing w:after="0"/>
              <w:rPr>
                <w:sz w:val="10"/>
                <w:szCs w:val="10"/>
                <w:color w:val="auto"/>
              </w:rPr>
            </w:pPr>
          </w:p>
        </w:tc>
        <w:tc>
          <w:tcPr>
            <w:tcW w:w="1100" w:type="dxa"/>
            <w:vAlign w:val="bottom"/>
          </w:tcPr>
          <w:p>
            <w:pPr>
              <w:jc w:val="right"/>
              <w:ind w:right="228"/>
              <w:spacing w:after="0" w:line="123" w:lineRule="exact"/>
              <w:rPr>
                <w:sz w:val="20"/>
                <w:szCs w:val="20"/>
                <w:color w:val="auto"/>
              </w:rPr>
            </w:pPr>
            <w:r>
              <w:rPr>
                <w:rFonts w:ascii="Arial" w:cs="Arial" w:eastAsia="Arial" w:hAnsi="Arial"/>
                <w:sz w:val="14"/>
                <w:szCs w:val="14"/>
                <w:b w:val="1"/>
                <w:bCs w:val="1"/>
                <w:color w:val="auto"/>
                <w:w w:val="95"/>
              </w:rPr>
              <w:t>Change Due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320" w:type="dxa"/>
            <w:vAlign w:val="bottom"/>
            <w:gridSpan w:val="2"/>
          </w:tcPr>
          <w:p>
            <w:pPr>
              <w:spacing w:after="0"/>
              <w:rPr>
                <w:sz w:val="20"/>
                <w:szCs w:val="20"/>
                <w:color w:val="auto"/>
              </w:rPr>
            </w:pPr>
            <w:r>
              <w:rPr>
                <w:rFonts w:ascii="Arial" w:cs="Arial" w:eastAsia="Arial" w:hAnsi="Arial"/>
                <w:sz w:val="14"/>
                <w:szCs w:val="14"/>
                <w:color w:val="FFFFFF"/>
              </w:rPr>
              <w:t>$</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rPr>
              <w:t>to Volume</w:t>
            </w:r>
          </w:p>
        </w:tc>
        <w:tc>
          <w:tcPr>
            <w:tcW w:w="260" w:type="dxa"/>
            <w:vAlign w:val="bottom"/>
          </w:tcPr>
          <w:p>
            <w:pPr>
              <w:spacing w:after="0"/>
              <w:rPr>
                <w:sz w:val="15"/>
                <w:szCs w:val="15"/>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to 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center"/>
              <w:ind w:right="468"/>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4100" w:type="dxa"/>
            <w:vAlign w:val="bottom"/>
            <w:gridSpan w:val="3"/>
            <w:shd w:val="clear" w:color="auto" w:fill="EEEEEE"/>
          </w:tcPr>
          <w:p>
            <w:pPr>
              <w:jc w:val="center"/>
              <w:ind w:right="2660"/>
              <w:spacing w:after="0" w:line="135" w:lineRule="exact"/>
              <w:rPr>
                <w:sz w:val="20"/>
                <w:szCs w:val="20"/>
                <w:color w:val="auto"/>
              </w:rPr>
            </w:pPr>
            <w:r>
              <w:rPr>
                <w:rFonts w:ascii="Arial" w:cs="Arial" w:eastAsia="Arial" w:hAnsi="Arial"/>
                <w:sz w:val="14"/>
                <w:szCs w:val="14"/>
                <w:b w:val="1"/>
                <w:bCs w:val="1"/>
                <w:color w:val="auto"/>
                <w:w w:val="92"/>
              </w:rPr>
              <w:t>Interest Earning Assets</w:t>
            </w:r>
          </w:p>
        </w:tc>
        <w:tc>
          <w:tcPr>
            <w:tcW w:w="260" w:type="dxa"/>
            <w:vAlign w:val="bottom"/>
            <w:shd w:val="clear" w:color="auto" w:fill="EEEEEE"/>
          </w:tcPr>
          <w:p>
            <w:pPr>
              <w:jc w:val="right"/>
              <w:ind w:right="149"/>
              <w:spacing w:after="0"/>
              <w:rPr>
                <w:sz w:val="20"/>
                <w:szCs w:val="20"/>
                <w:color w:val="auto"/>
              </w:rPr>
            </w:pPr>
            <w:r>
              <w:rPr>
                <w:rFonts w:ascii="Arial" w:cs="Arial" w:eastAsia="Arial" w:hAnsi="Arial"/>
                <w:sz w:val="10"/>
                <w:szCs w:val="10"/>
                <w:color w:val="FFFFFF"/>
                <w:w w:val="71"/>
              </w:rPr>
              <w:t>$</w:t>
            </w:r>
          </w:p>
        </w:tc>
        <w:tc>
          <w:tcPr>
            <w:tcW w:w="11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2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Borders>
              <w:top w:val="single" w:sz="8" w:color="EEEEEE"/>
            </w:tcBorders>
            <w:gridSpan w:val="2"/>
          </w:tcPr>
          <w:p>
            <w:pPr>
              <w:spacing w:after="0" w:line="142" w:lineRule="exact"/>
              <w:rPr>
                <w:sz w:val="20"/>
                <w:szCs w:val="20"/>
                <w:color w:val="auto"/>
              </w:rPr>
            </w:pPr>
            <w:r>
              <w:rPr>
                <w:rFonts w:ascii="Arial" w:cs="Arial" w:eastAsia="Arial" w:hAnsi="Arial"/>
                <w:sz w:val="14"/>
                <w:szCs w:val="14"/>
                <w:color w:val="auto"/>
              </w:rPr>
              <w:t>Finance receivables gross</w:t>
            </w:r>
          </w:p>
        </w:tc>
        <w:tc>
          <w:tcPr>
            <w:tcW w:w="1440" w:type="dxa"/>
            <w:vAlign w:val="bottom"/>
            <w:tcBorders>
              <w:top w:val="single" w:sz="8" w:color="auto"/>
            </w:tcBorders>
          </w:tcPr>
          <w:p>
            <w:pPr>
              <w:spacing w:after="0"/>
              <w:rPr>
                <w:sz w:val="12"/>
                <w:szCs w:val="12"/>
                <w:color w:val="auto"/>
              </w:rPr>
            </w:pPr>
          </w:p>
        </w:tc>
        <w:tc>
          <w:tcPr>
            <w:tcW w:w="2660" w:type="dxa"/>
            <w:vAlign w:val="bottom"/>
            <w:tcBorders>
              <w:top w:val="single" w:sz="8" w:color="EEEEEE"/>
            </w:tcBorders>
            <w:gridSpan w:val="2"/>
          </w:tcPr>
          <w:p>
            <w:pPr>
              <w:spacing w:after="0"/>
              <w:rPr>
                <w:sz w:val="12"/>
                <w:szCs w:val="12"/>
                <w:color w:val="auto"/>
              </w:rPr>
            </w:pPr>
          </w:p>
        </w:tc>
        <w:tc>
          <w:tcPr>
            <w:tcW w:w="260" w:type="dxa"/>
            <w:vAlign w:val="bottom"/>
            <w:tcBorders>
              <w:top w:val="single" w:sz="8" w:color="EEEEEE"/>
            </w:tcBorders>
          </w:tcPr>
          <w:p>
            <w:pPr>
              <w:jc w:val="right"/>
              <w:ind w:right="14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EEEEEE"/>
            </w:tcBorders>
            <w:gridSpan w:val="2"/>
          </w:tcPr>
          <w:p>
            <w:pPr>
              <w:jc w:val="right"/>
              <w:ind w:right="119"/>
              <w:spacing w:after="0" w:line="142" w:lineRule="exact"/>
              <w:rPr>
                <w:sz w:val="20"/>
                <w:szCs w:val="20"/>
                <w:color w:val="auto"/>
              </w:rPr>
            </w:pPr>
            <w:r>
              <w:rPr>
                <w:rFonts w:ascii="Arial" w:cs="Arial" w:eastAsia="Arial" w:hAnsi="Arial"/>
                <w:sz w:val="14"/>
                <w:szCs w:val="14"/>
                <w:color w:val="auto"/>
              </w:rPr>
              <w:t>(26,879)</w:t>
            </w:r>
          </w:p>
        </w:tc>
        <w:tc>
          <w:tcPr>
            <w:tcW w:w="300" w:type="dxa"/>
            <w:vAlign w:val="bottom"/>
            <w:tcBorders>
              <w:top w:val="single" w:sz="8" w:color="EEEEEE"/>
            </w:tcBorders>
            <w:gridSpan w:val="2"/>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560" w:type="dxa"/>
            <w:vAlign w:val="bottom"/>
            <w:tcBorders>
              <w:top w:val="single" w:sz="8" w:color="EEEEEE"/>
            </w:tcBorders>
            <w:gridSpan w:val="2"/>
          </w:tcPr>
          <w:p>
            <w:pPr>
              <w:jc w:val="right"/>
              <w:ind w:right="208"/>
              <w:spacing w:after="0" w:line="142" w:lineRule="exact"/>
              <w:rPr>
                <w:sz w:val="20"/>
                <w:szCs w:val="20"/>
                <w:color w:val="auto"/>
              </w:rPr>
            </w:pPr>
            <w:r>
              <w:rPr>
                <w:rFonts w:ascii="Arial" w:cs="Arial" w:eastAsia="Arial" w:hAnsi="Arial"/>
                <w:sz w:val="14"/>
                <w:szCs w:val="14"/>
                <w:color w:val="auto"/>
              </w:rPr>
              <w:t>(24,198)</w:t>
            </w:r>
          </w:p>
        </w:tc>
        <w:tc>
          <w:tcPr>
            <w:tcW w:w="260" w:type="dxa"/>
            <w:vAlign w:val="bottom"/>
            <w:tcBorders>
              <w:top w:val="single" w:sz="8" w:color="EEEEEE"/>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EEEEEE"/>
            </w:tcBorders>
            <w:gridSpan w:val="3"/>
          </w:tcPr>
          <w:p>
            <w:pPr>
              <w:jc w:val="right"/>
              <w:ind w:right="60"/>
              <w:spacing w:after="0" w:line="142" w:lineRule="exact"/>
              <w:rPr>
                <w:sz w:val="20"/>
                <w:szCs w:val="20"/>
                <w:color w:val="auto"/>
              </w:rPr>
            </w:pPr>
            <w:r>
              <w:rPr>
                <w:rFonts w:ascii="Arial" w:cs="Arial" w:eastAsia="Arial" w:hAnsi="Arial"/>
                <w:sz w:val="14"/>
                <w:szCs w:val="14"/>
                <w:color w:val="auto"/>
              </w:rPr>
              <w:t>(2,681)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gridSpan w:val="5"/>
            <w:shd w:val="clear" w:color="auto" w:fill="EEEEEE"/>
          </w:tcPr>
          <w:p>
            <w:pPr>
              <w:spacing w:after="0"/>
              <w:rPr>
                <w:sz w:val="20"/>
                <w:szCs w:val="20"/>
                <w:color w:val="auto"/>
              </w:rPr>
            </w:pPr>
            <w:r>
              <w:rPr>
                <w:rFonts w:ascii="Arial" w:cs="Arial" w:eastAsia="Arial" w:hAnsi="Arial"/>
                <w:sz w:val="14"/>
                <w:szCs w:val="14"/>
                <w:color w:val="auto"/>
              </w:rPr>
              <w:t>Finance receivables at fair value</w:t>
            </w:r>
          </w:p>
        </w:tc>
        <w:tc>
          <w:tcPr>
            <w:tcW w:w="260" w:type="dxa"/>
            <w:vAlign w:val="bottom"/>
            <w:shd w:val="clear" w:color="auto" w:fill="EEEEEE"/>
          </w:tcPr>
          <w:p>
            <w:pPr>
              <w:spacing w:after="0"/>
              <w:rPr>
                <w:sz w:val="14"/>
                <w:szCs w:val="14"/>
                <w:color w:val="auto"/>
              </w:rPr>
            </w:pPr>
          </w:p>
        </w:tc>
        <w:tc>
          <w:tcPr>
            <w:tcW w:w="1320" w:type="dxa"/>
            <w:vAlign w:val="bottom"/>
            <w:gridSpan w:val="2"/>
            <w:shd w:val="clear" w:color="auto" w:fill="EEEEEE"/>
          </w:tcPr>
          <w:p>
            <w:pPr>
              <w:jc w:val="right"/>
              <w:ind w:right="159"/>
              <w:spacing w:after="0"/>
              <w:rPr>
                <w:sz w:val="20"/>
                <w:szCs w:val="20"/>
                <w:color w:val="auto"/>
              </w:rPr>
            </w:pPr>
            <w:r>
              <w:rPr>
                <w:rFonts w:ascii="Arial" w:cs="Arial" w:eastAsia="Arial" w:hAnsi="Arial"/>
                <w:sz w:val="14"/>
                <w:szCs w:val="14"/>
                <w:color w:val="auto"/>
              </w:rPr>
              <w:t>13,482</w:t>
            </w:r>
          </w:p>
        </w:tc>
        <w:tc>
          <w:tcPr>
            <w:tcW w:w="14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560" w:type="dxa"/>
            <w:vAlign w:val="bottom"/>
            <w:gridSpan w:val="2"/>
            <w:shd w:val="clear" w:color="auto" w:fill="EEEEEE"/>
          </w:tcPr>
          <w:p>
            <w:pPr>
              <w:jc w:val="right"/>
              <w:ind w:right="268"/>
              <w:spacing w:after="0"/>
              <w:rPr>
                <w:sz w:val="20"/>
                <w:szCs w:val="20"/>
                <w:color w:val="auto"/>
              </w:rPr>
            </w:pPr>
            <w:r>
              <w:rPr>
                <w:rFonts w:ascii="Arial" w:cs="Arial" w:eastAsia="Arial" w:hAnsi="Arial"/>
                <w:sz w:val="14"/>
                <w:szCs w:val="14"/>
                <w:color w:val="auto"/>
              </w:rPr>
              <w:t>13,482</w:t>
            </w:r>
          </w:p>
        </w:tc>
        <w:tc>
          <w:tcPr>
            <w:tcW w:w="260" w:type="dxa"/>
            <w:vAlign w:val="bottom"/>
            <w:shd w:val="clear" w:color="auto" w:fill="EEEEEE"/>
          </w:tcPr>
          <w:p>
            <w:pPr>
              <w:spacing w:after="0"/>
              <w:rPr>
                <w:sz w:val="14"/>
                <w:szCs w:val="14"/>
                <w:color w:val="auto"/>
              </w:rPr>
            </w:pPr>
          </w:p>
        </w:tc>
        <w:tc>
          <w:tcPr>
            <w:tcW w:w="1200" w:type="dxa"/>
            <w:vAlign w:val="bottom"/>
            <w:gridSpan w:val="3"/>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(13,397)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(10,716)</w:t>
            </w:r>
          </w:p>
        </w:tc>
        <w:tc>
          <w:tcPr>
            <w:tcW w:w="3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(2,681)</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00" w:type="dxa"/>
            <w:vAlign w:val="bottom"/>
            <w:tcBorders>
              <w:bottom w:val="single" w:sz="8" w:color="EEEEEE"/>
            </w:tcBorders>
            <w:shd w:val="clear" w:color="auto" w:fill="EEEEEE"/>
          </w:tcPr>
          <w:p>
            <w:pPr>
              <w:spacing w:after="0"/>
              <w:rPr>
                <w:sz w:val="11"/>
                <w:szCs w:val="11"/>
                <w:color w:val="auto"/>
              </w:rPr>
            </w:pPr>
          </w:p>
        </w:tc>
        <w:tc>
          <w:tcPr>
            <w:tcW w:w="1660" w:type="dxa"/>
            <w:vAlign w:val="bottom"/>
            <w:tcBorders>
              <w:bottom w:val="single" w:sz="8" w:color="auto"/>
            </w:tcBorders>
            <w:gridSpan w:val="3"/>
            <w:shd w:val="clear" w:color="auto" w:fill="EEEEEE"/>
          </w:tcPr>
          <w:p>
            <w:pPr>
              <w:jc w:val="center"/>
              <w:spacing w:after="0" w:line="135" w:lineRule="exact"/>
              <w:rPr>
                <w:sz w:val="20"/>
                <w:szCs w:val="20"/>
                <w:color w:val="auto"/>
              </w:rPr>
            </w:pPr>
            <w:r>
              <w:rPr>
                <w:rFonts w:ascii="Arial" w:cs="Arial" w:eastAsia="Arial" w:hAnsi="Arial"/>
                <w:sz w:val="14"/>
                <w:szCs w:val="14"/>
                <w:b w:val="1"/>
                <w:bCs w:val="1"/>
                <w:color w:val="auto"/>
                <w:w w:val="94"/>
              </w:rPr>
              <w:t>Interest Bearing Liabilities</w:t>
            </w:r>
          </w:p>
        </w:tc>
        <w:tc>
          <w:tcPr>
            <w:tcW w:w="2540" w:type="dxa"/>
            <w:vAlign w:val="bottom"/>
            <w:tcBorders>
              <w:bottom w:val="single" w:sz="8" w:color="EEEEEE"/>
            </w:tcBorders>
            <w:shd w:val="clear" w:color="auto" w:fill="EEEEEE"/>
          </w:tcPr>
          <w:p>
            <w:pPr>
              <w:spacing w:after="0"/>
              <w:rPr>
                <w:sz w:val="11"/>
                <w:szCs w:val="11"/>
                <w:color w:val="auto"/>
              </w:rPr>
            </w:pPr>
          </w:p>
        </w:tc>
        <w:tc>
          <w:tcPr>
            <w:tcW w:w="260" w:type="dxa"/>
            <w:vAlign w:val="bottom"/>
            <w:tcBorders>
              <w:bottom w:val="single" w:sz="8" w:color="EEEEEE"/>
            </w:tcBorders>
            <w:shd w:val="clear" w:color="auto" w:fill="EEEEEE"/>
          </w:tcPr>
          <w:p>
            <w:pPr>
              <w:spacing w:after="0"/>
              <w:rPr>
                <w:sz w:val="11"/>
                <w:szCs w:val="11"/>
                <w:color w:val="auto"/>
              </w:rPr>
            </w:pPr>
          </w:p>
        </w:tc>
        <w:tc>
          <w:tcPr>
            <w:tcW w:w="1320" w:type="dxa"/>
            <w:vAlign w:val="bottom"/>
            <w:tcBorders>
              <w:bottom w:val="single" w:sz="8" w:color="EEEEEE"/>
            </w:tcBorders>
            <w:gridSpan w:val="2"/>
            <w:shd w:val="clear" w:color="auto" w:fill="EEEEEE"/>
          </w:tcPr>
          <w:p>
            <w:pPr>
              <w:jc w:val="right"/>
              <w:ind w:right="159"/>
              <w:spacing w:after="0" w:line="135" w:lineRule="exact"/>
              <w:rPr>
                <w:sz w:val="20"/>
                <w:szCs w:val="20"/>
                <w:color w:val="auto"/>
              </w:rPr>
            </w:pPr>
            <w:r>
              <w:rPr>
                <w:rFonts w:ascii="Arial" w:cs="Arial" w:eastAsia="Arial" w:hAnsi="Arial"/>
                <w:sz w:val="14"/>
                <w:szCs w:val="14"/>
                <w:color w:val="FFFFFF"/>
              </w:rPr>
              <w:t>$</w:t>
            </w:r>
          </w:p>
        </w:tc>
        <w:tc>
          <w:tcPr>
            <w:tcW w:w="140" w:type="dxa"/>
            <w:vAlign w:val="bottom"/>
            <w:tcBorders>
              <w:bottom w:val="single" w:sz="8" w:color="EEEEEE"/>
            </w:tcBorders>
            <w:shd w:val="clear" w:color="auto" w:fill="EEEEEE"/>
          </w:tcPr>
          <w:p>
            <w:pPr>
              <w:spacing w:after="0"/>
              <w:rPr>
                <w:sz w:val="11"/>
                <w:szCs w:val="11"/>
                <w:color w:val="auto"/>
              </w:rPr>
            </w:pPr>
          </w:p>
        </w:tc>
        <w:tc>
          <w:tcPr>
            <w:tcW w:w="160" w:type="dxa"/>
            <w:vAlign w:val="bottom"/>
            <w:tcBorders>
              <w:bottom w:val="single" w:sz="8" w:color="EEEEEE"/>
            </w:tcBorders>
            <w:shd w:val="clear" w:color="auto" w:fill="EEEEEE"/>
          </w:tcPr>
          <w:p>
            <w:pPr>
              <w:spacing w:after="0"/>
              <w:rPr>
                <w:sz w:val="11"/>
                <w:szCs w:val="11"/>
                <w:color w:val="auto"/>
              </w:rPr>
            </w:pPr>
          </w:p>
        </w:tc>
        <w:tc>
          <w:tcPr>
            <w:tcW w:w="1220" w:type="dxa"/>
            <w:vAlign w:val="bottom"/>
            <w:tcBorders>
              <w:bottom w:val="single" w:sz="8" w:color="EEEEEE"/>
            </w:tcBorders>
            <w:shd w:val="clear" w:color="auto" w:fill="EEEEEE"/>
          </w:tcPr>
          <w:p>
            <w:pPr>
              <w:spacing w:after="0"/>
              <w:rPr>
                <w:sz w:val="11"/>
                <w:szCs w:val="11"/>
                <w:color w:val="auto"/>
              </w:rPr>
            </w:pPr>
          </w:p>
        </w:tc>
        <w:tc>
          <w:tcPr>
            <w:tcW w:w="340" w:type="dxa"/>
            <w:vAlign w:val="bottom"/>
            <w:tcBorders>
              <w:bottom w:val="single" w:sz="8" w:color="EEEEEE"/>
            </w:tcBorders>
            <w:shd w:val="clear" w:color="auto" w:fill="EEEEEE"/>
          </w:tcPr>
          <w:p>
            <w:pPr>
              <w:spacing w:after="0"/>
              <w:rPr>
                <w:sz w:val="11"/>
                <w:szCs w:val="11"/>
                <w:color w:val="auto"/>
              </w:rPr>
            </w:pPr>
          </w:p>
        </w:tc>
        <w:tc>
          <w:tcPr>
            <w:tcW w:w="260" w:type="dxa"/>
            <w:vAlign w:val="bottom"/>
            <w:tcBorders>
              <w:bottom w:val="single" w:sz="8" w:color="EEEEEE"/>
            </w:tcBorders>
            <w:shd w:val="clear" w:color="auto" w:fill="EEEEEE"/>
          </w:tcPr>
          <w:p>
            <w:pPr>
              <w:spacing w:after="0"/>
              <w:rPr>
                <w:sz w:val="11"/>
                <w:szCs w:val="11"/>
                <w:color w:val="auto"/>
              </w:rPr>
            </w:pPr>
          </w:p>
        </w:tc>
        <w:tc>
          <w:tcPr>
            <w:tcW w:w="1100" w:type="dxa"/>
            <w:vAlign w:val="bottom"/>
            <w:tcBorders>
              <w:bottom w:val="single" w:sz="8" w:color="EEEEEE"/>
            </w:tcBorders>
            <w:shd w:val="clear" w:color="auto" w:fill="EEEEEE"/>
          </w:tcPr>
          <w:p>
            <w:pPr>
              <w:spacing w:after="0"/>
              <w:rPr>
                <w:sz w:val="11"/>
                <w:szCs w:val="11"/>
                <w:color w:val="auto"/>
              </w:rPr>
            </w:pPr>
          </w:p>
        </w:tc>
        <w:tc>
          <w:tcPr>
            <w:tcW w:w="20" w:type="dxa"/>
            <w:vAlign w:val="bottom"/>
            <w:tcBorders>
              <w:bottom w:val="single" w:sz="8" w:color="EEEEEE"/>
            </w:tcBorders>
            <w:shd w:val="clear" w:color="auto" w:fill="EEEEEE"/>
          </w:tcPr>
          <w:p>
            <w:pPr>
              <w:spacing w:after="0"/>
              <w:rPr>
                <w:sz w:val="11"/>
                <w:szCs w:val="11"/>
                <w:color w:val="auto"/>
              </w:rPr>
            </w:pPr>
          </w:p>
        </w:tc>
        <w:tc>
          <w:tcPr>
            <w:tcW w:w="80" w:type="dxa"/>
            <w:vAlign w:val="bottom"/>
            <w:tcBorders>
              <w:bottom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gridSpan w:val="5"/>
          </w:tcPr>
          <w:p>
            <w:pPr>
              <w:spacing w:after="0" w:line="142" w:lineRule="exact"/>
              <w:rPr>
                <w:sz w:val="20"/>
                <w:szCs w:val="20"/>
                <w:color w:val="auto"/>
              </w:rPr>
            </w:pPr>
            <w:r>
              <w:rPr>
                <w:rFonts w:ascii="Arial" w:cs="Arial" w:eastAsia="Arial" w:hAnsi="Arial"/>
                <w:sz w:val="14"/>
                <w:szCs w:val="14"/>
                <w:color w:val="auto"/>
              </w:rPr>
              <w:t>Warehouse lines of credit</w:t>
            </w:r>
          </w:p>
        </w:tc>
        <w:tc>
          <w:tcPr>
            <w:tcW w:w="260" w:type="dxa"/>
            <w:vAlign w:val="bottom"/>
          </w:tcPr>
          <w:p>
            <w:pPr>
              <w:spacing w:after="0"/>
              <w:rPr>
                <w:sz w:val="12"/>
                <w:szCs w:val="12"/>
                <w:color w:val="auto"/>
              </w:rPr>
            </w:pPr>
          </w:p>
        </w:tc>
        <w:tc>
          <w:tcPr>
            <w:tcW w:w="1320" w:type="dxa"/>
            <w:vAlign w:val="bottom"/>
            <w:gridSpan w:val="2"/>
          </w:tcPr>
          <w:p>
            <w:pPr>
              <w:jc w:val="right"/>
              <w:ind w:right="119"/>
              <w:spacing w:after="0" w:line="142" w:lineRule="exact"/>
              <w:rPr>
                <w:sz w:val="20"/>
                <w:szCs w:val="20"/>
                <w:color w:val="auto"/>
              </w:rPr>
            </w:pPr>
            <w:r>
              <w:rPr>
                <w:rFonts w:ascii="Arial" w:cs="Arial" w:eastAsia="Arial" w:hAnsi="Arial"/>
                <w:sz w:val="14"/>
                <w:szCs w:val="14"/>
                <w:color w:val="auto"/>
              </w:rPr>
              <w:t>(167)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right"/>
              <w:ind w:right="208"/>
              <w:spacing w:after="0" w:line="142" w:lineRule="exact"/>
              <w:rPr>
                <w:sz w:val="20"/>
                <w:szCs w:val="20"/>
                <w:color w:val="auto"/>
              </w:rPr>
            </w:pPr>
            <w:r>
              <w:rPr>
                <w:rFonts w:ascii="Arial" w:cs="Arial" w:eastAsia="Arial" w:hAnsi="Arial"/>
                <w:sz w:val="14"/>
                <w:szCs w:val="14"/>
                <w:color w:val="auto"/>
              </w:rPr>
              <w:t>(226)</w:t>
            </w:r>
          </w:p>
        </w:tc>
        <w:tc>
          <w:tcPr>
            <w:tcW w:w="260" w:type="dxa"/>
            <w:vAlign w:val="bottom"/>
          </w:tcPr>
          <w:p>
            <w:pPr>
              <w:spacing w:after="0"/>
              <w:rPr>
                <w:sz w:val="12"/>
                <w:szCs w:val="12"/>
                <w:color w:val="auto"/>
              </w:rPr>
            </w:pPr>
          </w:p>
        </w:tc>
        <w:tc>
          <w:tcPr>
            <w:tcW w:w="11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gridSpan w:val="5"/>
            <w:shd w:val="clear" w:color="auto" w:fill="EEEEEE"/>
          </w:tcPr>
          <w:p>
            <w:pPr>
              <w:spacing w:after="0" w:line="149" w:lineRule="exact"/>
              <w:rPr>
                <w:sz w:val="20"/>
                <w:szCs w:val="20"/>
                <w:color w:val="auto"/>
              </w:rPr>
            </w:pPr>
            <w:r>
              <w:rPr>
                <w:rFonts w:ascii="Arial" w:cs="Arial" w:eastAsia="Arial" w:hAnsi="Arial"/>
                <w:sz w:val="14"/>
                <w:szCs w:val="14"/>
                <w:color w:val="auto"/>
              </w:rPr>
              <w:t>Residual interest financing</w:t>
            </w:r>
          </w:p>
        </w:tc>
        <w:tc>
          <w:tcPr>
            <w:tcW w:w="260" w:type="dxa"/>
            <w:vAlign w:val="bottom"/>
            <w:shd w:val="clear" w:color="auto" w:fill="EEEEEE"/>
          </w:tcPr>
          <w:p>
            <w:pPr>
              <w:spacing w:after="0"/>
              <w:rPr>
                <w:sz w:val="12"/>
                <w:szCs w:val="12"/>
                <w:color w:val="auto"/>
              </w:rPr>
            </w:pPr>
          </w:p>
        </w:tc>
        <w:tc>
          <w:tcPr>
            <w:tcW w:w="1320" w:type="dxa"/>
            <w:vAlign w:val="bottom"/>
            <w:gridSpan w:val="2"/>
            <w:shd w:val="clear" w:color="auto" w:fill="EEEEEE"/>
          </w:tcPr>
          <w:p>
            <w:pPr>
              <w:jc w:val="right"/>
              <w:ind w:right="159"/>
              <w:spacing w:after="0" w:line="149" w:lineRule="exact"/>
              <w:rPr>
                <w:sz w:val="20"/>
                <w:szCs w:val="20"/>
                <w:color w:val="auto"/>
              </w:rPr>
            </w:pPr>
            <w:r>
              <w:rPr>
                <w:rFonts w:ascii="Arial" w:cs="Arial" w:eastAsia="Arial" w:hAnsi="Arial"/>
                <w:sz w:val="14"/>
                <w:szCs w:val="14"/>
                <w:color w:val="auto"/>
              </w:rPr>
              <w:t>936</w:t>
            </w: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560" w:type="dxa"/>
            <w:vAlign w:val="bottom"/>
            <w:gridSpan w:val="2"/>
            <w:shd w:val="clear" w:color="auto" w:fill="EEEEEE"/>
          </w:tcPr>
          <w:p>
            <w:pPr>
              <w:jc w:val="right"/>
              <w:ind w:right="268"/>
              <w:spacing w:after="0" w:line="149" w:lineRule="exact"/>
              <w:rPr>
                <w:sz w:val="20"/>
                <w:szCs w:val="20"/>
                <w:color w:val="auto"/>
              </w:rPr>
            </w:pPr>
            <w:r>
              <w:rPr>
                <w:rFonts w:ascii="Arial" w:cs="Arial" w:eastAsia="Arial" w:hAnsi="Arial"/>
                <w:sz w:val="14"/>
                <w:szCs w:val="14"/>
                <w:color w:val="auto"/>
              </w:rPr>
              <w:t>936</w:t>
            </w:r>
          </w:p>
        </w:tc>
        <w:tc>
          <w:tcPr>
            <w:tcW w:w="260" w:type="dxa"/>
            <w:vAlign w:val="bottom"/>
            <w:shd w:val="clear" w:color="auto" w:fill="EEEEEE"/>
          </w:tcPr>
          <w:p>
            <w:pPr>
              <w:spacing w:after="0"/>
              <w:rPr>
                <w:sz w:val="12"/>
                <w:szCs w:val="12"/>
                <w:color w:val="auto"/>
              </w:rPr>
            </w:pPr>
          </w:p>
        </w:tc>
        <w:tc>
          <w:tcPr>
            <w:tcW w:w="1200" w:type="dxa"/>
            <w:vAlign w:val="bottom"/>
            <w:gridSpan w:val="3"/>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gridSpan w:val="5"/>
          </w:tcPr>
          <w:p>
            <w:pPr>
              <w:spacing w:after="0" w:line="149" w:lineRule="exact"/>
              <w:rPr>
                <w:sz w:val="20"/>
                <w:szCs w:val="20"/>
                <w:color w:val="auto"/>
              </w:rPr>
            </w:pPr>
            <w:r>
              <w:rPr>
                <w:rFonts w:ascii="Arial" w:cs="Arial" w:eastAsia="Arial" w:hAnsi="Arial"/>
                <w:sz w:val="14"/>
                <w:szCs w:val="14"/>
                <w:color w:val="auto"/>
              </w:rPr>
              <w:t>Securitization trust debt</w:t>
            </w:r>
          </w:p>
        </w:tc>
        <w:tc>
          <w:tcPr>
            <w:tcW w:w="260" w:type="dxa"/>
            <w:vAlign w:val="bottom"/>
          </w:tcPr>
          <w:p>
            <w:pPr>
              <w:spacing w:after="0"/>
              <w:rPr>
                <w:sz w:val="12"/>
                <w:szCs w:val="12"/>
                <w:color w:val="auto"/>
              </w:rPr>
            </w:pPr>
          </w:p>
        </w:tc>
        <w:tc>
          <w:tcPr>
            <w:tcW w:w="132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1,705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(955)</w:t>
            </w:r>
          </w:p>
        </w:tc>
        <w:tc>
          <w:tcPr>
            <w:tcW w:w="26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gridSpan w:val="5"/>
            <w:shd w:val="clear" w:color="auto" w:fill="EEEEEE"/>
          </w:tcPr>
          <w:p>
            <w:pPr>
              <w:spacing w:after="0"/>
              <w:rPr>
                <w:sz w:val="20"/>
                <w:szCs w:val="20"/>
                <w:color w:val="auto"/>
              </w:rPr>
            </w:pPr>
            <w:r>
              <w:rPr>
                <w:rFonts w:ascii="Arial" w:cs="Arial" w:eastAsia="Arial" w:hAnsi="Arial"/>
                <w:sz w:val="14"/>
                <w:szCs w:val="14"/>
                <w:color w:val="auto"/>
              </w:rPr>
              <w:t>Subordinated renewable notes</w:t>
            </w:r>
          </w:p>
        </w:tc>
        <w:tc>
          <w:tcPr>
            <w:tcW w:w="260" w:type="dxa"/>
            <w:vAlign w:val="bottom"/>
            <w:shd w:val="clear" w:color="auto" w:fill="EEEEEE"/>
          </w:tcPr>
          <w:p>
            <w:pPr>
              <w:spacing w:after="0"/>
              <w:rPr>
                <w:sz w:val="14"/>
                <w:szCs w:val="14"/>
                <w:color w:val="auto"/>
              </w:rPr>
            </w:pPr>
          </w:p>
        </w:tc>
        <w:tc>
          <w:tcPr>
            <w:tcW w:w="1320" w:type="dxa"/>
            <w:vAlign w:val="bottom"/>
            <w:gridSpan w:val="2"/>
            <w:shd w:val="clear" w:color="auto" w:fill="EEEEEE"/>
          </w:tcPr>
          <w:p>
            <w:pPr>
              <w:jc w:val="right"/>
              <w:ind w:right="159"/>
              <w:spacing w:after="0"/>
              <w:rPr>
                <w:sz w:val="20"/>
                <w:szCs w:val="20"/>
                <w:color w:val="auto"/>
              </w:rPr>
            </w:pPr>
            <w:r>
              <w:rPr>
                <w:rFonts w:ascii="Arial" w:cs="Arial" w:eastAsia="Arial" w:hAnsi="Arial"/>
                <w:sz w:val="14"/>
                <w:szCs w:val="14"/>
                <w:color w:val="auto"/>
              </w:rPr>
              <w:t>17</w:t>
            </w:r>
          </w:p>
        </w:tc>
        <w:tc>
          <w:tcPr>
            <w:tcW w:w="14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560" w:type="dxa"/>
            <w:vAlign w:val="bottom"/>
            <w:gridSpan w:val="2"/>
            <w:shd w:val="clear" w:color="auto" w:fill="EEEEEE"/>
          </w:tcPr>
          <w:p>
            <w:pPr>
              <w:jc w:val="right"/>
              <w:ind w:right="268"/>
              <w:spacing w:after="0"/>
              <w:rPr>
                <w:sz w:val="20"/>
                <w:szCs w:val="20"/>
                <w:color w:val="auto"/>
              </w:rPr>
            </w:pPr>
            <w:r>
              <w:rPr>
                <w:rFonts w:ascii="Arial" w:cs="Arial" w:eastAsia="Arial" w:hAnsi="Arial"/>
                <w:sz w:val="14"/>
                <w:szCs w:val="14"/>
                <w:color w:val="auto"/>
              </w:rPr>
              <w:t>13</w:t>
            </w:r>
          </w:p>
        </w:tc>
        <w:tc>
          <w:tcPr>
            <w:tcW w:w="260" w:type="dxa"/>
            <w:vAlign w:val="bottom"/>
            <w:shd w:val="clear" w:color="auto" w:fill="EEEEEE"/>
          </w:tcPr>
          <w:p>
            <w:pPr>
              <w:spacing w:after="0"/>
              <w:rPr>
                <w:sz w:val="14"/>
                <w:szCs w:val="14"/>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2,491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(232)</w:t>
            </w:r>
          </w:p>
        </w:tc>
        <w:tc>
          <w:tcPr>
            <w:tcW w:w="3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44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2540" w:type="dxa"/>
            <w:vAlign w:val="bottom"/>
            <w:shd w:val="clear" w:color="auto" w:fill="EEEEEE"/>
          </w:tcPr>
          <w:p>
            <w:pPr>
              <w:spacing w:after="0"/>
              <w:rPr>
                <w:sz w:val="14"/>
                <w:szCs w:val="14"/>
                <w:color w:val="auto"/>
              </w:rPr>
            </w:pPr>
          </w:p>
        </w:tc>
        <w:tc>
          <w:tcPr>
            <w:tcW w:w="260" w:type="dxa"/>
            <w:vAlign w:val="bottom"/>
            <w:tcBorders>
              <w:bottom w:val="single" w:sz="8" w:color="auto"/>
            </w:tcBorders>
            <w:shd w:val="clear" w:color="auto" w:fill="EEEEEE"/>
          </w:tcPr>
          <w:p>
            <w:pPr>
              <w:spacing w:after="0"/>
              <w:rPr>
                <w:sz w:val="14"/>
                <w:szCs w:val="14"/>
                <w:color w:val="auto"/>
              </w:rPr>
            </w:pPr>
          </w:p>
        </w:tc>
        <w:tc>
          <w:tcPr>
            <w:tcW w:w="1120" w:type="dxa"/>
            <w:vAlign w:val="bottom"/>
            <w:tcBorders>
              <w:bottom w:val="single" w:sz="8" w:color="auto"/>
            </w:tcBorders>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60" w:type="dxa"/>
            <w:vAlign w:val="bottom"/>
            <w:tcBorders>
              <w:bottom w:val="single" w:sz="8" w:color="auto"/>
            </w:tcBorders>
            <w:shd w:val="clear" w:color="auto" w:fill="EEEEEE"/>
          </w:tcPr>
          <w:p>
            <w:pPr>
              <w:spacing w:after="0"/>
              <w:rPr>
                <w:sz w:val="14"/>
                <w:szCs w:val="14"/>
                <w:color w:val="auto"/>
              </w:rPr>
            </w:pPr>
          </w:p>
        </w:tc>
        <w:tc>
          <w:tcPr>
            <w:tcW w:w="1220" w:type="dxa"/>
            <w:vAlign w:val="bottom"/>
            <w:tcBorders>
              <w:bottom w:val="single" w:sz="8" w:color="auto"/>
            </w:tcBorders>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260" w:type="dxa"/>
            <w:vAlign w:val="bottom"/>
            <w:tcBorders>
              <w:bottom w:val="single" w:sz="8" w:color="auto"/>
            </w:tcBorders>
            <w:shd w:val="clear" w:color="auto" w:fill="EEEEEE"/>
          </w:tcPr>
          <w:p>
            <w:pPr>
              <w:spacing w:after="0"/>
              <w:rPr>
                <w:sz w:val="14"/>
                <w:szCs w:val="14"/>
                <w:color w:val="auto"/>
              </w:rPr>
            </w:pPr>
          </w:p>
        </w:tc>
        <w:tc>
          <w:tcPr>
            <w:tcW w:w="1100" w:type="dxa"/>
            <w:vAlign w:val="bottom"/>
            <w:tcBorders>
              <w:bottom w:val="single" w:sz="8" w:color="auto"/>
            </w:tcBorders>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00" w:type="dxa"/>
            <w:vAlign w:val="bottom"/>
            <w:gridSpan w:val="5"/>
          </w:tcPr>
          <w:p>
            <w:pPr>
              <w:spacing w:after="0" w:line="155" w:lineRule="exact"/>
              <w:rPr>
                <w:sz w:val="20"/>
                <w:szCs w:val="20"/>
                <w:color w:val="auto"/>
              </w:rPr>
            </w:pPr>
            <w:r>
              <w:rPr>
                <w:rFonts w:ascii="Arial" w:cs="Arial" w:eastAsia="Arial" w:hAnsi="Arial"/>
                <w:sz w:val="14"/>
                <w:szCs w:val="14"/>
                <w:color w:val="auto"/>
              </w:rPr>
              <w:t>Net interest income/spread</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(15,888</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3"/>
                <w:szCs w:val="13"/>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(10,484</w:t>
            </w:r>
          </w:p>
        </w:tc>
        <w:tc>
          <w:tcPr>
            <w:tcW w:w="340" w:type="dxa"/>
            <w:vAlign w:val="bottom"/>
          </w:tcPr>
          <w:p>
            <w:pPr>
              <w:jc w:val="right"/>
              <w:ind w:right="208"/>
              <w:spacing w:after="0" w:line="155" w:lineRule="exact"/>
              <w:rPr>
                <w:sz w:val="20"/>
                <w:szCs w:val="20"/>
                <w:color w:val="auto"/>
              </w:rPr>
            </w:pPr>
            <w:r>
              <w:rPr>
                <w:rFonts w:ascii="Arial" w:cs="Arial" w:eastAsia="Arial" w:hAnsi="Arial"/>
                <w:sz w:val="14"/>
                <w:szCs w:val="14"/>
                <w:color w:val="auto"/>
                <w:w w:val="84"/>
              </w:rPr>
              <w:t>)</w:t>
            </w: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(5,404</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6" w:name="page27"/>
    <w:bookmarkEnd w:id="26"/>
    <w:p>
      <w:pPr>
        <w:jc w:val="both"/>
        <w:ind w:firstLine="360"/>
        <w:spacing w:after="0" w:line="257" w:lineRule="auto"/>
        <w:rPr>
          <w:sz w:val="20"/>
          <w:szCs w:val="20"/>
          <w:color w:val="auto"/>
        </w:rPr>
      </w:pPr>
      <w:r>
        <w:rPr>
          <w:rFonts w:ascii="Arial" w:cs="Arial" w:eastAsia="Arial" w:hAnsi="Arial"/>
          <w:sz w:val="18"/>
          <w:szCs w:val="18"/>
          <w:color w:val="auto"/>
        </w:rPr>
        <w:t>The reduction in the annualized yield on our finance receivables for the three months ended September 30, 2018 compared to the prior year period is the result of our decision over the last twelve months to offer dealers slightly lower acquisition fees and to require slightly lower contract interest rates on a portion of the contracts we purchase. Another reason for the decrease in the annualized yield is the lower interest yield on the receivables measured at fair value. The interest yield on receivables measured at fair value is reduced to take account of expected losses and is therefore less than the yield on other finance receivables.</w:t>
      </w:r>
    </w:p>
    <w:p>
      <w:pPr>
        <w:spacing w:after="0" w:line="188"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Provision for credit losses was $32.0 million for the three months ended September 30, 2018, a decrease of $15.4 million, or 32.5% compared to the prior year and represented 35.1%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Finance receivables that we have originated since January 2018 are accounted for at fair value. Under the fair value method of accounting, we recognize interest income under the interest method on a level yield basis based on forecasted future cash flows net of expected credit losses. Thus, no provision for credit loss expense is recorded for finance receivables measured at fair value.</w:t>
      </w:r>
    </w:p>
    <w:p>
      <w:pPr>
        <w:spacing w:after="0" w:line="167"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$570,000, or 15.0%, to $4.4 million during the three months ended September 30, 2018, compared to $3.8 million in the prior year period, and represented 4.8% of total operating expenses. Our marketing staff increased to 132 as of September 30, 2018 compared to 117 at September 30, 2017. In addition, in recent months, we have gradually shifted to more field marketing representatives as compared to in-house marketing representatives. Field marketing representatives are somewhat more costly than in-house marketing representatives, but we feel will ultimately be more effective. For the three months ended September 30, 2018, we purchased 12,853 contracts representing $225.2 million in receivables compared to 12,589 contracts representing $204.7 million in receivables in the prior period.</w:t>
      </w:r>
    </w:p>
    <w:p>
      <w:pPr>
        <w:spacing w:after="0" w:line="16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Occupancy expenses increased by $70,000 or 3.8%, to $1.9 million compared to $1.9 million in the previous year and represented 2.2% of total operating expenses.</w:t>
      </w:r>
    </w:p>
    <w:p>
      <w:pPr>
        <w:spacing w:after="0" w:line="17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Depreciation and amortization expenses increased by $12,000 or 4.9%, to $256,000 compared to $244,000 in the previous year and represented 0.3% of total operating expenses.</w:t>
      </w:r>
    </w:p>
    <w:p>
      <w:pPr>
        <w:spacing w:after="0" w:line="17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For the three months ended September 30, 2018 we recorded income tax expense of $1.5 million, representing a 32.0% effective income tax rate. In the prior year period, we recorded $3.4 million in income tax expense, representing a 42.5% effective income tax rate. In December 2017, the U.S. government enacted comprehensive tax legislation commonly referred to as the Tax Cuts and Jobs Act (the “Tax Act”). The Tax Act lowered the federal corporate income tax rate from 35% to 21% beginning in 2018.</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Comparison of Operating Results for the nine months ended September 30, 2018 with the nine months ended September 30, 2017</w:t>
      </w:r>
    </w:p>
    <w:p>
      <w:pPr>
        <w:spacing w:after="0" w:line="225"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During the nine months ended September 30, 2018, our revenues were $298.6 million, a decrease of $28.6 million, or 8.7%, from the prior</w:t>
      </w:r>
      <w:r>
        <w:rPr>
          <w:rFonts w:ascii="Arial" w:cs="Arial" w:eastAsia="Arial" w:hAnsi="Arial"/>
          <w:sz w:val="17"/>
          <w:szCs w:val="17"/>
          <w:i w:val="1"/>
          <w:iCs w:val="1"/>
          <w:color w:val="auto"/>
        </w:rPr>
        <w:t xml:space="preserve"> </w:t>
      </w:r>
      <w:r>
        <w:rPr>
          <w:rFonts w:ascii="Arial" w:cs="Arial" w:eastAsia="Arial" w:hAnsi="Arial"/>
          <w:sz w:val="17"/>
          <w:szCs w:val="17"/>
          <w:color w:val="auto"/>
        </w:rPr>
        <w:t>year revenue of $327.2 million. The primary reason for the decrease in revenues is a decrease in interest income. Interest income for the nine months ended September 30, 2018 decreased $27.5 million, or 8.6%, to $291.5 million from $319.1 million in the prior year. The primary reason for the decrease in interest income is the lower interest yield on the receivables measured at fair value. The interest yield on receivables measured at fair value is reduced to take account of expected losses and is therefore less than the yield on other finance receivables. The table below shows the outstanding and average balances of our portfolio held by consolidated subsidiaries for the nine months ended September 30, 2018 and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3"/>
              </w:rPr>
              <w:t>Nine Months Ended September 30,</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20" w:type="dxa"/>
            <w:vAlign w:val="bottom"/>
            <w:gridSpan w:val="5"/>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(Dollars in thousands)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Borders>
              <w:top w:val="single" w:sz="8" w:color="EEEEEE"/>
            </w:tcBorders>
            <w:gridSpan w:val="3"/>
            <w:shd w:val="clear" w:color="auto" w:fill="EEEEEE"/>
          </w:tcPr>
          <w:p>
            <w:pPr>
              <w:ind w:left="1220"/>
              <w:spacing w:after="0" w:line="129" w:lineRule="exact"/>
              <w:rPr>
                <w:sz w:val="20"/>
                <w:szCs w:val="20"/>
                <w:color w:val="auto"/>
              </w:rPr>
            </w:pPr>
            <w:r>
              <w:rPr>
                <w:rFonts w:ascii="Arial" w:cs="Arial" w:eastAsia="Arial" w:hAnsi="Arial"/>
                <w:sz w:val="14"/>
                <w:szCs w:val="14"/>
                <w:b w:val="1"/>
                <w:bCs w:val="1"/>
                <w:color w:val="auto"/>
              </w:rPr>
              <w:t>Interest Earning Assets</w:t>
            </w:r>
          </w:p>
        </w:tc>
        <w:tc>
          <w:tcPr>
            <w:tcW w:w="160" w:type="dxa"/>
            <w:vAlign w:val="bottom"/>
            <w:tcBorders>
              <w:top w:val="single" w:sz="8" w:color="auto"/>
            </w:tcBorders>
            <w:shd w:val="clear" w:color="auto" w:fill="EEEEEE"/>
          </w:tcPr>
          <w:p>
            <w:pPr>
              <w:spacing w:after="0"/>
              <w:rPr>
                <w:sz w:val="11"/>
                <w:szCs w:val="11"/>
                <w:color w:val="auto"/>
              </w:rPr>
            </w:pPr>
          </w:p>
        </w:tc>
        <w:tc>
          <w:tcPr>
            <w:tcW w:w="780" w:type="dxa"/>
            <w:vAlign w:val="bottom"/>
            <w:tcBorders>
              <w:top w:val="single" w:sz="8" w:color="auto"/>
            </w:tcBorders>
            <w:shd w:val="clear" w:color="auto" w:fill="EEEEEE"/>
          </w:tcPr>
          <w:p>
            <w:pPr>
              <w:spacing w:after="0"/>
              <w:rPr>
                <w:sz w:val="11"/>
                <w:szCs w:val="11"/>
                <w:color w:val="auto"/>
              </w:rPr>
            </w:pPr>
          </w:p>
        </w:tc>
        <w:tc>
          <w:tcPr>
            <w:tcW w:w="360" w:type="dxa"/>
            <w:vAlign w:val="bottom"/>
            <w:tcBorders>
              <w:top w:val="single" w:sz="8" w:color="EEEEEE"/>
            </w:tcBorders>
            <w:shd w:val="clear" w:color="auto" w:fill="EEEEEE"/>
          </w:tcPr>
          <w:p>
            <w:pPr>
              <w:spacing w:after="0"/>
              <w:rPr>
                <w:sz w:val="11"/>
                <w:szCs w:val="11"/>
                <w:color w:val="auto"/>
              </w:rPr>
            </w:pPr>
          </w:p>
        </w:tc>
        <w:tc>
          <w:tcPr>
            <w:tcW w:w="140" w:type="dxa"/>
            <w:vAlign w:val="bottom"/>
            <w:tcBorders>
              <w:top w:val="single" w:sz="8" w:color="auto"/>
            </w:tcBorders>
            <w:shd w:val="clear" w:color="auto" w:fill="EEEEEE"/>
          </w:tcPr>
          <w:p>
            <w:pPr>
              <w:spacing w:after="0"/>
              <w:rPr>
                <w:sz w:val="11"/>
                <w:szCs w:val="11"/>
                <w:color w:val="auto"/>
              </w:rPr>
            </w:pPr>
          </w:p>
        </w:tc>
        <w:tc>
          <w:tcPr>
            <w:tcW w:w="780" w:type="dxa"/>
            <w:vAlign w:val="bottom"/>
            <w:tcBorders>
              <w:top w:val="single" w:sz="8" w:color="auto"/>
            </w:tcBorders>
            <w:shd w:val="clear" w:color="auto" w:fill="EEEEEE"/>
          </w:tcPr>
          <w:p>
            <w:pPr>
              <w:spacing w:after="0"/>
              <w:rPr>
                <w:sz w:val="11"/>
                <w:szCs w:val="11"/>
                <w:color w:val="auto"/>
              </w:rPr>
            </w:pPr>
          </w:p>
        </w:tc>
        <w:tc>
          <w:tcPr>
            <w:tcW w:w="160" w:type="dxa"/>
            <w:vAlign w:val="bottom"/>
            <w:tcBorders>
              <w:top w:val="single" w:sz="8" w:color="EEEEEE"/>
            </w:tcBorders>
            <w:shd w:val="clear" w:color="auto" w:fill="EEEEEE"/>
          </w:tcPr>
          <w:p>
            <w:pPr>
              <w:spacing w:after="0"/>
              <w:rPr>
                <w:sz w:val="11"/>
                <w:szCs w:val="11"/>
                <w:color w:val="auto"/>
              </w:rPr>
            </w:pPr>
          </w:p>
        </w:tc>
        <w:tc>
          <w:tcPr>
            <w:tcW w:w="200" w:type="dxa"/>
            <w:vAlign w:val="bottom"/>
            <w:tcBorders>
              <w:top w:val="single" w:sz="8" w:color="EEEEEE"/>
            </w:tcBorders>
            <w:shd w:val="clear" w:color="auto" w:fill="EEEEEE"/>
          </w:tcPr>
          <w:p>
            <w:pPr>
              <w:spacing w:after="0"/>
              <w:rPr>
                <w:sz w:val="11"/>
                <w:szCs w:val="11"/>
                <w:color w:val="auto"/>
              </w:rPr>
            </w:pPr>
          </w:p>
        </w:tc>
        <w:tc>
          <w:tcPr>
            <w:tcW w:w="920" w:type="dxa"/>
            <w:vAlign w:val="bottom"/>
            <w:tcBorders>
              <w:top w:val="single" w:sz="8" w:color="auto"/>
            </w:tcBorders>
            <w:shd w:val="clear" w:color="auto" w:fill="EEEEEE"/>
          </w:tcPr>
          <w:p>
            <w:pPr>
              <w:spacing w:after="0"/>
              <w:rPr>
                <w:sz w:val="11"/>
                <w:szCs w:val="11"/>
                <w:color w:val="auto"/>
              </w:rPr>
            </w:pPr>
          </w:p>
        </w:tc>
        <w:tc>
          <w:tcPr>
            <w:tcW w:w="320" w:type="dxa"/>
            <w:vAlign w:val="bottom"/>
            <w:tcBorders>
              <w:top w:val="single" w:sz="8" w:color="EEEEEE"/>
            </w:tcBorders>
            <w:shd w:val="clear" w:color="auto" w:fill="EEEEEE"/>
          </w:tcPr>
          <w:p>
            <w:pPr>
              <w:spacing w:after="0"/>
              <w:rPr>
                <w:sz w:val="11"/>
                <w:szCs w:val="11"/>
                <w:color w:val="auto"/>
              </w:rPr>
            </w:pPr>
          </w:p>
        </w:tc>
        <w:tc>
          <w:tcPr>
            <w:tcW w:w="140" w:type="dxa"/>
            <w:vAlign w:val="bottom"/>
            <w:tcBorders>
              <w:top w:val="single" w:sz="8" w:color="auto"/>
            </w:tcBorders>
            <w:shd w:val="clear" w:color="auto" w:fill="EEEEEE"/>
          </w:tcPr>
          <w:p>
            <w:pPr>
              <w:spacing w:after="0"/>
              <w:rPr>
                <w:sz w:val="11"/>
                <w:szCs w:val="11"/>
                <w:color w:val="auto"/>
              </w:rPr>
            </w:pPr>
          </w:p>
        </w:tc>
        <w:tc>
          <w:tcPr>
            <w:tcW w:w="780" w:type="dxa"/>
            <w:vAlign w:val="bottom"/>
            <w:tcBorders>
              <w:top w:val="single" w:sz="8" w:color="auto"/>
            </w:tcBorders>
            <w:shd w:val="clear" w:color="auto" w:fill="EEEEEE"/>
          </w:tcPr>
          <w:p>
            <w:pPr>
              <w:spacing w:after="0"/>
              <w:rPr>
                <w:sz w:val="11"/>
                <w:szCs w:val="11"/>
                <w:color w:val="auto"/>
              </w:rPr>
            </w:pPr>
          </w:p>
        </w:tc>
        <w:tc>
          <w:tcPr>
            <w:tcW w:w="160" w:type="dxa"/>
            <w:vAlign w:val="bottom"/>
            <w:tcBorders>
              <w:top w:val="single" w:sz="8" w:color="EEEEEE"/>
            </w:tcBorders>
            <w:shd w:val="clear" w:color="auto" w:fill="EEEEEE"/>
          </w:tcPr>
          <w:p>
            <w:pPr>
              <w:spacing w:after="0"/>
              <w:rPr>
                <w:sz w:val="11"/>
                <w:szCs w:val="11"/>
                <w:color w:val="auto"/>
              </w:rPr>
            </w:pPr>
          </w:p>
        </w:tc>
        <w:tc>
          <w:tcPr>
            <w:tcW w:w="160" w:type="dxa"/>
            <w:vAlign w:val="bottom"/>
            <w:tcBorders>
              <w:top w:val="single" w:sz="8" w:color="EEEEEE"/>
            </w:tcBorders>
            <w:shd w:val="clear" w:color="auto" w:fill="EEEEEE"/>
          </w:tcPr>
          <w:p>
            <w:pPr>
              <w:spacing w:after="0"/>
              <w:rPr>
                <w:sz w:val="11"/>
                <w:szCs w:val="11"/>
                <w:color w:val="auto"/>
              </w:rPr>
            </w:pPr>
          </w:p>
        </w:tc>
        <w:tc>
          <w:tcPr>
            <w:tcW w:w="140" w:type="dxa"/>
            <w:vAlign w:val="bottom"/>
            <w:tcBorders>
              <w:top w:val="single" w:sz="8" w:color="auto"/>
            </w:tcBorders>
            <w:shd w:val="clear" w:color="auto" w:fill="EEEEEE"/>
          </w:tcPr>
          <w:p>
            <w:pPr>
              <w:spacing w:after="0"/>
              <w:rPr>
                <w:sz w:val="11"/>
                <w:szCs w:val="11"/>
                <w:color w:val="auto"/>
              </w:rPr>
            </w:pPr>
          </w:p>
        </w:tc>
        <w:tc>
          <w:tcPr>
            <w:tcW w:w="760" w:type="dxa"/>
            <w:vAlign w:val="bottom"/>
            <w:tcBorders>
              <w:top w:val="single" w:sz="8" w:color="auto"/>
            </w:tcBorders>
            <w:shd w:val="clear" w:color="auto" w:fill="EEEEEE"/>
          </w:tcPr>
          <w:p>
            <w:pPr>
              <w:spacing w:after="0"/>
              <w:rPr>
                <w:sz w:val="11"/>
                <w:szCs w:val="11"/>
                <w:color w:val="auto"/>
              </w:rPr>
            </w:pPr>
          </w:p>
        </w:tc>
        <w:tc>
          <w:tcPr>
            <w:tcW w:w="320" w:type="dxa"/>
            <w:vAlign w:val="bottom"/>
            <w:tcBorders>
              <w:top w:val="single" w:sz="8" w:color="EEEEEE"/>
            </w:tcBorders>
            <w:shd w:val="clear" w:color="auto" w:fill="EEEEEE"/>
          </w:tcPr>
          <w:p>
            <w:pPr>
              <w:spacing w:after="0"/>
              <w:rPr>
                <w:sz w:val="11"/>
                <w:szCs w:val="11"/>
                <w:color w:val="auto"/>
              </w:rPr>
            </w:pPr>
          </w:p>
        </w:tc>
        <w:tc>
          <w:tcPr>
            <w:tcW w:w="920" w:type="dxa"/>
            <w:vAlign w:val="bottom"/>
            <w:tcBorders>
              <w:top w:val="single" w:sz="8" w:color="auto"/>
            </w:tcBorders>
            <w:shd w:val="clear" w:color="auto" w:fill="EEEEEE"/>
          </w:tcPr>
          <w:p>
            <w:pPr>
              <w:spacing w:after="0"/>
              <w:rPr>
                <w:sz w:val="11"/>
                <w:szCs w:val="11"/>
                <w:color w:val="auto"/>
              </w:rPr>
            </w:pPr>
          </w:p>
        </w:tc>
        <w:tc>
          <w:tcPr>
            <w:tcW w:w="20" w:type="dxa"/>
            <w:vAlign w:val="bottom"/>
            <w:tcBorders>
              <w:top w:val="single" w:sz="8" w:color="EEEEEE"/>
            </w:tcBorders>
            <w:shd w:val="clear" w:color="auto" w:fill="EEEEEE"/>
          </w:tcPr>
          <w:p>
            <w:pPr>
              <w:spacing w:after="0"/>
              <w:rPr>
                <w:sz w:val="11"/>
                <w:szCs w:val="11"/>
                <w:color w:val="auto"/>
              </w:rPr>
            </w:pPr>
          </w:p>
        </w:tc>
        <w:tc>
          <w:tcPr>
            <w:tcW w:w="80" w:type="dxa"/>
            <w:vAlign w:val="bottom"/>
            <w:tcBorders>
              <w:top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Borders>
              <w:top w:val="single" w:sz="8" w:color="EEEEEE"/>
            </w:tcBorders>
          </w:tcPr>
          <w:p>
            <w:pPr>
              <w:spacing w:after="0" w:line="142" w:lineRule="exact"/>
              <w:rPr>
                <w:sz w:val="20"/>
                <w:szCs w:val="20"/>
                <w:color w:val="auto"/>
              </w:rPr>
            </w:pPr>
            <w:r>
              <w:rPr>
                <w:rFonts w:ascii="Arial" w:cs="Arial" w:eastAsia="Arial" w:hAnsi="Arial"/>
                <w:sz w:val="14"/>
                <w:szCs w:val="14"/>
                <w:color w:val="auto"/>
                <w:w w:val="96"/>
              </w:rPr>
              <w:t>Finance receivables</w:t>
            </w:r>
          </w:p>
        </w:tc>
        <w:tc>
          <w:tcPr>
            <w:tcW w:w="1440" w:type="dxa"/>
            <w:vAlign w:val="bottom"/>
            <w:tcBorders>
              <w:top w:val="single" w:sz="8" w:color="auto"/>
            </w:tcBorders>
          </w:tcPr>
          <w:p>
            <w:pPr>
              <w:spacing w:after="0"/>
              <w:rPr>
                <w:sz w:val="12"/>
                <w:szCs w:val="12"/>
                <w:color w:val="auto"/>
              </w:rPr>
            </w:pPr>
          </w:p>
        </w:tc>
        <w:tc>
          <w:tcPr>
            <w:tcW w:w="1440" w:type="dxa"/>
            <w:vAlign w:val="bottom"/>
            <w:tcBorders>
              <w:top w:val="single" w:sz="8" w:color="EEEEEE"/>
            </w:tcBorders>
          </w:tcPr>
          <w:p>
            <w:pPr>
              <w:spacing w:after="0"/>
              <w:rPr>
                <w:sz w:val="12"/>
                <w:szCs w:val="12"/>
                <w:color w:val="auto"/>
              </w:rPr>
            </w:pPr>
          </w:p>
        </w:tc>
        <w:tc>
          <w:tcPr>
            <w:tcW w:w="160" w:type="dxa"/>
            <w:vAlign w:val="bottom"/>
            <w:tcBorders>
              <w:top w:val="single" w:sz="8" w:color="EEEEEE"/>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EEEEEE"/>
            </w:tcBorders>
            <w:gridSpan w:val="2"/>
          </w:tcPr>
          <w:p>
            <w:pPr>
              <w:jc w:val="right"/>
              <w:ind w:right="360"/>
              <w:spacing w:after="0" w:line="142" w:lineRule="exact"/>
              <w:rPr>
                <w:sz w:val="20"/>
                <w:szCs w:val="20"/>
                <w:color w:val="auto"/>
              </w:rPr>
            </w:pPr>
            <w:r>
              <w:rPr>
                <w:rFonts w:ascii="Arial" w:cs="Arial" w:eastAsia="Arial" w:hAnsi="Arial"/>
                <w:sz w:val="14"/>
                <w:szCs w:val="14"/>
                <w:color w:val="auto"/>
              </w:rPr>
              <w:t>1,990,289</w:t>
            </w:r>
          </w:p>
        </w:tc>
        <w:tc>
          <w:tcPr>
            <w:tcW w:w="140" w:type="dxa"/>
            <w:vAlign w:val="bottom"/>
            <w:tcBorders>
              <w:top w:val="single" w:sz="8" w:color="EEEEEE"/>
            </w:tcBorders>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EEEEEE"/>
            </w:tcBorders>
            <w:gridSpan w:val="2"/>
          </w:tcPr>
          <w:p>
            <w:pPr>
              <w:jc w:val="right"/>
              <w:ind w:right="160"/>
              <w:spacing w:after="0" w:line="142" w:lineRule="exact"/>
              <w:rPr>
                <w:sz w:val="20"/>
                <w:szCs w:val="20"/>
                <w:color w:val="auto"/>
              </w:rPr>
            </w:pPr>
            <w:r>
              <w:rPr>
                <w:rFonts w:ascii="Arial" w:cs="Arial" w:eastAsia="Arial" w:hAnsi="Arial"/>
                <w:sz w:val="14"/>
                <w:szCs w:val="14"/>
                <w:color w:val="auto"/>
              </w:rPr>
              <w:t>265,713</w:t>
            </w:r>
          </w:p>
        </w:tc>
        <w:tc>
          <w:tcPr>
            <w:tcW w:w="1440" w:type="dxa"/>
            <w:vAlign w:val="bottom"/>
            <w:tcBorders>
              <w:top w:val="single" w:sz="8" w:color="EEEEEE"/>
            </w:tcBorders>
            <w:gridSpan w:val="3"/>
          </w:tcPr>
          <w:p>
            <w:pPr>
              <w:jc w:val="right"/>
              <w:ind w:right="320"/>
              <w:spacing w:after="0" w:line="142" w:lineRule="exact"/>
              <w:rPr>
                <w:sz w:val="20"/>
                <w:szCs w:val="20"/>
                <w:color w:val="auto"/>
              </w:rPr>
            </w:pPr>
            <w:r>
              <w:rPr>
                <w:rFonts w:ascii="Arial" w:cs="Arial" w:eastAsia="Arial" w:hAnsi="Arial"/>
                <w:sz w:val="14"/>
                <w:szCs w:val="14"/>
                <w:color w:val="auto"/>
              </w:rPr>
              <w:t>17.8%</w:t>
            </w:r>
          </w:p>
        </w:tc>
        <w:tc>
          <w:tcPr>
            <w:tcW w:w="140" w:type="dxa"/>
            <w:vAlign w:val="bottom"/>
            <w:tcBorders>
              <w:top w:val="single" w:sz="8" w:color="EEEEEE"/>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EEEEEE"/>
            </w:tcBorders>
            <w:gridSpan w:val="2"/>
          </w:tcPr>
          <w:p>
            <w:pPr>
              <w:jc w:val="right"/>
              <w:ind w:right="160"/>
              <w:spacing w:after="0" w:line="142" w:lineRule="exact"/>
              <w:rPr>
                <w:sz w:val="20"/>
                <w:szCs w:val="20"/>
                <w:color w:val="auto"/>
              </w:rPr>
            </w:pPr>
            <w:r>
              <w:rPr>
                <w:rFonts w:ascii="Arial" w:cs="Arial" w:eastAsia="Arial" w:hAnsi="Arial"/>
                <w:sz w:val="14"/>
                <w:szCs w:val="14"/>
                <w:color w:val="auto"/>
              </w:rPr>
              <w:t>2,297,218</w:t>
            </w:r>
          </w:p>
        </w:tc>
        <w:tc>
          <w:tcPr>
            <w:tcW w:w="300" w:type="dxa"/>
            <w:vAlign w:val="bottom"/>
            <w:tcBorders>
              <w:top w:val="single" w:sz="8" w:color="EEEEEE"/>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EEEEEE"/>
            </w:tcBorders>
            <w:gridSpan w:val="2"/>
          </w:tcPr>
          <w:p>
            <w:pPr>
              <w:jc w:val="right"/>
              <w:ind w:right="320"/>
              <w:spacing w:after="0" w:line="142" w:lineRule="exact"/>
              <w:rPr>
                <w:sz w:val="20"/>
                <w:szCs w:val="20"/>
                <w:color w:val="auto"/>
              </w:rPr>
            </w:pPr>
            <w:r>
              <w:rPr>
                <w:rFonts w:ascii="Arial" w:cs="Arial" w:eastAsia="Arial" w:hAnsi="Arial"/>
                <w:sz w:val="14"/>
                <w:szCs w:val="14"/>
                <w:color w:val="auto"/>
              </w:rPr>
              <w:t>319,074</w:t>
            </w:r>
          </w:p>
        </w:tc>
        <w:tc>
          <w:tcPr>
            <w:tcW w:w="940" w:type="dxa"/>
            <w:vAlign w:val="bottom"/>
            <w:tcBorders>
              <w:top w:val="single" w:sz="8" w:color="EEEEEE"/>
            </w:tcBorders>
            <w:gridSpan w:val="2"/>
          </w:tcPr>
          <w:p>
            <w:pPr>
              <w:jc w:val="right"/>
              <w:ind w:right="20"/>
              <w:spacing w:after="0" w:line="142" w:lineRule="exact"/>
              <w:rPr>
                <w:sz w:val="20"/>
                <w:szCs w:val="20"/>
                <w:color w:val="auto"/>
              </w:rPr>
            </w:pPr>
            <w:r>
              <w:rPr>
                <w:rFonts w:ascii="Arial" w:cs="Arial" w:eastAsia="Arial" w:hAnsi="Arial"/>
                <w:sz w:val="14"/>
                <w:szCs w:val="14"/>
                <w:color w:val="auto"/>
              </w:rPr>
              <w:t>18.5%</w:t>
            </w:r>
          </w:p>
        </w:tc>
        <w:tc>
          <w:tcPr>
            <w:tcW w:w="80" w:type="dxa"/>
            <w:vAlign w:val="bottom"/>
            <w:tcBorders>
              <w:top w:val="single" w:sz="8" w:color="EEEEEE"/>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4"/>
                <w:szCs w:val="14"/>
                <w:color w:val="auto"/>
              </w:rPr>
              <w:t>Finance receivables measured at fair value</w:t>
            </w:r>
          </w:p>
        </w:tc>
        <w:tc>
          <w:tcPr>
            <w:tcW w:w="160" w:type="dxa"/>
            <w:vAlign w:val="bottom"/>
            <w:shd w:val="clear" w:color="auto" w:fill="EEEEEE"/>
          </w:tcPr>
          <w:p>
            <w:pPr>
              <w:spacing w:after="0"/>
              <w:rPr>
                <w:sz w:val="14"/>
                <w:szCs w:val="14"/>
                <w:color w:val="auto"/>
              </w:rPr>
            </w:pPr>
          </w:p>
        </w:tc>
        <w:tc>
          <w:tcPr>
            <w:tcW w:w="1140" w:type="dxa"/>
            <w:vAlign w:val="bottom"/>
            <w:gridSpan w:val="2"/>
            <w:shd w:val="clear" w:color="auto" w:fill="EEEEEE"/>
          </w:tcPr>
          <w:p>
            <w:pPr>
              <w:jc w:val="right"/>
              <w:ind w:right="360"/>
              <w:spacing w:after="0"/>
              <w:rPr>
                <w:sz w:val="20"/>
                <w:szCs w:val="20"/>
                <w:color w:val="auto"/>
              </w:rPr>
            </w:pPr>
            <w:r>
              <w:rPr>
                <w:rFonts w:ascii="Arial" w:cs="Arial" w:eastAsia="Arial" w:hAnsi="Arial"/>
                <w:sz w:val="14"/>
                <w:szCs w:val="14"/>
                <w:color w:val="auto"/>
              </w:rPr>
              <w:t>341,967</w:t>
            </w:r>
          </w:p>
        </w:tc>
        <w:tc>
          <w:tcPr>
            <w:tcW w:w="14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160"/>
              <w:spacing w:after="0"/>
              <w:rPr>
                <w:sz w:val="20"/>
                <w:szCs w:val="20"/>
                <w:color w:val="auto"/>
              </w:rPr>
            </w:pPr>
            <w:r>
              <w:rPr>
                <w:rFonts w:ascii="Arial" w:cs="Arial" w:eastAsia="Arial" w:hAnsi="Arial"/>
                <w:sz w:val="14"/>
                <w:szCs w:val="14"/>
                <w:color w:val="auto"/>
              </w:rPr>
              <w:t>25,822</w:t>
            </w:r>
          </w:p>
        </w:tc>
        <w:tc>
          <w:tcPr>
            <w:tcW w:w="1440" w:type="dxa"/>
            <w:vAlign w:val="bottom"/>
            <w:gridSpan w:val="3"/>
            <w:shd w:val="clear" w:color="auto" w:fill="EEEEEE"/>
          </w:tcPr>
          <w:p>
            <w:pPr>
              <w:jc w:val="right"/>
              <w:ind w:right="320"/>
              <w:spacing w:after="0"/>
              <w:rPr>
                <w:sz w:val="20"/>
                <w:szCs w:val="20"/>
                <w:color w:val="auto"/>
              </w:rPr>
            </w:pPr>
            <w:r>
              <w:rPr>
                <w:rFonts w:ascii="Arial" w:cs="Arial" w:eastAsia="Arial" w:hAnsi="Arial"/>
                <w:sz w:val="14"/>
                <w:szCs w:val="14"/>
                <w:color w:val="auto"/>
              </w:rPr>
              <w:t>10.1%</w:t>
            </w:r>
          </w:p>
        </w:tc>
        <w:tc>
          <w:tcPr>
            <w:tcW w:w="14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0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3"/>
          </w:tcPr>
          <w:p>
            <w:pPr>
              <w:spacing w:after="0" w:line="155" w:lineRule="exact"/>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2,332,256</w:t>
            </w:r>
          </w:p>
        </w:tc>
        <w:tc>
          <w:tcPr>
            <w:tcW w:w="3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291,535</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w:t>
            </w:r>
          </w:p>
        </w:tc>
        <w:tc>
          <w:tcPr>
            <w:tcW w:w="3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2,297,218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319,074</w:t>
            </w:r>
          </w:p>
        </w:tc>
        <w:tc>
          <w:tcPr>
            <w:tcW w:w="32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18.5%</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In the nine months ended September 30, 2018, other income of $7.0 million decreased by $1.1 million, or 13.1% compared to the prior year. The nine-month period ended September 30, 2018 includes a decrease of $428,000 in revenue associated with direct mail and other related products and services that we offer to our dealers. We also incurred a decrease of $310,000 in payments from third-party providers of convenience fees paid by our customers for web based and other electronic payments, a decrease of $266,000 on payments to us for our interest in certain sold charge offs and acquired third-party portfolios.</w:t>
      </w:r>
    </w:p>
    <w:p>
      <w:pPr>
        <w:spacing w:after="0" w:line="18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provision for credit losses, interest expense, employee costs, marketing and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expenses. Provision for credit losses is affected by the balance and credit performance of our portfolio of finance receivables (other than our portfolio of finance receivables measured at fair value, as to which expected credit losses have the effect of reducing the interest rate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6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Total operating expenses were $284.6 million for the nine months ended September 30, 2018, compared to $303.3 million for the prior period, a decrease of $18.7 million, or 6.2%. The decrease is primarily due to a decrease in provision for credit losses, offsetting increases in employee costs, interest expense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8" w:name="page29"/>
    <w:bookmarkEnd w:id="28"/>
    <w:p>
      <w:pPr>
        <w:jc w:val="both"/>
        <w:ind w:firstLine="360"/>
        <w:spacing w:after="0" w:line="257" w:lineRule="auto"/>
        <w:rPr>
          <w:sz w:val="20"/>
          <w:szCs w:val="20"/>
          <w:color w:val="auto"/>
        </w:rPr>
      </w:pPr>
      <w:r>
        <w:rPr>
          <w:rFonts w:ascii="Arial" w:cs="Arial" w:eastAsia="Arial" w:hAnsi="Arial"/>
          <w:sz w:val="18"/>
          <w:szCs w:val="18"/>
          <w:color w:val="auto"/>
        </w:rPr>
        <w:t>Employee costs increased by $5.5 million or 10.2%, to $59.3 million during the nine months ended September 30, 2018, representing 20.8% of total operating expenses, from $53.8 million for the prior year, or 17.7% of total operating expenses. Employee costs for the prior year period were net of $4.1 million of direct employee costs associated with the originations of contracts during that period. Such deferred costs are then recognized over the life of the related receivables using the interest method. The table below summarizes our employees by category as well as contract purchases and units in our managed portfolio as of, and for the nine-month periods ended, September 30, 2018 and 2017: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September 30, 2018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0" w:type="dxa"/>
            <w:vAlign w:val="bottom"/>
            <w:gridSpan w:val="5"/>
          </w:tcPr>
          <w:p>
            <w:pPr>
              <w:jc w:val="right"/>
              <w:ind w:right="1288"/>
              <w:spacing w:after="0" w:line="142" w:lineRule="exact"/>
              <w:rPr>
                <w:sz w:val="20"/>
                <w:szCs w:val="20"/>
                <w:color w:val="auto"/>
              </w:rPr>
            </w:pPr>
            <w:r>
              <w:rPr>
                <w:rFonts w:ascii="Arial" w:cs="Arial" w:eastAsia="Arial" w:hAnsi="Arial"/>
                <w:sz w:val="14"/>
                <w:szCs w:val="14"/>
                <w:b w:val="1"/>
                <w:bCs w:val="1"/>
                <w:color w:val="auto"/>
              </w:rPr>
              <w:t>($ in millions)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Contracts purchased (dollars)</w:t>
            </w:r>
          </w:p>
        </w:tc>
        <w:tc>
          <w:tcPr>
            <w:tcW w:w="140" w:type="dxa"/>
            <w:vAlign w:val="bottom"/>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164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650.6</w:t>
            </w:r>
          </w:p>
        </w:tc>
        <w:tc>
          <w:tcPr>
            <w:tcW w:w="300" w:type="dxa"/>
            <w:vAlign w:val="bottom"/>
            <w:gridSpan w:val="2"/>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668.3</w:t>
            </w: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Contracts purchased (units)</w:t>
            </w:r>
          </w:p>
        </w:tc>
        <w:tc>
          <w:tcPr>
            <w:tcW w:w="140" w:type="dxa"/>
            <w:vAlign w:val="bottom"/>
          </w:tcPr>
          <w:p>
            <w:pPr>
              <w:spacing w:after="0"/>
              <w:rPr>
                <w:sz w:val="12"/>
                <w:szCs w:val="12"/>
                <w:color w:val="auto"/>
              </w:rPr>
            </w:pPr>
          </w:p>
        </w:tc>
        <w:tc>
          <w:tcPr>
            <w:tcW w:w="1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38,749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41,137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Managed portfolio outstanding (dollars)</w:t>
            </w:r>
          </w:p>
        </w:tc>
        <w:tc>
          <w:tcPr>
            <w:tcW w:w="140" w:type="dxa"/>
            <w:vAlign w:val="bottom"/>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2,342.9</w:t>
            </w:r>
          </w:p>
        </w:tc>
        <w:tc>
          <w:tcPr>
            <w:tcW w:w="180" w:type="dxa"/>
            <w:vAlign w:val="bottom"/>
            <w:shd w:val="clear" w:color="auto" w:fill="EEEEEE"/>
          </w:tcPr>
          <w:p>
            <w:pPr>
              <w:spacing w:after="0"/>
              <w:rPr>
                <w:sz w:val="12"/>
                <w:szCs w:val="12"/>
                <w:color w:val="auto"/>
              </w:rPr>
            </w:pPr>
          </w:p>
        </w:tc>
        <w:tc>
          <w:tcPr>
            <w:tcW w:w="300" w:type="dxa"/>
            <w:vAlign w:val="bottom"/>
            <w:gridSpan w:val="2"/>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2,346.0</w:t>
            </w: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Managed portfolio outstanding (units)</w:t>
            </w:r>
          </w:p>
        </w:tc>
        <w:tc>
          <w:tcPr>
            <w:tcW w:w="140" w:type="dxa"/>
            <w:vAlign w:val="bottom"/>
          </w:tcPr>
          <w:p>
            <w:pPr>
              <w:spacing w:after="0"/>
              <w:rPr>
                <w:sz w:val="12"/>
                <w:szCs w:val="12"/>
                <w:color w:val="auto"/>
              </w:rPr>
            </w:pPr>
          </w:p>
        </w:tc>
        <w:tc>
          <w:tcPr>
            <w:tcW w:w="1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174,584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174,383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7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6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Number of Originations staff</w:t>
            </w:r>
          </w:p>
        </w:tc>
        <w:tc>
          <w:tcPr>
            <w:tcW w:w="140" w:type="dxa"/>
            <w:vAlign w:val="bottom"/>
          </w:tcPr>
          <w:p>
            <w:pPr>
              <w:spacing w:after="0"/>
              <w:rPr>
                <w:sz w:val="12"/>
                <w:szCs w:val="12"/>
                <w:color w:val="auto"/>
              </w:rPr>
            </w:pPr>
          </w:p>
        </w:tc>
        <w:tc>
          <w:tcPr>
            <w:tcW w:w="1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Number of Marketing staff</w:t>
            </w:r>
          </w:p>
        </w:tc>
        <w:tc>
          <w:tcPr>
            <w:tcW w:w="140" w:type="dxa"/>
            <w:vAlign w:val="bottom"/>
            <w:shd w:val="clear" w:color="auto" w:fill="EEEEEE"/>
          </w:tcPr>
          <w:p>
            <w:pPr>
              <w:spacing w:after="0"/>
              <w:rPr>
                <w:sz w:val="12"/>
                <w:szCs w:val="12"/>
                <w:color w:val="auto"/>
              </w:rPr>
            </w:pPr>
          </w:p>
        </w:tc>
        <w:tc>
          <w:tcPr>
            <w:tcW w:w="14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132</w:t>
            </w:r>
          </w:p>
        </w:tc>
        <w:tc>
          <w:tcPr>
            <w:tcW w:w="1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8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117</w:t>
            </w: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Number of Servicing staff</w:t>
            </w:r>
          </w:p>
        </w:tc>
        <w:tc>
          <w:tcPr>
            <w:tcW w:w="1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567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564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4"/>
                <w:szCs w:val="14"/>
                <w:color w:val="auto"/>
              </w:rPr>
              <w:t>Number of other staff</w:t>
            </w:r>
          </w:p>
        </w:tc>
        <w:tc>
          <w:tcPr>
            <w:tcW w:w="140" w:type="dxa"/>
            <w:vAlign w:val="bottom"/>
            <w:shd w:val="clear" w:color="auto" w:fill="EEEEEE"/>
          </w:tcPr>
          <w:p>
            <w:pPr>
              <w:spacing w:after="0"/>
              <w:rPr>
                <w:sz w:val="14"/>
                <w:szCs w:val="14"/>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4"/>
                <w:szCs w:val="14"/>
                <w:color w:val="auto"/>
              </w:rPr>
              <w:t>101</w:t>
            </w:r>
          </w:p>
        </w:tc>
        <w:tc>
          <w:tcPr>
            <w:tcW w:w="18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48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93</w:t>
            </w:r>
          </w:p>
        </w:tc>
        <w:tc>
          <w:tcPr>
            <w:tcW w:w="8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60" w:type="dxa"/>
            <w:vAlign w:val="bottom"/>
          </w:tcPr>
          <w:p>
            <w:pPr>
              <w:spacing w:after="0" w:line="155" w:lineRule="exact"/>
              <w:rPr>
                <w:sz w:val="20"/>
                <w:szCs w:val="20"/>
                <w:color w:val="auto"/>
              </w:rPr>
            </w:pPr>
            <w:r>
              <w:rPr>
                <w:rFonts w:ascii="Arial" w:cs="Arial" w:eastAsia="Arial" w:hAnsi="Arial"/>
                <w:sz w:val="14"/>
                <w:szCs w:val="14"/>
                <w:color w:val="auto"/>
              </w:rPr>
              <w:t>Total number of employees</w:t>
            </w:r>
          </w:p>
        </w:tc>
        <w:tc>
          <w:tcPr>
            <w:tcW w:w="14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1,011</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984</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$22.7 million, an increase of $2.6 million, or 13.1% compared to the previous year and represented 8.0% of total operating expenses.</w:t>
      </w:r>
    </w:p>
    <w:p>
      <w:pPr>
        <w:spacing w:after="0" w:line="18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Interest expense for the nine months ended September 30, 2018 increased by $6.4 million to $75.1 million, or 9.3% and represented 26.4% of total operating expenses, compared to $68.6 million in the previous year, when it was 22.6% of total operating expenses.</w:t>
      </w:r>
    </w:p>
    <w:p>
      <w:pPr>
        <w:spacing w:after="0" w:line="170"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Interest on securitization trust debt increased by $5.2 million, or 8.4%, for the nine months ended September 30, 2018 compared to the prior period. The average balance of securitization trust debt decreased to $2,137.5 million for the nine months ended September 30, 2018 compared to $2,173.4 million for the nine months ended September 30, 2017. However, the blended interest rates on new term securitizations have generally increased since June 2014. As a result, the cost of securitization debt during the nine-month period ended September 30, 2018 was 4.2%, compared to 3.8% in the prior year period, resulting in an increase in our interest expense despite the lower average debt balance. For any particular quarterly securitization transaction, the blended cost of funds is ultimately the result of many factors including the market interest rates for risk-free securities (against which our bonds are priced), and the margin over those benchmarks that investors are willing to accept, which in turn is influenced by investor demand for our bonds at the time of the securitization. These and other factors have resulted in a general trend toward higher securitization trust debt interest costs since June 2014. The blended interest rates of our recent securitizations are summarized in the table below: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Blended Cost of Funds on Recent Asset-Backed Term Securitizations</w:t>
      </w:r>
    </w:p>
    <w:p>
      <w:pPr>
        <w:spacing w:after="0" w:line="136"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0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Period</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Blended Cost of Funds</w:t>
            </w:r>
          </w:p>
        </w:tc>
      </w:tr>
      <w:tr>
        <w:trPr>
          <w:trHeight w:val="142"/>
        </w:trPr>
        <w:tc>
          <w:tcPr>
            <w:tcW w:w="4200" w:type="dxa"/>
            <w:vAlign w:val="bottom"/>
            <w:tcBorders>
              <w:top w:val="single" w:sz="8" w:color="auto"/>
            </w:tcBorders>
            <w:shd w:val="clear" w:color="auto" w:fill="EEEEEE"/>
          </w:tcPr>
          <w:p>
            <w:pPr>
              <w:jc w:val="center"/>
              <w:spacing w:after="0" w:line="142" w:lineRule="exact"/>
              <w:rPr>
                <w:sz w:val="20"/>
                <w:szCs w:val="20"/>
                <w:color w:val="auto"/>
              </w:rPr>
            </w:pPr>
            <w:r>
              <w:rPr>
                <w:rFonts w:ascii="Arial" w:cs="Arial" w:eastAsia="Arial" w:hAnsi="Arial"/>
                <w:sz w:val="14"/>
                <w:szCs w:val="14"/>
                <w:color w:val="auto"/>
                <w:w w:val="91"/>
              </w:rPr>
              <w:t>June 2014</w:t>
            </w:r>
          </w:p>
        </w:tc>
        <w:tc>
          <w:tcPr>
            <w:tcW w:w="800" w:type="dxa"/>
            <w:vAlign w:val="bottom"/>
            <w:tcBorders>
              <w:top w:val="single" w:sz="8" w:color="EEEEEE"/>
            </w:tcBorders>
            <w:shd w:val="clear" w:color="auto" w:fill="EEEEEE"/>
          </w:tcPr>
          <w:p>
            <w:pPr>
              <w:spacing w:after="0"/>
              <w:rPr>
                <w:sz w:val="12"/>
                <w:szCs w:val="12"/>
                <w:color w:val="auto"/>
              </w:rPr>
            </w:pPr>
          </w:p>
        </w:tc>
        <w:tc>
          <w:tcPr>
            <w:tcW w:w="1840" w:type="dxa"/>
            <w:vAlign w:val="bottom"/>
            <w:tcBorders>
              <w:top w:val="single" w:sz="8" w:color="auto"/>
            </w:tcBorders>
            <w:shd w:val="clear" w:color="auto" w:fill="EEEEEE"/>
          </w:tcPr>
          <w:p>
            <w:pPr>
              <w:jc w:val="center"/>
              <w:spacing w:after="0" w:line="142" w:lineRule="exact"/>
              <w:rPr>
                <w:sz w:val="20"/>
                <w:szCs w:val="20"/>
                <w:color w:val="auto"/>
              </w:rPr>
            </w:pPr>
            <w:r>
              <w:rPr>
                <w:rFonts w:ascii="Arial" w:cs="Arial" w:eastAsia="Arial" w:hAnsi="Arial"/>
                <w:sz w:val="14"/>
                <w:szCs w:val="14"/>
                <w:color w:val="auto"/>
                <w:w w:val="90"/>
              </w:rPr>
              <w:t>2.37%</w:t>
            </w:r>
          </w:p>
        </w:tc>
      </w:tr>
      <w:tr>
        <w:trPr>
          <w:trHeight w:val="149"/>
        </w:trPr>
        <w:tc>
          <w:tcPr>
            <w:tcW w:w="500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0"/>
              </w:rPr>
              <w:t>September 2014</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2.71%</w:t>
            </w:r>
          </w:p>
        </w:tc>
      </w:tr>
      <w:tr>
        <w:trPr>
          <w:trHeight w:val="149"/>
        </w:trPr>
        <w:tc>
          <w:tcPr>
            <w:tcW w:w="5000" w:type="dxa"/>
            <w:vAlign w:val="bottom"/>
            <w:gridSpan w:val="2"/>
            <w:shd w:val="clear" w:color="auto" w:fill="EEEEEE"/>
          </w:tcPr>
          <w:p>
            <w:pPr>
              <w:jc w:val="center"/>
              <w:ind w:right="800"/>
              <w:spacing w:after="0" w:line="149" w:lineRule="exact"/>
              <w:rPr>
                <w:sz w:val="20"/>
                <w:szCs w:val="20"/>
                <w:color w:val="auto"/>
              </w:rPr>
            </w:pPr>
            <w:r>
              <w:rPr>
                <w:rFonts w:ascii="Arial" w:cs="Arial" w:eastAsia="Arial" w:hAnsi="Arial"/>
                <w:sz w:val="14"/>
                <w:szCs w:val="14"/>
                <w:color w:val="auto"/>
                <w:w w:val="92"/>
              </w:rPr>
              <w:t>December 2014</w:t>
            </w:r>
          </w:p>
        </w:tc>
        <w:tc>
          <w:tcPr>
            <w:tcW w:w="18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3.07%</w:t>
            </w:r>
          </w:p>
        </w:tc>
      </w:tr>
      <w:tr>
        <w:trPr>
          <w:trHeight w:val="149"/>
        </w:trPr>
        <w:tc>
          <w:tcPr>
            <w:tcW w:w="500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4"/>
              </w:rPr>
              <w:t>March 2015</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3.04%</w:t>
            </w:r>
          </w:p>
        </w:tc>
      </w:tr>
      <w:tr>
        <w:trPr>
          <w:trHeight w:val="149"/>
        </w:trPr>
        <w:tc>
          <w:tcPr>
            <w:tcW w:w="5000" w:type="dxa"/>
            <w:vAlign w:val="bottom"/>
            <w:gridSpan w:val="2"/>
            <w:shd w:val="clear" w:color="auto" w:fill="EEEEEE"/>
          </w:tcPr>
          <w:p>
            <w:pPr>
              <w:jc w:val="center"/>
              <w:ind w:right="800"/>
              <w:spacing w:after="0" w:line="149" w:lineRule="exact"/>
              <w:rPr>
                <w:sz w:val="20"/>
                <w:szCs w:val="20"/>
                <w:color w:val="auto"/>
              </w:rPr>
            </w:pPr>
            <w:r>
              <w:rPr>
                <w:rFonts w:ascii="Arial" w:cs="Arial" w:eastAsia="Arial" w:hAnsi="Arial"/>
                <w:sz w:val="14"/>
                <w:szCs w:val="14"/>
                <w:color w:val="auto"/>
                <w:w w:val="91"/>
              </w:rPr>
              <w:t>June 2015</w:t>
            </w:r>
          </w:p>
        </w:tc>
        <w:tc>
          <w:tcPr>
            <w:tcW w:w="18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3.18%</w:t>
            </w:r>
          </w:p>
        </w:tc>
      </w:tr>
      <w:tr>
        <w:trPr>
          <w:trHeight w:val="149"/>
        </w:trPr>
        <w:tc>
          <w:tcPr>
            <w:tcW w:w="500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0"/>
              </w:rPr>
              <w:t>September 2015</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3.78%</w:t>
            </w:r>
          </w:p>
        </w:tc>
      </w:tr>
      <w:tr>
        <w:trPr>
          <w:trHeight w:val="149"/>
        </w:trPr>
        <w:tc>
          <w:tcPr>
            <w:tcW w:w="5000" w:type="dxa"/>
            <w:vAlign w:val="bottom"/>
            <w:gridSpan w:val="2"/>
            <w:shd w:val="clear" w:color="auto" w:fill="EEEEEE"/>
          </w:tcPr>
          <w:p>
            <w:pPr>
              <w:jc w:val="center"/>
              <w:ind w:right="800"/>
              <w:spacing w:after="0" w:line="149" w:lineRule="exact"/>
              <w:rPr>
                <w:sz w:val="20"/>
                <w:szCs w:val="20"/>
                <w:color w:val="auto"/>
              </w:rPr>
            </w:pPr>
            <w:r>
              <w:rPr>
                <w:rFonts w:ascii="Arial" w:cs="Arial" w:eastAsia="Arial" w:hAnsi="Arial"/>
                <w:sz w:val="14"/>
                <w:szCs w:val="14"/>
                <w:color w:val="auto"/>
                <w:w w:val="89"/>
              </w:rPr>
              <w:t>January 2016</w:t>
            </w:r>
          </w:p>
        </w:tc>
        <w:tc>
          <w:tcPr>
            <w:tcW w:w="18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4.34%</w:t>
            </w:r>
          </w:p>
        </w:tc>
      </w:tr>
      <w:tr>
        <w:trPr>
          <w:trHeight w:val="149"/>
        </w:trPr>
        <w:tc>
          <w:tcPr>
            <w:tcW w:w="50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rPr>
              <w:t>April 2016</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4.65%</w:t>
            </w:r>
          </w:p>
        </w:tc>
      </w:tr>
      <w:tr>
        <w:trPr>
          <w:trHeight w:val="149"/>
        </w:trPr>
        <w:tc>
          <w:tcPr>
            <w:tcW w:w="5000" w:type="dxa"/>
            <w:vAlign w:val="bottom"/>
            <w:gridSpan w:val="2"/>
            <w:shd w:val="clear" w:color="auto" w:fill="EEEEEE"/>
          </w:tcPr>
          <w:p>
            <w:pPr>
              <w:jc w:val="center"/>
              <w:ind w:right="800"/>
              <w:spacing w:after="0" w:line="149" w:lineRule="exact"/>
              <w:rPr>
                <w:sz w:val="20"/>
                <w:szCs w:val="20"/>
                <w:color w:val="auto"/>
              </w:rPr>
            </w:pPr>
            <w:r>
              <w:rPr>
                <w:rFonts w:ascii="Arial" w:cs="Arial" w:eastAsia="Arial" w:hAnsi="Arial"/>
                <w:sz w:val="14"/>
                <w:szCs w:val="14"/>
                <w:color w:val="auto"/>
                <w:w w:val="93"/>
              </w:rPr>
              <w:t>July 2016</w:t>
            </w:r>
          </w:p>
        </w:tc>
        <w:tc>
          <w:tcPr>
            <w:tcW w:w="18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4.48%</w:t>
            </w:r>
          </w:p>
        </w:tc>
      </w:tr>
      <w:tr>
        <w:trPr>
          <w:trHeight w:val="149"/>
        </w:trPr>
        <w:tc>
          <w:tcPr>
            <w:tcW w:w="50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4"/>
              </w:rPr>
              <w:t>October 2016</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3.62%</w:t>
            </w:r>
          </w:p>
        </w:tc>
      </w:tr>
      <w:tr>
        <w:trPr>
          <w:trHeight w:val="149"/>
        </w:trPr>
        <w:tc>
          <w:tcPr>
            <w:tcW w:w="5000" w:type="dxa"/>
            <w:vAlign w:val="bottom"/>
            <w:gridSpan w:val="2"/>
            <w:shd w:val="clear" w:color="auto" w:fill="EEEEEE"/>
          </w:tcPr>
          <w:p>
            <w:pPr>
              <w:jc w:val="center"/>
              <w:ind w:right="800"/>
              <w:spacing w:after="0" w:line="149" w:lineRule="exact"/>
              <w:rPr>
                <w:sz w:val="20"/>
                <w:szCs w:val="20"/>
                <w:color w:val="auto"/>
              </w:rPr>
            </w:pPr>
            <w:r>
              <w:rPr>
                <w:rFonts w:ascii="Arial" w:cs="Arial" w:eastAsia="Arial" w:hAnsi="Arial"/>
                <w:sz w:val="14"/>
                <w:szCs w:val="14"/>
                <w:color w:val="auto"/>
                <w:w w:val="89"/>
              </w:rPr>
              <w:t>January 2017</w:t>
            </w:r>
          </w:p>
        </w:tc>
        <w:tc>
          <w:tcPr>
            <w:tcW w:w="18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3.91%</w:t>
            </w:r>
          </w:p>
        </w:tc>
      </w:tr>
      <w:tr>
        <w:trPr>
          <w:trHeight w:val="149"/>
        </w:trPr>
        <w:tc>
          <w:tcPr>
            <w:tcW w:w="50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rPr>
              <w:t>April 2017</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3.45%</w:t>
            </w:r>
          </w:p>
        </w:tc>
      </w:tr>
      <w:tr>
        <w:trPr>
          <w:trHeight w:val="149"/>
        </w:trPr>
        <w:tc>
          <w:tcPr>
            <w:tcW w:w="5000" w:type="dxa"/>
            <w:vAlign w:val="bottom"/>
            <w:gridSpan w:val="2"/>
            <w:shd w:val="clear" w:color="auto" w:fill="EEEEEE"/>
          </w:tcPr>
          <w:p>
            <w:pPr>
              <w:jc w:val="center"/>
              <w:ind w:right="800"/>
              <w:spacing w:after="0" w:line="149" w:lineRule="exact"/>
              <w:rPr>
                <w:sz w:val="20"/>
                <w:szCs w:val="20"/>
                <w:color w:val="auto"/>
              </w:rPr>
            </w:pPr>
            <w:r>
              <w:rPr>
                <w:rFonts w:ascii="Arial" w:cs="Arial" w:eastAsia="Arial" w:hAnsi="Arial"/>
                <w:sz w:val="14"/>
                <w:szCs w:val="14"/>
                <w:color w:val="auto"/>
                <w:w w:val="93"/>
              </w:rPr>
              <w:t>July 2017</w:t>
            </w:r>
          </w:p>
        </w:tc>
        <w:tc>
          <w:tcPr>
            <w:tcW w:w="18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3.52%</w:t>
            </w:r>
          </w:p>
        </w:tc>
      </w:tr>
      <w:tr>
        <w:trPr>
          <w:trHeight w:val="149"/>
        </w:trPr>
        <w:tc>
          <w:tcPr>
            <w:tcW w:w="50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4"/>
              </w:rPr>
              <w:t>October 2017</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3.39%</w:t>
            </w:r>
          </w:p>
        </w:tc>
      </w:tr>
      <w:tr>
        <w:trPr>
          <w:trHeight w:val="149"/>
        </w:trPr>
        <w:tc>
          <w:tcPr>
            <w:tcW w:w="5000" w:type="dxa"/>
            <w:vAlign w:val="bottom"/>
            <w:gridSpan w:val="2"/>
            <w:shd w:val="clear" w:color="auto" w:fill="EEEEEE"/>
          </w:tcPr>
          <w:p>
            <w:pPr>
              <w:jc w:val="center"/>
              <w:ind w:right="800"/>
              <w:spacing w:after="0" w:line="149" w:lineRule="exact"/>
              <w:rPr>
                <w:sz w:val="20"/>
                <w:szCs w:val="20"/>
                <w:color w:val="auto"/>
              </w:rPr>
            </w:pPr>
            <w:r>
              <w:rPr>
                <w:rFonts w:ascii="Arial" w:cs="Arial" w:eastAsia="Arial" w:hAnsi="Arial"/>
                <w:sz w:val="14"/>
                <w:szCs w:val="14"/>
                <w:color w:val="auto"/>
                <w:w w:val="89"/>
              </w:rPr>
              <w:t>January 2018</w:t>
            </w:r>
          </w:p>
        </w:tc>
        <w:tc>
          <w:tcPr>
            <w:tcW w:w="18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3.46%</w:t>
            </w:r>
          </w:p>
        </w:tc>
      </w:tr>
      <w:tr>
        <w:trPr>
          <w:trHeight w:val="149"/>
        </w:trPr>
        <w:tc>
          <w:tcPr>
            <w:tcW w:w="50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rPr>
              <w:t>April 2018</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3.98%</w:t>
            </w:r>
          </w:p>
        </w:tc>
      </w:tr>
      <w:tr>
        <w:trPr>
          <w:trHeight w:val="149"/>
        </w:trPr>
        <w:tc>
          <w:tcPr>
            <w:tcW w:w="5000" w:type="dxa"/>
            <w:vAlign w:val="bottom"/>
            <w:gridSpan w:val="2"/>
            <w:shd w:val="clear" w:color="auto" w:fill="EEEEEE"/>
          </w:tcPr>
          <w:p>
            <w:pPr>
              <w:jc w:val="center"/>
              <w:ind w:right="800"/>
              <w:spacing w:after="0" w:line="149" w:lineRule="exact"/>
              <w:rPr>
                <w:sz w:val="20"/>
                <w:szCs w:val="20"/>
                <w:color w:val="auto"/>
              </w:rPr>
            </w:pPr>
            <w:r>
              <w:rPr>
                <w:rFonts w:ascii="Arial" w:cs="Arial" w:eastAsia="Arial" w:hAnsi="Arial"/>
                <w:sz w:val="14"/>
                <w:szCs w:val="14"/>
                <w:color w:val="auto"/>
                <w:w w:val="93"/>
              </w:rPr>
              <w:t>July 2018</w:t>
            </w:r>
          </w:p>
        </w:tc>
        <w:tc>
          <w:tcPr>
            <w:tcW w:w="18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4.18%</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9" w:name="page30"/>
    <w:bookmarkEnd w:id="29"/>
    <w:p>
      <w:pPr>
        <w:jc w:val="both"/>
        <w:ind w:firstLine="360"/>
        <w:spacing w:after="0" w:line="264" w:lineRule="auto"/>
        <w:rPr>
          <w:sz w:val="20"/>
          <w:szCs w:val="20"/>
          <w:color w:val="auto"/>
        </w:rPr>
      </w:pPr>
      <w:r>
        <w:rPr>
          <w:rFonts w:ascii="Arial" w:cs="Arial" w:eastAsia="Arial" w:hAnsi="Arial"/>
          <w:sz w:val="18"/>
          <w:szCs w:val="18"/>
          <w:color w:val="auto"/>
        </w:rPr>
        <w:t>Interest expense on subordinated renewable notes increased by $87,000, or 9.0%. The increase is due to an increase in the average yield on our subordinated renewable notes to 8.6% for the nine-month period ended September 30, 2018 compared to the prior year when the average yield on our subordinated renewable notes was 8.2%.</w:t>
      </w:r>
    </w:p>
    <w:p>
      <w:pPr>
        <w:spacing w:after="0" w:line="181"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Interest expense on warehouse debt decreased by $231,000, or 3.8%, for the nine months ended September 30, 2018 compared to the prior period. When possible, we hold contracts with our own cash rather than pledging them to one of our warehouse facilities to minimize interest expense.</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nine-month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w w:val="98"/>
              </w:rPr>
              <w:t>Nine Months Ended September 30,</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00" w:type="dxa"/>
            <w:vAlign w:val="bottom"/>
            <w:gridSpan w:val="6"/>
          </w:tcPr>
          <w:p>
            <w:pPr>
              <w:ind w:left="520"/>
              <w:spacing w:after="0" w:line="119" w:lineRule="exact"/>
              <w:rPr>
                <w:sz w:val="20"/>
                <w:szCs w:val="20"/>
                <w:color w:val="auto"/>
              </w:rPr>
            </w:pPr>
            <w:r>
              <w:rPr>
                <w:rFonts w:ascii="Arial" w:cs="Arial" w:eastAsia="Arial" w:hAnsi="Arial"/>
                <w:sz w:val="13"/>
                <w:szCs w:val="13"/>
                <w:b w:val="1"/>
                <w:bCs w:val="1"/>
                <w:color w:val="auto"/>
              </w:rPr>
              <w:t>(Dollars in thousands)</w:t>
            </w: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Annualized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Annualized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 (1)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Yield/Rate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Balance (1)</w:t>
            </w:r>
          </w:p>
        </w:tc>
        <w:tc>
          <w:tcPr>
            <w:tcW w:w="20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Yield/Rate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EEEEEE"/>
            </w:tcBorders>
            <w:shd w:val="clear" w:color="auto" w:fill="EEEEEE"/>
          </w:tcPr>
          <w:p>
            <w:pPr>
              <w:spacing w:after="0"/>
              <w:rPr>
                <w:sz w:val="11"/>
                <w:szCs w:val="11"/>
                <w:color w:val="auto"/>
              </w:rPr>
            </w:pPr>
          </w:p>
        </w:tc>
        <w:tc>
          <w:tcPr>
            <w:tcW w:w="120" w:type="dxa"/>
            <w:vAlign w:val="bottom"/>
            <w:tcBorders>
              <w:top w:val="single" w:sz="8" w:color="EEEEEE"/>
            </w:tcBorders>
            <w:shd w:val="clear" w:color="auto" w:fill="EEEEEE"/>
          </w:tcPr>
          <w:p>
            <w:pPr>
              <w:spacing w:after="0"/>
              <w:rPr>
                <w:sz w:val="11"/>
                <w:szCs w:val="11"/>
                <w:color w:val="auto"/>
              </w:rPr>
            </w:pPr>
          </w:p>
        </w:tc>
        <w:tc>
          <w:tcPr>
            <w:tcW w:w="2440" w:type="dxa"/>
            <w:vAlign w:val="bottom"/>
            <w:tcBorders>
              <w:top w:val="single" w:sz="8" w:color="EEEEEE"/>
            </w:tcBorders>
            <w:gridSpan w:val="3"/>
            <w:shd w:val="clear" w:color="auto" w:fill="EEEEEE"/>
          </w:tcPr>
          <w:p>
            <w:pPr>
              <w:jc w:val="center"/>
              <w:ind w:right="1020"/>
              <w:spacing w:after="0" w:line="129" w:lineRule="exact"/>
              <w:rPr>
                <w:sz w:val="20"/>
                <w:szCs w:val="20"/>
                <w:color w:val="auto"/>
              </w:rPr>
            </w:pPr>
            <w:r>
              <w:rPr>
                <w:rFonts w:ascii="Arial" w:cs="Arial" w:eastAsia="Arial" w:hAnsi="Arial"/>
                <w:sz w:val="14"/>
                <w:szCs w:val="14"/>
                <w:b w:val="1"/>
                <w:bCs w:val="1"/>
                <w:color w:val="auto"/>
                <w:w w:val="90"/>
              </w:rPr>
              <w:t>Interest Earning Assets</w:t>
            </w:r>
          </w:p>
        </w:tc>
        <w:tc>
          <w:tcPr>
            <w:tcW w:w="140" w:type="dxa"/>
            <w:vAlign w:val="bottom"/>
            <w:tcBorders>
              <w:top w:val="single" w:sz="8" w:color="auto"/>
            </w:tcBorders>
            <w:shd w:val="clear" w:color="auto" w:fill="EEEEEE"/>
          </w:tcPr>
          <w:p>
            <w:pPr>
              <w:spacing w:after="0"/>
              <w:rPr>
                <w:sz w:val="11"/>
                <w:szCs w:val="11"/>
                <w:color w:val="auto"/>
              </w:rPr>
            </w:pPr>
          </w:p>
        </w:tc>
        <w:tc>
          <w:tcPr>
            <w:tcW w:w="1020" w:type="dxa"/>
            <w:vAlign w:val="bottom"/>
            <w:tcBorders>
              <w:top w:val="single" w:sz="8" w:color="auto"/>
            </w:tcBorders>
            <w:shd w:val="clear" w:color="auto" w:fill="EEEEEE"/>
          </w:tcPr>
          <w:p>
            <w:pPr>
              <w:spacing w:after="0"/>
              <w:rPr>
                <w:sz w:val="11"/>
                <w:szCs w:val="11"/>
                <w:color w:val="auto"/>
              </w:rPr>
            </w:pPr>
          </w:p>
        </w:tc>
        <w:tc>
          <w:tcPr>
            <w:tcW w:w="120" w:type="dxa"/>
            <w:vAlign w:val="bottom"/>
            <w:tcBorders>
              <w:top w:val="single" w:sz="8" w:color="EEEEEE"/>
            </w:tcBorders>
            <w:shd w:val="clear" w:color="auto" w:fill="EEEEEE"/>
          </w:tcPr>
          <w:p>
            <w:pPr>
              <w:spacing w:after="0"/>
              <w:rPr>
                <w:sz w:val="11"/>
                <w:szCs w:val="11"/>
                <w:color w:val="auto"/>
              </w:rPr>
            </w:pPr>
          </w:p>
        </w:tc>
        <w:tc>
          <w:tcPr>
            <w:tcW w:w="120" w:type="dxa"/>
            <w:vAlign w:val="bottom"/>
            <w:tcBorders>
              <w:top w:val="single" w:sz="8" w:color="EEEEEE"/>
            </w:tcBorders>
            <w:shd w:val="clear" w:color="auto" w:fill="EEEEEE"/>
          </w:tcPr>
          <w:p>
            <w:pPr>
              <w:spacing w:after="0"/>
              <w:rPr>
                <w:sz w:val="11"/>
                <w:szCs w:val="11"/>
                <w:color w:val="auto"/>
              </w:rPr>
            </w:pPr>
          </w:p>
        </w:tc>
        <w:tc>
          <w:tcPr>
            <w:tcW w:w="200" w:type="dxa"/>
            <w:vAlign w:val="bottom"/>
            <w:tcBorders>
              <w:top w:val="single" w:sz="8" w:color="auto"/>
            </w:tcBorders>
            <w:shd w:val="clear" w:color="auto" w:fill="EEEEEE"/>
          </w:tcPr>
          <w:p>
            <w:pPr>
              <w:spacing w:after="0"/>
              <w:rPr>
                <w:sz w:val="11"/>
                <w:szCs w:val="11"/>
                <w:color w:val="auto"/>
              </w:rPr>
            </w:pPr>
          </w:p>
        </w:tc>
        <w:tc>
          <w:tcPr>
            <w:tcW w:w="960" w:type="dxa"/>
            <w:vAlign w:val="bottom"/>
            <w:tcBorders>
              <w:top w:val="single" w:sz="8" w:color="auto"/>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1140" w:type="dxa"/>
            <w:vAlign w:val="bottom"/>
            <w:tcBorders>
              <w:top w:val="single" w:sz="8" w:color="auto"/>
            </w:tcBorders>
            <w:shd w:val="clear" w:color="auto" w:fill="EEEEEE"/>
          </w:tcPr>
          <w:p>
            <w:pPr>
              <w:spacing w:after="0"/>
              <w:rPr>
                <w:sz w:val="11"/>
                <w:szCs w:val="11"/>
                <w:color w:val="auto"/>
              </w:rPr>
            </w:pPr>
          </w:p>
        </w:tc>
        <w:tc>
          <w:tcPr>
            <w:tcW w:w="100" w:type="dxa"/>
            <w:vAlign w:val="bottom"/>
            <w:tcBorders>
              <w:top w:val="single" w:sz="8" w:color="EEEEEE"/>
            </w:tcBorders>
            <w:shd w:val="clear" w:color="auto" w:fill="EEEEEE"/>
          </w:tcPr>
          <w:p>
            <w:pPr>
              <w:spacing w:after="0"/>
              <w:rPr>
                <w:sz w:val="11"/>
                <w:szCs w:val="11"/>
                <w:color w:val="auto"/>
              </w:rPr>
            </w:pPr>
          </w:p>
        </w:tc>
        <w:tc>
          <w:tcPr>
            <w:tcW w:w="120" w:type="dxa"/>
            <w:vAlign w:val="bottom"/>
            <w:tcBorders>
              <w:top w:val="single" w:sz="8" w:color="EEEEEE"/>
            </w:tcBorders>
            <w:shd w:val="clear" w:color="auto" w:fill="EEEEEE"/>
          </w:tcPr>
          <w:p>
            <w:pPr>
              <w:spacing w:after="0"/>
              <w:rPr>
                <w:sz w:val="11"/>
                <w:szCs w:val="11"/>
                <w:color w:val="auto"/>
              </w:rPr>
            </w:pPr>
          </w:p>
        </w:tc>
        <w:tc>
          <w:tcPr>
            <w:tcW w:w="140" w:type="dxa"/>
            <w:vAlign w:val="bottom"/>
            <w:tcBorders>
              <w:top w:val="single" w:sz="8" w:color="auto"/>
            </w:tcBorders>
            <w:shd w:val="clear" w:color="auto" w:fill="EEEEEE"/>
          </w:tcPr>
          <w:p>
            <w:pPr>
              <w:spacing w:after="0"/>
              <w:rPr>
                <w:sz w:val="11"/>
                <w:szCs w:val="11"/>
                <w:color w:val="auto"/>
              </w:rPr>
            </w:pPr>
          </w:p>
        </w:tc>
        <w:tc>
          <w:tcPr>
            <w:tcW w:w="1000" w:type="dxa"/>
            <w:vAlign w:val="bottom"/>
            <w:tcBorders>
              <w:top w:val="single" w:sz="8" w:color="auto"/>
            </w:tcBorders>
            <w:shd w:val="clear" w:color="auto" w:fill="EEEEEE"/>
          </w:tcPr>
          <w:p>
            <w:pPr>
              <w:spacing w:after="0"/>
              <w:rPr>
                <w:sz w:val="11"/>
                <w:szCs w:val="11"/>
                <w:color w:val="auto"/>
              </w:rPr>
            </w:pPr>
          </w:p>
        </w:tc>
        <w:tc>
          <w:tcPr>
            <w:tcW w:w="200" w:type="dxa"/>
            <w:vAlign w:val="bottom"/>
            <w:tcBorders>
              <w:top w:val="single" w:sz="8" w:color="EEEEEE"/>
            </w:tcBorders>
            <w:shd w:val="clear" w:color="auto" w:fill="EEEEEE"/>
          </w:tcPr>
          <w:p>
            <w:pPr>
              <w:spacing w:after="0"/>
              <w:rPr>
                <w:sz w:val="11"/>
                <w:szCs w:val="11"/>
                <w:color w:val="auto"/>
              </w:rPr>
            </w:pPr>
          </w:p>
        </w:tc>
        <w:tc>
          <w:tcPr>
            <w:tcW w:w="200" w:type="dxa"/>
            <w:vAlign w:val="bottom"/>
            <w:tcBorders>
              <w:top w:val="single" w:sz="8" w:color="auto"/>
            </w:tcBorders>
            <w:shd w:val="clear" w:color="auto" w:fill="EEEEEE"/>
          </w:tcPr>
          <w:p>
            <w:pPr>
              <w:spacing w:after="0"/>
              <w:rPr>
                <w:sz w:val="11"/>
                <w:szCs w:val="11"/>
                <w:color w:val="auto"/>
              </w:rPr>
            </w:pPr>
          </w:p>
        </w:tc>
        <w:tc>
          <w:tcPr>
            <w:tcW w:w="940" w:type="dxa"/>
            <w:vAlign w:val="bottom"/>
            <w:tcBorders>
              <w:top w:val="single" w:sz="8" w:color="auto"/>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1140" w:type="dxa"/>
            <w:vAlign w:val="bottom"/>
            <w:tcBorders>
              <w:top w:val="single" w:sz="8" w:color="auto"/>
            </w:tcBorders>
            <w:shd w:val="clear" w:color="auto" w:fill="EEEEEE"/>
          </w:tcPr>
          <w:p>
            <w:pPr>
              <w:spacing w:after="0"/>
              <w:rPr>
                <w:sz w:val="11"/>
                <w:szCs w:val="11"/>
                <w:color w:val="auto"/>
              </w:rPr>
            </w:pPr>
          </w:p>
        </w:tc>
        <w:tc>
          <w:tcPr>
            <w:tcW w:w="100" w:type="dxa"/>
            <w:vAlign w:val="bottom"/>
            <w:tcBorders>
              <w:top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9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6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4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5"/>
          </w:tcPr>
          <w:p>
            <w:pPr>
              <w:spacing w:after="0" w:line="142" w:lineRule="exact"/>
              <w:rPr>
                <w:sz w:val="20"/>
                <w:szCs w:val="20"/>
                <w:color w:val="auto"/>
              </w:rPr>
            </w:pPr>
            <w:r>
              <w:rPr>
                <w:rFonts w:ascii="Arial" w:cs="Arial" w:eastAsia="Arial" w:hAnsi="Arial"/>
                <w:sz w:val="14"/>
                <w:szCs w:val="14"/>
                <w:color w:val="auto"/>
              </w:rPr>
              <w:t>Finance receivables gross (2)</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1,990,289</w:t>
            </w:r>
          </w:p>
        </w:tc>
        <w:tc>
          <w:tcPr>
            <w:tcW w:w="320" w:type="dxa"/>
            <w:vAlign w:val="bottom"/>
            <w:gridSpan w:val="2"/>
          </w:tcPr>
          <w:p>
            <w:pPr>
              <w:jc w:val="right"/>
              <w:ind w:right="89"/>
              <w:spacing w:after="0" w:line="142"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265,713</w:t>
            </w:r>
          </w:p>
        </w:tc>
        <w:tc>
          <w:tcPr>
            <w:tcW w:w="12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17.8%</w:t>
            </w:r>
          </w:p>
        </w:tc>
        <w:tc>
          <w:tcPr>
            <w:tcW w:w="2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2,297,218</w:t>
            </w:r>
          </w:p>
        </w:tc>
        <w:tc>
          <w:tcPr>
            <w:tcW w:w="200" w:type="dxa"/>
            <w:vAlign w:val="bottom"/>
          </w:tcPr>
          <w:p>
            <w:pPr>
              <w:spacing w:after="0"/>
              <w:rPr>
                <w:sz w:val="12"/>
                <w:szCs w:val="12"/>
                <w:color w:val="auto"/>
              </w:rPr>
            </w:pPr>
          </w:p>
        </w:tc>
        <w:tc>
          <w:tcPr>
            <w:tcW w:w="20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319,074</w:t>
            </w:r>
          </w:p>
        </w:tc>
        <w:tc>
          <w:tcPr>
            <w:tcW w:w="12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5"/>
            <w:shd w:val="clear" w:color="auto" w:fill="EEEEEE"/>
          </w:tcPr>
          <w:p>
            <w:pPr>
              <w:spacing w:after="0"/>
              <w:rPr>
                <w:sz w:val="20"/>
                <w:szCs w:val="20"/>
                <w:color w:val="auto"/>
              </w:rPr>
            </w:pPr>
            <w:r>
              <w:rPr>
                <w:rFonts w:ascii="Arial" w:cs="Arial" w:eastAsia="Arial" w:hAnsi="Arial"/>
                <w:sz w:val="14"/>
                <w:szCs w:val="14"/>
                <w:color w:val="auto"/>
              </w:rPr>
              <w:t>Finance receivables at fair value</w:t>
            </w:r>
          </w:p>
        </w:tc>
        <w:tc>
          <w:tcPr>
            <w:tcW w:w="140" w:type="dxa"/>
            <w:vAlign w:val="bottom"/>
            <w:shd w:val="clear" w:color="auto" w:fill="EEEEEE"/>
          </w:tcPr>
          <w:p>
            <w:pPr>
              <w:spacing w:after="0"/>
              <w:rPr>
                <w:sz w:val="14"/>
                <w:szCs w:val="14"/>
                <w:color w:val="auto"/>
              </w:rPr>
            </w:pPr>
          </w:p>
        </w:tc>
        <w:tc>
          <w:tcPr>
            <w:tcW w:w="114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341,967</w:t>
            </w:r>
          </w:p>
        </w:tc>
        <w:tc>
          <w:tcPr>
            <w:tcW w:w="12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25,822</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4"/>
                <w:szCs w:val="14"/>
                <w:color w:val="auto"/>
              </w:rPr>
            </w:pP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2,332,256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291,535</w:t>
            </w:r>
          </w:p>
        </w:tc>
        <w:tc>
          <w:tcPr>
            <w:tcW w:w="220" w:type="dxa"/>
            <w:vAlign w:val="bottom"/>
          </w:tcPr>
          <w:p>
            <w:pPr>
              <w:spacing w:after="0"/>
              <w:rPr>
                <w:sz w:val="12"/>
                <w:szCs w:val="12"/>
                <w:color w:val="auto"/>
              </w:rPr>
            </w:pPr>
          </w:p>
        </w:tc>
        <w:tc>
          <w:tcPr>
            <w:tcW w:w="12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16.7%</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2,297,218</w:t>
            </w: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319,074</w:t>
            </w:r>
          </w:p>
        </w:tc>
        <w:tc>
          <w:tcPr>
            <w:tcW w:w="220" w:type="dxa"/>
            <w:vAlign w:val="bottom"/>
          </w:tcPr>
          <w:p>
            <w:pPr>
              <w:spacing w:after="0"/>
              <w:rPr>
                <w:sz w:val="12"/>
                <w:szCs w:val="12"/>
                <w:color w:val="auto"/>
              </w:rPr>
            </w:pPr>
          </w:p>
        </w:tc>
        <w:tc>
          <w:tcPr>
            <w:tcW w:w="12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60" w:type="dxa"/>
            <w:vAlign w:val="bottom"/>
            <w:tcBorders>
              <w:bottom w:val="single" w:sz="8" w:color="auto"/>
            </w:tcBorders>
            <w:gridSpan w:val="3"/>
          </w:tcPr>
          <w:p>
            <w:pPr>
              <w:jc w:val="center"/>
              <w:spacing w:after="0" w:line="135" w:lineRule="exact"/>
              <w:rPr>
                <w:sz w:val="20"/>
                <w:szCs w:val="20"/>
                <w:color w:val="auto"/>
              </w:rPr>
            </w:pPr>
            <w:r>
              <w:rPr>
                <w:rFonts w:ascii="Arial" w:cs="Arial" w:eastAsia="Arial" w:hAnsi="Arial"/>
                <w:sz w:val="14"/>
                <w:szCs w:val="14"/>
                <w:b w:val="1"/>
                <w:bCs w:val="1"/>
                <w:color w:val="auto"/>
                <w:w w:val="94"/>
              </w:rPr>
              <w:t>Interest Bearing Liabilities</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FFFFFF"/>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5"/>
            <w:shd w:val="clear" w:color="auto" w:fill="EEEEEE"/>
          </w:tcPr>
          <w:p>
            <w:pPr>
              <w:spacing w:after="0" w:line="142" w:lineRule="exact"/>
              <w:rPr>
                <w:sz w:val="20"/>
                <w:szCs w:val="20"/>
                <w:color w:val="auto"/>
              </w:rPr>
            </w:pPr>
            <w:r>
              <w:rPr>
                <w:rFonts w:ascii="Arial" w:cs="Arial" w:eastAsia="Arial" w:hAnsi="Arial"/>
                <w:sz w:val="14"/>
                <w:szCs w:val="14"/>
                <w:color w:val="auto"/>
              </w:rPr>
              <w:t>Warehouse lines of credit (3)</w:t>
            </w:r>
          </w:p>
        </w:tc>
        <w:tc>
          <w:tcPr>
            <w:tcW w:w="140" w:type="dxa"/>
            <w:vAlign w:val="bottom"/>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EEEEEE"/>
          </w:tcPr>
          <w:p>
            <w:pPr>
              <w:jc w:val="right"/>
              <w:ind w:right="120"/>
              <w:spacing w:after="0" w:line="142" w:lineRule="exact"/>
              <w:rPr>
                <w:sz w:val="20"/>
                <w:szCs w:val="20"/>
                <w:color w:val="auto"/>
              </w:rPr>
            </w:pPr>
            <w:r>
              <w:rPr>
                <w:rFonts w:ascii="Arial" w:cs="Arial" w:eastAsia="Arial" w:hAnsi="Arial"/>
                <w:sz w:val="14"/>
                <w:szCs w:val="14"/>
                <w:color w:val="auto"/>
              </w:rPr>
              <w:t>64,555</w:t>
            </w: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5,850</w:t>
            </w:r>
          </w:p>
        </w:tc>
        <w:tc>
          <w:tcPr>
            <w:tcW w:w="1240" w:type="dxa"/>
            <w:vAlign w:val="bottom"/>
            <w:gridSpan w:val="2"/>
            <w:shd w:val="clear" w:color="auto" w:fill="EEEEEE"/>
          </w:tcPr>
          <w:p>
            <w:pPr>
              <w:jc w:val="right"/>
              <w:ind w:right="100"/>
              <w:spacing w:after="0" w:line="142" w:lineRule="exact"/>
              <w:rPr>
                <w:sz w:val="20"/>
                <w:szCs w:val="20"/>
                <w:color w:val="auto"/>
              </w:rPr>
            </w:pPr>
            <w:r>
              <w:rPr>
                <w:rFonts w:ascii="Arial" w:cs="Arial" w:eastAsia="Arial" w:hAnsi="Arial"/>
                <w:sz w:val="14"/>
                <w:szCs w:val="14"/>
                <w:color w:val="auto"/>
              </w:rPr>
              <w:t>12.1%</w:t>
            </w:r>
          </w:p>
        </w:tc>
        <w:tc>
          <w:tcPr>
            <w:tcW w:w="260" w:type="dxa"/>
            <w:vAlign w:val="bottom"/>
            <w:gridSpan w:val="2"/>
            <w:shd w:val="clear" w:color="auto" w:fill="EEEEEE"/>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EEEEEE"/>
          </w:tcPr>
          <w:p>
            <w:pPr>
              <w:jc w:val="right"/>
              <w:ind w:right="200"/>
              <w:spacing w:after="0" w:line="142" w:lineRule="exact"/>
              <w:rPr>
                <w:sz w:val="20"/>
                <w:szCs w:val="20"/>
                <w:color w:val="auto"/>
              </w:rPr>
            </w:pPr>
            <w:r>
              <w:rPr>
                <w:rFonts w:ascii="Arial" w:cs="Arial" w:eastAsia="Arial" w:hAnsi="Arial"/>
                <w:sz w:val="14"/>
                <w:szCs w:val="14"/>
                <w:color w:val="auto"/>
              </w:rPr>
              <w:t>63,827</w:t>
            </w:r>
          </w:p>
        </w:tc>
        <w:tc>
          <w:tcPr>
            <w:tcW w:w="200" w:type="dxa"/>
            <w:vAlign w:val="bottom"/>
            <w:shd w:val="clear" w:color="auto" w:fill="EEEEEE"/>
          </w:tcPr>
          <w:p>
            <w:pPr>
              <w:spacing w:after="0"/>
              <w:rPr>
                <w:sz w:val="12"/>
                <w:szCs w:val="12"/>
                <w:color w:val="auto"/>
              </w:rPr>
            </w:pPr>
          </w:p>
        </w:tc>
        <w:tc>
          <w:tcPr>
            <w:tcW w:w="116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6,081</w:t>
            </w:r>
          </w:p>
        </w:tc>
        <w:tc>
          <w:tcPr>
            <w:tcW w:w="1240" w:type="dxa"/>
            <w:vAlign w:val="bottom"/>
            <w:gridSpan w:val="2"/>
            <w:shd w:val="clear" w:color="auto" w:fill="EEEEEE"/>
          </w:tcPr>
          <w:p>
            <w:pPr>
              <w:jc w:val="right"/>
              <w:ind w:right="100"/>
              <w:spacing w:after="0" w:line="142"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5"/>
          </w:tcPr>
          <w:p>
            <w:pPr>
              <w:spacing w:after="0" w:line="149" w:lineRule="exact"/>
              <w:rPr>
                <w:sz w:val="20"/>
                <w:szCs w:val="20"/>
                <w:color w:val="auto"/>
              </w:rPr>
            </w:pPr>
            <w:r>
              <w:rPr>
                <w:rFonts w:ascii="Arial" w:cs="Arial" w:eastAsia="Arial" w:hAnsi="Arial"/>
                <w:sz w:val="14"/>
                <w:szCs w:val="14"/>
                <w:color w:val="auto"/>
              </w:rPr>
              <w:t>Residual interest financing</w:t>
            </w:r>
          </w:p>
        </w:tc>
        <w:tc>
          <w:tcPr>
            <w:tcW w:w="14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20,220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1,387</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5"/>
            <w:shd w:val="clear" w:color="auto" w:fill="EEEEEE"/>
          </w:tcPr>
          <w:p>
            <w:pPr>
              <w:spacing w:after="0" w:line="149" w:lineRule="exact"/>
              <w:rPr>
                <w:sz w:val="20"/>
                <w:szCs w:val="20"/>
                <w:color w:val="auto"/>
              </w:rPr>
            </w:pPr>
            <w:r>
              <w:rPr>
                <w:rFonts w:ascii="Arial" w:cs="Arial" w:eastAsia="Arial" w:hAnsi="Arial"/>
                <w:sz w:val="14"/>
                <w:szCs w:val="14"/>
                <w:color w:val="auto"/>
              </w:rPr>
              <w:t>Securitization trust debt</w:t>
            </w:r>
          </w:p>
        </w:tc>
        <w:tc>
          <w:tcPr>
            <w:tcW w:w="1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2,137,549</w:t>
            </w: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66,762</w:t>
            </w: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2,173,365</w:t>
            </w: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1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61,589</w:t>
            </w: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5"/>
          </w:tcPr>
          <w:p>
            <w:pPr>
              <w:spacing w:after="0"/>
              <w:rPr>
                <w:sz w:val="20"/>
                <w:szCs w:val="20"/>
                <w:color w:val="auto"/>
              </w:rPr>
            </w:pPr>
            <w:r>
              <w:rPr>
                <w:rFonts w:ascii="Arial" w:cs="Arial" w:eastAsia="Arial" w:hAnsi="Arial"/>
                <w:sz w:val="14"/>
                <w:szCs w:val="14"/>
                <w:color w:val="auto"/>
              </w:rPr>
              <w:t>Subordinated renewable notes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16,357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1,058</w:t>
            </w: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15,868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971</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4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90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24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24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4"/>
                <w:szCs w:val="14"/>
                <w:color w:val="auto"/>
              </w:rPr>
              <w:t>4.1%</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4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900" w:type="dxa"/>
            <w:vAlign w:val="bottom"/>
            <w:shd w:val="clear" w:color="auto" w:fill="EEEEEE"/>
          </w:tcPr>
          <w:p>
            <w:pPr>
              <w:spacing w:after="0"/>
              <w:rPr>
                <w:sz w:val="14"/>
                <w:szCs w:val="14"/>
                <w:color w:val="auto"/>
              </w:rPr>
            </w:pPr>
          </w:p>
        </w:tc>
        <w:tc>
          <w:tcPr>
            <w:tcW w:w="140" w:type="dxa"/>
            <w:vAlign w:val="bottom"/>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4"/>
                <w:szCs w:val="14"/>
                <w:color w:val="auto"/>
              </w:rPr>
              <w:t>2,238,681</w:t>
            </w:r>
          </w:p>
        </w:tc>
        <w:tc>
          <w:tcPr>
            <w:tcW w:w="1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4"/>
                <w:szCs w:val="14"/>
                <w:color w:val="auto"/>
              </w:rPr>
              <w:t>75,057</w:t>
            </w:r>
          </w:p>
        </w:tc>
        <w:tc>
          <w:tcPr>
            <w:tcW w:w="220" w:type="dxa"/>
            <w:vAlign w:val="bottom"/>
            <w:vMerge w:val="continue"/>
            <w:shd w:val="clear" w:color="auto" w:fill="EEEEEE"/>
          </w:tcPr>
          <w:p>
            <w:pPr>
              <w:spacing w:after="0"/>
              <w:rPr>
                <w:sz w:val="14"/>
                <w:szCs w:val="14"/>
                <w:color w:val="auto"/>
              </w:rPr>
            </w:pPr>
          </w:p>
        </w:tc>
        <w:tc>
          <w:tcPr>
            <w:tcW w:w="1240" w:type="dxa"/>
            <w:vAlign w:val="bottom"/>
            <w:gridSpan w:val="2"/>
            <w:vMerge w:val="continue"/>
            <w:shd w:val="clear" w:color="auto" w:fill="EEEEEE"/>
          </w:tcPr>
          <w:p>
            <w:pPr>
              <w:spacing w:after="0"/>
              <w:rPr>
                <w:sz w:val="14"/>
                <w:szCs w:val="14"/>
                <w:color w:val="auto"/>
              </w:rPr>
            </w:pPr>
          </w:p>
        </w:tc>
        <w:tc>
          <w:tcPr>
            <w:tcW w:w="260" w:type="dxa"/>
            <w:vAlign w:val="bottom"/>
            <w:gridSpan w:val="2"/>
            <w:shd w:val="clear" w:color="auto" w:fill="EEEEEE"/>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4"/>
                <w:szCs w:val="14"/>
                <w:color w:val="auto"/>
              </w:rPr>
              <w:t>2,253,060</w:t>
            </w:r>
          </w:p>
        </w:tc>
        <w:tc>
          <w:tcPr>
            <w:tcW w:w="20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4"/>
                <w:szCs w:val="14"/>
                <w:color w:val="auto"/>
              </w:rPr>
              <w:t>68,641</w:t>
            </w:r>
          </w:p>
        </w:tc>
        <w:tc>
          <w:tcPr>
            <w:tcW w:w="220" w:type="dxa"/>
            <w:vAlign w:val="bottom"/>
            <w:vMerge w:val="continue"/>
            <w:shd w:val="clear" w:color="auto" w:fill="EEEEEE"/>
          </w:tcPr>
          <w:p>
            <w:pPr>
              <w:spacing w:after="0"/>
              <w:rPr>
                <w:sz w:val="14"/>
                <w:szCs w:val="14"/>
                <w:color w:val="auto"/>
              </w:rPr>
            </w:pPr>
          </w:p>
        </w:tc>
        <w:tc>
          <w:tcPr>
            <w:tcW w:w="124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4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bottom w:val="single" w:sz="8" w:color="EEEEEE"/>
            </w:tcBorders>
            <w:gridSpan w:val="2"/>
            <w:vMerge w:val="restart"/>
          </w:tcPr>
          <w:p>
            <w:pPr>
              <w:jc w:val="right"/>
              <w:ind w:right="100"/>
              <w:spacing w:after="0"/>
              <w:rPr>
                <w:sz w:val="20"/>
                <w:szCs w:val="20"/>
                <w:color w:val="auto"/>
              </w:rPr>
            </w:pPr>
            <w:r>
              <w:rPr>
                <w:rFonts w:ascii="Arial" w:cs="Arial" w:eastAsia="Arial" w:hAnsi="Arial"/>
                <w:sz w:val="14"/>
                <w:szCs w:val="14"/>
                <w:color w:val="FFFFFF"/>
              </w:rPr>
              <w:t>$</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bottom w:val="single" w:sz="8" w:color="EEEEEE"/>
            </w:tcBorders>
          </w:tcPr>
          <w:p>
            <w:pPr>
              <w:spacing w:after="0"/>
              <w:rPr>
                <w:sz w:val="11"/>
                <w:szCs w:val="11"/>
                <w:color w:val="auto"/>
              </w:rPr>
            </w:pPr>
          </w:p>
        </w:tc>
        <w:tc>
          <w:tcPr>
            <w:tcW w:w="120" w:type="dxa"/>
            <w:vAlign w:val="bottom"/>
            <w:tcBorders>
              <w:bottom w:val="single" w:sz="8" w:color="EEEEEE"/>
            </w:tcBorders>
          </w:tcPr>
          <w:p>
            <w:pPr>
              <w:spacing w:after="0"/>
              <w:rPr>
                <w:sz w:val="11"/>
                <w:szCs w:val="11"/>
                <w:color w:val="auto"/>
              </w:rPr>
            </w:pPr>
          </w:p>
        </w:tc>
        <w:tc>
          <w:tcPr>
            <w:tcW w:w="1420" w:type="dxa"/>
            <w:vAlign w:val="bottom"/>
            <w:tcBorders>
              <w:bottom w:val="single" w:sz="8" w:color="EEEEEE"/>
            </w:tcBorders>
          </w:tcPr>
          <w:p>
            <w:pPr>
              <w:spacing w:after="0"/>
              <w:rPr>
                <w:sz w:val="11"/>
                <w:szCs w:val="11"/>
                <w:color w:val="auto"/>
              </w:rPr>
            </w:pPr>
          </w:p>
        </w:tc>
        <w:tc>
          <w:tcPr>
            <w:tcW w:w="120" w:type="dxa"/>
            <w:vAlign w:val="bottom"/>
            <w:tcBorders>
              <w:bottom w:val="single" w:sz="8" w:color="EEEEEE"/>
            </w:tcBorders>
          </w:tcPr>
          <w:p>
            <w:pPr>
              <w:spacing w:after="0"/>
              <w:rPr>
                <w:sz w:val="11"/>
                <w:szCs w:val="11"/>
                <w:color w:val="auto"/>
              </w:rPr>
            </w:pPr>
          </w:p>
        </w:tc>
        <w:tc>
          <w:tcPr>
            <w:tcW w:w="900" w:type="dxa"/>
            <w:vAlign w:val="bottom"/>
            <w:tcBorders>
              <w:bottom w:val="single" w:sz="8" w:color="EEEEEE"/>
            </w:tcBorders>
          </w:tcPr>
          <w:p>
            <w:pPr>
              <w:spacing w:after="0"/>
              <w:rPr>
                <w:sz w:val="11"/>
                <w:szCs w:val="11"/>
                <w:color w:val="auto"/>
              </w:rPr>
            </w:pPr>
          </w:p>
        </w:tc>
        <w:tc>
          <w:tcPr>
            <w:tcW w:w="140" w:type="dxa"/>
            <w:vAlign w:val="bottom"/>
            <w:tcBorders>
              <w:bottom w:val="single" w:sz="8" w:color="EEEEEE"/>
            </w:tcBorders>
          </w:tcPr>
          <w:p>
            <w:pPr>
              <w:spacing w:after="0"/>
              <w:rPr>
                <w:sz w:val="11"/>
                <w:szCs w:val="11"/>
                <w:color w:val="auto"/>
              </w:rPr>
            </w:pPr>
          </w:p>
        </w:tc>
        <w:tc>
          <w:tcPr>
            <w:tcW w:w="1020" w:type="dxa"/>
            <w:vAlign w:val="bottom"/>
            <w:tcBorders>
              <w:bottom w:val="single" w:sz="8" w:color="EEEEEE"/>
            </w:tcBorders>
          </w:tcPr>
          <w:p>
            <w:pPr>
              <w:spacing w:after="0"/>
              <w:rPr>
                <w:sz w:val="11"/>
                <w:szCs w:val="11"/>
                <w:color w:val="auto"/>
              </w:rPr>
            </w:pPr>
          </w:p>
        </w:tc>
        <w:tc>
          <w:tcPr>
            <w:tcW w:w="120" w:type="dxa"/>
            <w:vAlign w:val="bottom"/>
            <w:tcBorders>
              <w:bottom w:val="single" w:sz="8" w:color="EEEEEE"/>
            </w:tcBorders>
          </w:tcPr>
          <w:p>
            <w:pPr>
              <w:spacing w:after="0"/>
              <w:rPr>
                <w:sz w:val="11"/>
                <w:szCs w:val="11"/>
                <w:color w:val="auto"/>
              </w:rPr>
            </w:pPr>
          </w:p>
        </w:tc>
        <w:tc>
          <w:tcPr>
            <w:tcW w:w="120" w:type="dxa"/>
            <w:vAlign w:val="bottom"/>
            <w:tcBorders>
              <w:bottom w:val="single" w:sz="8" w:color="EEEEEE"/>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Borders>
              <w:bottom w:val="single" w:sz="8" w:color="EEEEEE"/>
            </w:tcBorders>
          </w:tcPr>
          <w:p>
            <w:pPr>
              <w:spacing w:after="0"/>
              <w:rPr>
                <w:sz w:val="11"/>
                <w:szCs w:val="11"/>
                <w:color w:val="auto"/>
              </w:rPr>
            </w:pPr>
          </w:p>
        </w:tc>
        <w:tc>
          <w:tcPr>
            <w:tcW w:w="1140" w:type="dxa"/>
            <w:vAlign w:val="bottom"/>
            <w:tcBorders>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120" w:type="dxa"/>
            <w:vAlign w:val="bottom"/>
            <w:tcBorders>
              <w:bottom w:val="single" w:sz="8" w:color="EEEEEE"/>
            </w:tcBorders>
          </w:tcPr>
          <w:p>
            <w:pPr>
              <w:spacing w:after="0"/>
              <w:rPr>
                <w:sz w:val="11"/>
                <w:szCs w:val="11"/>
                <w:color w:val="auto"/>
              </w:rPr>
            </w:pPr>
          </w:p>
        </w:tc>
        <w:tc>
          <w:tcPr>
            <w:tcW w:w="140" w:type="dxa"/>
            <w:vAlign w:val="bottom"/>
            <w:tcBorders>
              <w:bottom w:val="single" w:sz="8" w:color="EEEEEE"/>
            </w:tcBorders>
          </w:tcPr>
          <w:p>
            <w:pPr>
              <w:spacing w:after="0"/>
              <w:rPr>
                <w:sz w:val="11"/>
                <w:szCs w:val="11"/>
                <w:color w:val="auto"/>
              </w:rPr>
            </w:pPr>
          </w:p>
        </w:tc>
        <w:tc>
          <w:tcPr>
            <w:tcW w:w="1000" w:type="dxa"/>
            <w:vAlign w:val="bottom"/>
            <w:tcBorders>
              <w:bottom w:val="single" w:sz="8" w:color="EEEEEE"/>
            </w:tcBorders>
          </w:tcPr>
          <w:p>
            <w:pPr>
              <w:spacing w:after="0"/>
              <w:rPr>
                <w:sz w:val="11"/>
                <w:szCs w:val="11"/>
                <w:color w:val="auto"/>
              </w:rPr>
            </w:pPr>
          </w:p>
        </w:tc>
        <w:tc>
          <w:tcPr>
            <w:tcW w:w="200" w:type="dxa"/>
            <w:vAlign w:val="bottom"/>
            <w:tcBorders>
              <w:bottom w:val="single" w:sz="8" w:color="EEEEEE"/>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20" w:type="dxa"/>
            <w:vAlign w:val="bottom"/>
            <w:tcBorders>
              <w:bottom w:val="single" w:sz="8" w:color="EEEEEE"/>
            </w:tcBorders>
          </w:tcPr>
          <w:p>
            <w:pPr>
              <w:spacing w:after="0"/>
              <w:rPr>
                <w:sz w:val="11"/>
                <w:szCs w:val="11"/>
                <w:color w:val="auto"/>
              </w:rPr>
            </w:pPr>
          </w:p>
        </w:tc>
        <w:tc>
          <w:tcPr>
            <w:tcW w:w="1240" w:type="dxa"/>
            <w:vAlign w:val="bottom"/>
            <w:tcBorders>
              <w:bottom w:val="single" w:sz="8" w:color="EEEEEE"/>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bottom w:val="single" w:sz="8" w:color="EEEEEE"/>
            </w:tcBorders>
            <w:gridSpan w:val="5"/>
            <w:shd w:val="clear" w:color="auto" w:fill="EEEEEE"/>
          </w:tcPr>
          <w:p>
            <w:pPr>
              <w:spacing w:after="0" w:line="155" w:lineRule="exact"/>
              <w:rPr>
                <w:sz w:val="20"/>
                <w:szCs w:val="20"/>
                <w:color w:val="auto"/>
              </w:rPr>
            </w:pPr>
            <w:r>
              <w:rPr>
                <w:rFonts w:ascii="Arial" w:cs="Arial" w:eastAsia="Arial" w:hAnsi="Arial"/>
                <w:sz w:val="14"/>
                <w:szCs w:val="14"/>
                <w:color w:val="auto"/>
              </w:rPr>
              <w:t>Net interest income/spread</w:t>
            </w:r>
          </w:p>
        </w:tc>
        <w:tc>
          <w:tcPr>
            <w:tcW w:w="140" w:type="dxa"/>
            <w:vAlign w:val="bottom"/>
            <w:tcBorders>
              <w:bottom w:val="single" w:sz="8" w:color="EEEEEE"/>
            </w:tcBorders>
            <w:shd w:val="clear" w:color="auto" w:fill="EEEEEE"/>
          </w:tcPr>
          <w:p>
            <w:pPr>
              <w:spacing w:after="0"/>
              <w:rPr>
                <w:sz w:val="13"/>
                <w:szCs w:val="13"/>
                <w:color w:val="auto"/>
              </w:rPr>
            </w:pPr>
          </w:p>
        </w:tc>
        <w:tc>
          <w:tcPr>
            <w:tcW w:w="1140" w:type="dxa"/>
            <w:vAlign w:val="bottom"/>
            <w:tcBorders>
              <w:bottom w:val="single" w:sz="8" w:color="EEEEEE"/>
            </w:tcBorders>
            <w:gridSpan w:val="2"/>
            <w:shd w:val="clear" w:color="auto" w:fill="EEEEEE"/>
          </w:tcPr>
          <w:p>
            <w:pPr>
              <w:jc w:val="right"/>
              <w:ind w:right="120"/>
              <w:spacing w:after="0" w:line="155" w:lineRule="exact"/>
              <w:rPr>
                <w:sz w:val="20"/>
                <w:szCs w:val="20"/>
                <w:color w:val="auto"/>
              </w:rPr>
            </w:pPr>
            <w:r>
              <w:rPr>
                <w:rFonts w:ascii="Arial" w:cs="Arial" w:eastAsia="Arial" w:hAnsi="Arial"/>
                <w:sz w:val="14"/>
                <w:szCs w:val="14"/>
                <w:color w:val="FFFFFF"/>
              </w:rPr>
              <w:t>$</w:t>
            </w:r>
          </w:p>
        </w:tc>
        <w:tc>
          <w:tcPr>
            <w:tcW w:w="120" w:type="dxa"/>
            <w:vAlign w:val="bottom"/>
            <w:tcBorders>
              <w:bottom w:val="single" w:sz="8" w:color="EEEEEE"/>
            </w:tcBorders>
            <w:shd w:val="clear" w:color="auto" w:fill="EEEEEE"/>
          </w:tcPr>
          <w:p>
            <w:pPr>
              <w:spacing w:after="0"/>
              <w:rPr>
                <w:sz w:val="13"/>
                <w:szCs w:val="13"/>
                <w:color w:val="auto"/>
              </w:rPr>
            </w:pPr>
          </w:p>
        </w:tc>
        <w:tc>
          <w:tcPr>
            <w:tcW w:w="200" w:type="dxa"/>
            <w:vAlign w:val="bottom"/>
            <w:tcBorders>
              <w:bottom w:val="single" w:sz="8" w:color="auto"/>
            </w:tcBorders>
            <w:shd w:val="clear" w:color="auto" w:fill="EEEEEE"/>
          </w:tcPr>
          <w:p>
            <w:pPr>
              <w:jc w:val="right"/>
              <w:ind w:right="8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216,478</w:t>
            </w:r>
          </w:p>
        </w:tc>
        <w:tc>
          <w:tcPr>
            <w:tcW w:w="220" w:type="dxa"/>
            <w:vAlign w:val="bottom"/>
            <w:tcBorders>
              <w:bottom w:val="single" w:sz="8" w:color="EEEEEE"/>
            </w:tcBorders>
            <w:shd w:val="clear" w:color="auto" w:fill="EEEEEE"/>
          </w:tcPr>
          <w:p>
            <w:pPr>
              <w:spacing w:after="0"/>
              <w:rPr>
                <w:sz w:val="13"/>
                <w:szCs w:val="13"/>
                <w:color w:val="auto"/>
              </w:rPr>
            </w:pPr>
          </w:p>
        </w:tc>
        <w:tc>
          <w:tcPr>
            <w:tcW w:w="1140" w:type="dxa"/>
            <w:vAlign w:val="bottom"/>
            <w:tcBorders>
              <w:bottom w:val="single" w:sz="8" w:color="EEEEEE"/>
            </w:tcBorders>
            <w:shd w:val="clear" w:color="auto" w:fill="EEEEEE"/>
          </w:tcPr>
          <w:p>
            <w:pPr>
              <w:spacing w:after="0"/>
              <w:rPr>
                <w:sz w:val="13"/>
                <w:szCs w:val="13"/>
                <w:color w:val="auto"/>
              </w:rPr>
            </w:pPr>
          </w:p>
        </w:tc>
        <w:tc>
          <w:tcPr>
            <w:tcW w:w="100" w:type="dxa"/>
            <w:vAlign w:val="bottom"/>
            <w:tcBorders>
              <w:bottom w:val="single" w:sz="8" w:color="EEEEEE"/>
            </w:tcBorders>
            <w:shd w:val="clear" w:color="auto" w:fill="EEEEEE"/>
          </w:tcPr>
          <w:p>
            <w:pPr>
              <w:spacing w:after="0"/>
              <w:rPr>
                <w:sz w:val="13"/>
                <w:szCs w:val="13"/>
                <w:color w:val="auto"/>
              </w:rPr>
            </w:pPr>
          </w:p>
        </w:tc>
        <w:tc>
          <w:tcPr>
            <w:tcW w:w="120" w:type="dxa"/>
            <w:vAlign w:val="bottom"/>
            <w:tcBorders>
              <w:bottom w:val="single" w:sz="8" w:color="EEEEEE"/>
            </w:tcBorders>
            <w:shd w:val="clear" w:color="auto" w:fill="EEEEEE"/>
          </w:tcPr>
          <w:p>
            <w:pPr>
              <w:spacing w:after="0"/>
              <w:rPr>
                <w:sz w:val="13"/>
                <w:szCs w:val="13"/>
                <w:color w:val="auto"/>
              </w:rPr>
            </w:pPr>
          </w:p>
        </w:tc>
        <w:tc>
          <w:tcPr>
            <w:tcW w:w="140" w:type="dxa"/>
            <w:vAlign w:val="bottom"/>
            <w:tcBorders>
              <w:bottom w:val="single" w:sz="8" w:color="EEEEEE"/>
            </w:tcBorders>
            <w:shd w:val="clear" w:color="auto" w:fill="EEEEEE"/>
          </w:tcPr>
          <w:p>
            <w:pPr>
              <w:spacing w:after="0"/>
              <w:rPr>
                <w:sz w:val="13"/>
                <w:szCs w:val="13"/>
                <w:color w:val="auto"/>
              </w:rPr>
            </w:pPr>
          </w:p>
        </w:tc>
        <w:tc>
          <w:tcPr>
            <w:tcW w:w="1000" w:type="dxa"/>
            <w:vAlign w:val="bottom"/>
            <w:tcBorders>
              <w:bottom w:val="single" w:sz="8" w:color="EEEEEE"/>
            </w:tcBorders>
            <w:shd w:val="clear" w:color="auto" w:fill="EEEEEE"/>
          </w:tcPr>
          <w:p>
            <w:pPr>
              <w:spacing w:after="0"/>
              <w:rPr>
                <w:sz w:val="13"/>
                <w:szCs w:val="13"/>
                <w:color w:val="auto"/>
              </w:rPr>
            </w:pPr>
          </w:p>
        </w:tc>
        <w:tc>
          <w:tcPr>
            <w:tcW w:w="200" w:type="dxa"/>
            <w:vAlign w:val="bottom"/>
            <w:tcBorders>
              <w:bottom w:val="single" w:sz="8" w:color="EEEEEE"/>
            </w:tcBorders>
            <w:shd w:val="clear" w:color="auto" w:fill="EEEEEE"/>
          </w:tcPr>
          <w:p>
            <w:pPr>
              <w:spacing w:after="0"/>
              <w:rPr>
                <w:sz w:val="13"/>
                <w:szCs w:val="13"/>
                <w:color w:val="auto"/>
              </w:rPr>
            </w:pPr>
          </w:p>
        </w:tc>
        <w:tc>
          <w:tcPr>
            <w:tcW w:w="200" w:type="dxa"/>
            <w:vAlign w:val="bottom"/>
            <w:tcBorders>
              <w:bottom w:val="single" w:sz="8" w:color="auto"/>
            </w:tcBorders>
            <w:shd w:val="clear" w:color="auto" w:fill="EEEEEE"/>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250,433</w:t>
            </w:r>
          </w:p>
        </w:tc>
        <w:tc>
          <w:tcPr>
            <w:tcW w:w="220" w:type="dxa"/>
            <w:vAlign w:val="bottom"/>
            <w:tcBorders>
              <w:bottom w:val="single" w:sz="8" w:color="EEEEEE"/>
            </w:tcBorders>
            <w:shd w:val="clear" w:color="auto" w:fill="EEEEEE"/>
          </w:tcPr>
          <w:p>
            <w:pPr>
              <w:spacing w:after="0"/>
              <w:rPr>
                <w:sz w:val="13"/>
                <w:szCs w:val="13"/>
                <w:color w:val="auto"/>
              </w:rPr>
            </w:pPr>
          </w:p>
        </w:tc>
        <w:tc>
          <w:tcPr>
            <w:tcW w:w="1140" w:type="dxa"/>
            <w:vAlign w:val="bottom"/>
            <w:tcBorders>
              <w:bottom w:val="single" w:sz="8" w:color="EEEEEE"/>
            </w:tcBorders>
            <w:shd w:val="clear" w:color="auto" w:fill="EEEEEE"/>
          </w:tcPr>
          <w:p>
            <w:pPr>
              <w:spacing w:after="0"/>
              <w:rPr>
                <w:sz w:val="13"/>
                <w:szCs w:val="13"/>
                <w:color w:val="auto"/>
              </w:rPr>
            </w:pPr>
          </w:p>
        </w:tc>
        <w:tc>
          <w:tcPr>
            <w:tcW w:w="100" w:type="dxa"/>
            <w:vAlign w:val="bottom"/>
            <w:tcBorders>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gridSpan w:val="6"/>
            <w:vMerge w:val="restart"/>
          </w:tcPr>
          <w:p>
            <w:pPr>
              <w:spacing w:after="0"/>
              <w:rPr>
                <w:sz w:val="20"/>
                <w:szCs w:val="20"/>
                <w:color w:val="auto"/>
              </w:rPr>
            </w:pPr>
            <w:r>
              <w:rPr>
                <w:rFonts w:ascii="Arial" w:cs="Arial" w:eastAsia="Arial" w:hAnsi="Arial"/>
                <w:sz w:val="14"/>
                <w:szCs w:val="14"/>
                <w:color w:val="auto"/>
              </w:rPr>
              <w:t>Net interest yield (3)</w:t>
            </w:r>
          </w:p>
        </w:tc>
        <w:tc>
          <w:tcPr>
            <w:tcW w:w="140" w:type="dxa"/>
            <w:vAlign w:val="bottom"/>
          </w:tcPr>
          <w:p>
            <w:pPr>
              <w:spacing w:after="0" w:line="20" w:lineRule="exact"/>
              <w:rPr>
                <w:sz w:val="1"/>
                <w:szCs w:val="1"/>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FFFFFF"/>
              </w:rPr>
              <w:t>$</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14.5%</w:t>
            </w:r>
          </w:p>
        </w:tc>
        <w:tc>
          <w:tcPr>
            <w:tcW w:w="0" w:type="dxa"/>
            <w:vAlign w:val="bottom"/>
          </w:tcPr>
          <w:p>
            <w:pPr>
              <w:spacing w:after="0" w:line="20" w:lineRule="exact"/>
              <w:rPr>
                <w:sz w:val="1"/>
                <w:szCs w:val="1"/>
                <w:color w:val="auto"/>
              </w:rPr>
            </w:pPr>
          </w:p>
        </w:tc>
      </w:tr>
      <w:tr>
        <w:trPr>
          <w:trHeight w:val="129"/>
        </w:trPr>
        <w:tc>
          <w:tcPr>
            <w:tcW w:w="3340" w:type="dxa"/>
            <w:vAlign w:val="bottom"/>
            <w:gridSpan w:val="6"/>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5"/>
            <w:shd w:val="clear" w:color="auto" w:fill="EEEEEE"/>
          </w:tcPr>
          <w:p>
            <w:pPr>
              <w:spacing w:after="0" w:line="130" w:lineRule="exact"/>
              <w:rPr>
                <w:sz w:val="20"/>
                <w:szCs w:val="20"/>
                <w:color w:val="auto"/>
              </w:rPr>
            </w:pPr>
            <w:r>
              <w:rPr>
                <w:rFonts w:ascii="Arial" w:cs="Arial" w:eastAsia="Arial" w:hAnsi="Arial"/>
                <w:sz w:val="14"/>
                <w:szCs w:val="14"/>
                <w:color w:val="auto"/>
              </w:rPr>
              <w:t>Ratio of average interest earning assets to average</w:t>
            </w:r>
          </w:p>
        </w:tc>
        <w:tc>
          <w:tcPr>
            <w:tcW w:w="140" w:type="dxa"/>
            <w:vAlign w:val="bottom"/>
            <w:shd w:val="clear" w:color="auto" w:fill="EEEEEE"/>
          </w:tcPr>
          <w:p>
            <w:pPr>
              <w:spacing w:after="0"/>
              <w:rPr>
                <w:sz w:val="11"/>
                <w:szCs w:val="11"/>
                <w:color w:val="auto"/>
              </w:rPr>
            </w:pPr>
          </w:p>
        </w:tc>
        <w:tc>
          <w:tcPr>
            <w:tcW w:w="10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5"/>
            <w:shd w:val="clear" w:color="auto" w:fill="EEEEEE"/>
          </w:tcPr>
          <w:p>
            <w:pPr>
              <w:ind w:left="160"/>
              <w:spacing w:after="0"/>
              <w:rPr>
                <w:sz w:val="20"/>
                <w:szCs w:val="20"/>
                <w:color w:val="auto"/>
              </w:rPr>
            </w:pPr>
            <w:r>
              <w:rPr>
                <w:rFonts w:ascii="Arial" w:cs="Arial" w:eastAsia="Arial" w:hAnsi="Arial"/>
                <w:sz w:val="14"/>
                <w:szCs w:val="14"/>
                <w:color w:val="auto"/>
              </w:rPr>
              <w:t>interest bearing liabilities</w:t>
            </w:r>
          </w:p>
        </w:tc>
        <w:tc>
          <w:tcPr>
            <w:tcW w:w="140" w:type="dxa"/>
            <w:vAlign w:val="bottom"/>
            <w:shd w:val="clear" w:color="auto" w:fill="EEEEEE"/>
          </w:tcPr>
          <w:p>
            <w:pPr>
              <w:spacing w:after="0"/>
              <w:rPr>
                <w:sz w:val="14"/>
                <w:szCs w:val="14"/>
                <w:color w:val="auto"/>
              </w:rPr>
            </w:pPr>
          </w:p>
        </w:tc>
        <w:tc>
          <w:tcPr>
            <w:tcW w:w="114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FFFFFF"/>
              </w:rPr>
              <w:t>$</w:t>
            </w:r>
          </w:p>
        </w:tc>
        <w:tc>
          <w:tcPr>
            <w:tcW w:w="12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96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00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94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420" w:hanging="232"/>
        <w:spacing w:after="0"/>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Average balances are based on month end balances except for warehouse lines of credit, which are based on daily balances.</w:t>
      </w:r>
    </w:p>
    <w:p>
      <w:pPr>
        <w:ind w:left="420" w:hanging="232"/>
        <w:spacing w:after="0" w:line="221" w:lineRule="auto"/>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Net of deferred fees and direct costs.</w:t>
      </w:r>
    </w:p>
    <w:p>
      <w:pPr>
        <w:ind w:left="420" w:hanging="232"/>
        <w:spacing w:after="0"/>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Annualized 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0" w:name="page31"/>
    <w:bookmarkEnd w:id="30"/>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FFFFFF"/>
        </w:rPr>
        <w:t>$</w:t>
      </w:r>
    </w:p>
    <w:p>
      <w:pPr>
        <w:spacing w:after="0"/>
        <w:rPr>
          <w:sz w:val="20"/>
          <w:szCs w:val="20"/>
          <w:color w:val="auto"/>
        </w:rPr>
      </w:pPr>
      <w:r>
        <w:rPr>
          <w:rFonts w:ascii="Arial" w:cs="Arial" w:eastAsia="Arial" w:hAnsi="Arial"/>
          <w:sz w:val="14"/>
          <w:szCs w:val="14"/>
          <w:color w:val="FFFFFF"/>
        </w:rPr>
        <w:t>$</w:t>
      </w:r>
    </w:p>
    <w:p>
      <w:pPr>
        <w:spacing w:after="0" w:line="147"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u w:val="single" w:color="auto"/>
          <w:color w:val="auto"/>
        </w:rPr>
        <w:t>Interest Earning Assets</w:t>
      </w:r>
    </w:p>
    <w:p>
      <w:pPr>
        <w:spacing w:after="0" w:line="226" w:lineRule="auto"/>
        <w:rPr>
          <w:sz w:val="20"/>
          <w:szCs w:val="20"/>
          <w:color w:val="auto"/>
        </w:rPr>
      </w:pPr>
      <w:r>
        <w:rPr>
          <w:rFonts w:ascii="Arial" w:cs="Arial" w:eastAsia="Arial" w:hAnsi="Arial"/>
          <w:sz w:val="14"/>
          <w:szCs w:val="14"/>
          <w:color w:val="auto"/>
        </w:rPr>
        <w:t>Finance receivables gross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Finance receivables at fair value</w:t>
      </w:r>
    </w:p>
    <w:p>
      <w:pPr>
        <w:spacing w:after="0" w:line="147" w:lineRule="exact"/>
        <w:rPr>
          <w:sz w:val="20"/>
          <w:szCs w:val="20"/>
          <w:color w:val="auto"/>
        </w:rPr>
      </w:pPr>
    </w:p>
    <w:p>
      <w:pPr>
        <w:jc w:val="center"/>
        <w:ind w:left="500"/>
        <w:spacing w:after="0"/>
        <w:rPr>
          <w:sz w:val="20"/>
          <w:szCs w:val="20"/>
          <w:color w:val="auto"/>
        </w:rPr>
      </w:pPr>
      <w:r>
        <w:rPr>
          <w:rFonts w:ascii="Arial" w:cs="Arial" w:eastAsia="Arial" w:hAnsi="Arial"/>
          <w:sz w:val="13"/>
          <w:szCs w:val="13"/>
          <w:b w:val="1"/>
          <w:bCs w:val="1"/>
          <w:u w:val="single" w:color="auto"/>
          <w:color w:val="auto"/>
        </w:rPr>
        <w:t>Interest Bearing Liabilities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Warehouse lines of credit</w:t>
      </w:r>
    </w:p>
    <w:p>
      <w:pPr>
        <w:spacing w:after="0" w:line="221" w:lineRule="auto"/>
        <w:rPr>
          <w:sz w:val="20"/>
          <w:szCs w:val="20"/>
          <w:color w:val="auto"/>
        </w:rPr>
      </w:pPr>
      <w:r>
        <w:rPr>
          <w:rFonts w:ascii="Arial" w:cs="Arial" w:eastAsia="Arial" w:hAnsi="Arial"/>
          <w:sz w:val="14"/>
          <w:szCs w:val="14"/>
          <w:color w:val="auto"/>
        </w:rPr>
        <w:t>Residual interest financing</w:t>
      </w:r>
    </w:p>
    <w:p>
      <w:pPr>
        <w:spacing w:after="0" w:line="221" w:lineRule="auto"/>
        <w:rPr>
          <w:sz w:val="20"/>
          <w:szCs w:val="20"/>
          <w:color w:val="auto"/>
        </w:rPr>
      </w:pPr>
      <w:r>
        <w:rPr>
          <w:rFonts w:ascii="Arial" w:cs="Arial" w:eastAsia="Arial" w:hAnsi="Arial"/>
          <w:sz w:val="14"/>
          <w:szCs w:val="14"/>
          <w:color w:val="auto"/>
        </w:rPr>
        <w:t>Securitization trust debt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Subordinated renewable notes</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Arial" w:cs="Arial" w:eastAsia="Arial" w:hAnsi="Arial"/>
          <w:sz w:val="14"/>
          <w:szCs w:val="14"/>
          <w:b w:val="1"/>
          <w:bCs w:val="1"/>
          <w:color w:val="auto"/>
        </w:rPr>
        <w:t>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30441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4"/>
          <w:szCs w:val="14"/>
          <w:b w:val="1"/>
          <w:bCs w:val="1"/>
          <w:color w:val="auto"/>
        </w:rPr>
        <w:t>Compared to September 30, 2017</w:t>
      </w:r>
    </w:p>
    <w:tbl>
      <w:tblPr>
        <w:tblLayout w:type="fixed"/>
        <w:tblInd w:w="0" w:type="dxa"/>
        <w:tblCellMar>
          <w:top w:w="0" w:type="dxa"/>
          <w:left w:w="0" w:type="dxa"/>
          <w:bottom w:w="0" w:type="dxa"/>
          <w:right w:w="0" w:type="dxa"/>
        </w:tblCellMar>
      </w:tblPr>
      <w:tr>
        <w:trPr>
          <w:trHeight w:val="133"/>
        </w:trPr>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right"/>
              <w:ind w:right="740"/>
              <w:spacing w:after="0" w:line="133"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jc w:val="right"/>
              <w:ind w:right="640"/>
              <w:spacing w:after="0" w:line="133" w:lineRule="exact"/>
              <w:rPr>
                <w:sz w:val="20"/>
                <w:szCs w:val="20"/>
                <w:color w:val="auto"/>
              </w:rPr>
            </w:pPr>
            <w:r>
              <w:rPr>
                <w:rFonts w:ascii="Arial" w:cs="Arial" w:eastAsia="Arial" w:hAnsi="Arial"/>
                <w:sz w:val="14"/>
                <w:szCs w:val="14"/>
                <w:b w:val="1"/>
                <w:bCs w:val="1"/>
                <w:color w:val="auto"/>
              </w:rPr>
              <w:t>Change Due</w:t>
            </w: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28"/>
              <w:spacing w:after="0" w:line="133" w:lineRule="exact"/>
              <w:rPr>
                <w:sz w:val="20"/>
                <w:szCs w:val="20"/>
                <w:color w:val="auto"/>
              </w:rPr>
            </w:pPr>
            <w:r>
              <w:rPr>
                <w:rFonts w:ascii="Arial" w:cs="Arial" w:eastAsia="Arial" w:hAnsi="Arial"/>
                <w:sz w:val="14"/>
                <w:szCs w:val="14"/>
                <w:b w:val="1"/>
                <w:bCs w:val="1"/>
                <w:color w:val="auto"/>
              </w:rPr>
              <w:t>Change Due</w:t>
            </w: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to Volume</w:t>
            </w:r>
          </w:p>
        </w:tc>
        <w:tc>
          <w:tcPr>
            <w:tcW w:w="180" w:type="dxa"/>
            <w:vAlign w:val="bottom"/>
          </w:tcPr>
          <w:p>
            <w:pPr>
              <w:spacing w:after="0"/>
              <w:rPr>
                <w:sz w:val="14"/>
                <w:szCs w:val="14"/>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to Rate</w:t>
            </w:r>
          </w:p>
        </w:tc>
        <w:tc>
          <w:tcPr>
            <w:tcW w:w="0" w:type="dxa"/>
            <w:vAlign w:val="bottom"/>
          </w:tcPr>
          <w:p>
            <w:pPr>
              <w:spacing w:after="0"/>
              <w:rPr>
                <w:sz w:val="1"/>
                <w:szCs w:val="1"/>
                <w:color w:val="auto"/>
              </w:rPr>
            </w:pPr>
          </w:p>
        </w:tc>
      </w:tr>
      <w:tr>
        <w:trPr>
          <w:trHeight w:val="180"/>
        </w:trPr>
        <w:tc>
          <w:tcPr>
            <w:tcW w:w="2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4"/>
                <w:szCs w:val="14"/>
                <w:color w:val="FFFFFF"/>
              </w:rPr>
              <w:t>$</w:t>
            </w: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w w:val="97"/>
              </w:rPr>
              <w:t>(In thousands)</w:t>
            </w: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(53,361)</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4"/>
                <w:szCs w:val="14"/>
                <w:color w:val="auto"/>
              </w:rPr>
              <w:t>(42,631)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(10,730)</w:t>
            </w:r>
          </w:p>
        </w:tc>
        <w:tc>
          <w:tcPr>
            <w:tcW w:w="0" w:type="dxa"/>
            <w:vAlign w:val="bottom"/>
          </w:tcPr>
          <w:p>
            <w:pPr>
              <w:spacing w:after="0"/>
              <w:rPr>
                <w:sz w:val="1"/>
                <w:szCs w:val="1"/>
                <w:color w:val="auto"/>
              </w:rPr>
            </w:pPr>
          </w:p>
        </w:tc>
      </w:tr>
      <w:tr>
        <w:trPr>
          <w:trHeight w:val="167"/>
        </w:trPr>
        <w:tc>
          <w:tcPr>
            <w:tcW w:w="26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25,822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color w:val="auto"/>
              </w:rPr>
              <w:t>25,822</w:t>
            </w:r>
          </w:p>
        </w:tc>
        <w:tc>
          <w:tcPr>
            <w:tcW w:w="180" w:type="dxa"/>
            <w:vAlign w:val="bottom"/>
          </w:tcPr>
          <w:p>
            <w:pPr>
              <w:spacing w:after="0"/>
              <w:rPr>
                <w:sz w:val="14"/>
                <w:szCs w:val="14"/>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(27,539)</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(16,809)</w:t>
            </w:r>
          </w:p>
        </w:tc>
        <w:tc>
          <w:tcPr>
            <w:tcW w:w="3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20"/>
              <w:spacing w:after="0" w:line="123" w:lineRule="exact"/>
              <w:rPr>
                <w:sz w:val="20"/>
                <w:szCs w:val="20"/>
                <w:color w:val="auto"/>
              </w:rPr>
            </w:pPr>
            <w:r>
              <w:rPr>
                <w:rFonts w:ascii="Arial" w:cs="Arial" w:eastAsia="Arial" w:hAnsi="Arial"/>
                <w:sz w:val="14"/>
                <w:szCs w:val="14"/>
                <w:color w:val="auto"/>
              </w:rPr>
              <w:t>(10,730)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FFFFFF"/>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3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69</w:t>
            </w:r>
          </w:p>
        </w:tc>
        <w:tc>
          <w:tcPr>
            <w:tcW w:w="180" w:type="dxa"/>
            <w:vAlign w:val="bottom"/>
          </w:tcPr>
          <w:p>
            <w:pPr>
              <w:spacing w:after="0"/>
              <w:rPr>
                <w:sz w:val="12"/>
                <w:szCs w:val="12"/>
                <w:color w:val="auto"/>
              </w:rPr>
            </w:pP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1,387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1,387</w:t>
            </w:r>
          </w:p>
        </w:tc>
        <w:tc>
          <w:tcPr>
            <w:tcW w:w="180" w:type="dxa"/>
            <w:vAlign w:val="bottom"/>
          </w:tcPr>
          <w:p>
            <w:pPr>
              <w:spacing w:after="0"/>
              <w:rPr>
                <w:sz w:val="12"/>
                <w:szCs w:val="12"/>
                <w:color w:val="auto"/>
              </w:rPr>
            </w:pPr>
          </w:p>
        </w:tc>
        <w:tc>
          <w:tcPr>
            <w:tcW w:w="12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5,173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4"/>
                <w:szCs w:val="14"/>
                <w:color w:val="auto"/>
              </w:rPr>
              <w:t>(1,015)</w:t>
            </w:r>
          </w:p>
        </w:tc>
        <w:tc>
          <w:tcPr>
            <w:tcW w:w="18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6,188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87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color w:val="auto"/>
              </w:rPr>
              <w:t>30</w:t>
            </w:r>
          </w:p>
        </w:tc>
        <w:tc>
          <w:tcPr>
            <w:tcW w:w="18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-874395</wp:posOffset>
            </wp:positionV>
            <wp:extent cx="7246620" cy="94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-685165</wp:posOffset>
            </wp:positionV>
            <wp:extent cx="724662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-479425</wp:posOffset>
            </wp:positionV>
            <wp:extent cx="7246620" cy="94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-290830</wp:posOffset>
            </wp:positionV>
            <wp:extent cx="724662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-102235</wp:posOffset>
            </wp:positionV>
            <wp:extent cx="7246620" cy="102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800" w:space="720"/>
            <w:col w:w="4900"/>
          </w:cols>
          <w:pgMar w:left="240" w:top="806" w:right="239" w:bottom="1440" w:gutter="0" w:footer="0" w:header="0"/>
        </w:sect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6,416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471</w:t>
            </w:r>
          </w:p>
        </w:tc>
        <w:tc>
          <w:tcPr>
            <w:tcW w:w="3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5,945</w:t>
            </w:r>
          </w:p>
        </w:tc>
        <w:tc>
          <w:tcPr>
            <w:tcW w:w="80" w:type="dxa"/>
            <w:vAlign w:val="bottom"/>
          </w:tcPr>
          <w:p>
            <w:pPr>
              <w:spacing w:after="0"/>
              <w:rPr>
                <w:sz w:val="15"/>
                <w:szCs w:val="15"/>
                <w:color w:val="auto"/>
              </w:rPr>
            </w:pPr>
          </w:p>
        </w:tc>
      </w:tr>
      <w:tr>
        <w:trPr>
          <w:trHeight w:val="122"/>
        </w:trPr>
        <w:tc>
          <w:tcPr>
            <w:tcW w:w="20" w:type="dxa"/>
            <w:vAlign w:val="bottom"/>
          </w:tcPr>
          <w:p>
            <w:pPr>
              <w:spacing w:after="0"/>
              <w:rPr>
                <w:sz w:val="10"/>
                <w:szCs w:val="10"/>
                <w:color w:val="auto"/>
              </w:rPr>
            </w:pPr>
          </w:p>
        </w:tc>
        <w:tc>
          <w:tcPr>
            <w:tcW w:w="6500" w:type="dxa"/>
            <w:vAlign w:val="bottom"/>
            <w:tcBorders>
              <w:bottom w:val="single" w:sz="8" w:color="EEEEEE"/>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EEEEEE"/>
            </w:tcBorders>
          </w:tcPr>
          <w:p>
            <w:pPr>
              <w:spacing w:after="0"/>
              <w:rPr>
                <w:sz w:val="10"/>
                <w:szCs w:val="10"/>
                <w:color w:val="auto"/>
              </w:rPr>
            </w:pPr>
          </w:p>
        </w:tc>
        <w:tc>
          <w:tcPr>
            <w:tcW w:w="140" w:type="dxa"/>
            <w:vAlign w:val="bottom"/>
            <w:tcBorders>
              <w:bottom w:val="single" w:sz="8" w:color="EEEEEE"/>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EEEEEE"/>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EEEEEE"/>
            </w:tcBorders>
          </w:tcPr>
          <w:p>
            <w:pPr>
              <w:spacing w:after="0"/>
              <w:rPr>
                <w:sz w:val="10"/>
                <w:szCs w:val="10"/>
                <w:color w:val="auto"/>
              </w:rPr>
            </w:pPr>
          </w:p>
        </w:tc>
        <w:tc>
          <w:tcPr>
            <w:tcW w:w="80" w:type="dxa"/>
            <w:vAlign w:val="bottom"/>
            <w:tcBorders>
              <w:bottom w:val="single" w:sz="8" w:color="EEEEEE"/>
            </w:tcBorders>
          </w:tcPr>
          <w:p>
            <w:pPr>
              <w:spacing w:after="0"/>
              <w:rPr>
                <w:sz w:val="10"/>
                <w:szCs w:val="10"/>
                <w:color w:val="auto"/>
              </w:rPr>
            </w:pPr>
          </w:p>
        </w:tc>
      </w:tr>
      <w:tr>
        <w:trPr>
          <w:trHeight w:val="156"/>
        </w:trPr>
        <w:tc>
          <w:tcPr>
            <w:tcW w:w="20" w:type="dxa"/>
            <w:vAlign w:val="bottom"/>
          </w:tcPr>
          <w:p>
            <w:pPr>
              <w:spacing w:after="0"/>
              <w:rPr>
                <w:sz w:val="13"/>
                <w:szCs w:val="13"/>
                <w:color w:val="auto"/>
              </w:rPr>
            </w:pPr>
          </w:p>
        </w:tc>
        <w:tc>
          <w:tcPr>
            <w:tcW w:w="6500" w:type="dxa"/>
            <w:vAlign w:val="bottom"/>
            <w:tcBorders>
              <w:bottom w:val="single" w:sz="8" w:color="EEEEEE"/>
            </w:tcBorders>
            <w:shd w:val="clear" w:color="auto" w:fill="EEEEEE"/>
          </w:tcPr>
          <w:p>
            <w:pPr>
              <w:spacing w:after="0" w:line="155" w:lineRule="exact"/>
              <w:rPr>
                <w:sz w:val="20"/>
                <w:szCs w:val="20"/>
                <w:color w:val="auto"/>
              </w:rPr>
            </w:pPr>
            <w:r>
              <w:rPr>
                <w:rFonts w:ascii="Arial" w:cs="Arial" w:eastAsia="Arial" w:hAnsi="Arial"/>
                <w:sz w:val="14"/>
                <w:szCs w:val="14"/>
                <w:color w:val="auto"/>
              </w:rPr>
              <w:t>Net interest income/spread</w:t>
            </w:r>
          </w:p>
        </w:tc>
        <w:tc>
          <w:tcPr>
            <w:tcW w:w="500" w:type="dxa"/>
            <w:vAlign w:val="bottom"/>
            <w:tcBorders>
              <w:bottom w:val="single" w:sz="8" w:color="auto"/>
            </w:tcBorders>
            <w:shd w:val="clear" w:color="auto" w:fill="EEEEEE"/>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(33,955</w:t>
            </w:r>
          </w:p>
        </w:tc>
        <w:tc>
          <w:tcPr>
            <w:tcW w:w="200" w:type="dxa"/>
            <w:vAlign w:val="bottom"/>
            <w:tcBorders>
              <w:bottom w:val="single" w:sz="8" w:color="EEEEEE"/>
            </w:tcBorders>
            <w:shd w:val="clear" w:color="auto" w:fill="EEEEEE"/>
          </w:tcPr>
          <w:p>
            <w:pPr>
              <w:jc w:val="right"/>
              <w:ind w:right="119"/>
              <w:spacing w:after="0"/>
              <w:rPr>
                <w:sz w:val="20"/>
                <w:szCs w:val="20"/>
                <w:color w:val="auto"/>
              </w:rPr>
            </w:pPr>
            <w:r>
              <w:rPr>
                <w:rFonts w:ascii="Arial" w:cs="Arial" w:eastAsia="Arial" w:hAnsi="Arial"/>
                <w:sz w:val="8"/>
                <w:szCs w:val="8"/>
                <w:color w:val="auto"/>
                <w:w w:val="73"/>
              </w:rPr>
              <w:t>)</w:t>
            </w:r>
          </w:p>
        </w:tc>
        <w:tc>
          <w:tcPr>
            <w:tcW w:w="140" w:type="dxa"/>
            <w:vAlign w:val="bottom"/>
            <w:tcBorders>
              <w:bottom w:val="single" w:sz="8" w:color="EEEEEE"/>
            </w:tcBorders>
            <w:shd w:val="clear" w:color="auto" w:fill="EEEEEE"/>
          </w:tcPr>
          <w:p>
            <w:pPr>
              <w:spacing w:after="0"/>
              <w:rPr>
                <w:sz w:val="13"/>
                <w:szCs w:val="13"/>
                <w:color w:val="auto"/>
              </w:rPr>
            </w:pPr>
          </w:p>
        </w:tc>
        <w:tc>
          <w:tcPr>
            <w:tcW w:w="500" w:type="dxa"/>
            <w:vAlign w:val="bottom"/>
            <w:tcBorders>
              <w:bottom w:val="single" w:sz="8" w:color="auto"/>
            </w:tcBorders>
            <w:shd w:val="clear" w:color="auto" w:fill="EEEEEE"/>
          </w:tcPr>
          <w:p>
            <w:pPr>
              <w:jc w:val="right"/>
              <w:ind w:right="34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(17,280</w:t>
            </w:r>
          </w:p>
        </w:tc>
        <w:tc>
          <w:tcPr>
            <w:tcW w:w="340" w:type="dxa"/>
            <w:vAlign w:val="bottom"/>
            <w:tcBorders>
              <w:bottom w:val="single" w:sz="8" w:color="EEEEEE"/>
            </w:tcBorders>
            <w:shd w:val="clear" w:color="auto" w:fill="EEEEEE"/>
          </w:tcPr>
          <w:p>
            <w:pPr>
              <w:jc w:val="right"/>
              <w:ind w:right="208"/>
              <w:spacing w:after="0" w:line="155" w:lineRule="exact"/>
              <w:rPr>
                <w:sz w:val="20"/>
                <w:szCs w:val="20"/>
                <w:color w:val="auto"/>
              </w:rPr>
            </w:pPr>
            <w:r>
              <w:rPr>
                <w:rFonts w:ascii="Arial" w:cs="Arial" w:eastAsia="Arial" w:hAnsi="Arial"/>
                <w:sz w:val="14"/>
                <w:szCs w:val="14"/>
                <w:color w:val="auto"/>
                <w:w w:val="84"/>
              </w:rPr>
              <w:t>)</w:t>
            </w:r>
          </w:p>
        </w:tc>
        <w:tc>
          <w:tcPr>
            <w:tcW w:w="500" w:type="dxa"/>
            <w:vAlign w:val="bottom"/>
            <w:tcBorders>
              <w:bottom w:val="single" w:sz="8" w:color="auto"/>
            </w:tcBorders>
            <w:shd w:val="clear" w:color="auto" w:fill="EEEEEE"/>
          </w:tcPr>
          <w:p>
            <w:pPr>
              <w:jc w:val="right"/>
              <w:ind w:right="34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(16,675</w:t>
            </w:r>
          </w:p>
        </w:tc>
        <w:tc>
          <w:tcPr>
            <w:tcW w:w="100" w:type="dxa"/>
            <w:vAlign w:val="bottom"/>
            <w:tcBorders>
              <w:bottom w:val="single" w:sz="8" w:color="EEEEEE"/>
            </w:tcBorders>
            <w:gridSpan w:val="2"/>
            <w:shd w:val="clear" w:color="auto" w:fill="EEEEEE"/>
          </w:tcPr>
          <w:p>
            <w:pPr>
              <w:jc w:val="right"/>
              <w:ind w:right="60"/>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reduction in the annualized yield on our finance receivables for the nine months ended September 30, 2018 compared to the prior year period is the result of our decision over the last several months to offer dealers slightly lower acquisition fees and to require slightly lower contract interest rates on a portion of the contracts we purchase. Another reason for the decrease in the annualized yield is the lower interest yield on the receivables measured at fair value. The interest yield on receivables measured at fair value is reduced to take account of expected losses and is therefore less than the yield on other finance receivables.</w:t>
      </w:r>
    </w:p>
    <w:p>
      <w:pPr>
        <w:spacing w:after="0" w:line="188"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Provision for credit losses was $108.0 million for the nine months ended September 30, 2018, a decrease of $35.1 million, or 24.5% compared to the prior year and represented 37.9%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Finance receivables that we have originated since January 2018 are accounted for at fair value. Under the fair value method of accounting, we recognize interest income under the interest method on a level yield basis based on forecasted future cash flows net of expected credit losses. Thus, no provision for credit loss expense is recorded for finance receivables measured at fair value.</w:t>
      </w:r>
    </w:p>
    <w:p>
      <w:pPr>
        <w:spacing w:after="0" w:line="167"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$1.4 million, or 12.1%, to $13.2 million during the nine months ended September 30, 2018, compared to $11.8 million in the prior year period, and represented 4.6% of total operating expenses. Our marketing staff increased to 132 as of September 30, 2018 compared to 117 at September 30, 2017. In addition, in recent months, we have gradually shifted to more field marketing representatives as compared to in-house marketing representatives. Field marketing representatives are somewhat more costly than in-house marketing representatives, but we feel will ultimately be more effective. For the nine months ended September 30, 2018, we purchased 38,749 contracts representing $650.6 million in receivables compared to 41,137 contracts representing $668.3 million in receivables in the prior period.</w:t>
      </w:r>
    </w:p>
    <w:p>
      <w:pPr>
        <w:spacing w:after="0" w:line="166"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Occupancy expenses increased by $386,000 or 7.3%, to $5.6 million compared to $5.3 million in the previous year and represented 2.0% of total operating expenses. In July 2015, we entered into a lease for additional office space in Irvine, California. We then occupied that space, and incurred incremental occupancy expense, in phases. In May 2017, we acquired additional office space in Las Vegas, Nevada.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type w:val="continuous"/>
        </w:sectPr>
      </w:pPr>
    </w:p>
    <w:bookmarkStart w:id="31" w:name="page32"/>
    <w:bookmarkEnd w:id="31"/>
    <w:p>
      <w:pPr>
        <w:jc w:val="both"/>
        <w:ind w:firstLine="360"/>
        <w:spacing w:after="0" w:line="277" w:lineRule="auto"/>
        <w:rPr>
          <w:sz w:val="20"/>
          <w:szCs w:val="20"/>
          <w:color w:val="auto"/>
        </w:rPr>
      </w:pPr>
      <w:r>
        <w:rPr>
          <w:rFonts w:ascii="Arial" w:cs="Arial" w:eastAsia="Arial" w:hAnsi="Arial"/>
          <w:sz w:val="18"/>
          <w:szCs w:val="18"/>
          <w:color w:val="auto"/>
        </w:rPr>
        <w:t>Depreciation and amortization expenses increased by $54,000 or 7.8%, to $746,000 compared to $692,000 in the previous year and represented 0.2% of total operating expenses.</w:t>
      </w:r>
    </w:p>
    <w:p>
      <w:pPr>
        <w:spacing w:after="0" w:line="17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For the nine months ended September 30, 2018, we recorded income tax expense of $4.4 million, representing a 31.7% effective income tax rate. In the prior year period, we recorded $10.1 million in income tax expense, representing a 42.5% effective income tax rate. In December 2017, the U.S. government enacted comprehensive tax legislation commonly referred to as the Tax Cuts and Jobs Act (the “Tax Act”). The Tax Act lowered the federal corporate income tax rate from 35% to 21% beginning in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 The tables do not include the experience of third party originated and owned portfolios.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4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September 30, 2018</w:t>
            </w:r>
          </w:p>
        </w:tc>
        <w:tc>
          <w:tcPr>
            <w:tcW w:w="2940" w:type="dxa"/>
            <w:vAlign w:val="bottom"/>
            <w:gridSpan w:val="5"/>
          </w:tcPr>
          <w:p>
            <w:pPr>
              <w:ind w:left="700"/>
              <w:spacing w:after="0"/>
              <w:rPr>
                <w:sz w:val="20"/>
                <w:szCs w:val="20"/>
                <w:color w:val="auto"/>
              </w:rPr>
            </w:pPr>
            <w:r>
              <w:rPr>
                <w:rFonts w:ascii="Arial" w:cs="Arial" w:eastAsia="Arial" w:hAnsi="Arial"/>
                <w:sz w:val="14"/>
                <w:szCs w:val="14"/>
                <w:b w:val="1"/>
                <w:bCs w:val="1"/>
                <w:color w:val="auto"/>
              </w:rPr>
              <w:t>September 30, 2017</w:t>
            </w:r>
          </w:p>
        </w:tc>
        <w:tc>
          <w:tcPr>
            <w:tcW w:w="2700" w:type="dxa"/>
            <w:vAlign w:val="bottom"/>
            <w:gridSpan w:val="6"/>
          </w:tcPr>
          <w:p>
            <w:pPr>
              <w:ind w:left="7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520" w:type="dxa"/>
            <w:vAlign w:val="bottom"/>
            <w:tcBorders>
              <w:top w:val="single" w:sz="8" w:color="auto"/>
            </w:tcBorders>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80" w:type="dxa"/>
            <w:vAlign w:val="bottom"/>
            <w:tcBorders>
              <w:top w:val="single" w:sz="8" w:color="auto"/>
            </w:tcBorders>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Borders>
              <w:top w:val="single" w:sz="8" w:color="auto"/>
            </w:tcBorders>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Contracts</w:t>
            </w:r>
          </w:p>
        </w:tc>
        <w:tc>
          <w:tcPr>
            <w:tcW w:w="200" w:type="dxa"/>
            <w:vAlign w:val="bottom"/>
          </w:tcPr>
          <w:p>
            <w:pPr>
              <w:spacing w:after="0"/>
              <w:rPr>
                <w:sz w:val="14"/>
                <w:szCs w:val="14"/>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Contracts</w:t>
            </w: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Contracts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5"/>
          </w:tcPr>
          <w:p>
            <w:pPr>
              <w:ind w:left="5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i w:val="1"/>
                <w:iCs w:val="1"/>
                <w:color w:val="auto"/>
              </w:rPr>
              <w:t>Delinquency Experience</w:t>
            </w:r>
          </w:p>
        </w:tc>
        <w:tc>
          <w:tcPr>
            <w:tcW w:w="1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Gross servicing portfolio (1)</w:t>
            </w:r>
          </w:p>
        </w:tc>
        <w:tc>
          <w:tcPr>
            <w:tcW w:w="15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174,584</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2,342,889</w:t>
            </w:r>
          </w:p>
        </w:tc>
        <w:tc>
          <w:tcPr>
            <w:tcW w:w="360" w:type="dxa"/>
            <w:vAlign w:val="bottom"/>
          </w:tcPr>
          <w:p>
            <w:pPr>
              <w:spacing w:after="0"/>
              <w:rPr>
                <w:sz w:val="12"/>
                <w:szCs w:val="12"/>
                <w:color w:val="auto"/>
              </w:rPr>
            </w:pP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174,382</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2,345,992</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173,998</w:t>
            </w:r>
          </w:p>
        </w:tc>
        <w:tc>
          <w:tcPr>
            <w:tcW w:w="36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2,333,524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Period of delinquency (2)</w:t>
            </w:r>
          </w:p>
        </w:tc>
        <w:tc>
          <w:tcPr>
            <w:tcW w:w="1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100"/>
              <w:spacing w:after="0" w:line="149" w:lineRule="exact"/>
              <w:rPr>
                <w:sz w:val="20"/>
                <w:szCs w:val="20"/>
                <w:color w:val="auto"/>
              </w:rPr>
            </w:pPr>
            <w:r>
              <w:rPr>
                <w:rFonts w:ascii="Arial" w:cs="Arial" w:eastAsia="Arial" w:hAnsi="Arial"/>
                <w:sz w:val="14"/>
                <w:szCs w:val="14"/>
                <w:color w:val="auto"/>
              </w:rPr>
              <w:t>31-60 days</w:t>
            </w:r>
          </w:p>
        </w:tc>
        <w:tc>
          <w:tcPr>
            <w:tcW w:w="15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10,509</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144,842</w:t>
            </w: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9,607</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130,456</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10,163</w:t>
            </w:r>
          </w:p>
        </w:tc>
        <w:tc>
          <w:tcPr>
            <w:tcW w:w="36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138,395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EEEEE"/>
          </w:tcPr>
          <w:p>
            <w:pPr>
              <w:ind w:left="100"/>
              <w:spacing w:after="0" w:line="149" w:lineRule="exact"/>
              <w:rPr>
                <w:sz w:val="20"/>
                <w:szCs w:val="20"/>
                <w:color w:val="auto"/>
              </w:rPr>
            </w:pPr>
            <w:r>
              <w:rPr>
                <w:rFonts w:ascii="Arial" w:cs="Arial" w:eastAsia="Arial" w:hAnsi="Arial"/>
                <w:sz w:val="14"/>
                <w:szCs w:val="14"/>
                <w:color w:val="auto"/>
              </w:rPr>
              <w:t>61-90 days</w:t>
            </w:r>
          </w:p>
        </w:tc>
        <w:tc>
          <w:tcPr>
            <w:tcW w:w="15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4,750</w:t>
            </w:r>
          </w:p>
        </w:tc>
        <w:tc>
          <w:tcPr>
            <w:tcW w:w="200" w:type="dxa"/>
            <w:vAlign w:val="bottom"/>
            <w:shd w:val="clear" w:color="auto" w:fill="EEEEEE"/>
          </w:tcPr>
          <w:p>
            <w:pPr>
              <w:spacing w:after="0"/>
              <w:rPr>
                <w:sz w:val="12"/>
                <w:szCs w:val="12"/>
                <w:color w:val="auto"/>
              </w:rPr>
            </w:pPr>
          </w:p>
        </w:tc>
        <w:tc>
          <w:tcPr>
            <w:tcW w:w="132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62,642</w:t>
            </w:r>
          </w:p>
        </w:tc>
        <w:tc>
          <w:tcPr>
            <w:tcW w:w="14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3,989</w:t>
            </w:r>
          </w:p>
        </w:tc>
        <w:tc>
          <w:tcPr>
            <w:tcW w:w="200" w:type="dxa"/>
            <w:vAlign w:val="bottom"/>
            <w:shd w:val="clear" w:color="auto" w:fill="EEEEEE"/>
          </w:tcPr>
          <w:p>
            <w:pPr>
              <w:spacing w:after="0"/>
              <w:rPr>
                <w:sz w:val="12"/>
                <w:szCs w:val="12"/>
                <w:color w:val="auto"/>
              </w:rPr>
            </w:pPr>
          </w:p>
        </w:tc>
        <w:tc>
          <w:tcPr>
            <w:tcW w:w="12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51,912</w:t>
            </w:r>
          </w:p>
        </w:tc>
        <w:tc>
          <w:tcPr>
            <w:tcW w:w="1300" w:type="dxa"/>
            <w:vAlign w:val="bottom"/>
            <w:gridSpan w:val="2"/>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4,741</w:t>
            </w:r>
          </w:p>
        </w:tc>
        <w:tc>
          <w:tcPr>
            <w:tcW w:w="1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63,081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tcPr>
          <w:p>
            <w:pPr>
              <w:ind w:left="100"/>
              <w:spacing w:after="0"/>
              <w:rPr>
                <w:sz w:val="20"/>
                <w:szCs w:val="20"/>
                <w:color w:val="auto"/>
              </w:rPr>
            </w:pPr>
            <w:r>
              <w:rPr>
                <w:rFonts w:ascii="Arial" w:cs="Arial" w:eastAsia="Arial" w:hAnsi="Arial"/>
                <w:sz w:val="14"/>
                <w:szCs w:val="14"/>
                <w:color w:val="auto"/>
              </w:rPr>
              <w:t>91+ days</w:t>
            </w: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2,462</w:t>
            </w:r>
          </w:p>
        </w:tc>
        <w:tc>
          <w:tcPr>
            <w:tcW w:w="20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color w:val="auto"/>
              </w:rPr>
              <w:t>29,729</w:t>
            </w: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2,182</w:t>
            </w:r>
          </w:p>
        </w:tc>
        <w:tc>
          <w:tcPr>
            <w:tcW w:w="2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26,485</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2,295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27,515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Borders>
              <w:top w:val="single" w:sz="8" w:color="EEEEEE"/>
            </w:tcBorders>
            <w:shd w:val="clear" w:color="auto" w:fill="EEEEEE"/>
          </w:tcPr>
          <w:p>
            <w:pPr>
              <w:spacing w:after="0" w:line="142" w:lineRule="exact"/>
              <w:rPr>
                <w:sz w:val="20"/>
                <w:szCs w:val="20"/>
                <w:color w:val="auto"/>
              </w:rPr>
            </w:pPr>
            <w:r>
              <w:rPr>
                <w:rFonts w:ascii="Arial" w:cs="Arial" w:eastAsia="Arial" w:hAnsi="Arial"/>
                <w:sz w:val="14"/>
                <w:szCs w:val="14"/>
                <w:color w:val="auto"/>
              </w:rPr>
              <w:t>Total delinquencies (2)</w:t>
            </w:r>
          </w:p>
        </w:tc>
        <w:tc>
          <w:tcPr>
            <w:tcW w:w="11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17,721</w:t>
            </w:r>
          </w:p>
        </w:tc>
        <w:tc>
          <w:tcPr>
            <w:tcW w:w="34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237,213</w:t>
            </w:r>
          </w:p>
        </w:tc>
        <w:tc>
          <w:tcPr>
            <w:tcW w:w="360" w:type="dxa"/>
            <w:vAlign w:val="bottom"/>
            <w:tcBorders>
              <w:top w:val="single" w:sz="8" w:color="EEEEEE"/>
            </w:tcBorders>
            <w:shd w:val="clear" w:color="auto" w:fill="EEEEEE"/>
          </w:tcPr>
          <w:p>
            <w:pPr>
              <w:spacing w:after="0"/>
              <w:rPr>
                <w:sz w:val="12"/>
                <w:szCs w:val="12"/>
                <w:color w:val="auto"/>
              </w:rPr>
            </w:pPr>
          </w:p>
        </w:tc>
        <w:tc>
          <w:tcPr>
            <w:tcW w:w="11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15,778</w:t>
            </w:r>
          </w:p>
        </w:tc>
        <w:tc>
          <w:tcPr>
            <w:tcW w:w="32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208,853</w:t>
            </w:r>
          </w:p>
        </w:tc>
        <w:tc>
          <w:tcPr>
            <w:tcW w:w="320" w:type="dxa"/>
            <w:vAlign w:val="bottom"/>
            <w:tcBorders>
              <w:top w:val="single" w:sz="8" w:color="EEEEEE"/>
            </w:tcBorders>
            <w:shd w:val="clear" w:color="auto" w:fill="EEEEEE"/>
          </w:tcPr>
          <w:p>
            <w:pPr>
              <w:spacing w:after="0"/>
              <w:rPr>
                <w:sz w:val="12"/>
                <w:szCs w:val="12"/>
                <w:color w:val="auto"/>
              </w:rPr>
            </w:pPr>
          </w:p>
        </w:tc>
        <w:tc>
          <w:tcPr>
            <w:tcW w:w="11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17,199</w:t>
            </w:r>
          </w:p>
        </w:tc>
        <w:tc>
          <w:tcPr>
            <w:tcW w:w="16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228,991</w:t>
            </w: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Arial" w:cs="Arial" w:eastAsia="Arial" w:hAnsi="Arial"/>
                <w:sz w:val="14"/>
                <w:szCs w:val="14"/>
                <w:color w:val="auto"/>
              </w:rPr>
              <w:t>Amount in repossession (3)</w:t>
            </w: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2,636</w:t>
            </w:r>
          </w:p>
        </w:tc>
        <w:tc>
          <w:tcPr>
            <w:tcW w:w="20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color w:val="auto"/>
              </w:rPr>
              <w:t>33,989</w:t>
            </w: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2,473</w:t>
            </w:r>
          </w:p>
        </w:tc>
        <w:tc>
          <w:tcPr>
            <w:tcW w:w="2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32,032</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2,630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33,679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20" w:type="dxa"/>
            <w:vAlign w:val="bottom"/>
            <w:tcBorders>
              <w:top w:val="single" w:sz="8" w:color="EEEEEE"/>
            </w:tcBorders>
            <w:shd w:val="clear" w:color="auto" w:fill="EEEEEE"/>
          </w:tcPr>
          <w:p>
            <w:pPr>
              <w:spacing w:after="0" w:line="110" w:lineRule="exact"/>
              <w:rPr>
                <w:sz w:val="20"/>
                <w:szCs w:val="20"/>
                <w:color w:val="auto"/>
              </w:rPr>
            </w:pPr>
            <w:r>
              <w:rPr>
                <w:rFonts w:ascii="Arial" w:cs="Arial" w:eastAsia="Arial" w:hAnsi="Arial"/>
                <w:sz w:val="12"/>
                <w:szCs w:val="12"/>
                <w:color w:val="auto"/>
              </w:rPr>
              <w:t>Total delinquencies and amount in</w:t>
            </w:r>
          </w:p>
        </w:tc>
        <w:tc>
          <w:tcPr>
            <w:tcW w:w="1180" w:type="dxa"/>
            <w:vAlign w:val="bottom"/>
            <w:tcBorders>
              <w:top w:val="single" w:sz="8" w:color="auto"/>
            </w:tcBorders>
            <w:shd w:val="clear" w:color="auto" w:fill="EEEEEE"/>
          </w:tcPr>
          <w:p>
            <w:pPr>
              <w:spacing w:after="0"/>
              <w:rPr>
                <w:sz w:val="9"/>
                <w:szCs w:val="9"/>
                <w:color w:val="auto"/>
              </w:rPr>
            </w:pPr>
          </w:p>
        </w:tc>
        <w:tc>
          <w:tcPr>
            <w:tcW w:w="340" w:type="dxa"/>
            <w:vAlign w:val="bottom"/>
            <w:tcBorders>
              <w:top w:val="single" w:sz="8" w:color="EEEEEE"/>
            </w:tcBorders>
            <w:shd w:val="clear" w:color="auto" w:fill="EEEEEE"/>
          </w:tcPr>
          <w:p>
            <w:pPr>
              <w:spacing w:after="0"/>
              <w:rPr>
                <w:sz w:val="9"/>
                <w:szCs w:val="9"/>
                <w:color w:val="auto"/>
              </w:rPr>
            </w:pPr>
          </w:p>
        </w:tc>
        <w:tc>
          <w:tcPr>
            <w:tcW w:w="200" w:type="dxa"/>
            <w:vAlign w:val="bottom"/>
            <w:tcBorders>
              <w:top w:val="single" w:sz="8" w:color="auto"/>
            </w:tcBorders>
            <w:shd w:val="clear" w:color="auto" w:fill="EEEEEE"/>
          </w:tcPr>
          <w:p>
            <w:pPr>
              <w:spacing w:after="0"/>
              <w:rPr>
                <w:sz w:val="9"/>
                <w:szCs w:val="9"/>
                <w:color w:val="auto"/>
              </w:rPr>
            </w:pPr>
          </w:p>
        </w:tc>
        <w:tc>
          <w:tcPr>
            <w:tcW w:w="960" w:type="dxa"/>
            <w:vAlign w:val="bottom"/>
            <w:tcBorders>
              <w:top w:val="single" w:sz="8" w:color="auto"/>
            </w:tcBorders>
            <w:shd w:val="clear" w:color="auto" w:fill="EEEEEE"/>
          </w:tcPr>
          <w:p>
            <w:pPr>
              <w:spacing w:after="0"/>
              <w:rPr>
                <w:sz w:val="9"/>
                <w:szCs w:val="9"/>
                <w:color w:val="auto"/>
              </w:rPr>
            </w:pPr>
          </w:p>
        </w:tc>
        <w:tc>
          <w:tcPr>
            <w:tcW w:w="360" w:type="dxa"/>
            <w:vAlign w:val="bottom"/>
            <w:tcBorders>
              <w:top w:val="single" w:sz="8" w:color="EEEEEE"/>
            </w:tcBorders>
            <w:shd w:val="clear" w:color="auto" w:fill="EEEEEE"/>
          </w:tcPr>
          <w:p>
            <w:pPr>
              <w:spacing w:after="0"/>
              <w:rPr>
                <w:sz w:val="9"/>
                <w:szCs w:val="9"/>
                <w:color w:val="auto"/>
              </w:rPr>
            </w:pPr>
          </w:p>
        </w:tc>
        <w:tc>
          <w:tcPr>
            <w:tcW w:w="1160" w:type="dxa"/>
            <w:vAlign w:val="bottom"/>
            <w:tcBorders>
              <w:top w:val="single" w:sz="8" w:color="auto"/>
            </w:tcBorders>
            <w:shd w:val="clear" w:color="auto" w:fill="EEEEEE"/>
          </w:tcPr>
          <w:p>
            <w:pPr>
              <w:spacing w:after="0"/>
              <w:rPr>
                <w:sz w:val="9"/>
                <w:szCs w:val="9"/>
                <w:color w:val="auto"/>
              </w:rPr>
            </w:pPr>
          </w:p>
        </w:tc>
        <w:tc>
          <w:tcPr>
            <w:tcW w:w="320" w:type="dxa"/>
            <w:vAlign w:val="bottom"/>
            <w:tcBorders>
              <w:top w:val="single" w:sz="8" w:color="EEEEEE"/>
            </w:tcBorders>
            <w:shd w:val="clear" w:color="auto" w:fill="EEEEEE"/>
          </w:tcPr>
          <w:p>
            <w:pPr>
              <w:spacing w:after="0"/>
              <w:rPr>
                <w:sz w:val="9"/>
                <w:szCs w:val="9"/>
                <w:color w:val="auto"/>
              </w:rPr>
            </w:pPr>
          </w:p>
        </w:tc>
        <w:tc>
          <w:tcPr>
            <w:tcW w:w="200" w:type="dxa"/>
            <w:vAlign w:val="bottom"/>
            <w:tcBorders>
              <w:top w:val="single" w:sz="8" w:color="auto"/>
            </w:tcBorders>
            <w:shd w:val="clear" w:color="auto" w:fill="EEEEEE"/>
          </w:tcPr>
          <w:p>
            <w:pPr>
              <w:spacing w:after="0"/>
              <w:rPr>
                <w:sz w:val="9"/>
                <w:szCs w:val="9"/>
                <w:color w:val="auto"/>
              </w:rPr>
            </w:pPr>
          </w:p>
        </w:tc>
        <w:tc>
          <w:tcPr>
            <w:tcW w:w="940" w:type="dxa"/>
            <w:vAlign w:val="bottom"/>
            <w:tcBorders>
              <w:top w:val="single" w:sz="8" w:color="auto"/>
            </w:tcBorders>
            <w:shd w:val="clear" w:color="auto" w:fill="EEEEEE"/>
          </w:tcPr>
          <w:p>
            <w:pPr>
              <w:spacing w:after="0"/>
              <w:rPr>
                <w:sz w:val="9"/>
                <w:szCs w:val="9"/>
                <w:color w:val="auto"/>
              </w:rPr>
            </w:pPr>
          </w:p>
        </w:tc>
        <w:tc>
          <w:tcPr>
            <w:tcW w:w="320" w:type="dxa"/>
            <w:vAlign w:val="bottom"/>
            <w:tcBorders>
              <w:top w:val="single" w:sz="8" w:color="EEEEEE"/>
            </w:tcBorders>
            <w:shd w:val="clear" w:color="auto" w:fill="EEEEEE"/>
          </w:tcPr>
          <w:p>
            <w:pPr>
              <w:spacing w:after="0"/>
              <w:rPr>
                <w:sz w:val="9"/>
                <w:szCs w:val="9"/>
                <w:color w:val="auto"/>
              </w:rPr>
            </w:pPr>
          </w:p>
        </w:tc>
        <w:tc>
          <w:tcPr>
            <w:tcW w:w="1140" w:type="dxa"/>
            <w:vAlign w:val="bottom"/>
            <w:tcBorders>
              <w:top w:val="single" w:sz="8" w:color="auto"/>
            </w:tcBorders>
            <w:shd w:val="clear" w:color="auto" w:fill="EEEEEE"/>
          </w:tcPr>
          <w:p>
            <w:pPr>
              <w:spacing w:after="0"/>
              <w:rPr>
                <w:sz w:val="9"/>
                <w:szCs w:val="9"/>
                <w:color w:val="auto"/>
              </w:rPr>
            </w:pPr>
          </w:p>
        </w:tc>
        <w:tc>
          <w:tcPr>
            <w:tcW w:w="160" w:type="dxa"/>
            <w:vAlign w:val="bottom"/>
            <w:tcBorders>
              <w:top w:val="single" w:sz="8" w:color="EEEEEE"/>
            </w:tcBorders>
            <w:shd w:val="clear" w:color="auto" w:fill="EEEEEE"/>
          </w:tcPr>
          <w:p>
            <w:pPr>
              <w:spacing w:after="0"/>
              <w:rPr>
                <w:sz w:val="9"/>
                <w:szCs w:val="9"/>
                <w:color w:val="auto"/>
              </w:rPr>
            </w:pPr>
          </w:p>
        </w:tc>
        <w:tc>
          <w:tcPr>
            <w:tcW w:w="160" w:type="dxa"/>
            <w:vAlign w:val="bottom"/>
            <w:tcBorders>
              <w:top w:val="single" w:sz="8" w:color="EEEEEE"/>
            </w:tcBorders>
            <w:shd w:val="clear" w:color="auto" w:fill="EEEEEE"/>
          </w:tcPr>
          <w:p>
            <w:pPr>
              <w:spacing w:after="0"/>
              <w:rPr>
                <w:sz w:val="9"/>
                <w:szCs w:val="9"/>
                <w:color w:val="auto"/>
              </w:rPr>
            </w:pPr>
          </w:p>
        </w:tc>
        <w:tc>
          <w:tcPr>
            <w:tcW w:w="200" w:type="dxa"/>
            <w:vAlign w:val="bottom"/>
            <w:tcBorders>
              <w:top w:val="single" w:sz="8" w:color="auto"/>
            </w:tcBorders>
            <w:shd w:val="clear" w:color="auto" w:fill="EEEEEE"/>
          </w:tcPr>
          <w:p>
            <w:pPr>
              <w:spacing w:after="0"/>
              <w:rPr>
                <w:sz w:val="9"/>
                <w:szCs w:val="9"/>
                <w:color w:val="auto"/>
              </w:rPr>
            </w:pPr>
          </w:p>
        </w:tc>
        <w:tc>
          <w:tcPr>
            <w:tcW w:w="940" w:type="dxa"/>
            <w:vAlign w:val="bottom"/>
            <w:tcBorders>
              <w:top w:val="single" w:sz="8" w:color="auto"/>
            </w:tcBorders>
            <w:shd w:val="clear" w:color="auto" w:fill="EEEEEE"/>
          </w:tcPr>
          <w:p>
            <w:pPr>
              <w:spacing w:after="0"/>
              <w:rPr>
                <w:sz w:val="9"/>
                <w:szCs w:val="9"/>
                <w:color w:val="auto"/>
              </w:rPr>
            </w:pPr>
          </w:p>
        </w:tc>
        <w:tc>
          <w:tcPr>
            <w:tcW w:w="100" w:type="dxa"/>
            <w:vAlign w:val="bottom"/>
            <w:tcBorders>
              <w:top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4"/>
                <w:szCs w:val="14"/>
                <w:color w:val="auto"/>
              </w:rPr>
              <w:t>repossession (2)</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4"/>
                <w:szCs w:val="14"/>
                <w:color w:val="auto"/>
              </w:rPr>
              <w:t>20,357</w:t>
            </w:r>
          </w:p>
        </w:tc>
        <w:tc>
          <w:tcPr>
            <w:tcW w:w="200" w:type="dxa"/>
            <w:vAlign w:val="bottom"/>
            <w:shd w:val="clear" w:color="auto" w:fill="EEEEEE"/>
          </w:tcPr>
          <w:p>
            <w:pPr>
              <w:jc w:val="right"/>
              <w:ind w:right="4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4"/>
                <w:szCs w:val="14"/>
                <w:color w:val="auto"/>
              </w:rPr>
              <w:t>271,202</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18,251</w:t>
            </w:r>
          </w:p>
        </w:tc>
        <w:tc>
          <w:tcPr>
            <w:tcW w:w="200" w:type="dxa"/>
            <w:vAlign w:val="bottom"/>
            <w:shd w:val="clear" w:color="auto" w:fill="EEEEEE"/>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240,885</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4"/>
                <w:szCs w:val="14"/>
                <w:color w:val="auto"/>
              </w:rPr>
              <w:t>19,829</w:t>
            </w:r>
          </w:p>
        </w:tc>
        <w:tc>
          <w:tcPr>
            <w:tcW w:w="360" w:type="dxa"/>
            <w:vAlign w:val="bottom"/>
            <w:gridSpan w:val="2"/>
            <w:shd w:val="clear" w:color="auto" w:fill="EEEEEE"/>
          </w:tcPr>
          <w:p>
            <w:pPr>
              <w:jc w:val="right"/>
              <w:ind w:right="89"/>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262,670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7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20" w:type="dxa"/>
            <w:vAlign w:val="bottom"/>
            <w:shd w:val="clear" w:color="auto" w:fill="EEEEEE"/>
          </w:tcPr>
          <w:p>
            <w:pPr>
              <w:spacing w:after="0" w:line="130" w:lineRule="exact"/>
              <w:rPr>
                <w:sz w:val="20"/>
                <w:szCs w:val="20"/>
                <w:color w:val="auto"/>
              </w:rPr>
            </w:pPr>
            <w:r>
              <w:rPr>
                <w:rFonts w:ascii="Arial" w:cs="Arial" w:eastAsia="Arial" w:hAnsi="Arial"/>
                <w:sz w:val="14"/>
                <w:szCs w:val="14"/>
                <w:color w:val="auto"/>
              </w:rPr>
              <w:t>Delinquencies as a percentage of gross</w:t>
            </w:r>
          </w:p>
        </w:tc>
        <w:tc>
          <w:tcPr>
            <w:tcW w:w="11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4"/>
                <w:szCs w:val="14"/>
                <w:color w:val="auto"/>
              </w:rPr>
              <w:t>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4"/>
                <w:szCs w:val="14"/>
                <w:color w:val="auto"/>
              </w:rPr>
              <w:t>10.2%</w:t>
            </w:r>
          </w:p>
        </w:tc>
        <w:tc>
          <w:tcPr>
            <w:tcW w:w="200" w:type="dxa"/>
            <w:vAlign w:val="bottom"/>
            <w:shd w:val="clear" w:color="auto" w:fill="EEEEEE"/>
          </w:tcPr>
          <w:p>
            <w:pPr>
              <w:spacing w:after="0"/>
              <w:rPr>
                <w:sz w:val="14"/>
                <w:szCs w:val="14"/>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4"/>
                <w:szCs w:val="14"/>
                <w:color w:val="auto"/>
              </w:rPr>
              <w:t>10.1%</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9.0%</w:t>
            </w:r>
          </w:p>
        </w:tc>
        <w:tc>
          <w:tcPr>
            <w:tcW w:w="200" w:type="dxa"/>
            <w:vAlign w:val="bottom"/>
            <w:shd w:val="clear" w:color="auto" w:fill="EEEEEE"/>
          </w:tcPr>
          <w:p>
            <w:pPr>
              <w:spacing w:after="0"/>
              <w:rPr>
                <w:sz w:val="14"/>
                <w:szCs w:val="14"/>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8.9%</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4"/>
                <w:szCs w:val="14"/>
                <w:color w:val="auto"/>
              </w:rPr>
              <w:t>9.9%</w:t>
            </w:r>
          </w:p>
        </w:tc>
        <w:tc>
          <w:tcPr>
            <w:tcW w:w="16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20" w:type="dxa"/>
            <w:vAlign w:val="bottom"/>
            <w:shd w:val="clear" w:color="auto" w:fill="EEEEEE"/>
          </w:tcPr>
          <w:p>
            <w:pPr>
              <w:spacing w:after="0" w:line="130" w:lineRule="exact"/>
              <w:rPr>
                <w:sz w:val="20"/>
                <w:szCs w:val="20"/>
                <w:color w:val="auto"/>
              </w:rPr>
            </w:pPr>
            <w:r>
              <w:rPr>
                <w:rFonts w:ascii="Arial" w:cs="Arial" w:eastAsia="Arial" w:hAnsi="Arial"/>
                <w:sz w:val="14"/>
                <w:szCs w:val="14"/>
                <w:color w:val="auto"/>
              </w:rPr>
              <w:t>Total delinquencies and amount in</w:t>
            </w:r>
          </w:p>
        </w:tc>
        <w:tc>
          <w:tcPr>
            <w:tcW w:w="11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EEEEE"/>
          </w:tcPr>
          <w:p>
            <w:pPr>
              <w:ind w:left="160"/>
              <w:spacing w:after="0" w:line="149" w:lineRule="exact"/>
              <w:rPr>
                <w:sz w:val="20"/>
                <w:szCs w:val="20"/>
                <w:color w:val="auto"/>
              </w:rPr>
            </w:pPr>
            <w:r>
              <w:rPr>
                <w:rFonts w:ascii="Arial" w:cs="Arial" w:eastAsia="Arial" w:hAnsi="Arial"/>
                <w:sz w:val="14"/>
                <w:szCs w:val="14"/>
                <w:color w:val="auto"/>
              </w:rPr>
              <w:t>repossession as a percentage of gross</w:t>
            </w:r>
          </w:p>
        </w:tc>
        <w:tc>
          <w:tcPr>
            <w:tcW w:w="1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4"/>
                <w:szCs w:val="14"/>
                <w:color w:val="auto"/>
              </w:rPr>
              <w:t>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4"/>
                <w:szCs w:val="14"/>
                <w:color w:val="auto"/>
              </w:rPr>
              <w:t>11.7%</w:t>
            </w:r>
          </w:p>
        </w:tc>
        <w:tc>
          <w:tcPr>
            <w:tcW w:w="200" w:type="dxa"/>
            <w:vAlign w:val="bottom"/>
            <w:shd w:val="clear" w:color="auto" w:fill="EEEEEE"/>
          </w:tcPr>
          <w:p>
            <w:pPr>
              <w:spacing w:after="0"/>
              <w:rPr>
                <w:sz w:val="14"/>
                <w:szCs w:val="14"/>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4"/>
                <w:szCs w:val="14"/>
                <w:color w:val="auto"/>
              </w:rPr>
              <w:t>11.6%</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10.5%</w:t>
            </w:r>
          </w:p>
        </w:tc>
        <w:tc>
          <w:tcPr>
            <w:tcW w:w="200" w:type="dxa"/>
            <w:vAlign w:val="bottom"/>
            <w:shd w:val="clear" w:color="auto" w:fill="EEEEEE"/>
          </w:tcPr>
          <w:p>
            <w:pPr>
              <w:spacing w:after="0"/>
              <w:rPr>
                <w:sz w:val="14"/>
                <w:szCs w:val="14"/>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10.3%</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4"/>
                <w:szCs w:val="14"/>
                <w:color w:val="auto"/>
              </w:rPr>
              <w:t>11.4%</w:t>
            </w:r>
          </w:p>
        </w:tc>
        <w:tc>
          <w:tcPr>
            <w:tcW w:w="16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i w:val="1"/>
                <w:iCs w:val="1"/>
                <w:color w:val="auto"/>
              </w:rPr>
              <w:t>Extension Experience</w:t>
            </w:r>
          </w:p>
        </w:tc>
        <w:tc>
          <w:tcPr>
            <w:tcW w:w="1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Contracts with one extension, accruing</w:t>
            </w:r>
          </w:p>
        </w:tc>
        <w:tc>
          <w:tcPr>
            <w:tcW w:w="15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27,476</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366,400</w:t>
            </w: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33,013</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449,904</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31,708</w:t>
            </w:r>
          </w:p>
        </w:tc>
        <w:tc>
          <w:tcPr>
            <w:tcW w:w="36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430,801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EEEEEE"/>
          </w:tcPr>
          <w:p>
            <w:pPr>
              <w:spacing w:after="0" w:line="130" w:lineRule="exact"/>
              <w:rPr>
                <w:sz w:val="20"/>
                <w:szCs w:val="20"/>
                <w:color w:val="auto"/>
              </w:rPr>
            </w:pPr>
            <w:r>
              <w:rPr>
                <w:rFonts w:ascii="Arial" w:cs="Arial" w:eastAsia="Arial" w:hAnsi="Arial"/>
                <w:sz w:val="14"/>
                <w:szCs w:val="14"/>
                <w:color w:val="auto"/>
              </w:rPr>
              <w:t>Contracts with two or more extensions,</w:t>
            </w:r>
          </w:p>
        </w:tc>
        <w:tc>
          <w:tcPr>
            <w:tcW w:w="11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4"/>
                <w:szCs w:val="14"/>
                <w:color w:val="auto"/>
              </w:rPr>
              <w:t>accruing</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4"/>
                <w:szCs w:val="14"/>
                <w:color w:val="auto"/>
              </w:rPr>
              <w:t>61,692</w:t>
            </w:r>
          </w:p>
        </w:tc>
        <w:tc>
          <w:tcPr>
            <w:tcW w:w="200" w:type="dxa"/>
            <w:vAlign w:val="bottom"/>
            <w:shd w:val="clear" w:color="auto" w:fill="EEEEEE"/>
          </w:tcPr>
          <w:p>
            <w:pPr>
              <w:spacing w:after="0"/>
              <w:rPr>
                <w:sz w:val="14"/>
                <w:szCs w:val="14"/>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4"/>
                <w:szCs w:val="14"/>
                <w:color w:val="auto"/>
              </w:rPr>
              <w:t>833,005</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49,461</w:t>
            </w:r>
          </w:p>
        </w:tc>
        <w:tc>
          <w:tcPr>
            <w:tcW w:w="200" w:type="dxa"/>
            <w:vAlign w:val="bottom"/>
            <w:shd w:val="clear" w:color="auto" w:fill="EEEEEE"/>
          </w:tcPr>
          <w:p>
            <w:pPr>
              <w:spacing w:after="0"/>
              <w:rPr>
                <w:sz w:val="14"/>
                <w:szCs w:val="14"/>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677,496</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4"/>
                <w:szCs w:val="14"/>
                <w:color w:val="auto"/>
              </w:rPr>
              <w:t>55,203</w:t>
            </w:r>
          </w:p>
        </w:tc>
        <w:tc>
          <w:tcPr>
            <w:tcW w:w="16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756,561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89,168</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1,199,405</w:t>
            </w:r>
          </w:p>
        </w:tc>
        <w:tc>
          <w:tcPr>
            <w:tcW w:w="360" w:type="dxa"/>
            <w:vAlign w:val="bottom"/>
          </w:tcPr>
          <w:p>
            <w:pPr>
              <w:spacing w:after="0"/>
              <w:rPr>
                <w:sz w:val="12"/>
                <w:szCs w:val="12"/>
                <w:color w:val="auto"/>
              </w:rPr>
            </w:pP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82,474</w:t>
            </w:r>
          </w:p>
        </w:tc>
        <w:tc>
          <w:tcPr>
            <w:tcW w:w="200" w:type="dxa"/>
            <w:vAlign w:val="bottom"/>
          </w:tcPr>
          <w:p>
            <w:pPr>
              <w:spacing w:after="0"/>
              <w:rPr>
                <w:sz w:val="12"/>
                <w:szCs w:val="12"/>
                <w:color w:val="auto"/>
              </w:rPr>
            </w:pP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1,127,400</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86,911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1,187,362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shd w:val="clear" w:color="auto" w:fill="EEEEEE"/>
          </w:tcPr>
          <w:p>
            <w:pPr>
              <w:spacing w:after="0"/>
              <w:rPr>
                <w:sz w:val="12"/>
                <w:szCs w:val="12"/>
                <w:color w:val="auto"/>
              </w:rPr>
            </w:pPr>
          </w:p>
        </w:tc>
        <w:tc>
          <w:tcPr>
            <w:tcW w:w="1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20" w:type="dxa"/>
            <w:vAlign w:val="bottom"/>
          </w:tcPr>
          <w:p>
            <w:pPr>
              <w:spacing w:after="0" w:line="130" w:lineRule="exact"/>
              <w:rPr>
                <w:sz w:val="20"/>
                <w:szCs w:val="20"/>
                <w:color w:val="auto"/>
              </w:rPr>
            </w:pPr>
            <w:r>
              <w:rPr>
                <w:rFonts w:ascii="Arial" w:cs="Arial" w:eastAsia="Arial" w:hAnsi="Arial"/>
                <w:sz w:val="14"/>
                <w:szCs w:val="14"/>
                <w:color w:val="auto"/>
              </w:rPr>
              <w:t>Contracts with one extension, non-accrual</w:t>
            </w: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gridSpan w:val="2"/>
          </w:tcPr>
          <w:p>
            <w:pPr>
              <w:ind w:left="180"/>
              <w:spacing w:after="0"/>
              <w:rPr>
                <w:sz w:val="20"/>
                <w:szCs w:val="20"/>
                <w:color w:val="auto"/>
              </w:rPr>
            </w:pPr>
            <w:r>
              <w:rPr>
                <w:rFonts w:ascii="Arial" w:cs="Arial" w:eastAsia="Arial" w:hAnsi="Arial"/>
                <w:sz w:val="14"/>
                <w:szCs w:val="14"/>
                <w:color w:val="auto"/>
              </w:rPr>
              <w:t>(4)</w:t>
            </w:r>
          </w:p>
        </w:tc>
        <w:tc>
          <w:tcPr>
            <w:tcW w:w="1180" w:type="dxa"/>
            <w:vAlign w:val="bottom"/>
          </w:tcPr>
          <w:p>
            <w:pPr>
              <w:jc w:val="right"/>
              <w:spacing w:after="0"/>
              <w:rPr>
                <w:sz w:val="20"/>
                <w:szCs w:val="20"/>
                <w:color w:val="auto"/>
              </w:rPr>
            </w:pPr>
            <w:r>
              <w:rPr>
                <w:rFonts w:ascii="Arial" w:cs="Arial" w:eastAsia="Arial" w:hAnsi="Arial"/>
                <w:sz w:val="14"/>
                <w:szCs w:val="14"/>
                <w:color w:val="auto"/>
              </w:rPr>
              <w:t>700</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color w:val="auto"/>
              </w:rPr>
              <w:t>8,311</w:t>
            </w: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1,093</w:t>
            </w:r>
          </w:p>
        </w:tc>
        <w:tc>
          <w:tcPr>
            <w:tcW w:w="2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13,502</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1,032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12,241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shd w:val="clear" w:color="auto" w:fill="EEEEEE"/>
          </w:tcPr>
          <w:p>
            <w:pPr>
              <w:spacing w:after="0"/>
              <w:rPr>
                <w:sz w:val="12"/>
                <w:szCs w:val="12"/>
                <w:color w:val="auto"/>
              </w:rPr>
            </w:pPr>
          </w:p>
        </w:tc>
        <w:tc>
          <w:tcPr>
            <w:tcW w:w="1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20" w:type="dxa"/>
            <w:vAlign w:val="bottom"/>
          </w:tcPr>
          <w:p>
            <w:pPr>
              <w:spacing w:after="0" w:line="130" w:lineRule="exact"/>
              <w:rPr>
                <w:sz w:val="20"/>
                <w:szCs w:val="20"/>
                <w:color w:val="auto"/>
              </w:rPr>
            </w:pPr>
            <w:r>
              <w:rPr>
                <w:rFonts w:ascii="Arial" w:cs="Arial" w:eastAsia="Arial" w:hAnsi="Arial"/>
                <w:sz w:val="14"/>
                <w:szCs w:val="14"/>
                <w:color w:val="auto"/>
              </w:rPr>
              <w:t>Contracts with two or more extensions,</w:t>
            </w: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tcPr>
          <w:p>
            <w:pPr>
              <w:ind w:left="160"/>
              <w:spacing w:after="0"/>
              <w:rPr>
                <w:sz w:val="20"/>
                <w:szCs w:val="20"/>
                <w:color w:val="auto"/>
              </w:rPr>
            </w:pPr>
            <w:r>
              <w:rPr>
                <w:rFonts w:ascii="Arial" w:cs="Arial" w:eastAsia="Arial" w:hAnsi="Arial"/>
                <w:sz w:val="14"/>
                <w:szCs w:val="14"/>
                <w:color w:val="auto"/>
              </w:rPr>
              <w:t>non-accrual (4)</w:t>
            </w: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3,498</w:t>
            </w:r>
          </w:p>
        </w:tc>
        <w:tc>
          <w:tcPr>
            <w:tcW w:w="20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color w:val="auto"/>
              </w:rPr>
              <w:t>45,238</w:t>
            </w: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2,249</w:t>
            </w:r>
          </w:p>
        </w:tc>
        <w:tc>
          <w:tcPr>
            <w:tcW w:w="200" w:type="dxa"/>
            <w:vAlign w:val="bottom"/>
          </w:tcPr>
          <w:p>
            <w:pPr>
              <w:spacing w:after="0"/>
              <w:rPr>
                <w:sz w:val="15"/>
                <w:szCs w:val="15"/>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29,910</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2,701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35,626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Borders>
              <w:top w:val="single" w:sz="8" w:color="EEEEEE"/>
            </w:tcBorders>
            <w:shd w:val="clear" w:color="auto" w:fill="EEEEEE"/>
          </w:tcPr>
          <w:p>
            <w:pPr>
              <w:spacing w:after="0"/>
              <w:rPr>
                <w:sz w:val="12"/>
                <w:szCs w:val="12"/>
                <w:color w:val="auto"/>
              </w:rPr>
            </w:pPr>
          </w:p>
        </w:tc>
        <w:tc>
          <w:tcPr>
            <w:tcW w:w="11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4,198</w:t>
            </w:r>
          </w:p>
        </w:tc>
        <w:tc>
          <w:tcPr>
            <w:tcW w:w="34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53,549</w:t>
            </w:r>
          </w:p>
        </w:tc>
        <w:tc>
          <w:tcPr>
            <w:tcW w:w="360" w:type="dxa"/>
            <w:vAlign w:val="bottom"/>
            <w:tcBorders>
              <w:top w:val="single" w:sz="8" w:color="EEEEEE"/>
            </w:tcBorders>
            <w:shd w:val="clear" w:color="auto" w:fill="EEEEEE"/>
          </w:tcPr>
          <w:p>
            <w:pPr>
              <w:spacing w:after="0"/>
              <w:rPr>
                <w:sz w:val="12"/>
                <w:szCs w:val="12"/>
                <w:color w:val="auto"/>
              </w:rPr>
            </w:pPr>
          </w:p>
        </w:tc>
        <w:tc>
          <w:tcPr>
            <w:tcW w:w="11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3,342</w:t>
            </w:r>
          </w:p>
        </w:tc>
        <w:tc>
          <w:tcPr>
            <w:tcW w:w="32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43,412</w:t>
            </w:r>
          </w:p>
        </w:tc>
        <w:tc>
          <w:tcPr>
            <w:tcW w:w="320" w:type="dxa"/>
            <w:vAlign w:val="bottom"/>
            <w:tcBorders>
              <w:top w:val="single" w:sz="8" w:color="EEEEEE"/>
            </w:tcBorders>
            <w:shd w:val="clear" w:color="auto" w:fill="EEEEEE"/>
          </w:tcPr>
          <w:p>
            <w:pPr>
              <w:spacing w:after="0"/>
              <w:rPr>
                <w:sz w:val="12"/>
                <w:szCs w:val="12"/>
                <w:color w:val="auto"/>
              </w:rPr>
            </w:pPr>
          </w:p>
        </w:tc>
        <w:tc>
          <w:tcPr>
            <w:tcW w:w="11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3,733</w:t>
            </w:r>
          </w:p>
        </w:tc>
        <w:tc>
          <w:tcPr>
            <w:tcW w:w="16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47,867</w:t>
            </w: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tcBorders>
              <w:bottom w:val="single" w:sz="8" w:color="EEEEEE"/>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40" w:type="dxa"/>
            <w:vAlign w:val="bottom"/>
            <w:tcBorders>
              <w:bottom w:val="single" w:sz="8" w:color="EEEEEE"/>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EEEEEE"/>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20" w:type="dxa"/>
            <w:vAlign w:val="bottom"/>
            <w:tcBorders>
              <w:bottom w:val="single" w:sz="8" w:color="EEEEEE"/>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EEEEEE"/>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EEEEEE"/>
            </w:tcBorders>
          </w:tcPr>
          <w:p>
            <w:pPr>
              <w:spacing w:after="0"/>
              <w:rPr>
                <w:sz w:val="14"/>
                <w:szCs w:val="14"/>
                <w:color w:val="auto"/>
              </w:rPr>
            </w:pPr>
          </w:p>
        </w:tc>
        <w:tc>
          <w:tcPr>
            <w:tcW w:w="160" w:type="dxa"/>
            <w:vAlign w:val="bottom"/>
            <w:tcBorders>
              <w:bottom w:val="single" w:sz="8" w:color="EEEEEE"/>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EEEEEE"/>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Borders>
              <w:bottom w:val="single" w:sz="8" w:color="EEEEEE"/>
            </w:tcBorders>
            <w:shd w:val="clear" w:color="auto" w:fill="EEEEEE"/>
          </w:tcPr>
          <w:p>
            <w:pPr>
              <w:spacing w:after="0" w:line="155" w:lineRule="exact"/>
              <w:rPr>
                <w:sz w:val="20"/>
                <w:szCs w:val="20"/>
                <w:color w:val="auto"/>
              </w:rPr>
            </w:pPr>
            <w:r>
              <w:rPr>
                <w:rFonts w:ascii="Arial" w:cs="Arial" w:eastAsia="Arial" w:hAnsi="Arial"/>
                <w:sz w:val="14"/>
                <w:szCs w:val="14"/>
                <w:color w:val="auto"/>
              </w:rPr>
              <w:t>Total contracts with extensions</w:t>
            </w:r>
          </w:p>
        </w:tc>
        <w:tc>
          <w:tcPr>
            <w:tcW w:w="118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93,366</w:t>
            </w:r>
          </w:p>
        </w:tc>
        <w:tc>
          <w:tcPr>
            <w:tcW w:w="340" w:type="dxa"/>
            <w:vAlign w:val="bottom"/>
            <w:tcBorders>
              <w:bottom w:val="single" w:sz="8" w:color="EEEEEE"/>
            </w:tcBorders>
            <w:shd w:val="clear" w:color="auto" w:fill="EEEEEE"/>
          </w:tcPr>
          <w:p>
            <w:pPr>
              <w:spacing w:after="0"/>
              <w:rPr>
                <w:sz w:val="13"/>
                <w:szCs w:val="13"/>
                <w:color w:val="auto"/>
              </w:rPr>
            </w:pPr>
          </w:p>
        </w:tc>
        <w:tc>
          <w:tcPr>
            <w:tcW w:w="200" w:type="dxa"/>
            <w:vAlign w:val="bottom"/>
            <w:tcBorders>
              <w:bottom w:val="single" w:sz="8" w:color="auto"/>
            </w:tcBorders>
            <w:shd w:val="clear" w:color="auto" w:fill="EEEEEE"/>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1,252,954</w:t>
            </w:r>
          </w:p>
        </w:tc>
        <w:tc>
          <w:tcPr>
            <w:tcW w:w="360" w:type="dxa"/>
            <w:vAlign w:val="bottom"/>
            <w:tcBorders>
              <w:bottom w:val="single" w:sz="8" w:color="EEEEEE"/>
            </w:tcBorders>
            <w:shd w:val="clear" w:color="auto" w:fill="EEEEEE"/>
          </w:tcPr>
          <w:p>
            <w:pPr>
              <w:spacing w:after="0"/>
              <w:rPr>
                <w:sz w:val="13"/>
                <w:szCs w:val="13"/>
                <w:color w:val="auto"/>
              </w:rPr>
            </w:pPr>
          </w:p>
        </w:tc>
        <w:tc>
          <w:tcPr>
            <w:tcW w:w="116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85,816</w:t>
            </w:r>
          </w:p>
        </w:tc>
        <w:tc>
          <w:tcPr>
            <w:tcW w:w="320" w:type="dxa"/>
            <w:vAlign w:val="bottom"/>
            <w:tcBorders>
              <w:bottom w:val="single" w:sz="8" w:color="EEEEEE"/>
            </w:tcBorders>
            <w:shd w:val="clear" w:color="auto" w:fill="EEEEEE"/>
          </w:tcPr>
          <w:p>
            <w:pPr>
              <w:spacing w:after="0"/>
              <w:rPr>
                <w:sz w:val="13"/>
                <w:szCs w:val="13"/>
                <w:color w:val="auto"/>
              </w:rPr>
            </w:pPr>
          </w:p>
        </w:tc>
        <w:tc>
          <w:tcPr>
            <w:tcW w:w="200" w:type="dxa"/>
            <w:vAlign w:val="bottom"/>
            <w:tcBorders>
              <w:bottom w:val="single" w:sz="8" w:color="auto"/>
            </w:tcBorders>
            <w:shd w:val="clear" w:color="auto" w:fill="EEEEEE"/>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1,170,812</w:t>
            </w:r>
          </w:p>
        </w:tc>
        <w:tc>
          <w:tcPr>
            <w:tcW w:w="320" w:type="dxa"/>
            <w:vAlign w:val="bottom"/>
            <w:tcBorders>
              <w:bottom w:val="single" w:sz="8" w:color="EEEEEE"/>
            </w:tcBorders>
            <w:shd w:val="clear" w:color="auto" w:fill="EEEEEE"/>
          </w:tcPr>
          <w:p>
            <w:pPr>
              <w:spacing w:after="0"/>
              <w:rPr>
                <w:sz w:val="13"/>
                <w:szCs w:val="13"/>
                <w:color w:val="auto"/>
              </w:rPr>
            </w:pPr>
          </w:p>
        </w:tc>
        <w:tc>
          <w:tcPr>
            <w:tcW w:w="114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90,644</w:t>
            </w:r>
          </w:p>
        </w:tc>
        <w:tc>
          <w:tcPr>
            <w:tcW w:w="160" w:type="dxa"/>
            <w:vAlign w:val="bottom"/>
            <w:tcBorders>
              <w:bottom w:val="single" w:sz="8" w:color="EEEEEE"/>
            </w:tcBorders>
            <w:shd w:val="clear" w:color="auto" w:fill="EEEEEE"/>
          </w:tcPr>
          <w:p>
            <w:pPr>
              <w:spacing w:after="0"/>
              <w:rPr>
                <w:sz w:val="13"/>
                <w:szCs w:val="13"/>
                <w:color w:val="auto"/>
              </w:rPr>
            </w:pPr>
          </w:p>
        </w:tc>
        <w:tc>
          <w:tcPr>
            <w:tcW w:w="160" w:type="dxa"/>
            <w:vAlign w:val="bottom"/>
            <w:tcBorders>
              <w:bottom w:val="single" w:sz="8" w:color="EEEEEE"/>
            </w:tcBorders>
            <w:shd w:val="clear" w:color="auto" w:fill="EEEEEE"/>
          </w:tcPr>
          <w:p>
            <w:pPr>
              <w:spacing w:after="0"/>
              <w:rPr>
                <w:sz w:val="13"/>
                <w:szCs w:val="13"/>
                <w:color w:val="auto"/>
              </w:rPr>
            </w:pPr>
          </w:p>
        </w:tc>
        <w:tc>
          <w:tcPr>
            <w:tcW w:w="200" w:type="dxa"/>
            <w:vAlign w:val="bottom"/>
            <w:tcBorders>
              <w:bottom w:val="single" w:sz="8" w:color="auto"/>
            </w:tcBorders>
            <w:shd w:val="clear" w:color="auto" w:fill="EEEEEE"/>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1,235,229</w:t>
            </w:r>
          </w:p>
        </w:tc>
        <w:tc>
          <w:tcPr>
            <w:tcW w:w="100" w:type="dxa"/>
            <w:vAlign w:val="bottom"/>
            <w:tcBorders>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w:t>
      </w:r>
    </w:p>
    <w:p>
      <w:pPr>
        <w:spacing w:after="0" w:line="141" w:lineRule="exact"/>
        <w:rPr>
          <w:sz w:val="20"/>
          <w:szCs w:val="20"/>
          <w:color w:val="auto"/>
        </w:rPr>
      </w:pPr>
    </w:p>
    <w:p>
      <w:pPr>
        <w:jc w:val="both"/>
        <w:ind w:firstLine="8"/>
        <w:spacing w:after="0" w:line="264" w:lineRule="auto"/>
        <w:tabs>
          <w:tab w:leader="none" w:pos="223" w:val="left"/>
        </w:tabs>
        <w:numPr>
          <w:ilvl w:val="0"/>
          <w:numId w:val="14"/>
        </w:numPr>
        <w:rPr>
          <w:rFonts w:ascii="Arial" w:cs="Arial" w:eastAsia="Arial" w:hAnsi="Arial"/>
          <w:sz w:val="13"/>
          <w:szCs w:val="13"/>
          <w:i w:val="1"/>
          <w:iCs w:val="1"/>
          <w:color w:val="auto"/>
        </w:rPr>
      </w:pPr>
      <w:r>
        <w:rPr>
          <w:rFonts w:ascii="Arial" w:cs="Arial" w:eastAsia="Arial" w:hAnsi="Arial"/>
          <w:sz w:val="13"/>
          <w:szCs w:val="13"/>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00" w:lineRule="exact"/>
        <w:rPr>
          <w:rFonts w:ascii="Arial" w:cs="Arial" w:eastAsia="Arial" w:hAnsi="Arial"/>
          <w:sz w:val="13"/>
          <w:szCs w:val="13"/>
          <w:i w:val="1"/>
          <w:iCs w:val="1"/>
          <w:color w:val="auto"/>
        </w:rPr>
      </w:pPr>
    </w:p>
    <w:p>
      <w:pPr>
        <w:jc w:val="both"/>
        <w:ind w:firstLine="8"/>
        <w:spacing w:after="0" w:line="238" w:lineRule="auto"/>
        <w:tabs>
          <w:tab w:leader="none" w:pos="208"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15" w:lineRule="exact"/>
        <w:rPr>
          <w:rFonts w:ascii="Arial" w:cs="Arial" w:eastAsia="Arial" w:hAnsi="Arial"/>
          <w:sz w:val="14"/>
          <w:szCs w:val="14"/>
          <w:i w:val="1"/>
          <w:iCs w:val="1"/>
          <w:color w:val="auto"/>
        </w:rPr>
      </w:pPr>
    </w:p>
    <w:p>
      <w:pPr>
        <w:ind w:left="220" w:hanging="212"/>
        <w:spacing w:after="0"/>
        <w:tabs>
          <w:tab w:leader="none" w:pos="2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Amount in repossession represents financed vehicles that have been repossessed but not yet liquidated.</w:t>
      </w:r>
    </w:p>
    <w:p>
      <w:pPr>
        <w:spacing w:after="0" w:line="136" w:lineRule="exact"/>
        <w:rPr>
          <w:rFonts w:ascii="Arial" w:cs="Arial" w:eastAsia="Arial" w:hAnsi="Arial"/>
          <w:sz w:val="14"/>
          <w:szCs w:val="14"/>
          <w:i w:val="1"/>
          <w:iCs w:val="1"/>
          <w:color w:val="auto"/>
        </w:rPr>
      </w:pPr>
    </w:p>
    <w:p>
      <w:pPr>
        <w:ind w:left="220" w:hanging="212"/>
        <w:spacing w:after="0"/>
        <w:tabs>
          <w:tab w:leader="none" w:pos="2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Amount in repossession and 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sectPr>
      </w:pPr>
    </w:p>
    <w:bookmarkStart w:id="33" w:name="page34"/>
    <w:bookmarkEnd w:id="33"/>
    <w:p>
      <w:pPr>
        <w:jc w:val="center"/>
        <w:ind w:right="100"/>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Total Owned Portfolio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September 30,</w:t>
            </w:r>
          </w:p>
        </w:tc>
        <w:tc>
          <w:tcPr>
            <w:tcW w:w="400" w:type="dxa"/>
            <w:vAlign w:val="bottom"/>
          </w:tcPr>
          <w:p>
            <w:pPr>
              <w:spacing w:after="0"/>
              <w:rPr>
                <w:sz w:val="19"/>
                <w:szCs w:val="19"/>
                <w:color w:val="auto"/>
              </w:rPr>
            </w:pP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September 30,</w:t>
            </w:r>
          </w:p>
        </w:tc>
        <w:tc>
          <w:tcPr>
            <w:tcW w:w="32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2,332,256</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2,332,325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2,334,008</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20"/>
                <w:szCs w:val="20"/>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_________________________</w:t>
      </w:r>
    </w:p>
    <w:p>
      <w:pPr>
        <w:spacing w:after="0" w:line="23" w:lineRule="exact"/>
        <w:rPr>
          <w:sz w:val="20"/>
          <w:szCs w:val="20"/>
          <w:color w:val="auto"/>
        </w:rPr>
      </w:pPr>
    </w:p>
    <w:p>
      <w:pPr>
        <w:ind w:firstLine="8"/>
        <w:spacing w:after="0" w:line="261" w:lineRule="auto"/>
        <w:tabs>
          <w:tab w:leader="none" w:pos="278"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spacing w:after="0" w:line="183" w:lineRule="exact"/>
        <w:rPr>
          <w:rFonts w:ascii="Arial" w:cs="Arial" w:eastAsia="Arial" w:hAnsi="Arial"/>
          <w:sz w:val="18"/>
          <w:szCs w:val="18"/>
          <w:i w:val="1"/>
          <w:iCs w:val="1"/>
          <w:color w:val="auto"/>
        </w:rPr>
      </w:pPr>
    </w:p>
    <w:p>
      <w:pPr>
        <w:jc w:val="both"/>
        <w:ind w:firstLine="8"/>
        <w:spacing w:after="0" w:line="279" w:lineRule="auto"/>
        <w:tabs>
          <w:tab w:leader="none" w:pos="265"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September 30, 2018 and September 30, 2017 percentages represent nine months ended September 30, 2018 and September 30, 2017 annualized. December 31, 2017 represents 12 months ended December 31, 2017.</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73"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applied to the loan as a partial payment) from the obligor, thereby indicating an additional monetary and psychological commitment to the contract on the obligor’s part.</w:t>
      </w:r>
    </w:p>
    <w:p>
      <w:pPr>
        <w:spacing w:after="0" w:line="167"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 (2) 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4" w:name="page35"/>
    <w:bookmarkEnd w:id="34"/>
    <w:p>
      <w:pPr>
        <w:jc w:val="both"/>
        <w:ind w:right="360" w:firstLine="360"/>
        <w:spacing w:after="0" w:line="264"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September 30, 2018, for accounts that received extensions from 2008 through 2017 (2018 extension data are not included at this time due to insufficient passage of time for meaningful evaluation of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Active or Paid</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 Active or Paid</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Charged Off &gt; 6</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 Charged Off &gt;</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Charged Off &lt;=</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 Charged Off</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Avg Months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9"/>
              </w:rPr>
              <w:t># Extensions</w:t>
            </w: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Off at September</w:t>
            </w: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Off at September</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8"/>
              </w:rPr>
              <w:t>Months After</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6 Months After</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6 Months After</w:t>
            </w: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&lt;= 6 Months</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Charge Off Post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80" w:type="dxa"/>
            <w:vAlign w:val="bottom"/>
            <w:gridSpan w:val="3"/>
          </w:tcPr>
          <w:p>
            <w:pPr>
              <w:jc w:val="center"/>
              <w:ind w:right="360"/>
              <w:spacing w:after="0"/>
              <w:rPr>
                <w:sz w:val="20"/>
                <w:szCs w:val="20"/>
                <w:color w:val="auto"/>
              </w:rPr>
            </w:pPr>
            <w:r>
              <w:rPr>
                <w:rFonts w:ascii="Arial" w:cs="Arial" w:eastAsia="Arial" w:hAnsi="Arial"/>
                <w:sz w:val="14"/>
                <w:szCs w:val="14"/>
                <w:color w:val="auto"/>
                <w:w w:val="93"/>
              </w:rPr>
              <w:t>Period of Extension</w:t>
            </w:r>
          </w:p>
        </w:tc>
        <w:tc>
          <w:tcPr>
            <w:tcW w:w="1200" w:type="dxa"/>
            <w:vAlign w:val="bottom"/>
            <w:gridSpan w:val="2"/>
          </w:tcPr>
          <w:p>
            <w:pPr>
              <w:jc w:val="right"/>
              <w:ind w:right="600"/>
              <w:spacing w:after="0"/>
              <w:rPr>
                <w:sz w:val="20"/>
                <w:szCs w:val="20"/>
                <w:color w:val="auto"/>
              </w:rPr>
            </w:pPr>
            <w:r>
              <w:rPr>
                <w:rFonts w:ascii="Arial" w:cs="Arial" w:eastAsia="Arial" w:hAnsi="Arial"/>
                <w:sz w:val="14"/>
                <w:szCs w:val="14"/>
                <w:color w:val="auto"/>
              </w:rPr>
              <w:t>Granted</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30, 2018</w:t>
            </w:r>
          </w:p>
        </w:tc>
        <w:tc>
          <w:tcPr>
            <w:tcW w:w="2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30, 2018</w:t>
            </w:r>
          </w:p>
        </w:tc>
        <w:tc>
          <w:tcPr>
            <w:tcW w:w="2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Extension</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Extension</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Extension</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After Extension</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Extension</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2008</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35,588</w:t>
            </w:r>
          </w:p>
        </w:tc>
        <w:tc>
          <w:tcPr>
            <w:tcW w:w="12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10,710</w:t>
            </w:r>
          </w:p>
        </w:tc>
        <w:tc>
          <w:tcPr>
            <w:tcW w:w="12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30.1%</w:t>
            </w:r>
          </w:p>
        </w:tc>
        <w:tc>
          <w:tcPr>
            <w:tcW w:w="12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20,059</w:t>
            </w: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56.4%</w:t>
            </w:r>
          </w:p>
        </w:tc>
        <w:tc>
          <w:tcPr>
            <w:tcW w:w="12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4,819</w:t>
            </w: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13.5%</w:t>
            </w:r>
          </w:p>
        </w:tc>
        <w:tc>
          <w:tcPr>
            <w:tcW w:w="11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2009</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32,226</w:t>
            </w:r>
          </w:p>
        </w:tc>
        <w:tc>
          <w:tcPr>
            <w:tcW w:w="12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10,275</w:t>
            </w:r>
          </w:p>
        </w:tc>
        <w:tc>
          <w:tcPr>
            <w:tcW w:w="12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31.9%</w:t>
            </w:r>
          </w:p>
        </w:tc>
        <w:tc>
          <w:tcPr>
            <w:tcW w:w="12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16,168</w:t>
            </w: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50.2%</w:t>
            </w:r>
          </w:p>
        </w:tc>
        <w:tc>
          <w:tcPr>
            <w:tcW w:w="12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5,783</w:t>
            </w: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17.9%</w:t>
            </w:r>
          </w:p>
        </w:tc>
        <w:tc>
          <w:tcPr>
            <w:tcW w:w="11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2010</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26,167</w:t>
            </w:r>
          </w:p>
        </w:tc>
        <w:tc>
          <w:tcPr>
            <w:tcW w:w="12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12,166</w:t>
            </w:r>
          </w:p>
        </w:tc>
        <w:tc>
          <w:tcPr>
            <w:tcW w:w="12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46.5%</w:t>
            </w:r>
          </w:p>
        </w:tc>
        <w:tc>
          <w:tcPr>
            <w:tcW w:w="12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12,002</w:t>
            </w: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45.9%</w:t>
            </w:r>
          </w:p>
        </w:tc>
        <w:tc>
          <w:tcPr>
            <w:tcW w:w="12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1,999</w:t>
            </w: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7.6%</w:t>
            </w:r>
          </w:p>
        </w:tc>
        <w:tc>
          <w:tcPr>
            <w:tcW w:w="11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2011</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18,786</w:t>
            </w:r>
          </w:p>
        </w:tc>
        <w:tc>
          <w:tcPr>
            <w:tcW w:w="12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10,976</w:t>
            </w:r>
          </w:p>
        </w:tc>
        <w:tc>
          <w:tcPr>
            <w:tcW w:w="12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58.4%</w:t>
            </w:r>
          </w:p>
        </w:tc>
        <w:tc>
          <w:tcPr>
            <w:tcW w:w="12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6,878</w:t>
            </w: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36.6%</w:t>
            </w:r>
          </w:p>
        </w:tc>
        <w:tc>
          <w:tcPr>
            <w:tcW w:w="12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932</w:t>
            </w: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11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2012</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18,783</w:t>
            </w:r>
          </w:p>
        </w:tc>
        <w:tc>
          <w:tcPr>
            <w:tcW w:w="10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11,363</w:t>
            </w:r>
          </w:p>
        </w:tc>
        <w:tc>
          <w:tcPr>
            <w:tcW w:w="24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60.5%</w:t>
            </w:r>
          </w:p>
        </w:tc>
        <w:tc>
          <w:tcPr>
            <w:tcW w:w="12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6,624</w:t>
            </w: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35.3%</w:t>
            </w:r>
          </w:p>
        </w:tc>
        <w:tc>
          <w:tcPr>
            <w:tcW w:w="12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796</w:t>
            </w: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4.2%</w:t>
            </w:r>
          </w:p>
        </w:tc>
        <w:tc>
          <w:tcPr>
            <w:tcW w:w="11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2013</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23,398</w:t>
            </w:r>
          </w:p>
        </w:tc>
        <w:tc>
          <w:tcPr>
            <w:tcW w:w="10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11,693</w:t>
            </w:r>
          </w:p>
        </w:tc>
        <w:tc>
          <w:tcPr>
            <w:tcW w:w="24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50.0%</w:t>
            </w:r>
          </w:p>
        </w:tc>
        <w:tc>
          <w:tcPr>
            <w:tcW w:w="12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10,729</w:t>
            </w: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45.9%</w:t>
            </w:r>
          </w:p>
        </w:tc>
        <w:tc>
          <w:tcPr>
            <w:tcW w:w="12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976</w:t>
            </w: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4.2%</w:t>
            </w:r>
          </w:p>
        </w:tc>
        <w:tc>
          <w:tcPr>
            <w:tcW w:w="11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2014</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25,773</w:t>
            </w:r>
          </w:p>
        </w:tc>
        <w:tc>
          <w:tcPr>
            <w:tcW w:w="12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12,083</w:t>
            </w:r>
          </w:p>
        </w:tc>
        <w:tc>
          <w:tcPr>
            <w:tcW w:w="12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46.9%</w:t>
            </w:r>
          </w:p>
        </w:tc>
        <w:tc>
          <w:tcPr>
            <w:tcW w:w="12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12,864</w:t>
            </w: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49.9%</w:t>
            </w:r>
          </w:p>
        </w:tc>
        <w:tc>
          <w:tcPr>
            <w:tcW w:w="12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826</w:t>
            </w: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3.2%</w:t>
            </w:r>
          </w:p>
        </w:tc>
        <w:tc>
          <w:tcPr>
            <w:tcW w:w="11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2015</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53,319</w:t>
            </w:r>
          </w:p>
        </w:tc>
        <w:tc>
          <w:tcPr>
            <w:tcW w:w="12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29,443</w:t>
            </w:r>
          </w:p>
        </w:tc>
        <w:tc>
          <w:tcPr>
            <w:tcW w:w="12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55.2%</w:t>
            </w:r>
          </w:p>
        </w:tc>
        <w:tc>
          <w:tcPr>
            <w:tcW w:w="12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22,794</w:t>
            </w: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42.8%</w:t>
            </w:r>
          </w:p>
        </w:tc>
        <w:tc>
          <w:tcPr>
            <w:tcW w:w="12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1,082</w:t>
            </w: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11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2016</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80,897</w:t>
            </w:r>
          </w:p>
        </w:tc>
        <w:tc>
          <w:tcPr>
            <w:tcW w:w="12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55,398</w:t>
            </w:r>
          </w:p>
        </w:tc>
        <w:tc>
          <w:tcPr>
            <w:tcW w:w="12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68.5%</w:t>
            </w:r>
          </w:p>
        </w:tc>
        <w:tc>
          <w:tcPr>
            <w:tcW w:w="12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23,566</w:t>
            </w: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29.1%</w:t>
            </w:r>
          </w:p>
        </w:tc>
        <w:tc>
          <w:tcPr>
            <w:tcW w:w="12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1,933</w:t>
            </w: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2.4%</w:t>
            </w:r>
          </w:p>
        </w:tc>
        <w:tc>
          <w:tcPr>
            <w:tcW w:w="11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2017</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133,881</w:t>
            </w:r>
          </w:p>
        </w:tc>
        <w:tc>
          <w:tcPr>
            <w:tcW w:w="12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107,419</w:t>
            </w:r>
          </w:p>
        </w:tc>
        <w:tc>
          <w:tcPr>
            <w:tcW w:w="12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80.2%</w:t>
            </w:r>
          </w:p>
        </w:tc>
        <w:tc>
          <w:tcPr>
            <w:tcW w:w="12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19,502</w:t>
            </w: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14.6%</w:t>
            </w:r>
          </w:p>
        </w:tc>
        <w:tc>
          <w:tcPr>
            <w:tcW w:w="12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6,640</w:t>
            </w: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11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gridSpan w:val="3"/>
          </w:tcPr>
          <w:p>
            <w:pPr>
              <w:jc w:val="right"/>
              <w:spacing w:after="0" w:line="142" w:lineRule="exact"/>
              <w:rPr>
                <w:sz w:val="20"/>
                <w:szCs w:val="20"/>
                <w:color w:val="auto"/>
              </w:rPr>
            </w:pPr>
            <w:r>
              <w:rPr>
                <w:rFonts w:ascii="Arial" w:cs="Arial" w:eastAsia="Arial" w:hAnsi="Arial"/>
                <w:sz w:val="14"/>
                <w:szCs w:val="14"/>
                <w:color w:val="auto"/>
                <w:w w:val="91"/>
              </w:rPr>
              <w:t>______________________</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Note: Table excludes extensions on portfolios serviced for third parties</w:t>
      </w:r>
    </w:p>
    <w:p>
      <w:pPr>
        <w:spacing w:after="0" w:line="19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example, of the accounts granted extensions in 2012, 60.5% were either paid in full or active and performing at September 30, 2018.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87"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18 months after the extension, indicating that even in the cases of an ultimate loss, the obligor serviced the account with additional payments of principal and interest.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about our extensions is provided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440" w:type="dxa"/>
            <w:vAlign w:val="bottom"/>
            <w:gridSpan w:val="4"/>
          </w:tcPr>
          <w:p>
            <w:pPr>
              <w:jc w:val="right"/>
              <w:ind w:right="620"/>
              <w:spacing w:after="0"/>
              <w:rPr>
                <w:sz w:val="20"/>
                <w:szCs w:val="20"/>
                <w:color w:val="auto"/>
              </w:rPr>
            </w:pPr>
            <w:r>
              <w:rPr>
                <w:rFonts w:ascii="Arial" w:cs="Arial" w:eastAsia="Arial" w:hAnsi="Arial"/>
                <w:sz w:val="18"/>
                <w:szCs w:val="18"/>
                <w:color w:val="auto"/>
                <w:w w:val="99"/>
              </w:rPr>
              <w:t>Nine Months Ended September 30,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34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10,460</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10,965</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11,157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174,425</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172,791</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173,137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Average monthly extensions as % of average outstandings</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6.0%</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6.3%</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color w:val="auto"/>
              </w:rPr>
              <w:t>September 30, 2018</w:t>
            </w:r>
          </w:p>
        </w:tc>
        <w:tc>
          <w:tcPr>
            <w:tcW w:w="2480" w:type="dxa"/>
            <w:vAlign w:val="bottom"/>
            <w:gridSpan w:val="5"/>
          </w:tcPr>
          <w:p>
            <w:pPr>
              <w:ind w:left="500"/>
              <w:spacing w:after="0"/>
              <w:rPr>
                <w:sz w:val="20"/>
                <w:szCs w:val="20"/>
                <w:color w:val="auto"/>
              </w:rPr>
            </w:pPr>
            <w:r>
              <w:rPr>
                <w:rFonts w:ascii="Arial" w:cs="Arial" w:eastAsia="Arial" w:hAnsi="Arial"/>
                <w:sz w:val="14"/>
                <w:szCs w:val="14"/>
                <w:color w:val="auto"/>
              </w:rPr>
              <w:t>September 30, 2017</w:t>
            </w:r>
          </w:p>
        </w:tc>
        <w:tc>
          <w:tcPr>
            <w:tcW w:w="2240" w:type="dxa"/>
            <w:vAlign w:val="bottom"/>
            <w:gridSpan w:val="6"/>
          </w:tcPr>
          <w:p>
            <w:pPr>
              <w:ind w:left="500"/>
              <w:spacing w:after="0"/>
              <w:rPr>
                <w:sz w:val="20"/>
                <w:szCs w:val="20"/>
                <w:color w:val="auto"/>
              </w:rPr>
            </w:pPr>
            <w:r>
              <w:rPr>
                <w:rFonts w:ascii="Arial" w:cs="Arial" w:eastAsia="Arial" w:hAnsi="Arial"/>
                <w:sz w:val="14"/>
                <w:szCs w:val="14"/>
                <w:color w:val="auto"/>
              </w:rPr>
              <w:t>December 31, 2017</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300" w:type="dxa"/>
            <w:vAlign w:val="bottom"/>
            <w:tcBorders>
              <w:top w:val="single" w:sz="8" w:color="auto"/>
            </w:tcBorders>
            <w:gridSpan w:val="2"/>
          </w:tcPr>
          <w:p>
            <w:pPr>
              <w:jc w:val="center"/>
              <w:ind w:right="360"/>
              <w:spacing w:after="0" w:line="123" w:lineRule="exact"/>
              <w:rPr>
                <w:sz w:val="20"/>
                <w:szCs w:val="20"/>
                <w:color w:val="auto"/>
              </w:rPr>
            </w:pPr>
            <w:r>
              <w:rPr>
                <w:rFonts w:ascii="Arial" w:cs="Arial" w:eastAsia="Arial" w:hAnsi="Arial"/>
                <w:sz w:val="14"/>
                <w:szCs w:val="14"/>
                <w:color w:val="auto"/>
                <w:w w:val="94"/>
              </w:rPr>
              <w:t>Number of</w:t>
            </w: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Borders>
              <w:top w:val="single" w:sz="8" w:color="auto"/>
            </w:tcBorders>
            <w:gridSpan w:val="2"/>
          </w:tcPr>
          <w:p>
            <w:pPr>
              <w:jc w:val="right"/>
              <w:ind w:right="460"/>
              <w:spacing w:after="0" w:line="123" w:lineRule="exact"/>
              <w:rPr>
                <w:sz w:val="20"/>
                <w:szCs w:val="20"/>
                <w:color w:val="auto"/>
              </w:rPr>
            </w:pPr>
            <w:r>
              <w:rPr>
                <w:rFonts w:ascii="Arial" w:cs="Arial" w:eastAsia="Arial" w:hAnsi="Arial"/>
                <w:sz w:val="14"/>
                <w:szCs w:val="14"/>
                <w:color w:val="auto"/>
              </w:rPr>
              <w:t>Number of</w:t>
            </w: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300"/>
              <w:spacing w:after="0" w:line="123" w:lineRule="exact"/>
              <w:rPr>
                <w:sz w:val="20"/>
                <w:szCs w:val="20"/>
                <w:color w:val="auto"/>
              </w:rPr>
            </w:pPr>
            <w:r>
              <w:rPr>
                <w:rFonts w:ascii="Arial" w:cs="Arial" w:eastAsia="Arial" w:hAnsi="Arial"/>
                <w:sz w:val="14"/>
                <w:szCs w:val="14"/>
                <w:color w:val="auto"/>
              </w:rPr>
              <w:t>Number of</w:t>
            </w: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Contracts</w:t>
            </w:r>
          </w:p>
        </w:tc>
        <w:tc>
          <w:tcPr>
            <w:tcW w:w="14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color w:val="auto"/>
              </w:rPr>
              <w:t>Amount</w:t>
            </w: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Contracts</w:t>
            </w: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Contracts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160" w:type="dxa"/>
            <w:vAlign w:val="bottom"/>
            <w:tcBorders>
              <w:top w:val="single" w:sz="8" w:color="auto"/>
            </w:tcBorders>
            <w:gridSpan w:val="4"/>
          </w:tcPr>
          <w:p>
            <w:pPr>
              <w:jc w:val="right"/>
              <w:ind w:right="368"/>
              <w:spacing w:after="0"/>
              <w:rPr>
                <w:sz w:val="20"/>
                <w:szCs w:val="20"/>
                <w:color w:val="auto"/>
              </w:rPr>
            </w:pPr>
            <w:r>
              <w:rPr>
                <w:rFonts w:ascii="Arial" w:cs="Arial" w:eastAsia="Arial" w:hAnsi="Arial"/>
                <w:sz w:val="14"/>
                <w:szCs w:val="14"/>
                <w:color w:val="auto"/>
              </w:rPr>
              <w:t>(Dollars in thousands)</w:t>
            </w:r>
          </w:p>
        </w:tc>
        <w:tc>
          <w:tcPr>
            <w:tcW w:w="3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Contracts with one extension</w:t>
            </w:r>
          </w:p>
        </w:tc>
        <w:tc>
          <w:tcPr>
            <w:tcW w:w="130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28,176</w:t>
            </w:r>
          </w:p>
        </w:tc>
        <w:tc>
          <w:tcPr>
            <w:tcW w:w="140" w:type="dxa"/>
            <w:vAlign w:val="bottom"/>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374,711</w:t>
            </w:r>
          </w:p>
        </w:tc>
        <w:tc>
          <w:tcPr>
            <w:tcW w:w="12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34,106</w:t>
            </w:r>
          </w:p>
        </w:tc>
        <w:tc>
          <w:tcPr>
            <w:tcW w:w="160" w:type="dxa"/>
            <w:vAlign w:val="bottom"/>
            <w:shd w:val="clear" w:color="auto" w:fill="EEEEEE"/>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463,405</w:t>
            </w:r>
          </w:p>
        </w:tc>
        <w:tc>
          <w:tcPr>
            <w:tcW w:w="1060" w:type="dxa"/>
            <w:vAlign w:val="bottom"/>
            <w:gridSpan w:val="2"/>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32,740</w:t>
            </w:r>
          </w:p>
        </w:tc>
        <w:tc>
          <w:tcPr>
            <w:tcW w:w="320" w:type="dxa"/>
            <w:vAlign w:val="bottom"/>
            <w:gridSpan w:val="2"/>
            <w:shd w:val="clear" w:color="auto" w:fill="EEEEEE"/>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443,042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Contracts with two extensions</w:t>
            </w:r>
          </w:p>
        </w:tc>
        <w:tc>
          <w:tcPr>
            <w:tcW w:w="13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21,294</w:t>
            </w:r>
          </w:p>
        </w:tc>
        <w:tc>
          <w:tcPr>
            <w:tcW w:w="14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285,741</w:t>
            </w: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23,609</w:t>
            </w:r>
          </w:p>
        </w:tc>
        <w:tc>
          <w:tcPr>
            <w:tcW w:w="16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327,195</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24,375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335,643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Contracts with three extensions</w:t>
            </w:r>
          </w:p>
        </w:tc>
        <w:tc>
          <w:tcPr>
            <w:tcW w:w="130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17,435</w:t>
            </w:r>
          </w:p>
        </w:tc>
        <w:tc>
          <w:tcPr>
            <w:tcW w:w="1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237,743</w:t>
            </w:r>
          </w:p>
        </w:tc>
        <w:tc>
          <w:tcPr>
            <w:tcW w:w="12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14,428</w:t>
            </w:r>
          </w:p>
        </w:tc>
        <w:tc>
          <w:tcPr>
            <w:tcW w:w="16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199,959</w:t>
            </w:r>
          </w:p>
        </w:tc>
        <w:tc>
          <w:tcPr>
            <w:tcW w:w="1060" w:type="dxa"/>
            <w:vAlign w:val="bottom"/>
            <w:gridSpan w:val="2"/>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16,378</w:t>
            </w: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8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227,980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Contracts with four extensions</w:t>
            </w:r>
          </w:p>
        </w:tc>
        <w:tc>
          <w:tcPr>
            <w:tcW w:w="13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13,152</w:t>
            </w:r>
          </w:p>
        </w:tc>
        <w:tc>
          <w:tcPr>
            <w:tcW w:w="14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180,657</w:t>
            </w: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7,919</w:t>
            </w:r>
          </w:p>
        </w:tc>
        <w:tc>
          <w:tcPr>
            <w:tcW w:w="16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106,927</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9,506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129,795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Contracts with five extensions</w:t>
            </w:r>
          </w:p>
        </w:tc>
        <w:tc>
          <w:tcPr>
            <w:tcW w:w="130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8,544</w:t>
            </w:r>
          </w:p>
        </w:tc>
        <w:tc>
          <w:tcPr>
            <w:tcW w:w="1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114,061</w:t>
            </w:r>
          </w:p>
        </w:tc>
        <w:tc>
          <w:tcPr>
            <w:tcW w:w="12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3,985</w:t>
            </w:r>
          </w:p>
        </w:tc>
        <w:tc>
          <w:tcPr>
            <w:tcW w:w="16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52,015</w:t>
            </w:r>
          </w:p>
        </w:tc>
        <w:tc>
          <w:tcPr>
            <w:tcW w:w="1060" w:type="dxa"/>
            <w:vAlign w:val="bottom"/>
            <w:gridSpan w:val="2"/>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5,096</w:t>
            </w: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8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67,703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Contracts with six extensions</w:t>
            </w:r>
          </w:p>
        </w:tc>
        <w:tc>
          <w:tcPr>
            <w:tcW w:w="1300" w:type="dxa"/>
            <w:vAlign w:val="bottom"/>
            <w:gridSpan w:val="2"/>
          </w:tcPr>
          <w:p>
            <w:pPr>
              <w:jc w:val="right"/>
              <w:ind w:right="360"/>
              <w:spacing w:after="0"/>
              <w:rPr>
                <w:sz w:val="20"/>
                <w:szCs w:val="20"/>
                <w:color w:val="auto"/>
              </w:rPr>
            </w:pPr>
            <w:r>
              <w:rPr>
                <w:rFonts w:ascii="Arial" w:cs="Arial" w:eastAsia="Arial" w:hAnsi="Arial"/>
                <w:sz w:val="14"/>
                <w:szCs w:val="14"/>
                <w:color w:val="auto"/>
              </w:rPr>
              <w:t>4,765</w:t>
            </w:r>
          </w:p>
        </w:tc>
        <w:tc>
          <w:tcPr>
            <w:tcW w:w="14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rPr>
              <w:t>60,041</w:t>
            </w: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1,769</w:t>
            </w:r>
          </w:p>
        </w:tc>
        <w:tc>
          <w:tcPr>
            <w:tcW w:w="16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21,311</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2,549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31,067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tcBorders>
              <w:top w:val="single" w:sz="8" w:color="EEEEEE"/>
              <w:bottom w:val="single" w:sz="8" w:color="EEEEEE"/>
            </w:tcBorders>
            <w:shd w:val="clear" w:color="auto" w:fill="EEEEEE"/>
          </w:tcPr>
          <w:p>
            <w:pPr>
              <w:spacing w:after="0"/>
              <w:rPr>
                <w:sz w:val="13"/>
                <w:szCs w:val="13"/>
                <w:color w:val="auto"/>
              </w:rPr>
            </w:pPr>
          </w:p>
        </w:tc>
        <w:tc>
          <w:tcPr>
            <w:tcW w:w="9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93,366</w:t>
            </w:r>
          </w:p>
        </w:tc>
        <w:tc>
          <w:tcPr>
            <w:tcW w:w="360" w:type="dxa"/>
            <w:vAlign w:val="bottom"/>
            <w:tcBorders>
              <w:top w:val="single" w:sz="8" w:color="EEEEEE"/>
              <w:bottom w:val="single" w:sz="8" w:color="EEEEEE"/>
            </w:tcBorders>
            <w:shd w:val="clear" w:color="auto" w:fill="EEEEEE"/>
          </w:tcPr>
          <w:p>
            <w:pPr>
              <w:spacing w:after="0"/>
              <w:rPr>
                <w:sz w:val="13"/>
                <w:szCs w:val="13"/>
                <w:color w:val="auto"/>
              </w:rPr>
            </w:pPr>
          </w:p>
        </w:tc>
        <w:tc>
          <w:tcPr>
            <w:tcW w:w="140" w:type="dxa"/>
            <w:vAlign w:val="bottom"/>
            <w:tcBorders>
              <w:top w:val="single" w:sz="8" w:color="auto"/>
              <w:bottom w:val="single" w:sz="8" w:color="auto"/>
            </w:tcBorders>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1,252,954</w:t>
            </w:r>
          </w:p>
        </w:tc>
        <w:tc>
          <w:tcPr>
            <w:tcW w:w="360" w:type="dxa"/>
            <w:vAlign w:val="bottom"/>
            <w:tcBorders>
              <w:top w:val="single" w:sz="8" w:color="EEEEEE"/>
              <w:bottom w:val="single" w:sz="8" w:color="EEEEEE"/>
            </w:tcBorders>
            <w:shd w:val="clear" w:color="auto" w:fill="EEEEEE"/>
          </w:tcPr>
          <w:p>
            <w:pPr>
              <w:spacing w:after="0"/>
              <w:rPr>
                <w:sz w:val="13"/>
                <w:szCs w:val="13"/>
                <w:color w:val="auto"/>
              </w:rPr>
            </w:pP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85,816</w:t>
            </w:r>
          </w:p>
        </w:tc>
        <w:tc>
          <w:tcPr>
            <w:tcW w:w="32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auto"/>
              <w:bottom w:val="single" w:sz="8" w:color="auto"/>
            </w:tcBorders>
            <w:shd w:val="clear" w:color="auto" w:fill="EEEEEE"/>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1,170,812</w:t>
            </w:r>
          </w:p>
        </w:tc>
        <w:tc>
          <w:tcPr>
            <w:tcW w:w="320" w:type="dxa"/>
            <w:vAlign w:val="bottom"/>
            <w:tcBorders>
              <w:top w:val="single" w:sz="8" w:color="EEEEEE"/>
              <w:bottom w:val="single" w:sz="8" w:color="EEEEEE"/>
            </w:tcBorders>
            <w:shd w:val="clear" w:color="auto" w:fill="EEEEEE"/>
          </w:tcPr>
          <w:p>
            <w:pPr>
              <w:spacing w:after="0"/>
              <w:rPr>
                <w:sz w:val="13"/>
                <w:szCs w:val="13"/>
                <w:color w:val="auto"/>
              </w:rPr>
            </w:pPr>
          </w:p>
        </w:tc>
        <w:tc>
          <w:tcPr>
            <w:tcW w:w="9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90,644</w:t>
            </w:r>
          </w:p>
        </w:tc>
        <w:tc>
          <w:tcPr>
            <w:tcW w:w="16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auto"/>
              <w:bottom w:val="single" w:sz="8" w:color="auto"/>
            </w:tcBorders>
            <w:shd w:val="clear" w:color="auto" w:fill="EEEEEE"/>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1,235,230</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w w:val="99"/>
              </w:rPr>
              <w:t>Managed portfolio (excluding originated and owned by 3rd parties)</w:t>
            </w:r>
          </w:p>
        </w:tc>
        <w:tc>
          <w:tcPr>
            <w:tcW w:w="130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174,584</w:t>
            </w:r>
          </w:p>
        </w:tc>
        <w:tc>
          <w:tcPr>
            <w:tcW w:w="140" w:type="dxa"/>
            <w:vAlign w:val="bottom"/>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2,342,889</w:t>
            </w:r>
          </w:p>
        </w:tc>
        <w:tc>
          <w:tcPr>
            <w:tcW w:w="12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174,382</w:t>
            </w:r>
          </w:p>
        </w:tc>
        <w:tc>
          <w:tcPr>
            <w:tcW w:w="160" w:type="dxa"/>
            <w:vAlign w:val="bottom"/>
            <w:shd w:val="clear" w:color="auto" w:fill="EEEEEE"/>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2,345,993</w:t>
            </w:r>
          </w:p>
        </w:tc>
        <w:tc>
          <w:tcPr>
            <w:tcW w:w="1060" w:type="dxa"/>
            <w:vAlign w:val="bottom"/>
            <w:gridSpan w:val="2"/>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173,998</w:t>
            </w:r>
          </w:p>
        </w:tc>
        <w:tc>
          <w:tcPr>
            <w:tcW w:w="320" w:type="dxa"/>
            <w:vAlign w:val="bottom"/>
            <w:gridSpan w:val="2"/>
            <w:shd w:val="clear" w:color="auto" w:fill="EEEEEE"/>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2,333,524</w:t>
            </w:r>
          </w:p>
        </w:tc>
        <w:tc>
          <w:tcPr>
            <w:tcW w:w="0" w:type="dxa"/>
            <w:vAlign w:val="bottom"/>
          </w:tcPr>
          <w:p>
            <w:pPr>
              <w:spacing w:after="0"/>
              <w:rPr>
                <w:sz w:val="1"/>
                <w:szCs w:val="1"/>
                <w:color w:val="auto"/>
              </w:rPr>
            </w:pPr>
          </w:p>
        </w:tc>
      </w:tr>
      <w:tr>
        <w:trPr>
          <w:trHeight w:val="346"/>
        </w:trPr>
        <w:tc>
          <w:tcPr>
            <w:tcW w:w="4120" w:type="dxa"/>
            <w:vAlign w:val="bottom"/>
            <w:gridSpan w:val="2"/>
          </w:tcPr>
          <w:p>
            <w:pPr>
              <w:spacing w:after="0"/>
              <w:rPr>
                <w:sz w:val="20"/>
                <w:szCs w:val="20"/>
                <w:color w:val="auto"/>
              </w:rPr>
            </w:pPr>
            <w:r>
              <w:rPr>
                <w:rFonts w:ascii="Arial" w:cs="Arial" w:eastAsia="Arial" w:hAnsi="Arial"/>
                <w:sz w:val="14"/>
                <w:szCs w:val="14"/>
                <w:color w:val="auto"/>
              </w:rPr>
              <w:t>______________________</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i w:val="1"/>
                <w:iCs w:val="1"/>
                <w:color w:val="auto"/>
                <w:w w:val="96"/>
              </w:rPr>
              <w:t>Note: Table excludes portfolios originated and owned by third parties</w:t>
            </w: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recent years, we have experienced an increase in the number of extensions that we grant to our customers. We attribute this to a number of factors. First, in June 2014 we entered into a consent decree with the FTC that required us to make certain procedural changes in our servicing practices, which we believe have contributed to somewhat higher delinquencies and extensions compared to prior periods. Secondly, in recent years we have found it more difficult to communicate with our customers via outbound voice telephone calls, which have historically been our primary means of communicating with our customers. Consequently, we have recently developed text messaging platforms to supplement our outbound voice calling efforts. In addition, in 2016 we added features to the customer portal of our website to facilitate the process whereby the customer may request an extension.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5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6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Net cash provided by operating activities for the nine-month period ended September 30, 2018 was $158.6 million, a decrease of $9.7 million, compared to net cash provided by operating activities for the nine-month period ended September 30, 2017 of $168.3 million. Cash provided by operating activities is significantly affected by our net income before provisions for credit losses. For the nine months ended September 30, 2018, our net income excluding provisions for credit losses was $117.5 million, or $39.2 million less than our net income excluding provisions for credit losses for the nine months ended September 30, 2017.</w:t>
      </w:r>
    </w:p>
    <w:p>
      <w:pPr>
        <w:spacing w:after="0" w:line="18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Net cash used in investing activities for the nine-month period ended September 30, 2018 was $157.7 million compared to net cash used in investing activities of $179.0 million in the prior year period. Cash provided by investing activities primarily results from principal payments and other proceeds received on finance receivables. Cash used in investing activities generally relates to purchases of automobile contracts. Purchases of finance receivables were $659.6 million and $668.3 million during the first nine months of 2018 and 2017, respectively.</w:t>
      </w:r>
    </w:p>
    <w:p>
      <w:pPr>
        <w:spacing w:after="0" w:line="18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Net cash used in financing activities for the nine months ended September 30, 2018 was $4.6 million compared to net cash provided by financing activities of $11.2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nine months of 2018, we issued $622.1 million in new securitization trust debt compared to $656.3 million in the same period of 2017. In addition, we repaid $671.7 million in securitization trust debt in the nine months ended September 30, 2018 compared to repayments of securitization trust debt of $634.2 million in the prior year period. In the nine months ended September 30, 2018, we had net advances on warehouse lines of credit of $15.0 million, compared to net advances of $2.9 million in the prior year’s period.</w:t>
      </w:r>
    </w:p>
    <w:p>
      <w:pPr>
        <w:spacing w:after="0" w:line="18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188"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We are and may in the future be limited in our ability to purchase automobile contracts due to limits on our capital. As of September 30, 2018, we had unrestricted cash of $10.5 million and $172.3 million aggregate available borrowings under our three warehouse credit facilities (assuming the availability of sufficient eligible collateral). As of September 30, 2018, we had approximately $21.1 million of such eligible collateral. During the nine-month period ended September 30, 2018, we completed three securitization aggregating $622.1 million of notes sold.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7" w:name="page38"/>
    <w:bookmarkEnd w:id="37"/>
    <w:p>
      <w:pPr>
        <w:jc w:val="both"/>
        <w:ind w:firstLine="360"/>
        <w:spacing w:after="0" w:line="255" w:lineRule="auto"/>
        <w:rPr>
          <w:sz w:val="20"/>
          <w:szCs w:val="20"/>
          <w:color w:val="auto"/>
        </w:rPr>
      </w:pPr>
      <w:r>
        <w:rPr>
          <w:rFonts w:ascii="Arial" w:cs="Arial" w:eastAsia="Arial" w:hAnsi="Arial"/>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93"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September 30, 2018, we were in compliance with all such financial covenants.</w:t>
      </w:r>
    </w:p>
    <w:p>
      <w:pPr>
        <w:spacing w:after="0" w:line="173"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We have and will continue to have a substantial amount of indebtedness. At September 30, 2018, we had approximately $2,217.9 million of debt outstanding. Such debt consisted primarily of $2,034.3 million of securitization trust debt and $127.7 million of warehouse lines of credit. Our securitization trust debt has decreased by $69.3 million while our warehouse lines of credit have increased by $21.1 million since September 30, 2017 (each net of deferred financing costs). Since 2005, we have offered renewable subordinated notes to the public on a continuous basis, and such notes have maturities that range from six months to 10 years. We had $16.9 million and $16.2 million in subordinated renewable notes outstanding at September 30, 2018 and 2017, respectively. On May 16, 2018, we completed a $40.0 million securitization of residual interests from previously issued securitizations. At September 30, 2018, $40.0 million of this residual interest financing debt remains outstanding ($39.0 million net of deferred financing costs).</w:t>
      </w:r>
    </w:p>
    <w:p>
      <w:pPr>
        <w:spacing w:after="0" w:line="16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March 7, 2018. Where we are aware of material changes to such risk factors as previously disclosed, we set forth below an updated discussion of such risks. The reader should note that the other risks identified in our report on Form 10-K remain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and will continue to have a substantial amount of indebtedness. At September 30, 2018, we had approximately $2,217.9 million of debt outstanding. Such debt consisted primarily of $2,034.3 million of securitization trust debt and $127.7 million of warehouse lines of credit. Our securitization trust debt has decreased by $69.3 million while our warehouse lines of credit debt has increased by $21.1 million since September 30, 2017 (each net of deferred financing costs). Since 2005, we have offered renewable subordinated notes to the public on a continuous basis, and such notes have maturities that range from six months to 10 years. We had $16.9 million and $16.2 million in subordinated renewable notes outstanding at September 30, 2018 and 2017, respectively. On May 16, 2018, we completed a $40.0 million securitization of residual interests from previously issued securitizations. At September 30, 2018, $40.0 million of this residual interest financing debt remains outstanding ($39.0 million net of deferred financing costs). Our substantial indebtedness could adversely affect our financial condition by, among other things:</w:t>
      </w:r>
    </w:p>
    <w:p>
      <w:pPr>
        <w:spacing w:after="0" w:line="179" w:lineRule="exact"/>
        <w:rPr>
          <w:sz w:val="20"/>
          <w:szCs w:val="20"/>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1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September 30, 2018, we repurchased 309,512 shares from existing shareholders, as reflected in the table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3"/>
              </w:rPr>
              <w:t>Total Number</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of Shares</w:t>
            </w: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as Part of</w:t>
            </w: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4"/>
              </w:rPr>
              <w:t>that May Yet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Total</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Publicly</w:t>
            </w: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Number of</w:t>
            </w:r>
          </w:p>
        </w:tc>
        <w:tc>
          <w:tcPr>
            <w:tcW w:w="180" w:type="dxa"/>
            <w:vAlign w:val="bottom"/>
          </w:tcPr>
          <w:p>
            <w:pPr>
              <w:spacing w:after="0"/>
              <w:rPr>
                <w:sz w:val="18"/>
                <w:szCs w:val="18"/>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7"/>
              </w:rPr>
              <w:t>Average</w:t>
            </w:r>
          </w:p>
        </w:tc>
        <w:tc>
          <w:tcPr>
            <w:tcW w:w="17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Announced</w:t>
            </w:r>
          </w:p>
        </w:tc>
        <w:tc>
          <w:tcPr>
            <w:tcW w:w="12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3"/>
              </w:rPr>
              <w:t>Shares</w:t>
            </w:r>
          </w:p>
        </w:tc>
        <w:tc>
          <w:tcPr>
            <w:tcW w:w="180" w:type="dxa"/>
            <w:vAlign w:val="bottom"/>
          </w:tcPr>
          <w:p>
            <w:pPr>
              <w:spacing w:after="0"/>
              <w:rPr>
                <w:sz w:val="18"/>
                <w:szCs w:val="18"/>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Price Paid</w:t>
            </w:r>
          </w:p>
        </w:tc>
        <w:tc>
          <w:tcPr>
            <w:tcW w:w="17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Plans or</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Plans 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gridSpan w:val="2"/>
          </w:tcPr>
          <w:p>
            <w:pPr>
              <w:ind w:left="1880"/>
              <w:spacing w:after="0"/>
              <w:rPr>
                <w:sz w:val="20"/>
                <w:szCs w:val="20"/>
                <w:color w:val="auto"/>
              </w:rPr>
            </w:pPr>
            <w:r>
              <w:rPr>
                <w:rFonts w:ascii="Arial" w:cs="Arial" w:eastAsia="Arial" w:hAnsi="Arial"/>
                <w:sz w:val="18"/>
                <w:szCs w:val="18"/>
                <w:b w:val="1"/>
                <w:bCs w:val="1"/>
                <w:color w:val="auto"/>
              </w:rPr>
              <w:t>Period (1)</w:t>
            </w:r>
          </w:p>
        </w:tc>
        <w:tc>
          <w:tcPr>
            <w:tcW w:w="17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Purchased</w:t>
            </w:r>
          </w:p>
        </w:tc>
        <w:tc>
          <w:tcPr>
            <w:tcW w:w="180" w:type="dxa"/>
            <w:vAlign w:val="bottom"/>
          </w:tcPr>
          <w:p>
            <w:pPr>
              <w:spacing w:after="0"/>
              <w:rPr>
                <w:sz w:val="20"/>
                <w:szCs w:val="20"/>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9"/>
              </w:rPr>
              <w:t>per Share</w:t>
            </w:r>
          </w:p>
        </w:tc>
        <w:tc>
          <w:tcPr>
            <w:tcW w:w="17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Programs</w:t>
            </w: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Programs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July 2018</w:t>
            </w:r>
          </w:p>
        </w:tc>
        <w:tc>
          <w:tcPr>
            <w:tcW w:w="17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13,800</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EEEEEE"/>
          </w:tcPr>
          <w:p>
            <w:pPr>
              <w:ind w:left="800"/>
              <w:spacing w:after="0"/>
              <w:rPr>
                <w:sz w:val="20"/>
                <w:szCs w:val="20"/>
                <w:color w:val="auto"/>
              </w:rPr>
            </w:pPr>
            <w:r>
              <w:rPr>
                <w:rFonts w:ascii="Arial" w:cs="Arial" w:eastAsia="Arial" w:hAnsi="Arial"/>
                <w:sz w:val="18"/>
                <w:szCs w:val="18"/>
                <w:color w:val="auto"/>
              </w:rPr>
              <w:t>3.30</w:t>
            </w:r>
          </w:p>
        </w:tc>
        <w:tc>
          <w:tcPr>
            <w:tcW w:w="17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13,800</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9,471,583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August 2018</w:t>
            </w:r>
          </w:p>
        </w:tc>
        <w:tc>
          <w:tcPr>
            <w:tcW w:w="1760" w:type="dxa"/>
            <w:vAlign w:val="bottom"/>
            <w:gridSpan w:val="2"/>
          </w:tcPr>
          <w:p>
            <w:pPr>
              <w:jc w:val="right"/>
              <w:ind w:right="460"/>
              <w:spacing w:after="0"/>
              <w:rPr>
                <w:sz w:val="20"/>
                <w:szCs w:val="20"/>
                <w:color w:val="auto"/>
              </w:rPr>
            </w:pPr>
            <w:r>
              <w:rPr>
                <w:rFonts w:ascii="Arial" w:cs="Arial" w:eastAsia="Arial" w:hAnsi="Arial"/>
                <w:sz w:val="18"/>
                <w:szCs w:val="18"/>
                <w:color w:val="auto"/>
              </w:rPr>
              <w:t>168,600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ind w:left="800"/>
              <w:spacing w:after="0"/>
              <w:rPr>
                <w:sz w:val="20"/>
                <w:szCs w:val="20"/>
                <w:color w:val="auto"/>
              </w:rPr>
            </w:pPr>
            <w:r>
              <w:rPr>
                <w:rFonts w:ascii="Arial" w:cs="Arial" w:eastAsia="Arial" w:hAnsi="Arial"/>
                <w:sz w:val="18"/>
                <w:szCs w:val="18"/>
                <w:color w:val="auto"/>
              </w:rPr>
              <w:t>3.60</w:t>
            </w:r>
          </w:p>
        </w:tc>
        <w:tc>
          <w:tcPr>
            <w:tcW w:w="1780" w:type="dxa"/>
            <w:vAlign w:val="bottom"/>
            <w:gridSpan w:val="2"/>
          </w:tcPr>
          <w:p>
            <w:pPr>
              <w:jc w:val="right"/>
              <w:ind w:right="460"/>
              <w:spacing w:after="0"/>
              <w:rPr>
                <w:sz w:val="20"/>
                <w:szCs w:val="20"/>
                <w:color w:val="auto"/>
              </w:rPr>
            </w:pPr>
            <w:r>
              <w:rPr>
                <w:rFonts w:ascii="Arial" w:cs="Arial" w:eastAsia="Arial" w:hAnsi="Arial"/>
                <w:sz w:val="18"/>
                <w:szCs w:val="18"/>
                <w:color w:val="auto"/>
              </w:rPr>
              <w:t>168,600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8,864,861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September 2018</w:t>
            </w:r>
          </w:p>
        </w:tc>
        <w:tc>
          <w:tcPr>
            <w:tcW w:w="17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127,112</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EEEEEE"/>
          </w:tcPr>
          <w:p>
            <w:pPr>
              <w:ind w:left="800"/>
              <w:spacing w:after="0"/>
              <w:rPr>
                <w:sz w:val="20"/>
                <w:szCs w:val="20"/>
                <w:color w:val="auto"/>
              </w:rPr>
            </w:pPr>
            <w:r>
              <w:rPr>
                <w:rFonts w:ascii="Arial" w:cs="Arial" w:eastAsia="Arial" w:hAnsi="Arial"/>
                <w:sz w:val="18"/>
                <w:szCs w:val="18"/>
                <w:color w:val="auto"/>
              </w:rPr>
              <w:t>4.00</w:t>
            </w:r>
          </w:p>
        </w:tc>
        <w:tc>
          <w:tcPr>
            <w:tcW w:w="17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127,112</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8,340,600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309,512</w:t>
            </w:r>
          </w:p>
        </w:tc>
        <w:tc>
          <w:tcPr>
            <w:tcW w:w="4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w w:val="79"/>
              </w:rPr>
              <w:t>3.76</w:t>
            </w:r>
          </w:p>
        </w:tc>
        <w:tc>
          <w:tcPr>
            <w:tcW w:w="46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309,512</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0</wp:posOffset>
            </wp:positionV>
            <wp:extent cx="30613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-130175</wp:posOffset>
            </wp:positionV>
            <wp:extent cx="30613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0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Each monthly period is the calendar month.</w:t>
      </w:r>
    </w:p>
    <w:p>
      <w:pPr>
        <w:spacing w:after="0" w:line="136" w:lineRule="exact"/>
        <w:rPr>
          <w:rFonts w:ascii="Arial" w:cs="Arial" w:eastAsia="Arial" w:hAnsi="Arial"/>
          <w:sz w:val="14"/>
          <w:szCs w:val="14"/>
          <w:i w:val="1"/>
          <w:iCs w:val="1"/>
          <w:color w:val="auto"/>
        </w:rPr>
      </w:pPr>
    </w:p>
    <w:p>
      <w:pPr>
        <w:ind w:left="340" w:hanging="332"/>
        <w:spacing w:after="0" w:line="291" w:lineRule="auto"/>
        <w:tabs>
          <w:tab w:leader="none" w:pos="340" w:val="left"/>
        </w:tabs>
        <w:numPr>
          <w:ilvl w:val="0"/>
          <w:numId w:val="18"/>
        </w:numPr>
        <w:rPr>
          <w:rFonts w:ascii="Arial" w:cs="Arial" w:eastAsia="Arial" w:hAnsi="Arial"/>
          <w:sz w:val="13"/>
          <w:szCs w:val="13"/>
          <w:i w:val="1"/>
          <w:iCs w:val="1"/>
          <w:color w:val="auto"/>
        </w:rPr>
      </w:pPr>
      <w:r>
        <w:rPr>
          <w:rFonts w:ascii="Arial" w:cs="Arial" w:eastAsia="Arial" w:hAnsi="Arial"/>
          <w:sz w:val="13"/>
          <w:szCs w:val="13"/>
          <w:i w:val="1"/>
          <w:iCs w:val="1"/>
          <w:color w:val="auto"/>
        </w:rPr>
        <w:t>Through September 30, 2018, our board of directors had authorized the purchase of up to $74.5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with this report.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4.14</w:t>
            </w:r>
          </w:p>
        </w:tc>
        <w:tc>
          <w:tcPr>
            <w:tcW w:w="10040" w:type="dxa"/>
            <w:vAlign w:val="bottom"/>
            <w:gridSpan w:val="3"/>
          </w:tcPr>
          <w:p>
            <w:pPr>
              <w:spacing w:after="0"/>
              <w:rPr>
                <w:sz w:val="20"/>
                <w:szCs w:val="20"/>
                <w:color w:val="auto"/>
              </w:rPr>
            </w:pPr>
            <w:r>
              <w:rPr>
                <w:rFonts w:ascii="Arial" w:cs="Arial" w:eastAsia="Arial" w:hAnsi="Arial"/>
                <w:sz w:val="18"/>
                <w:szCs w:val="18"/>
                <w:color w:val="auto"/>
                <w:w w:val="90"/>
              </w:rPr>
              <w:t>Instruments defining the rights of holders of long-term debt of certain consolidated subsidiaries of the registrant are omitted pursuant to the</w:t>
            </w:r>
          </w:p>
        </w:tc>
      </w:tr>
      <w:tr>
        <w:trPr>
          <w:trHeight w:val="216"/>
        </w:trPr>
        <w:tc>
          <w:tcPr>
            <w:tcW w:w="138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6"/>
              </w:rPr>
              <w:t>exclusion set forth in subdivisions (b)(iv)(iii)(A) and (b)(v) of Item 601 of Regulation S-K (17 CFR 229.601). The registrant agrees to</w:t>
            </w:r>
          </w:p>
        </w:tc>
      </w:tr>
      <w:tr>
        <w:trPr>
          <w:trHeight w:val="216"/>
        </w:trPr>
        <w:tc>
          <w:tcPr>
            <w:tcW w:w="138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provide copies of such instruments to the United States Securities and Exchange Commission upon request.</w:t>
            </w:r>
          </w:p>
        </w:tc>
      </w:tr>
      <w:tr>
        <w:trPr>
          <w:trHeight w:val="190"/>
        </w:trPr>
        <w:tc>
          <w:tcPr>
            <w:tcW w:w="1380" w:type="dxa"/>
            <w:vAlign w:val="bottom"/>
          </w:tcPr>
          <w:p>
            <w:pPr>
              <w:jc w:val="right"/>
              <w:ind w:right="970"/>
              <w:spacing w:after="0" w:line="190" w:lineRule="exact"/>
              <w:rPr>
                <w:sz w:val="20"/>
                <w:szCs w:val="20"/>
                <w:color w:val="auto"/>
              </w:rPr>
            </w:pPr>
            <w:r>
              <w:rPr>
                <w:rFonts w:ascii="Arial" w:cs="Arial" w:eastAsia="Arial" w:hAnsi="Arial"/>
                <w:sz w:val="18"/>
                <w:szCs w:val="18"/>
                <w:color w:val="auto"/>
                <w:w w:val="85"/>
              </w:rPr>
              <w:t>31.1</w:t>
            </w:r>
          </w:p>
        </w:tc>
        <w:tc>
          <w:tcPr>
            <w:tcW w:w="10040" w:type="dxa"/>
            <w:vAlign w:val="bottom"/>
            <w:gridSpan w:val="3"/>
          </w:tcPr>
          <w:p>
            <w:pPr>
              <w:spacing w:after="0" w:line="190" w:lineRule="exact"/>
              <w:rPr>
                <w:rFonts w:ascii="Arial" w:cs="Arial" w:eastAsia="Arial" w:hAnsi="Arial"/>
                <w:sz w:val="18"/>
                <w:szCs w:val="18"/>
                <w:color w:val="0000EE"/>
              </w:rPr>
            </w:pPr>
            <w:hyperlink w:anchor="page43">
              <w:r>
                <w:rPr>
                  <w:rFonts w:ascii="Arial" w:cs="Arial" w:eastAsia="Arial" w:hAnsi="Arial"/>
                  <w:sz w:val="18"/>
                  <w:szCs w:val="18"/>
                  <w:color w:val="0000EE"/>
                </w:rPr>
                <w:t>Rule 13a-14(a) Certification of the Chief Executive Officer of the registrant.</w:t>
              </w:r>
            </w:hyperlink>
          </w:p>
        </w:tc>
      </w:tr>
      <w:tr>
        <w:trPr>
          <w:trHeight w:val="196"/>
        </w:trPr>
        <w:tc>
          <w:tcPr>
            <w:tcW w:w="1380" w:type="dxa"/>
            <w:vAlign w:val="bottom"/>
          </w:tcPr>
          <w:p>
            <w:pPr>
              <w:jc w:val="right"/>
              <w:ind w:right="970"/>
              <w:spacing w:after="0" w:line="196" w:lineRule="exact"/>
              <w:rPr>
                <w:sz w:val="20"/>
                <w:szCs w:val="20"/>
                <w:color w:val="auto"/>
              </w:rPr>
            </w:pPr>
            <w:r>
              <w:rPr>
                <w:rFonts w:ascii="Arial" w:cs="Arial" w:eastAsia="Arial" w:hAnsi="Arial"/>
                <w:sz w:val="18"/>
                <w:szCs w:val="18"/>
                <w:color w:val="auto"/>
                <w:w w:val="85"/>
              </w:rPr>
              <w:t>31.2</w:t>
            </w:r>
          </w:p>
        </w:tc>
        <w:tc>
          <w:tcPr>
            <w:tcW w:w="5500" w:type="dxa"/>
            <w:vAlign w:val="bottom"/>
            <w:tcBorders>
              <w:top w:val="single" w:sz="8" w:color="0000EE"/>
            </w:tcBorders>
            <w:gridSpan w:val="2"/>
          </w:tcPr>
          <w:p>
            <w:pPr>
              <w:spacing w:after="0" w:line="196" w:lineRule="exact"/>
              <w:rPr>
                <w:rFonts w:ascii="Arial" w:cs="Arial" w:eastAsia="Arial" w:hAnsi="Arial"/>
                <w:sz w:val="18"/>
                <w:szCs w:val="18"/>
                <w:color w:val="0000EE"/>
                <w:w w:val="93"/>
              </w:rPr>
            </w:pPr>
            <w:hyperlink w:anchor="page44">
              <w:r>
                <w:rPr>
                  <w:rFonts w:ascii="Arial" w:cs="Arial" w:eastAsia="Arial" w:hAnsi="Arial"/>
                  <w:sz w:val="18"/>
                  <w:szCs w:val="18"/>
                  <w:color w:val="0000EE"/>
                  <w:w w:val="93"/>
                </w:rPr>
                <w:t>Rule 13a-14(a) Certification of the Chief Financial Officer of the registrant</w:t>
              </w:r>
            </w:hyperlink>
            <w:r>
              <w:rPr>
                <w:rFonts w:ascii="Arial" w:cs="Arial" w:eastAsia="Arial" w:hAnsi="Arial"/>
                <w:sz w:val="18"/>
                <w:szCs w:val="18"/>
                <w:color w:val="000000"/>
                <w:w w:val="93"/>
              </w:rPr>
              <w:t>.</w:t>
            </w:r>
          </w:p>
        </w:tc>
        <w:tc>
          <w:tcPr>
            <w:tcW w:w="454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5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bl>
    <w:p>
      <w:pPr>
        <w:spacing w:after="0" w:line="13" w:lineRule="exact"/>
        <w:rPr>
          <w:sz w:val="20"/>
          <w:szCs w:val="20"/>
          <w:color w:val="auto"/>
        </w:rPr>
      </w:pPr>
    </w:p>
    <w:p>
      <w:pPr>
        <w:ind w:left="1380" w:hanging="1372"/>
        <w:spacing w:after="0"/>
        <w:tabs>
          <w:tab w:leader="none" w:pos="1380" w:val="left"/>
        </w:tabs>
        <w:numPr>
          <w:ilvl w:val="0"/>
          <w:numId w:val="19"/>
        </w:numPr>
        <w:rPr>
          <w:rFonts w:ascii="Arial" w:cs="Arial" w:eastAsia="Arial" w:hAnsi="Arial"/>
          <w:sz w:val="18"/>
          <w:szCs w:val="18"/>
          <w:color w:val="0000EE"/>
        </w:rPr>
      </w:pPr>
      <w:hyperlink w:anchor="page45">
        <w:r>
          <w:rPr>
            <w:rFonts w:ascii="Arial" w:cs="Arial" w:eastAsia="Arial" w:hAnsi="Arial"/>
            <w:sz w:val="18"/>
            <w:szCs w:val="18"/>
            <w:u w:val="single" w:color="auto"/>
            <w:color w:val="0000EE"/>
          </w:rPr>
          <w:t>Section 1350 Certifications.</w:t>
        </w:r>
      </w:hyperlink>
      <w:r>
        <w:rPr>
          <w:rFonts w:ascii="Arial" w:cs="Arial" w:eastAsia="Arial" w:hAnsi="Arial"/>
          <w:sz w:val="18"/>
          <w:szCs w:val="18"/>
          <w:color w:val="000000"/>
        </w:rPr>
        <w:t>*</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shd w:val="clear" w:color="auto" w:fill="EEEEEE"/>
          </w:tcPr>
          <w:p>
            <w:pPr>
              <w:spacing w:after="0"/>
              <w:rPr>
                <w:sz w:val="20"/>
                <w:szCs w:val="20"/>
                <w:color w:val="auto"/>
              </w:rPr>
            </w:pPr>
            <w:r>
              <w:rPr>
                <w:rFonts w:ascii="Arial" w:cs="Arial" w:eastAsia="Arial" w:hAnsi="Arial"/>
                <w:sz w:val="18"/>
                <w:szCs w:val="18"/>
                <w:color w:val="auto"/>
              </w:rPr>
              <w:t>101.INS</w:t>
            </w:r>
          </w:p>
        </w:tc>
        <w:tc>
          <w:tcPr>
            <w:tcW w:w="103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XBRL Instances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40" w:type="dxa"/>
            <w:vAlign w:val="bottom"/>
            <w:shd w:val="clear" w:color="auto" w:fill="EEEEEE"/>
          </w:tcPr>
          <w:p>
            <w:pPr>
              <w:spacing w:after="0"/>
              <w:rPr>
                <w:sz w:val="20"/>
                <w:szCs w:val="20"/>
                <w:color w:val="auto"/>
              </w:rPr>
            </w:pPr>
            <w:r>
              <w:rPr>
                <w:rFonts w:ascii="Arial" w:cs="Arial" w:eastAsia="Arial" w:hAnsi="Arial"/>
                <w:sz w:val="18"/>
                <w:szCs w:val="18"/>
                <w:color w:val="auto"/>
              </w:rPr>
              <w:t>101.CAL</w:t>
            </w:r>
          </w:p>
        </w:tc>
        <w:tc>
          <w:tcPr>
            <w:tcW w:w="103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40" w:type="dxa"/>
            <w:vAlign w:val="bottom"/>
            <w:shd w:val="clear" w:color="auto" w:fill="EEEEEE"/>
          </w:tcPr>
          <w:p>
            <w:pPr>
              <w:spacing w:after="0"/>
              <w:rPr>
                <w:sz w:val="20"/>
                <w:szCs w:val="20"/>
                <w:color w:val="auto"/>
              </w:rPr>
            </w:pPr>
            <w:r>
              <w:rPr>
                <w:rFonts w:ascii="Arial" w:cs="Arial" w:eastAsia="Arial" w:hAnsi="Arial"/>
                <w:sz w:val="18"/>
                <w:szCs w:val="18"/>
                <w:color w:val="auto"/>
              </w:rPr>
              <w:t>101.LAB</w:t>
            </w:r>
          </w:p>
        </w:tc>
        <w:tc>
          <w:tcPr>
            <w:tcW w:w="103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87" w:lineRule="exact"/>
        <w:rPr>
          <w:sz w:val="20"/>
          <w:szCs w:val="20"/>
          <w:color w:val="auto"/>
        </w:rPr>
      </w:pPr>
    </w:p>
    <w:p>
      <w:pPr>
        <w:jc w:val="both"/>
        <w:ind w:firstLine="320"/>
        <w:spacing w:after="0" w:line="312" w:lineRule="auto"/>
        <w:tabs>
          <w:tab w:leader="none" w:pos="44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64"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CHARLES E. BRADLEY, JR.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P. FRITZ</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2" w:name="page43"/>
    <w:bookmarkEnd w:id="42"/>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2018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2018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September 30, 2018,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1040" w:hanging="34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348"/>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2"/>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367"/>
    </w:lvl>
  </w:abstractNum>
  <w:abstractNum w:abstractNumId="7">
    <w:nsid w:val="41A7C4C9"/>
    <w:multiLevelType w:val="hybridMultilevel"/>
    <w:lvl w:ilvl="0">
      <w:lvlJc w:val="left"/>
      <w:lvlText w:val="(%1)"/>
      <w:numFmt w:val="decimal"/>
      <w:start w:val="6"/>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decimal"/>
      <w:start w:val="8"/>
    </w:lvl>
  </w:abstractNum>
  <w:abstractNum w:abstractNumId="10">
    <w:nsid w:val="25E45D32"/>
    <w:multiLevelType w:val="hybridMultilevel"/>
    <w:lvl w:ilvl="0">
      <w:lvlJc w:val="left"/>
      <w:lvlText w:val="(%1)"/>
      <w:numFmt w:val="decimal"/>
      <w:start w:val="9"/>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32"/>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2019-12-28T18:25:50Z</dcterms:created>
  <dcterms:modified xsi:type="dcterms:W3CDTF">2019-12-28T18:25:50Z</dcterms:modified>
</cp:coreProperties>
</file>