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29" w:lineRule="exact"/>
        <w:rPr>
          <w:sz w:val="24"/>
          <w:szCs w:val="24"/>
          <w:color w:val="auto"/>
        </w:rPr>
      </w:pPr>
    </w:p>
    <w:p>
      <w:pPr>
        <w:ind w:left="3240" w:right="2120" w:hanging="3232"/>
        <w:spacing w:after="0" w:line="498" w:lineRule="auto"/>
        <w:tabs>
          <w:tab w:leader="none" w:pos="42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1-11416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California</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33-0459135</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Las Vegas, Nevada</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89169</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220" w:type="dxa"/>
            <w:vAlign w:val="bottom"/>
          </w:tcPr>
          <w:p>
            <w:pPr>
              <w:spacing w:after="0"/>
              <w:rPr>
                <w:sz w:val="24"/>
                <w:szCs w:val="24"/>
                <w:color w:val="auto"/>
              </w:rPr>
            </w:pPr>
          </w:p>
        </w:tc>
        <w:tc>
          <w:tcPr>
            <w:tcW w:w="18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8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CPSS</w:t>
            </w:r>
          </w:p>
        </w:tc>
        <w:tc>
          <w:tcPr>
            <w:tcW w:w="440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The NASDAQ Stock Market LLC (Global Market)</w:t>
            </w:r>
          </w:p>
        </w:tc>
      </w:tr>
    </w:tbl>
    <w:p>
      <w:pPr>
        <w:spacing w:after="0" w:line="198"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2660" w:type="dxa"/>
            <w:vAlign w:val="bottom"/>
          </w:tcPr>
          <w:p>
            <w:pPr>
              <w:ind w:left="1200"/>
              <w:spacing w:after="0" w:line="207" w:lineRule="exact"/>
              <w:rPr>
                <w:sz w:val="20"/>
                <w:szCs w:val="20"/>
                <w:color w:val="auto"/>
              </w:rPr>
            </w:pPr>
            <w:r>
              <w:rPr>
                <w:rFonts w:ascii="Times New Roman" w:cs="Times New Roman" w:eastAsia="Times New Roman" w:hAnsi="Times New Roman"/>
                <w:sz w:val="18"/>
                <w:szCs w:val="18"/>
                <w:color w:val="auto"/>
                <w:w w:val="97"/>
              </w:rPr>
              <w:t xml:space="preserve">Accelerated Filer </w:t>
            </w:r>
            <w:r>
              <w:rPr>
                <w:rFonts w:ascii="MS PGothic" w:cs="MS PGothic" w:eastAsia="MS PGothic" w:hAnsi="MS PGothic"/>
                <w:sz w:val="18"/>
                <w:szCs w:val="18"/>
                <w:color w:val="auto"/>
                <w:w w:val="97"/>
              </w:rPr>
              <w:t>☐</w:t>
            </w:r>
          </w:p>
        </w:tc>
        <w:tc>
          <w:tcPr>
            <w:tcW w:w="0" w:type="dxa"/>
            <w:vAlign w:val="bottom"/>
          </w:tcPr>
          <w:p>
            <w:pPr>
              <w:spacing w:after="0"/>
              <w:rPr>
                <w:sz w:val="1"/>
                <w:szCs w:val="1"/>
                <w:color w:val="auto"/>
              </w:rPr>
            </w:pPr>
          </w:p>
        </w:tc>
      </w:tr>
      <w:tr>
        <w:trPr>
          <w:trHeight w:val="216"/>
        </w:trPr>
        <w:tc>
          <w:tcPr>
            <w:tcW w:w="34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26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Smaller reporting</w:t>
            </w:r>
          </w:p>
        </w:tc>
        <w:tc>
          <w:tcPr>
            <w:tcW w:w="0" w:type="dxa"/>
            <w:vAlign w:val="bottom"/>
          </w:tcPr>
          <w:p>
            <w:pPr>
              <w:spacing w:after="0"/>
              <w:rPr>
                <w:sz w:val="1"/>
                <w:szCs w:val="1"/>
                <w:color w:val="auto"/>
              </w:rPr>
            </w:pPr>
          </w:p>
        </w:tc>
      </w:tr>
      <w:tr>
        <w:trPr>
          <w:trHeight w:val="283"/>
        </w:trPr>
        <w:tc>
          <w:tcPr>
            <w:tcW w:w="346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2660" w:type="dxa"/>
            <w:vAlign w:val="bottom"/>
          </w:tcPr>
          <w:p>
            <w:pPr>
              <w:ind w:left="1200"/>
              <w:spacing w:after="0" w:line="207" w:lineRule="exact"/>
              <w:rPr>
                <w:sz w:val="20"/>
                <w:szCs w:val="20"/>
                <w:color w:val="auto"/>
              </w:rPr>
            </w:pPr>
            <w:r>
              <w:rPr>
                <w:rFonts w:ascii="Times New Roman" w:cs="Times New Roman" w:eastAsia="Times New Roman" w:hAnsi="Times New Roman"/>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29, 2022 the registrant had 21,065,973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2"/>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840" w:type="dxa"/>
            <w:vAlign w:val="bottom"/>
            <w:gridSpan w:val="11"/>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2022 and December 31, 2021</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860" w:type="dxa"/>
            <w:vAlign w:val="bottom"/>
            <w:tcBorders>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three-month periods ended March 31, 2022 and 2021</w:t>
            </w:r>
          </w:p>
        </w:tc>
        <w:tc>
          <w:tcPr>
            <w:tcW w:w="500" w:type="dxa"/>
            <w:vAlign w:val="bottom"/>
            <w:gridSpan w:val="4"/>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Comprehensive Income for the three-month periods ended March 31, 2022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2021</w:t>
            </w:r>
          </w:p>
        </w:tc>
        <w:tc>
          <w:tcPr>
            <w:tcW w:w="8380" w:type="dxa"/>
            <w:vAlign w:val="bottom"/>
            <w:tcBorders>
              <w:top w:val="single" w:sz="8" w:color="0000EE"/>
            </w:tcBorders>
            <w:gridSpan w:val="11"/>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three-month periods ended March 31, 2022 and 2021</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880" w:type="dxa"/>
            <w:vAlign w:val="bottom"/>
            <w:tcBorders>
              <w:top w:val="single" w:sz="8" w:color="0000EE"/>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Shareholders’ Equity for the three-month periods ended March 31, 2022</w:t>
            </w:r>
          </w:p>
        </w:tc>
        <w:tc>
          <w:tcPr>
            <w:tcW w:w="20" w:type="dxa"/>
            <w:vAlign w:val="bottom"/>
            <w:tcBorders>
              <w:top w:val="single" w:sz="8" w:color="0000EE"/>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and 2021</w:t>
            </w:r>
          </w:p>
        </w:tc>
        <w:tc>
          <w:tcPr>
            <w:tcW w:w="8680" w:type="dxa"/>
            <w:vAlign w:val="bottom"/>
            <w:gridSpan w:val="12"/>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560" w:type="dxa"/>
            <w:vAlign w:val="bottom"/>
            <w:gridSpan w:val="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6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4680" w:type="dxa"/>
            <w:vAlign w:val="bottom"/>
            <w:tcBorders>
              <w:top w:val="single" w:sz="8" w:color="0000EE"/>
            </w:tcBorders>
            <w:gridSpan w:val="4"/>
          </w:tcPr>
          <w:p>
            <w:pPr>
              <w:spacing w:after="0"/>
              <w:rPr>
                <w:sz w:val="17"/>
                <w:szCs w:val="17"/>
                <w:color w:val="auto"/>
              </w:rPr>
            </w:pP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202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Legal Proceedings</w:t>
            </w:r>
          </w:p>
        </w:tc>
        <w:tc>
          <w:tcPr>
            <w:tcW w:w="2760" w:type="dxa"/>
            <w:vAlign w:val="bottom"/>
            <w:tcBorders>
              <w:top w:val="single" w:sz="8" w:color="0000EE"/>
            </w:tcBorders>
            <w:gridSpan w:val="2"/>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tcPr>
          <w:p>
            <w:pPr>
              <w:spacing w:after="0"/>
              <w:rPr>
                <w:sz w:val="17"/>
                <w:szCs w:val="17"/>
                <w:color w:val="auto"/>
              </w:rPr>
            </w:pPr>
          </w:p>
        </w:tc>
        <w:tc>
          <w:tcPr>
            <w:tcW w:w="62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26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62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62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8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21,726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29,928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164,550</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1,903,857</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1,749,098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186,745</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232,390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finance credit losses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(45,001)</w:t>
            </w:r>
          </w:p>
        </w:tc>
        <w:tc>
          <w:tcPr>
            <w:tcW w:w="18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(56,206)</w:t>
            </w:r>
          </w:p>
        </w:tc>
        <w:tc>
          <w:tcPr>
            <w:tcW w:w="0" w:type="dxa"/>
            <w:vAlign w:val="bottom"/>
          </w:tcPr>
          <w:p>
            <w:pPr>
              <w:spacing w:after="0"/>
              <w:rPr>
                <w:sz w:val="1"/>
                <w:szCs w:val="1"/>
                <w:color w:val="auto"/>
              </w:rPr>
            </w:pPr>
          </w:p>
        </w:tc>
      </w:tr>
      <w:tr>
        <w:trPr>
          <w:trHeight w:val="209"/>
        </w:trPr>
        <w:tc>
          <w:tcPr>
            <w:tcW w:w="6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16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141,744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176,184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18,913</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19,575</w:t>
            </w: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24,100</w:t>
            </w:r>
          </w:p>
        </w:tc>
        <w:tc>
          <w:tcPr>
            <w:tcW w:w="18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34,775</w:t>
            </w:r>
          </w:p>
        </w:tc>
        <w:tc>
          <w:tcPr>
            <w:tcW w:w="0" w:type="dxa"/>
            <w:vAlign w:val="bottom"/>
          </w:tcPr>
          <w:p>
            <w:pPr>
              <w:spacing w:after="0"/>
              <w:rPr>
                <w:sz w:val="1"/>
                <w:szCs w:val="1"/>
                <w:color w:val="auto"/>
              </w:rPr>
            </w:pPr>
          </w:p>
        </w:tc>
      </w:tr>
      <w:tr>
        <w:trPr>
          <w:trHeight w:val="223"/>
        </w:trPr>
        <w:tc>
          <w:tcPr>
            <w:tcW w:w="6020" w:type="dxa"/>
            <w:vAlign w:val="bottom"/>
            <w:tcBorders>
              <w:top w:val="single" w:sz="8" w:color="EEEEEE"/>
              <w:bottom w:val="single" w:sz="8" w:color="EEEEEE"/>
            </w:tcBorders>
            <w:shd w:val="clear" w:color="auto" w:fill="EEEEEE"/>
          </w:tcPr>
          <w:p>
            <w:pPr>
              <w:spacing w:after="0"/>
              <w:rPr>
                <w:sz w:val="19"/>
                <w:szCs w:val="19"/>
                <w:color w:val="auto"/>
              </w:rPr>
            </w:pPr>
          </w:p>
        </w:tc>
        <w:tc>
          <w:tcPr>
            <w:tcW w:w="16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2,277,550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2,159,578</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8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56,988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43,648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147,026</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105,610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49,434</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53,682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1,813,478</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16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26,756</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2,093,682</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Preferred stock, $1 par value;</w:t>
            </w:r>
          </w:p>
        </w:tc>
        <w:tc>
          <w:tcPr>
            <w:tcW w:w="16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authorized 4,998,130 shares; none issued</w:t>
            </w:r>
          </w:p>
        </w:tc>
        <w:tc>
          <w:tcPr>
            <w:tcW w:w="16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$1 par value;</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5,000,000 shares; none issued</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$1 par value;</w:t>
            </w:r>
          </w:p>
        </w:tc>
        <w:tc>
          <w:tcPr>
            <w:tcW w:w="16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authorized 1,870 shares; none issued</w:t>
            </w:r>
          </w:p>
        </w:tc>
        <w:tc>
          <w:tcPr>
            <w:tcW w:w="164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20"/>
                <w:szCs w:val="20"/>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w:t>
            </w: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75,000,000 shares; 21,292,393 and 21,143,764</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March 31, 2022 and</w:t>
            </w: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6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47,844</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55,298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137,646</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116,531</w:t>
            </w:r>
          </w:p>
        </w:tc>
        <w:tc>
          <w:tcPr>
            <w:tcW w:w="0" w:type="dxa"/>
            <w:vAlign w:val="bottom"/>
          </w:tcPr>
          <w:p>
            <w:pPr>
              <w:spacing w:after="0"/>
              <w:rPr>
                <w:sz w:val="1"/>
                <w:szCs w:val="1"/>
                <w:color w:val="auto"/>
              </w:rPr>
            </w:pP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(1,622)</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183,868</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EEEEEE"/>
          </w:tcPr>
          <w:p>
            <w:pPr>
              <w:spacing w:after="0"/>
              <w:rPr>
                <w:sz w:val="19"/>
                <w:szCs w:val="19"/>
                <w:color w:val="auto"/>
              </w:rPr>
            </w:pPr>
          </w:p>
        </w:tc>
        <w:tc>
          <w:tcPr>
            <w:tcW w:w="1640" w:type="dxa"/>
            <w:vAlign w:val="bottom"/>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40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2,277,550</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16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70,060</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66,093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2,400</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30"/>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1,906</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74,366</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63,112</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22,152</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20,159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8,231</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7,748</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16,400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20,946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(9,400)</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5,386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3,986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1,852</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29"/>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417</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EEEEEE"/>
            </w:tcBorders>
          </w:tcPr>
          <w:p>
            <w:pPr>
              <w:spacing w:after="0"/>
              <w:rPr>
                <w:sz w:val="18"/>
                <w:szCs w:val="18"/>
                <w:color w:val="auto"/>
              </w:rPr>
            </w:pPr>
          </w:p>
        </w:tc>
        <w:tc>
          <w:tcPr>
            <w:tcW w:w="18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45,038</w:t>
            </w:r>
          </w:p>
        </w:tc>
        <w:tc>
          <w:tcPr>
            <w:tcW w:w="32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8,213</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2,780</w:t>
            </w:r>
          </w:p>
        </w:tc>
        <w:tc>
          <w:tcPr>
            <w:tcW w:w="0" w:type="dxa"/>
            <w:vAlign w:val="bottom"/>
          </w:tcPr>
          <w:p>
            <w:pPr>
              <w:spacing w:after="0"/>
              <w:rPr>
                <w:sz w:val="1"/>
                <w:szCs w:val="1"/>
                <w:color w:val="auto"/>
              </w:rPr>
            </w:pPr>
          </w:p>
        </w:tc>
      </w:tr>
      <w:tr>
        <w:trPr>
          <w:trHeight w:val="223"/>
        </w:trPr>
        <w:tc>
          <w:tcPr>
            <w:tcW w:w="58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0.99</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0.75</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21,221</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22,741</w:t>
            </w:r>
          </w:p>
        </w:tc>
        <w:tc>
          <w:tcPr>
            <w:tcW w:w="0" w:type="dxa"/>
            <w:vAlign w:val="bottom"/>
          </w:tcPr>
          <w:p>
            <w:pPr>
              <w:spacing w:after="0"/>
              <w:rPr>
                <w:sz w:val="1"/>
                <w:szCs w:val="1"/>
                <w:color w:val="auto"/>
              </w:rPr>
            </w:pPr>
          </w:p>
        </w:tc>
      </w:tr>
      <w:tr>
        <w:trPr>
          <w:trHeight w:val="216"/>
        </w:trPr>
        <w:tc>
          <w:tcPr>
            <w:tcW w:w="58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28,197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24,967</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gridSpan w:val="2"/>
            <w:shd w:val="clear" w:color="auto" w:fill="EEEEEE"/>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21,115</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shd w:val="clear" w:color="auto" w:fill="EEEEEE"/>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income/(loss); change in funded status of pension plan</w:t>
            </w:r>
          </w:p>
        </w:tc>
        <w:tc>
          <w:tcPr>
            <w:tcW w:w="10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9"/>
                <w:szCs w:val="19"/>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CONSUMER PORTFOLIO SERVICES, INC. AND SUBSIDIARIES UNAUDITED CONDENSED CONSOLIDATED STATEMENTS OF CASH FLOWS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21,115</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5,164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Accretion of deferred acquisition fees and origination costs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31,204</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35,025</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417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1,782</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1,873</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Mark to fair value of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(2,400)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(9,400)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790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596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net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662</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10,194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8,244</w:t>
            </w:r>
          </w:p>
        </w:tc>
        <w:tc>
          <w:tcPr>
            <w:tcW w:w="0" w:type="dxa"/>
            <w:vAlign w:val="bottom"/>
          </w:tcPr>
          <w:p>
            <w:pPr>
              <w:spacing w:after="0"/>
              <w:rPr>
                <w:sz w:val="1"/>
                <w:szCs w:val="1"/>
                <w:color w:val="auto"/>
              </w:rPr>
            </w:pP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13,340</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09"/>
        </w:trPr>
        <w:tc>
          <w:tcPr>
            <w:tcW w:w="684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68,300</w:t>
            </w: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65,350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held for investment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43,840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73,480</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Purchases of finance receivables measured at fair value</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(393,407)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(205,459)</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209,844</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156,020</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Change in repossessions held in inventory</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481</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0"/>
        </w:trPr>
        <w:tc>
          <w:tcPr>
            <w:tcW w:w="684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(139,517</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23,890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securitization trust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316,800</w:t>
            </w:r>
          </w:p>
        </w:tc>
        <w:tc>
          <w:tcPr>
            <w:tcW w:w="42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230,545</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issuance of subordinated renewable notes</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1,059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subordinated renewable notes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(762)</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advances (repayments) of warehouse lines of credit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42,170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(48,256)</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residual interest financing debt</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(4,311)</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securitization trust debt</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(262,737)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(242,489)</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(3,030)</w:t>
            </w:r>
          </w:p>
        </w:tc>
        <w:tc>
          <w:tcPr>
            <w:tcW w:w="4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common stock</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(14,104)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5,860</w:t>
            </w:r>
          </w:p>
        </w:tc>
        <w:tc>
          <w:tcPr>
            <w:tcW w:w="42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0"/>
        </w:trPr>
        <w:tc>
          <w:tcPr>
            <w:tcW w:w="684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80,945</w:t>
            </w:r>
          </w:p>
        </w:tc>
        <w:tc>
          <w:tcPr>
            <w:tcW w:w="32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restricted cash at beginning of period</w:t>
            </w:r>
          </w:p>
        </w:tc>
        <w:tc>
          <w:tcPr>
            <w:tcW w:w="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176,548</w:t>
            </w:r>
          </w:p>
        </w:tc>
        <w:tc>
          <w:tcPr>
            <w:tcW w:w="4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144,152</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Cash and restricted cash at end of period</w:t>
            </w:r>
          </w:p>
        </w:tc>
        <w:tc>
          <w:tcPr>
            <w:tcW w:w="82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186,276</w:t>
            </w:r>
          </w:p>
        </w:tc>
        <w:tc>
          <w:tcPr>
            <w:tcW w:w="32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168,601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14,380</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19,252</w:t>
            </w:r>
          </w:p>
        </w:tc>
        <w:tc>
          <w:tcPr>
            <w:tcW w:w="0" w:type="dxa"/>
            <w:vAlign w:val="bottom"/>
          </w:tcPr>
          <w:p>
            <w:pPr>
              <w:spacing w:after="0"/>
              <w:rPr>
                <w:sz w:val="1"/>
                <w:szCs w:val="1"/>
                <w:color w:val="auto"/>
              </w:rPr>
            </w:pPr>
          </w:p>
        </w:tc>
      </w:tr>
      <w:tr>
        <w:trPr>
          <w:trHeight w:val="216"/>
        </w:trPr>
        <w:tc>
          <w:tcPr>
            <w:tcW w:w="68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 Stock (Shares Outstanding)</w:t>
            </w:r>
          </w:p>
        </w:tc>
        <w:tc>
          <w:tcPr>
            <w:tcW w:w="16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21,144</w:t>
            </w: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22,737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1,366</w:t>
            </w:r>
          </w:p>
        </w:tc>
        <w:tc>
          <w:tcPr>
            <w:tcW w:w="98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(1,218)</w:t>
            </w: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32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55,298</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72,926</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upon exercise of options and warrants</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5,860</w:t>
            </w:r>
          </w:p>
        </w:tc>
        <w:tc>
          <w:tcPr>
            <w:tcW w:w="98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(14,104)</w:t>
            </w: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790</w:t>
            </w:r>
          </w:p>
        </w:tc>
        <w:tc>
          <w:tcPr>
            <w:tcW w:w="980" w:type="dxa"/>
            <w:vAlign w:val="bottom"/>
          </w:tcPr>
          <w:p>
            <w:pPr>
              <w:spacing w:after="0"/>
              <w:rPr>
                <w:sz w:val="19"/>
                <w:szCs w:val="19"/>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0"/>
        </w:trPr>
        <w:tc>
          <w:tcPr>
            <w:tcW w:w="6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47,844</w:t>
            </w:r>
          </w:p>
        </w:tc>
        <w:tc>
          <w:tcPr>
            <w:tcW w:w="32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72,877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w w:val="99"/>
              </w:rPr>
              <w:t>116,531</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69,007</w:t>
            </w:r>
          </w:p>
        </w:tc>
        <w:tc>
          <w:tcPr>
            <w:tcW w:w="0" w:type="dxa"/>
            <w:vAlign w:val="bottom"/>
          </w:tcPr>
          <w:p>
            <w:pPr>
              <w:spacing w:after="0"/>
              <w:rPr>
                <w:sz w:val="1"/>
                <w:szCs w:val="1"/>
                <w:color w:val="auto"/>
              </w:rPr>
            </w:pPr>
          </w:p>
        </w:tc>
      </w:tr>
      <w:tr>
        <w:trPr>
          <w:trHeight w:val="229"/>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21,115</w:t>
            </w: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5,164</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137,646</w:t>
            </w:r>
          </w:p>
        </w:tc>
        <w:tc>
          <w:tcPr>
            <w:tcW w:w="32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74,171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(1,622)</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1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64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2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w w:val="99"/>
              </w:rPr>
              <w:t>183,868</w:t>
            </w:r>
          </w:p>
        </w:tc>
        <w:tc>
          <w:tcPr>
            <w:tcW w:w="980" w:type="dxa"/>
            <w:vAlign w:val="bottom"/>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w w:val="99"/>
              </w:rPr>
              <w:t>138,477</w:t>
            </w:r>
          </w:p>
        </w:tc>
        <w:tc>
          <w:tcPr>
            <w:tcW w:w="0" w:type="dxa"/>
            <w:vAlign w:val="bottom"/>
          </w:tcPr>
          <w:p>
            <w:pPr>
              <w:spacing w:after="0"/>
              <w:rPr>
                <w:sz w:val="1"/>
                <w:szCs w:val="1"/>
                <w:color w:val="auto"/>
              </w:rPr>
            </w:pPr>
          </w:p>
        </w:tc>
      </w:tr>
      <w:tr>
        <w:trPr>
          <w:trHeight w:val="20"/>
        </w:trPr>
        <w:tc>
          <w:tcPr>
            <w:tcW w:w="6020" w:type="dxa"/>
            <w:vAlign w:val="bottom"/>
            <w:tcBorders>
              <w:top w:val="single" w:sz="8" w:color="EEEEEE"/>
            </w:tcBorders>
          </w:tcPr>
          <w:p>
            <w:pPr>
              <w:spacing w:after="0" w:line="20" w:lineRule="exact"/>
              <w:rPr>
                <w:sz w:val="1"/>
                <w:szCs w:val="1"/>
                <w:color w:val="auto"/>
              </w:rPr>
            </w:pPr>
          </w:p>
        </w:tc>
        <w:tc>
          <w:tcPr>
            <w:tcW w:w="16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5" w:lineRule="exact"/>
        <w:rPr>
          <w:sz w:val="20"/>
          <w:szCs w:val="20"/>
          <w:color w:val="auto"/>
        </w:rPr>
      </w:pPr>
    </w:p>
    <w:p>
      <w:pPr>
        <w:ind w:firstLine="8"/>
        <w:spacing w:after="0" w:line="260" w:lineRule="auto"/>
        <w:tabs>
          <w:tab w:leader="none" w:pos="3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installment purchase contracts in four merger and acquisition transactions. In this report, we refer to all of such contracts and loans as "automobile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three-month period ended March 31, 2022 are not necessarily indicative of the operating results to be expected for the full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Receivables Measured at Fair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re-evaluate the fair value of such receivables at the close of each measurement period. If the reevaluation were to yield a value materially different from the recorded value, an adjustment would be required. Results for the first quarter include a $2.4 million mark down reversal to the carrying value of the portion of the receivables portfolio accounted for at fair value. Results for the first quarter of 2021 include a $4.4 million mark down, and the mark down is reflected as a reduction in revenue.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primary components of Other Income for the three-month periods ending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9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5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Direct mail revenues</w:t>
            </w:r>
          </w:p>
        </w:tc>
        <w:tc>
          <w:tcPr>
            <w:tcW w:w="32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774</w:t>
            </w:r>
          </w:p>
        </w:tc>
        <w:tc>
          <w:tcPr>
            <w:tcW w:w="106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Convenience fee revenue</w:t>
            </w: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Recoveries on previously charged-off contracts</w:t>
            </w:r>
          </w:p>
        </w:tc>
        <w:tc>
          <w:tcPr>
            <w:tcW w:w="21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EEEEEE"/>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Sales tax refunds</w:t>
            </w: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106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55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EEEEEE"/>
          </w:tcPr>
          <w:p>
            <w:pPr>
              <w:spacing w:after="0"/>
              <w:rPr>
                <w:sz w:val="19"/>
                <w:szCs w:val="19"/>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for the period</w:t>
            </w:r>
          </w:p>
        </w:tc>
        <w:tc>
          <w:tcPr>
            <w:tcW w:w="2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3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balance sheet information related to leases: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7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25,820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25,819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right-of-use assets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(18,972)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(17,624)</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(7,684)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(9,058)</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29"/>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(2,620)</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bottom w:val="single" w:sz="8" w:color="EEEEEE"/>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32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38"/>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 were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Year Ending March 31,</w:t>
            </w: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21"/>
                <w:szCs w:val="21"/>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09"/>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1,888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58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(2,224)</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0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lease cost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r>
      <w:tr>
        <w:trPr>
          <w:trHeight w:val="229"/>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1,761</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-179705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related to leases:</w:t>
            </w:r>
          </w:p>
        </w:tc>
        <w:tc>
          <w:tcPr>
            <w:tcW w:w="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6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7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0" w:type="dxa"/>
            <w:vAlign w:val="bottom"/>
            <w:gridSpan w:val="2"/>
            <w:shd w:val="clear" w:color="auto" w:fill="EEEEE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1,788</w:t>
            </w:r>
          </w:p>
        </w:tc>
        <w:tc>
          <w:tcPr>
            <w:tcW w:w="1220" w:type="dxa"/>
            <w:vAlign w:val="bottom"/>
            <w:shd w:val="clear" w:color="auto" w:fill="EEEEEE"/>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w:t>
            </w:r>
          </w:p>
        </w:tc>
        <w:tc>
          <w:tcPr>
            <w:tcW w:w="1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6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7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Stock-based Compensation</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we recorded stock-based compensation costs in the amount of $790,000 and $408,000, respectively. As of March 31, 2022, unrecognized stock-based compensation costs to be recognized over future periods equaled $8.4 million. This amount will be recognized as expense over a weighted-average period of 2.4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stock option activity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10"/>
        </w:trPr>
        <w:tc>
          <w:tcPr>
            <w:tcW w:w="4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beginning of period</w:t>
            </w:r>
          </w:p>
        </w:tc>
        <w:tc>
          <w:tcPr>
            <w:tcW w:w="23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9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44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3900" w:type="dxa"/>
            <w:vAlign w:val="bottom"/>
            <w:gridSpan w:val="3"/>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4.29</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7.51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3"/>
        </w:trPr>
        <w:tc>
          <w:tcPr>
            <w:tcW w:w="44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outstanding at the end of period</w:t>
            </w:r>
          </w:p>
        </w:tc>
        <w:tc>
          <w:tcPr>
            <w:tcW w:w="2300" w:type="dxa"/>
            <w:vAlign w:val="bottom"/>
            <w:tcBorders>
              <w:top w:val="single" w:sz="8" w:color="EEEEEE"/>
            </w:tcBorders>
            <w:shd w:val="clear" w:color="auto" w:fill="EEEEEE"/>
          </w:tcPr>
          <w:p>
            <w:pPr>
              <w:spacing w:after="0"/>
              <w:rPr>
                <w:sz w:val="19"/>
                <w:szCs w:val="19"/>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360" w:type="dxa"/>
            <w:vAlign w:val="bottom"/>
            <w:tcBorders>
              <w:top w:val="single" w:sz="8" w:color="EEEEEE"/>
            </w:tcBorders>
            <w:shd w:val="clear" w:color="auto" w:fill="EEEEEE"/>
          </w:tcPr>
          <w:p>
            <w:pPr>
              <w:spacing w:after="0"/>
              <w:rPr>
                <w:sz w:val="19"/>
                <w:szCs w:val="19"/>
                <w:color w:val="auto"/>
              </w:rPr>
            </w:pP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EEEEEE"/>
            </w:tcBorders>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4.82</w:t>
            </w:r>
          </w:p>
        </w:tc>
        <w:tc>
          <w:tcPr>
            <w:tcW w:w="1220" w:type="dxa"/>
            <w:vAlign w:val="bottom"/>
            <w:tcBorders>
              <w:top w:val="single" w:sz="8" w:color="EEEEEE"/>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3.18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23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Options exercisable at the end of period</w:t>
            </w:r>
          </w:p>
        </w:tc>
        <w:tc>
          <w:tcPr>
            <w:tcW w:w="3900" w:type="dxa"/>
            <w:vAlign w:val="bottom"/>
            <w:gridSpan w:val="3"/>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4.74</w:t>
            </w:r>
          </w:p>
        </w:tc>
        <w:tc>
          <w:tcPr>
            <w:tcW w:w="12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 years</w:t>
            </w:r>
          </w:p>
        </w:tc>
        <w:tc>
          <w:tcPr>
            <w:tcW w:w="0" w:type="dxa"/>
            <w:vAlign w:val="bottom"/>
          </w:tcPr>
          <w:p>
            <w:pPr>
              <w:spacing w:after="0"/>
              <w:rPr>
                <w:sz w:val="1"/>
                <w:szCs w:val="1"/>
                <w:color w:val="auto"/>
              </w:rPr>
            </w:pPr>
          </w:p>
        </w:tc>
      </w:tr>
      <w:tr>
        <w:trPr>
          <w:trHeight w:val="20"/>
        </w:trPr>
        <w:tc>
          <w:tcPr>
            <w:tcW w:w="4460" w:type="dxa"/>
            <w:vAlign w:val="bottom"/>
            <w:tcBorders>
              <w:top w:val="single" w:sz="8" w:color="EEEEEE"/>
            </w:tcBorders>
          </w:tcPr>
          <w:p>
            <w:pPr>
              <w:spacing w:after="0" w:line="20" w:lineRule="exact"/>
              <w:rPr>
                <w:sz w:val="1"/>
                <w:szCs w:val="1"/>
                <w:color w:val="auto"/>
              </w:rPr>
            </w:pPr>
          </w:p>
        </w:tc>
        <w:tc>
          <w:tcPr>
            <w:tcW w:w="2300" w:type="dxa"/>
            <w:vAlign w:val="bottom"/>
            <w:tcBorders>
              <w:top w:val="single" w:sz="8" w:color="EEEEEE"/>
              <w:bottom w:val="single" w:sz="8" w:color="EEEEEE"/>
            </w:tcBorders>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4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price distribution of stock options outstanding and exercisable for the years ended March 31,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52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Number of shares as of</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shares as of</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6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2600" w:type="dxa"/>
            <w:vAlign w:val="bottom"/>
            <w:tcBorders>
              <w:top w:val="single" w:sz="8" w:color="auto"/>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26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$0.95 - $1.99</w:t>
            </w:r>
          </w:p>
        </w:tc>
        <w:tc>
          <w:tcPr>
            <w:tcW w:w="2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2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44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 $2.99</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1,517</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w:t>
            </w:r>
          </w:p>
        </w:tc>
        <w:tc>
          <w:tcPr>
            <w:tcW w:w="44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$3.00 - $3.99</w:t>
            </w:r>
          </w:p>
        </w:tc>
        <w:tc>
          <w:tcPr>
            <w:tcW w:w="2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4,172</w:t>
            </w: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w w:val="98"/>
              </w:rPr>
              <w:t>3,270</w:t>
            </w:r>
          </w:p>
        </w:tc>
        <w:tc>
          <w:tcPr>
            <w:tcW w:w="2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4,285</w:t>
            </w:r>
          </w:p>
        </w:tc>
        <w:tc>
          <w:tcPr>
            <w:tcW w:w="4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3,382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$4.00 - $4.99</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2,847</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1,567</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2,870</w:t>
            </w:r>
          </w:p>
        </w:tc>
        <w:tc>
          <w:tcPr>
            <w:tcW w:w="4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$5.00</w:t>
            </w:r>
          </w:p>
        </w:tc>
        <w:tc>
          <w:tcPr>
            <w:tcW w:w="27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$5.99</w:t>
            </w:r>
          </w:p>
        </w:tc>
        <w:tc>
          <w:tcPr>
            <w:tcW w:w="2600" w:type="dxa"/>
            <w:vAlign w:val="bottom"/>
            <w:gridSpan w:val="3"/>
            <w:shd w:val="clear" w:color="auto" w:fill="EEEEEE"/>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shd w:val="clear" w:color="auto" w:fill="EEEEEE"/>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$6.00</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$6.99</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1,933</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1,933</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2,651</w:t>
            </w:r>
          </w:p>
        </w:tc>
        <w:tc>
          <w:tcPr>
            <w:tcW w:w="4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$7.00</w:t>
            </w:r>
          </w:p>
        </w:tc>
        <w:tc>
          <w:tcPr>
            <w:tcW w:w="27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$7.99</w:t>
            </w:r>
          </w:p>
        </w:tc>
        <w:tc>
          <w:tcPr>
            <w:tcW w:w="21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775</w:t>
            </w:r>
          </w:p>
        </w:tc>
        <w:tc>
          <w:tcPr>
            <w:tcW w:w="4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20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1,175</w:t>
            </w:r>
          </w:p>
        </w:tc>
        <w:tc>
          <w:tcPr>
            <w:tcW w:w="4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$8.00</w:t>
            </w:r>
          </w:p>
        </w:tc>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$11.00</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0" w:type="dxa"/>
            <w:vAlign w:val="bottom"/>
            <w:tcBorders>
              <w:top w:val="single" w:sz="8" w:color="EEEEEE"/>
            </w:tcBorders>
            <w:shd w:val="clear" w:color="auto" w:fill="EEEEEE"/>
          </w:tcPr>
          <w:p>
            <w:pPr>
              <w:spacing w:after="0"/>
              <w:rPr>
                <w:sz w:val="18"/>
                <w:szCs w:val="18"/>
                <w:color w:val="auto"/>
              </w:rPr>
            </w:pPr>
          </w:p>
        </w:tc>
        <w:tc>
          <w:tcPr>
            <w:tcW w:w="2720" w:type="dxa"/>
            <w:vAlign w:val="bottom"/>
            <w:tcBorders>
              <w:top w:val="single" w:sz="8" w:color="EEEEEE"/>
            </w:tcBorders>
            <w:shd w:val="clear" w:color="auto" w:fill="EEEEEE"/>
          </w:tcPr>
          <w:p>
            <w:pPr>
              <w:spacing w:after="0"/>
              <w:rPr>
                <w:sz w:val="18"/>
                <w:szCs w:val="18"/>
                <w:color w:val="auto"/>
              </w:rPr>
            </w:pPr>
          </w:p>
        </w:tc>
        <w:tc>
          <w:tcPr>
            <w:tcW w:w="192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w:t>
            </w: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12,028</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8,068</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13,074</w:t>
            </w:r>
          </w:p>
        </w:tc>
        <w:tc>
          <w:tcPr>
            <w:tcW w:w="44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the aggregate intrinsic value of options outstanding and exercisable was $64.3 million and $43.7 million, respectively. There were 1,366,000 options exercised for the three months ended March 31, 2022 compared to 98,000 for the comparable period in 2021. The total intrinsic value of options exercised was $10.2 million and $122,000 for the three-month periods ended March 31, 2022 and 2021. There were 3,561,000 shares available for future stock option grants under existing plans as of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describes the purchase of our common stock for the three-month ended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740" w:type="dxa"/>
            <w:vAlign w:val="bottom"/>
          </w:tcPr>
          <w:p>
            <w:pPr>
              <w:spacing w:after="0"/>
              <w:rPr>
                <w:sz w:val="20"/>
                <w:szCs w:val="20"/>
                <w:color w:val="auto"/>
              </w:rPr>
            </w:pPr>
          </w:p>
        </w:tc>
        <w:tc>
          <w:tcPr>
            <w:tcW w:w="340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10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23"/>
        </w:trPr>
        <w:tc>
          <w:tcPr>
            <w:tcW w:w="4740" w:type="dxa"/>
            <w:vAlign w:val="bottom"/>
          </w:tcPr>
          <w:p>
            <w:pPr>
              <w:spacing w:after="0"/>
              <w:rPr>
                <w:sz w:val="19"/>
                <w:szCs w:val="19"/>
                <w:color w:val="auto"/>
              </w:rPr>
            </w:pPr>
          </w:p>
        </w:tc>
        <w:tc>
          <w:tcPr>
            <w:tcW w:w="1700" w:type="dxa"/>
            <w:vAlign w:val="bottom"/>
            <w:tcBorders>
              <w:top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320" w:type="dxa"/>
            <w:vAlign w:val="bottom"/>
          </w:tcPr>
          <w:p>
            <w:pPr>
              <w:spacing w:after="0"/>
              <w:rPr>
                <w:sz w:val="19"/>
                <w:szCs w:val="19"/>
                <w:color w:val="auto"/>
              </w:rPr>
            </w:pPr>
          </w:p>
        </w:tc>
        <w:tc>
          <w:tcPr>
            <w:tcW w:w="1660" w:type="dxa"/>
            <w:vAlign w:val="bottom"/>
            <w:tcBorders>
              <w:top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Avg. Price</w:t>
            </w:r>
          </w:p>
        </w:tc>
        <w:tc>
          <w:tcPr>
            <w:tcW w:w="100" w:type="dxa"/>
            <w:vAlign w:val="bottom"/>
          </w:tcPr>
          <w:p>
            <w:pPr>
              <w:spacing w:after="0"/>
              <w:rPr>
                <w:sz w:val="19"/>
                <w:szCs w:val="19"/>
                <w:color w:val="auto"/>
              </w:rPr>
            </w:pPr>
          </w:p>
        </w:tc>
      </w:tr>
      <w:tr>
        <w:trPr>
          <w:trHeight w:val="210"/>
        </w:trPr>
        <w:tc>
          <w:tcPr>
            <w:tcW w:w="4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922,363</w:t>
            </w: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138,004</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Shares redeemed upon net exercise of stock options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295,088</w:t>
            </w:r>
          </w:p>
        </w:tc>
        <w:tc>
          <w:tcPr>
            <w:tcW w:w="2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12.68</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40,727</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23"/>
        </w:trPr>
        <w:tc>
          <w:tcPr>
            <w:tcW w:w="4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1,217,451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178,731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Reclassifications</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items in the prior year financial statements were reclassified to conform to the current presentation. Reclassifications had no effect on net income or shareholders’ equity.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2022,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Pandemic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2019, a new strain of coronavirus (the “COVID-19 virus”) originated in Wuhan, China. Since its discovery, the COVID-19 virus has spread throughout the world, and the outbreak has been declared to be a pandemic by the World Health Organization. We refer from time to time in this report to the outbreak and spread of the COVID-19 virus as “the pandemic.”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our portfolio of finance receivables carried at fair value with consideration for unobservable inputs that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The pandemic and the adverse effect it may have on the U.S. economy and our obligors may cause us to consider significant changes in any of those inputs, which in turn may have a significant effect on our fair value measurement.</w:t>
      </w:r>
    </w:p>
    <w:p>
      <w:pPr>
        <w:spacing w:after="0" w:line="179"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Finance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Automobile finance receivables, net of unearned interest was $186.7 million and $232.4 million as of March 31, 2022 and December 31, 2021, respectively. The following table summarizes the delinquency status of finance receivables as of March 31, 2022 and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40" w:type="dxa"/>
            <w:vAlign w:val="bottom"/>
            <w:gridSpan w:val="2"/>
            <w:vMerge w:val="continue"/>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152,949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186,625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22,426</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30,980</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9,252</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12,070</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2,118</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1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186,745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232,390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Finance receivables totaling $2.1 million and $2.7 million at March 31, 2022 and December 31, 2021, respectively, including all receivables greater than 90 days delinquent, have been placed on non-accrual status as a result of their delinquency status.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 Finance Receivables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our finance receivables by annual vintage as of March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60" w:type="dxa"/>
            <w:vAlign w:val="bottom"/>
          </w:tcPr>
          <w:p>
            <w:pPr>
              <w:spacing w:after="0"/>
              <w:rPr>
                <w:sz w:val="20"/>
                <w:szCs w:val="20"/>
                <w:color w:val="auto"/>
              </w:rPr>
            </w:pPr>
          </w:p>
        </w:tc>
        <w:tc>
          <w:tcPr>
            <w:tcW w:w="4940" w:type="dxa"/>
            <w:vAlign w:val="bottom"/>
            <w:gridSpan w:val="3"/>
            <w:vMerge w:val="restart"/>
          </w:tcPr>
          <w:p>
            <w:pPr>
              <w:jc w:val="right"/>
              <w:ind w:right="3330"/>
              <w:spacing w:after="0"/>
              <w:rPr>
                <w:sz w:val="20"/>
                <w:szCs w:val="20"/>
                <w:color w:val="auto"/>
              </w:rPr>
            </w:pPr>
            <w:r>
              <w:rPr>
                <w:rFonts w:ascii="Times New Roman" w:cs="Times New Roman" w:eastAsia="Times New Roman" w:hAnsi="Times New Roman"/>
                <w:sz w:val="18"/>
                <w:szCs w:val="18"/>
                <w:color w:val="auto"/>
                <w:w w:val="98"/>
              </w:rPr>
              <w:t>Annual Vintage Pool</w:t>
            </w: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494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2012 and prior</w:t>
            </w:r>
          </w:p>
        </w:tc>
        <w:tc>
          <w:tcPr>
            <w:tcW w:w="4940" w:type="dxa"/>
            <w:vAlign w:val="bottom"/>
            <w:gridSpan w:val="3"/>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2014</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4,877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5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22,037</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29,695</w:t>
            </w:r>
          </w:p>
        </w:tc>
        <w:tc>
          <w:tcPr>
            <w:tcW w:w="0" w:type="dxa"/>
            <w:vAlign w:val="bottom"/>
          </w:tcPr>
          <w:p>
            <w:pPr>
              <w:spacing w:after="0"/>
              <w:rPr>
                <w:sz w:val="1"/>
                <w:szCs w:val="1"/>
                <w:color w:val="auto"/>
              </w:rPr>
            </w:pPr>
          </w:p>
        </w:tc>
      </w:tr>
      <w:tr>
        <w:trPr>
          <w:trHeight w:val="216"/>
        </w:trPr>
        <w:tc>
          <w:tcPr>
            <w:tcW w:w="29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2016</w:t>
            </w:r>
          </w:p>
        </w:tc>
        <w:tc>
          <w:tcPr>
            <w:tcW w:w="1520" w:type="dxa"/>
            <w:vAlign w:val="bottom"/>
            <w:shd w:val="clear" w:color="auto" w:fill="EEEEEE"/>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61,259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76,728</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97,759</w:t>
            </w: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117,864</w:t>
            </w:r>
          </w:p>
        </w:tc>
        <w:tc>
          <w:tcPr>
            <w:tcW w:w="0" w:type="dxa"/>
            <w:vAlign w:val="bottom"/>
          </w:tcPr>
          <w:p>
            <w:pPr>
              <w:spacing w:after="0"/>
              <w:rPr>
                <w:sz w:val="1"/>
                <w:szCs w:val="1"/>
                <w:color w:val="auto"/>
              </w:rPr>
            </w:pPr>
          </w:p>
        </w:tc>
      </w:tr>
      <w:tr>
        <w:trPr>
          <w:trHeight w:val="223"/>
        </w:trPr>
        <w:tc>
          <w:tcPr>
            <w:tcW w:w="2960" w:type="dxa"/>
            <w:vAlign w:val="bottom"/>
            <w:tcBorders>
              <w:top w:val="single" w:sz="8" w:color="EEEEEE"/>
              <w:bottom w:val="single" w:sz="8" w:color="EEEEEE"/>
            </w:tcBorders>
            <w:shd w:val="clear" w:color="auto" w:fill="EEEEEE"/>
          </w:tcPr>
          <w:p>
            <w:pPr>
              <w:spacing w:after="0"/>
              <w:rPr>
                <w:sz w:val="19"/>
                <w:szCs w:val="19"/>
                <w:color w:val="auto"/>
              </w:rPr>
            </w:pPr>
          </w:p>
        </w:tc>
        <w:tc>
          <w:tcPr>
            <w:tcW w:w="1520" w:type="dxa"/>
            <w:vAlign w:val="bottom"/>
            <w:tcBorders>
              <w:top w:val="single" w:sz="8" w:color="EEEEEE"/>
              <w:bottom w:val="single" w:sz="8" w:color="EEEEEE"/>
            </w:tcBorders>
            <w:shd w:val="clear" w:color="auto" w:fill="EEEEEE"/>
          </w:tcPr>
          <w:p>
            <w:pPr>
              <w:spacing w:after="0"/>
              <w:rPr>
                <w:sz w:val="19"/>
                <w:szCs w:val="19"/>
                <w:color w:val="auto"/>
              </w:rPr>
            </w:pPr>
          </w:p>
        </w:tc>
        <w:tc>
          <w:tcPr>
            <w:tcW w:w="3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186,745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232,390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activity for the allowance for finance credit losses for the three-month periods ended March 31, 2022 and 2021:</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credit losses on finance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Charge-offs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56,206</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(9,400)</w:t>
            </w:r>
          </w:p>
        </w:tc>
        <w:tc>
          <w:tcPr>
            <w:tcW w:w="50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(5,359)</w:t>
            </w:r>
          </w:p>
        </w:tc>
        <w:tc>
          <w:tcPr>
            <w:tcW w:w="5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3,554</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45,001</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-736600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we recorded a reduction to provision for credit losses on finance receivables in the amount of $9.4 million. The reserve decrease was primarily due to a decrease in lifetime expected credit losses resulting from improved credit performance, an improved macroeconomic outlook and higher used car prices. The Company did not make additional provisions for credit losses for the three months ended March 31,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5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balance of repossessions in inventory</w:t>
            </w:r>
          </w:p>
        </w:tc>
        <w:tc>
          <w:tcPr>
            <w:tcW w:w="226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3,640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4,341</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losses on repossessed inventory</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(1,652)</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w:t>
            </w:r>
          </w:p>
        </w:tc>
      </w:tr>
      <w:tr>
        <w:trPr>
          <w:trHeight w:val="223"/>
        </w:trPr>
        <w:tc>
          <w:tcPr>
            <w:tcW w:w="56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repossessed inventory included in other assets</w:t>
            </w:r>
          </w:p>
        </w:tc>
        <w:tc>
          <w:tcPr>
            <w:tcW w:w="20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9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Securitization Trust Debt</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Pledged at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Principal at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4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1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2022 (2)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09"/>
        </w:trPr>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2017-A</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April 2024</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206,320</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17,644</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2017-B</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22,739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225,170</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2017-C</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September 2024</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24,874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224,825</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20,955</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25,846</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2017-D</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June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25,965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196,300</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26,744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2018-A</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March 2025</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29,215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190,000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25,303</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29,518</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2018-B</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201,823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36,092</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2018-C</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September 2025</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40,840</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230,275</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36,876</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42,765</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2018-D</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June 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50,069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233,730</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49,634</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2019-A</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March 2026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62,139</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254,400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53,492</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62,667</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2019-B</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June 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62,243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228,275</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61,730</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2019-C</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September 2026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73,278</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243,513</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64,980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75,065</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2019-D</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2026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94,335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274,313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2020-A</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March 2027</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88,745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260,000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83,987</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99,485</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2020-B</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June 2027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96,567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202,343</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72,955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87,048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2020-C</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November 2027</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129,864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252,200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118,901</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138,899</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2021-A</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March 2028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138,427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230,545</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123,688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147,516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2021-B</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June 2028</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165,925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240,000</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157,719</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179,856</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2021-C</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September 2028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235,461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291,000</w:t>
            </w:r>
          </w:p>
        </w:tc>
        <w:tc>
          <w:tcPr>
            <w:tcW w:w="1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222,432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250,003</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CPS 2021-D</w:t>
            </w:r>
          </w:p>
        </w:tc>
        <w:tc>
          <w:tcPr>
            <w:tcW w:w="18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December 2028</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311,727</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349,202</w:t>
            </w:r>
          </w:p>
        </w:tc>
        <w:tc>
          <w:tcPr>
            <w:tcW w:w="1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300,177</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330,325</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CPS 2022-A</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April 2029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315,574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316,800</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2,003,373</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4,851,034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1,826,016</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1,771,953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19" w:lineRule="exact"/>
        <w:rPr>
          <w:sz w:val="20"/>
          <w:szCs w:val="20"/>
          <w:color w:val="auto"/>
        </w:rPr>
      </w:pPr>
    </w:p>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$556.3 million in 2022, $703.8 million in 2023, $178.0 million in 2024, $197.3 million in 2025, $114.1 million in 2026, $58.4 million in 2027, and $5.5 million in 2028.</w:t>
      </w:r>
    </w:p>
    <w:p>
      <w:pPr>
        <w:spacing w:after="0" w:line="18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repossessed assets that are included in Other assets on our Unaudited Condensed Consolidated Balance Sheet.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issuance costs of $12.5 million and $12.0 million as of March 31, 2022 and December 31, 2021, respectively, have been excluded from the table above. These debt issuance costs are presented as a direct deduction to the carrying amount of the Securitization trust debt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March 31, 2022, we were in compliance with all such covenants.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2022, restricted cash under the various agreements totaled approximately $164.6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9"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and amounts of our other debt outstanding at March 31, 2022 and December 31, 2021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Amount Outstanding at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Pr>
          <w:p>
            <w:pPr>
              <w:spacing w:after="0"/>
              <w:rPr>
                <w:sz w:val="20"/>
                <w:szCs w:val="20"/>
                <w:color w:val="auto"/>
              </w:rPr>
            </w:pPr>
          </w:p>
        </w:tc>
        <w:tc>
          <w:tcPr>
            <w:tcW w:w="1700" w:type="dxa"/>
            <w:vAlign w:val="bottom"/>
            <w:gridSpan w:val="2"/>
            <w:vMerge w:val="restart"/>
          </w:tcPr>
          <w:p>
            <w:pPr>
              <w:jc w:val="center"/>
              <w:ind w:right="800"/>
              <w:spacing w:after="0"/>
              <w:rPr>
                <w:sz w:val="20"/>
                <w:szCs w:val="20"/>
                <w:color w:val="auto"/>
              </w:rPr>
            </w:pPr>
            <w:r>
              <w:rPr>
                <w:rFonts w:ascii="Times New Roman" w:cs="Times New Roman" w:eastAsia="Times New Roman" w:hAnsi="Times New Roman"/>
                <w:sz w:val="18"/>
                <w:szCs w:val="18"/>
                <w:color w:val="auto"/>
                <w:w w:val="98"/>
              </w:rPr>
              <w:t>Interest Rate</w:t>
            </w:r>
          </w:p>
        </w:tc>
        <w:tc>
          <w:tcPr>
            <w:tcW w:w="700" w:type="dxa"/>
            <w:vAlign w:val="bottom"/>
          </w:tcPr>
          <w:p>
            <w:pPr>
              <w:spacing w:after="0"/>
              <w:rPr>
                <w:sz w:val="20"/>
                <w:szCs w:val="20"/>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Maturity</w:t>
            </w:r>
          </w:p>
        </w:tc>
        <w:tc>
          <w:tcPr>
            <w:tcW w:w="240" w:type="dxa"/>
            <w:vAlign w:val="bottom"/>
          </w:tcPr>
          <w:p>
            <w:pPr>
              <w:spacing w:after="0"/>
              <w:rPr>
                <w:sz w:val="20"/>
                <w:szCs w:val="20"/>
                <w:color w:val="auto"/>
              </w:rPr>
            </w:pPr>
          </w:p>
        </w:tc>
        <w:tc>
          <w:tcPr>
            <w:tcW w:w="322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gridSpan w:val="3"/>
            <w:vMerge w:val="restart"/>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2760" w:type="dxa"/>
            <w:vAlign w:val="bottom"/>
            <w:gridSpan w:val="3"/>
            <w:shd w:val="clear" w:color="auto" w:fill="EEEEEE"/>
          </w:tcPr>
          <w:p>
            <w:pPr>
              <w:jc w:val="center"/>
              <w:ind w:left="190"/>
              <w:spacing w:after="0" w:line="198" w:lineRule="exact"/>
              <w:rPr>
                <w:sz w:val="20"/>
                <w:szCs w:val="20"/>
                <w:color w:val="auto"/>
              </w:rPr>
            </w:pPr>
            <w:r>
              <w:rPr>
                <w:rFonts w:ascii="Times New Roman" w:cs="Times New Roman" w:eastAsia="Times New Roman" w:hAnsi="Times New Roman"/>
                <w:sz w:val="18"/>
                <w:szCs w:val="18"/>
                <w:color w:val="auto"/>
                <w:w w:val="99"/>
              </w:rPr>
              <w:t>3.00% over one month Libor</w:t>
            </w:r>
          </w:p>
        </w:tc>
        <w:tc>
          <w:tcPr>
            <w:tcW w:w="2300" w:type="dxa"/>
            <w:vAlign w:val="bottom"/>
            <w:gridSpan w:val="3"/>
            <w:vMerge w:val="restart"/>
            <w:shd w:val="clear" w:color="auto" w:fill="EEEEEE"/>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vMerge w:val="restart"/>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69,430</w:t>
            </w:r>
          </w:p>
        </w:tc>
        <w:tc>
          <w:tcPr>
            <w:tcW w:w="180" w:type="dxa"/>
            <w:vAlign w:val="bottom"/>
            <w:vMerge w:val="restart"/>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70,590</w:t>
            </w:r>
          </w:p>
        </w:tc>
        <w:tc>
          <w:tcPr>
            <w:tcW w:w="0" w:type="dxa"/>
            <w:vAlign w:val="bottom"/>
          </w:tcPr>
          <w:p>
            <w:pPr>
              <w:spacing w:after="0"/>
              <w:rPr>
                <w:sz w:val="1"/>
                <w:szCs w:val="1"/>
                <w:color w:val="auto"/>
              </w:rPr>
            </w:pPr>
          </w:p>
        </w:tc>
      </w:tr>
      <w:tr>
        <w:trPr>
          <w:trHeight w:val="126"/>
        </w:trPr>
        <w:tc>
          <w:tcPr>
            <w:tcW w:w="2620" w:type="dxa"/>
            <w:vAlign w:val="bottom"/>
            <w:gridSpan w:val="3"/>
            <w:vMerge w:val="continue"/>
            <w:shd w:val="clear" w:color="auto" w:fill="EEEEEE"/>
          </w:tcPr>
          <w:p>
            <w:pPr>
              <w:spacing w:after="0"/>
              <w:rPr>
                <w:sz w:val="10"/>
                <w:szCs w:val="10"/>
                <w:color w:val="auto"/>
              </w:rPr>
            </w:pPr>
          </w:p>
        </w:tc>
        <w:tc>
          <w:tcPr>
            <w:tcW w:w="2760" w:type="dxa"/>
            <w:vAlign w:val="bottom"/>
            <w:gridSpan w:val="3"/>
            <w:vMerge w:val="restart"/>
            <w:shd w:val="clear" w:color="auto" w:fill="EEEEEE"/>
          </w:tcPr>
          <w:p>
            <w:pPr>
              <w:jc w:val="center"/>
              <w:ind w:left="170"/>
              <w:spacing w:after="0"/>
              <w:rPr>
                <w:sz w:val="20"/>
                <w:szCs w:val="20"/>
                <w:color w:val="auto"/>
              </w:rPr>
            </w:pPr>
            <w:r>
              <w:rPr>
                <w:rFonts w:ascii="Times New Roman" w:cs="Times New Roman" w:eastAsia="Times New Roman" w:hAnsi="Times New Roman"/>
                <w:sz w:val="18"/>
                <w:szCs w:val="18"/>
                <w:color w:val="auto"/>
                <w:w w:val="99"/>
              </w:rPr>
              <w:t>(Minimum 3.75%)</w:t>
            </w:r>
          </w:p>
        </w:tc>
        <w:tc>
          <w:tcPr>
            <w:tcW w:w="2300" w:type="dxa"/>
            <w:vAlign w:val="bottom"/>
            <w:gridSpan w:val="3"/>
            <w:vMerge w:val="continue"/>
            <w:shd w:val="clear" w:color="auto" w:fill="EEEEEE"/>
          </w:tcPr>
          <w:p>
            <w:pPr>
              <w:spacing w:after="0"/>
              <w:rPr>
                <w:sz w:val="10"/>
                <w:szCs w:val="10"/>
                <w:color w:val="auto"/>
              </w:rPr>
            </w:pPr>
          </w:p>
        </w:tc>
        <w:tc>
          <w:tcPr>
            <w:tcW w:w="240" w:type="dxa"/>
            <w:vAlign w:val="bottom"/>
            <w:vMerge w:val="continue"/>
            <w:shd w:val="clear" w:color="auto" w:fill="EEEEEE"/>
          </w:tcPr>
          <w:p>
            <w:pPr>
              <w:spacing w:after="0"/>
              <w:rPr>
                <w:sz w:val="10"/>
                <w:szCs w:val="10"/>
                <w:color w:val="auto"/>
              </w:rPr>
            </w:pPr>
          </w:p>
        </w:tc>
        <w:tc>
          <w:tcPr>
            <w:tcW w:w="1640" w:type="dxa"/>
            <w:vAlign w:val="bottom"/>
            <w:gridSpan w:val="2"/>
            <w:vMerge w:val="continue"/>
            <w:shd w:val="clear" w:color="auto" w:fill="EEEEEE"/>
          </w:tcPr>
          <w:p>
            <w:pPr>
              <w:spacing w:after="0"/>
              <w:rPr>
                <w:sz w:val="10"/>
                <w:szCs w:val="10"/>
                <w:color w:val="auto"/>
              </w:rPr>
            </w:pPr>
          </w:p>
        </w:tc>
        <w:tc>
          <w:tcPr>
            <w:tcW w:w="180" w:type="dxa"/>
            <w:vAlign w:val="bottom"/>
            <w:vMerge w:val="continue"/>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760" w:type="dxa"/>
            <w:vAlign w:val="bottom"/>
            <w:gridSpan w:val="3"/>
            <w:vMerge w:val="continue"/>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760" w:type="dxa"/>
            <w:vAlign w:val="bottom"/>
            <w:gridSpan w:val="3"/>
            <w:shd w:val="clear" w:color="auto" w:fill="EEEEEE"/>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3.50% over a commercial</w:t>
            </w:r>
          </w:p>
        </w:tc>
        <w:tc>
          <w:tcPr>
            <w:tcW w:w="2300" w:type="dxa"/>
            <w:vAlign w:val="bottom"/>
            <w:gridSpan w:val="3"/>
            <w:vMerge w:val="restart"/>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January 2024</w:t>
            </w:r>
          </w:p>
        </w:tc>
        <w:tc>
          <w:tcPr>
            <w:tcW w:w="240" w:type="dxa"/>
            <w:vAlign w:val="bottom"/>
            <w:shd w:val="clear" w:color="auto" w:fill="EEEEEE"/>
          </w:tcPr>
          <w:p>
            <w:pPr>
              <w:spacing w:after="0"/>
              <w:rPr>
                <w:sz w:val="17"/>
                <w:szCs w:val="17"/>
                <w:color w:val="auto"/>
              </w:rPr>
            </w:pPr>
          </w:p>
        </w:tc>
        <w:tc>
          <w:tcPr>
            <w:tcW w:w="164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78,750</w:t>
            </w:r>
          </w:p>
        </w:tc>
        <w:tc>
          <w:tcPr>
            <w:tcW w:w="1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35,420</w:t>
            </w:r>
          </w:p>
        </w:tc>
        <w:tc>
          <w:tcPr>
            <w:tcW w:w="0" w:type="dxa"/>
            <w:vAlign w:val="bottom"/>
          </w:tcPr>
          <w:p>
            <w:pPr>
              <w:spacing w:after="0"/>
              <w:rPr>
                <w:sz w:val="1"/>
                <w:szCs w:val="1"/>
                <w:color w:val="auto"/>
              </w:rPr>
            </w:pPr>
          </w:p>
        </w:tc>
      </w:tr>
      <w:tr>
        <w:trPr>
          <w:trHeight w:val="126"/>
        </w:trPr>
        <w:tc>
          <w:tcPr>
            <w:tcW w:w="100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2760" w:type="dxa"/>
            <w:vAlign w:val="bottom"/>
            <w:gridSpan w:val="3"/>
            <w:vMerge w:val="restart"/>
            <w:shd w:val="clear" w:color="auto" w:fill="EEEEEE"/>
          </w:tcPr>
          <w:p>
            <w:pPr>
              <w:jc w:val="center"/>
              <w:ind w:left="170"/>
              <w:spacing w:after="0"/>
              <w:rPr>
                <w:sz w:val="20"/>
                <w:szCs w:val="20"/>
                <w:color w:val="auto"/>
              </w:rPr>
            </w:pPr>
            <w:r>
              <w:rPr>
                <w:rFonts w:ascii="Times New Roman" w:cs="Times New Roman" w:eastAsia="Times New Roman" w:hAnsi="Times New Roman"/>
                <w:sz w:val="18"/>
                <w:szCs w:val="18"/>
                <w:color w:val="auto"/>
                <w:w w:val="99"/>
              </w:rPr>
              <w:t>paper rate (Minimum 4.50%)</w:t>
            </w:r>
          </w:p>
        </w:tc>
        <w:tc>
          <w:tcPr>
            <w:tcW w:w="2300" w:type="dxa"/>
            <w:vAlign w:val="bottom"/>
            <w:gridSpan w:val="3"/>
            <w:vMerge w:val="continue"/>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64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0" w:type="dxa"/>
            <w:vAlign w:val="bottom"/>
            <w:shd w:val="clear" w:color="auto" w:fill="EEEEEE"/>
          </w:tcPr>
          <w:p>
            <w:pPr>
              <w:spacing w:after="0"/>
              <w:rPr>
                <w:sz w:val="9"/>
                <w:szCs w:val="9"/>
                <w:color w:val="auto"/>
              </w:rPr>
            </w:pPr>
          </w:p>
        </w:tc>
        <w:tc>
          <w:tcPr>
            <w:tcW w:w="840" w:type="dxa"/>
            <w:vAlign w:val="bottom"/>
            <w:shd w:val="clear" w:color="auto" w:fill="EEEEEE"/>
          </w:tcPr>
          <w:p>
            <w:pPr>
              <w:spacing w:after="0"/>
              <w:rPr>
                <w:sz w:val="9"/>
                <w:szCs w:val="9"/>
                <w:color w:val="auto"/>
              </w:rPr>
            </w:pPr>
          </w:p>
        </w:tc>
        <w:tc>
          <w:tcPr>
            <w:tcW w:w="780" w:type="dxa"/>
            <w:vAlign w:val="bottom"/>
            <w:shd w:val="clear" w:color="auto" w:fill="EEEEEE"/>
          </w:tcPr>
          <w:p>
            <w:pPr>
              <w:spacing w:after="0"/>
              <w:rPr>
                <w:sz w:val="9"/>
                <w:szCs w:val="9"/>
                <w:color w:val="auto"/>
              </w:rPr>
            </w:pPr>
          </w:p>
        </w:tc>
        <w:tc>
          <w:tcPr>
            <w:tcW w:w="2760" w:type="dxa"/>
            <w:vAlign w:val="bottom"/>
            <w:gridSpan w:val="3"/>
            <w:vMerge w:val="continue"/>
            <w:shd w:val="clear" w:color="auto" w:fill="EEEEEE"/>
          </w:tcPr>
          <w:p>
            <w:pPr>
              <w:spacing w:after="0"/>
              <w:rPr>
                <w:sz w:val="9"/>
                <w:szCs w:val="9"/>
                <w:color w:val="auto"/>
              </w:rPr>
            </w:pPr>
          </w:p>
        </w:tc>
        <w:tc>
          <w:tcPr>
            <w:tcW w:w="70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9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60" w:type="dxa"/>
            <w:vAlign w:val="bottom"/>
            <w:gridSpan w:val="2"/>
            <w:shd w:val="clear" w:color="auto" w:fill="EEEEEE"/>
          </w:tcPr>
          <w:p>
            <w:pPr>
              <w:jc w:val="center"/>
              <w:ind w:left="970"/>
              <w:spacing w:after="0"/>
              <w:rPr>
                <w:sz w:val="20"/>
                <w:szCs w:val="20"/>
                <w:color w:val="auto"/>
              </w:rPr>
            </w:pPr>
            <w:r>
              <w:rPr>
                <w:rFonts w:ascii="Times New Roman" w:cs="Times New Roman" w:eastAsia="Times New Roman" w:hAnsi="Times New Roman"/>
                <w:sz w:val="18"/>
                <w:szCs w:val="18"/>
                <w:color w:val="auto"/>
                <w:w w:val="98"/>
              </w:rPr>
              <w:t>8.60%</w:t>
            </w:r>
          </w:p>
        </w:tc>
        <w:tc>
          <w:tcPr>
            <w:tcW w:w="80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January 2026</w:t>
            </w:r>
          </w:p>
        </w:tc>
        <w:tc>
          <w:tcPr>
            <w:tcW w:w="2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1960" w:type="dxa"/>
            <w:vAlign w:val="bottom"/>
            <w:gridSpan w:val="2"/>
            <w:shd w:val="clear" w:color="auto" w:fill="EEEEEE"/>
          </w:tcPr>
          <w:p>
            <w:pPr>
              <w:jc w:val="center"/>
              <w:ind w:left="970"/>
              <w:spacing w:after="0"/>
              <w:rPr>
                <w:sz w:val="20"/>
                <w:szCs w:val="20"/>
                <w:color w:val="auto"/>
              </w:rPr>
            </w:pPr>
            <w:r>
              <w:rPr>
                <w:rFonts w:ascii="Times New Roman" w:cs="Times New Roman" w:eastAsia="Times New Roman" w:hAnsi="Times New Roman"/>
                <w:sz w:val="18"/>
                <w:szCs w:val="18"/>
                <w:color w:val="auto"/>
                <w:w w:val="98"/>
              </w:rPr>
              <w:t>7.86%</w:t>
            </w:r>
          </w:p>
        </w:tc>
        <w:tc>
          <w:tcPr>
            <w:tcW w:w="8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center"/>
              <w:ind w:right="860"/>
              <w:spacing w:after="0"/>
              <w:rPr>
                <w:sz w:val="20"/>
                <w:szCs w:val="20"/>
                <w:color w:val="auto"/>
              </w:rPr>
            </w:pPr>
            <w:r>
              <w:rPr>
                <w:rFonts w:ascii="Times New Roman" w:cs="Times New Roman" w:eastAsia="Times New Roman" w:hAnsi="Times New Roman"/>
                <w:sz w:val="18"/>
                <w:szCs w:val="18"/>
                <w:color w:val="auto"/>
              </w:rPr>
              <w:t>June 2026</w:t>
            </w:r>
          </w:p>
        </w:tc>
        <w:tc>
          <w:tcPr>
            <w:tcW w:w="2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300" w:type="dxa"/>
            <w:vAlign w:val="bottom"/>
            <w:gridSpan w:val="3"/>
            <w:shd w:val="clear" w:color="auto" w:fill="EEEEEE"/>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Weighted average</w:t>
            </w:r>
          </w:p>
        </w:tc>
        <w:tc>
          <w:tcPr>
            <w:tcW w:w="24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760" w:type="dxa"/>
            <w:vAlign w:val="bottom"/>
            <w:gridSpan w:val="3"/>
            <w:shd w:val="clear" w:color="auto" w:fill="EEEEEE"/>
          </w:tcPr>
          <w:p>
            <w:pPr>
              <w:jc w:val="center"/>
              <w:ind w:left="190"/>
              <w:spacing w:after="0"/>
              <w:rPr>
                <w:sz w:val="20"/>
                <w:szCs w:val="20"/>
                <w:color w:val="auto"/>
              </w:rPr>
            </w:pPr>
            <w:r>
              <w:rPr>
                <w:rFonts w:ascii="Times New Roman" w:cs="Times New Roman" w:eastAsia="Times New Roman" w:hAnsi="Times New Roman"/>
                <w:sz w:val="18"/>
                <w:szCs w:val="18"/>
                <w:color w:val="auto"/>
                <w:w w:val="99"/>
              </w:rPr>
              <w:t>Weighted average rate of</w:t>
            </w:r>
          </w:p>
        </w:tc>
        <w:tc>
          <w:tcPr>
            <w:tcW w:w="2300" w:type="dxa"/>
            <w:vAlign w:val="bottom"/>
            <w:gridSpan w:val="3"/>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maturity of March 2024</w:t>
            </w: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3"/>
            <w:vMerge w:val="restart"/>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760" w:type="dxa"/>
            <w:vAlign w:val="bottom"/>
            <w:gridSpan w:val="3"/>
            <w:shd w:val="clear" w:color="auto" w:fill="EEEEEE"/>
          </w:tcPr>
          <w:p>
            <w:pPr>
              <w:jc w:val="center"/>
              <w:ind w:left="170"/>
              <w:spacing w:after="0"/>
              <w:rPr>
                <w:sz w:val="20"/>
                <w:szCs w:val="20"/>
                <w:color w:val="auto"/>
              </w:rPr>
            </w:pPr>
            <w:r>
              <w:rPr>
                <w:rFonts w:ascii="Times New Roman" w:cs="Times New Roman" w:eastAsia="Times New Roman" w:hAnsi="Times New Roman"/>
                <w:sz w:val="18"/>
                <w:szCs w:val="18"/>
                <w:color w:val="auto"/>
              </w:rPr>
              <w:t>8.65% and 8.93% at March</w:t>
            </w:r>
          </w:p>
        </w:tc>
        <w:tc>
          <w:tcPr>
            <w:tcW w:w="2300" w:type="dxa"/>
            <w:vAlign w:val="bottom"/>
            <w:gridSpan w:val="3"/>
            <w:shd w:val="clear" w:color="auto" w:fill="EEEEEE"/>
          </w:tcPr>
          <w:p>
            <w:pPr>
              <w:jc w:val="center"/>
              <w:ind w:right="140"/>
              <w:spacing w:after="0"/>
              <w:rPr>
                <w:sz w:val="20"/>
                <w:szCs w:val="20"/>
                <w:color w:val="auto"/>
              </w:rPr>
            </w:pPr>
            <w:r>
              <w:rPr>
                <w:rFonts w:ascii="Times New Roman" w:cs="Times New Roman" w:eastAsia="Times New Roman" w:hAnsi="Times New Roman"/>
                <w:sz w:val="18"/>
                <w:szCs w:val="18"/>
                <w:color w:val="auto"/>
                <w:w w:val="99"/>
              </w:rPr>
              <w:t>and January 2024 at</w:t>
            </w:r>
          </w:p>
        </w:tc>
        <w:tc>
          <w:tcPr>
            <w:tcW w:w="240" w:type="dxa"/>
            <w:vAlign w:val="bottom"/>
            <w:shd w:val="clear" w:color="auto" w:fill="EEEEEE"/>
          </w:tcPr>
          <w:p>
            <w:pPr>
              <w:spacing w:after="0"/>
              <w:rPr>
                <w:sz w:val="18"/>
                <w:szCs w:val="18"/>
                <w:color w:val="auto"/>
              </w:rPr>
            </w:pPr>
          </w:p>
        </w:tc>
        <w:tc>
          <w:tcPr>
            <w:tcW w:w="1640" w:type="dxa"/>
            <w:vAlign w:val="bottom"/>
            <w:gridSpan w:val="2"/>
            <w:vMerge w:val="restart"/>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26,756</w:t>
            </w:r>
          </w:p>
        </w:tc>
        <w:tc>
          <w:tcPr>
            <w:tcW w:w="180" w:type="dxa"/>
            <w:vAlign w:val="bottom"/>
            <w:shd w:val="clear" w:color="auto" w:fill="EEEEEE"/>
          </w:tcPr>
          <w:p>
            <w:pPr>
              <w:spacing w:after="0"/>
              <w:rPr>
                <w:sz w:val="18"/>
                <w:szCs w:val="18"/>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r>
        <w:trPr>
          <w:trHeight w:val="126"/>
        </w:trPr>
        <w:tc>
          <w:tcPr>
            <w:tcW w:w="2620" w:type="dxa"/>
            <w:vAlign w:val="bottom"/>
            <w:gridSpan w:val="3"/>
            <w:vMerge w:val="continue"/>
            <w:shd w:val="clear" w:color="auto" w:fill="EEEEEE"/>
          </w:tcPr>
          <w:p>
            <w:pPr>
              <w:spacing w:after="0"/>
              <w:rPr>
                <w:sz w:val="10"/>
                <w:szCs w:val="10"/>
                <w:color w:val="auto"/>
              </w:rPr>
            </w:pPr>
          </w:p>
        </w:tc>
        <w:tc>
          <w:tcPr>
            <w:tcW w:w="2760" w:type="dxa"/>
            <w:vAlign w:val="bottom"/>
            <w:gridSpan w:val="3"/>
            <w:vMerge w:val="restart"/>
            <w:shd w:val="clear" w:color="auto" w:fill="EEEEEE"/>
          </w:tcPr>
          <w:p>
            <w:pPr>
              <w:jc w:val="center"/>
              <w:ind w:left="170"/>
              <w:spacing w:after="0"/>
              <w:rPr>
                <w:sz w:val="20"/>
                <w:szCs w:val="20"/>
                <w:color w:val="auto"/>
              </w:rPr>
            </w:pPr>
            <w:r>
              <w:rPr>
                <w:rFonts w:ascii="Times New Roman" w:cs="Times New Roman" w:eastAsia="Times New Roman" w:hAnsi="Times New Roman"/>
                <w:sz w:val="18"/>
                <w:szCs w:val="18"/>
                <w:color w:val="auto"/>
                <w:w w:val="99"/>
              </w:rPr>
              <w:t>31, 2022 and December 31,</w:t>
            </w:r>
          </w:p>
        </w:tc>
        <w:tc>
          <w:tcPr>
            <w:tcW w:w="2300" w:type="dxa"/>
            <w:vAlign w:val="bottom"/>
            <w:gridSpan w:val="3"/>
            <w:vMerge w:val="restart"/>
            <w:shd w:val="clear" w:color="auto" w:fill="EEEEEE"/>
          </w:tcPr>
          <w:p>
            <w:pPr>
              <w:jc w:val="center"/>
              <w:ind w:right="160"/>
              <w:spacing w:after="0"/>
              <w:rPr>
                <w:sz w:val="20"/>
                <w:szCs w:val="20"/>
                <w:color w:val="auto"/>
              </w:rPr>
            </w:pPr>
            <w:r>
              <w:rPr>
                <w:rFonts w:ascii="Times New Roman" w:cs="Times New Roman" w:eastAsia="Times New Roman" w:hAnsi="Times New Roman"/>
                <w:sz w:val="18"/>
                <w:szCs w:val="18"/>
                <w:color w:val="auto"/>
              </w:rPr>
              <w:t>March 31, 2022 and</w:t>
            </w:r>
          </w:p>
        </w:tc>
        <w:tc>
          <w:tcPr>
            <w:tcW w:w="240" w:type="dxa"/>
            <w:vAlign w:val="bottom"/>
            <w:shd w:val="clear" w:color="auto" w:fill="EEEEEE"/>
          </w:tcPr>
          <w:p>
            <w:pPr>
              <w:spacing w:after="0"/>
              <w:rPr>
                <w:sz w:val="10"/>
                <w:szCs w:val="10"/>
                <w:color w:val="auto"/>
              </w:rPr>
            </w:pPr>
          </w:p>
        </w:tc>
        <w:tc>
          <w:tcPr>
            <w:tcW w:w="164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0" w:type="dxa"/>
            <w:vAlign w:val="bottom"/>
            <w:shd w:val="clear" w:color="auto" w:fill="EEEEEE"/>
          </w:tcPr>
          <w:p>
            <w:pPr>
              <w:spacing w:after="0"/>
              <w:rPr>
                <w:sz w:val="7"/>
                <w:szCs w:val="7"/>
                <w:color w:val="auto"/>
              </w:rPr>
            </w:pPr>
          </w:p>
        </w:tc>
        <w:tc>
          <w:tcPr>
            <w:tcW w:w="840" w:type="dxa"/>
            <w:vAlign w:val="bottom"/>
            <w:shd w:val="clear" w:color="auto" w:fill="EEEEEE"/>
          </w:tcPr>
          <w:p>
            <w:pPr>
              <w:spacing w:after="0"/>
              <w:rPr>
                <w:sz w:val="7"/>
                <w:szCs w:val="7"/>
                <w:color w:val="auto"/>
              </w:rPr>
            </w:pPr>
          </w:p>
        </w:tc>
        <w:tc>
          <w:tcPr>
            <w:tcW w:w="780" w:type="dxa"/>
            <w:vAlign w:val="bottom"/>
            <w:shd w:val="clear" w:color="auto" w:fill="EEEEEE"/>
          </w:tcPr>
          <w:p>
            <w:pPr>
              <w:spacing w:after="0"/>
              <w:rPr>
                <w:sz w:val="7"/>
                <w:szCs w:val="7"/>
                <w:color w:val="auto"/>
              </w:rPr>
            </w:pPr>
          </w:p>
        </w:tc>
        <w:tc>
          <w:tcPr>
            <w:tcW w:w="2760" w:type="dxa"/>
            <w:vAlign w:val="bottom"/>
            <w:gridSpan w:val="3"/>
            <w:vMerge w:val="continue"/>
            <w:shd w:val="clear" w:color="auto" w:fill="EEEEEE"/>
          </w:tcPr>
          <w:p>
            <w:pPr>
              <w:spacing w:after="0"/>
              <w:rPr>
                <w:sz w:val="7"/>
                <w:szCs w:val="7"/>
                <w:color w:val="auto"/>
              </w:rPr>
            </w:pPr>
          </w:p>
        </w:tc>
        <w:tc>
          <w:tcPr>
            <w:tcW w:w="2300" w:type="dxa"/>
            <w:vAlign w:val="bottom"/>
            <w:gridSpan w:val="3"/>
            <w:vMerge w:val="continue"/>
            <w:shd w:val="clear" w:color="auto" w:fill="EEEEEE"/>
          </w:tcPr>
          <w:p>
            <w:pPr>
              <w:spacing w:after="0"/>
              <w:rPr>
                <w:sz w:val="7"/>
                <w:szCs w:val="7"/>
                <w:color w:val="auto"/>
              </w:rPr>
            </w:pPr>
          </w:p>
        </w:tc>
        <w:tc>
          <w:tcPr>
            <w:tcW w:w="240" w:type="dxa"/>
            <w:vAlign w:val="bottom"/>
            <w:shd w:val="clear" w:color="auto" w:fill="EEEEEE"/>
          </w:tcPr>
          <w:p>
            <w:pPr>
              <w:spacing w:after="0"/>
              <w:rPr>
                <w:sz w:val="7"/>
                <w:szCs w:val="7"/>
                <w:color w:val="auto"/>
              </w:rPr>
            </w:pPr>
          </w:p>
        </w:tc>
        <w:tc>
          <w:tcPr>
            <w:tcW w:w="1320" w:type="dxa"/>
            <w:vAlign w:val="bottom"/>
            <w:shd w:val="clear" w:color="auto" w:fill="EEEEEE"/>
          </w:tcPr>
          <w:p>
            <w:pPr>
              <w:spacing w:after="0"/>
              <w:rPr>
                <w:sz w:val="7"/>
                <w:szCs w:val="7"/>
                <w:color w:val="auto"/>
              </w:rPr>
            </w:pPr>
          </w:p>
        </w:tc>
        <w:tc>
          <w:tcPr>
            <w:tcW w:w="320" w:type="dxa"/>
            <w:vAlign w:val="bottom"/>
            <w:shd w:val="clear" w:color="auto" w:fill="EEEEEE"/>
          </w:tcPr>
          <w:p>
            <w:pPr>
              <w:spacing w:after="0"/>
              <w:rPr>
                <w:sz w:val="7"/>
                <w:szCs w:val="7"/>
                <w:color w:val="auto"/>
              </w:rPr>
            </w:pPr>
          </w:p>
        </w:tc>
        <w:tc>
          <w:tcPr>
            <w:tcW w:w="180" w:type="dxa"/>
            <w:vAlign w:val="bottom"/>
            <w:shd w:val="clear" w:color="auto" w:fill="EEEEEE"/>
          </w:tcPr>
          <w:p>
            <w:pPr>
              <w:spacing w:after="0"/>
              <w:rPr>
                <w:sz w:val="7"/>
                <w:szCs w:val="7"/>
                <w:color w:val="auto"/>
              </w:rPr>
            </w:pPr>
          </w:p>
        </w:tc>
        <w:tc>
          <w:tcPr>
            <w:tcW w:w="140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760" w:type="dxa"/>
            <w:vAlign w:val="bottom"/>
            <w:gridSpan w:val="3"/>
            <w:shd w:val="clear" w:color="auto" w:fill="EEEEEE"/>
          </w:tcPr>
          <w:p>
            <w:pPr>
              <w:jc w:val="center"/>
              <w:ind w:left="190"/>
              <w:spacing w:after="0"/>
              <w:rPr>
                <w:sz w:val="20"/>
                <w:szCs w:val="20"/>
                <w:color w:val="auto"/>
              </w:rPr>
            </w:pPr>
            <w:r>
              <w:rPr>
                <w:rFonts w:ascii="Times New Roman" w:cs="Times New Roman" w:eastAsia="Times New Roman" w:hAnsi="Times New Roman"/>
                <w:sz w:val="18"/>
                <w:szCs w:val="18"/>
                <w:color w:val="auto"/>
                <w:w w:val="99"/>
              </w:rPr>
              <w:t>2021, respectively</w:t>
            </w:r>
          </w:p>
        </w:tc>
        <w:tc>
          <w:tcPr>
            <w:tcW w:w="2300" w:type="dxa"/>
            <w:vAlign w:val="bottom"/>
            <w:gridSpan w:val="3"/>
            <w:shd w:val="clear" w:color="auto" w:fill="EEEEEE"/>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December 31, 2021,</w:t>
            </w:r>
          </w:p>
        </w:tc>
        <w:tc>
          <w:tcPr>
            <w:tcW w:w="24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106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300" w:type="dxa"/>
            <w:vAlign w:val="bottom"/>
            <w:gridSpan w:val="3"/>
            <w:shd w:val="clear" w:color="auto" w:fill="EEEEEE"/>
          </w:tcPr>
          <w:p>
            <w:pPr>
              <w:jc w:val="center"/>
              <w:ind w:right="160"/>
              <w:spacing w:after="0"/>
              <w:rPr>
                <w:sz w:val="20"/>
                <w:szCs w:val="20"/>
                <w:color w:val="auto"/>
              </w:rPr>
            </w:pPr>
            <w:r>
              <w:rPr>
                <w:rFonts w:ascii="Times New Roman" w:cs="Times New Roman" w:eastAsia="Times New Roman" w:hAnsi="Times New Roman"/>
                <w:sz w:val="18"/>
                <w:szCs w:val="18"/>
                <w:color w:val="auto"/>
                <w:w w:val="98"/>
              </w:rPr>
              <w:t>respectively</w:t>
            </w:r>
          </w:p>
        </w:tc>
        <w:tc>
          <w:tcPr>
            <w:tcW w:w="24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780" w:type="dxa"/>
            <w:vAlign w:val="bottom"/>
            <w:tcBorders>
              <w:bottom w:val="single" w:sz="8" w:color="EEEEEE"/>
            </w:tcBorders>
          </w:tcPr>
          <w:p>
            <w:pPr>
              <w:spacing w:after="0"/>
              <w:rPr>
                <w:sz w:val="19"/>
                <w:szCs w:val="19"/>
                <w:color w:val="auto"/>
              </w:rPr>
            </w:pPr>
          </w:p>
        </w:tc>
        <w:tc>
          <w:tcPr>
            <w:tcW w:w="106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800" w:type="dxa"/>
            <w:vAlign w:val="bottom"/>
            <w:tcBorders>
              <w:bottom w:val="single" w:sz="8" w:color="EEEEEE"/>
            </w:tcBorders>
          </w:tcPr>
          <w:p>
            <w:pPr>
              <w:spacing w:after="0"/>
              <w:rPr>
                <w:sz w:val="19"/>
                <w:szCs w:val="19"/>
                <w:color w:val="auto"/>
              </w:rPr>
            </w:pPr>
          </w:p>
        </w:tc>
        <w:tc>
          <w:tcPr>
            <w:tcW w:w="700" w:type="dxa"/>
            <w:vAlign w:val="bottom"/>
            <w:tcBorders>
              <w:bottom w:val="single" w:sz="8" w:color="EEEEEE"/>
            </w:tcBorders>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98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spacing w:after="0"/>
              <w:rPr>
                <w:sz w:val="19"/>
                <w:szCs w:val="19"/>
                <w:color w:val="auto"/>
              </w:rPr>
            </w:pPr>
          </w:p>
        </w:tc>
        <w:tc>
          <w:tcPr>
            <w:tcW w:w="900" w:type="dxa"/>
            <w:vAlign w:val="bottom"/>
            <w:tcBorders>
              <w:bottom w:val="single" w:sz="8" w:color="EEEEEE"/>
            </w:tcBorders>
            <w:shd w:val="clear" w:color="auto" w:fill="EEEEEE"/>
          </w:tcPr>
          <w:p>
            <w:pPr>
              <w:spacing w:after="0"/>
              <w:rPr>
                <w:sz w:val="19"/>
                <w:szCs w:val="19"/>
                <w:color w:val="auto"/>
              </w:rPr>
            </w:pPr>
          </w:p>
        </w:tc>
        <w:tc>
          <w:tcPr>
            <w:tcW w:w="800" w:type="dxa"/>
            <w:vAlign w:val="bottom"/>
            <w:tcBorders>
              <w:bottom w:val="single" w:sz="8" w:color="EEEEEE"/>
            </w:tcBorders>
            <w:shd w:val="clear" w:color="auto" w:fill="EEEEEE"/>
          </w:tcPr>
          <w:p>
            <w:pPr>
              <w:spacing w:after="0"/>
              <w:rPr>
                <w:sz w:val="19"/>
                <w:szCs w:val="19"/>
                <w:color w:val="auto"/>
              </w:rPr>
            </w:pPr>
          </w:p>
        </w:tc>
        <w:tc>
          <w:tcPr>
            <w:tcW w:w="700" w:type="dxa"/>
            <w:vAlign w:val="bottom"/>
            <w:tcBorders>
              <w:bottom w:val="single" w:sz="8" w:color="EEEEEE"/>
            </w:tcBorders>
            <w:shd w:val="clear" w:color="auto" w:fill="EEEEEE"/>
          </w:tcPr>
          <w:p>
            <w:pPr>
              <w:spacing w:after="0"/>
              <w:rPr>
                <w:sz w:val="19"/>
                <w:szCs w:val="19"/>
                <w:color w:val="auto"/>
              </w:rPr>
            </w:pPr>
          </w:p>
        </w:tc>
        <w:tc>
          <w:tcPr>
            <w:tcW w:w="620" w:type="dxa"/>
            <w:vAlign w:val="bottom"/>
            <w:tcBorders>
              <w:bottom w:val="single" w:sz="8" w:color="EEEEEE"/>
            </w:tcBorders>
            <w:shd w:val="clear" w:color="auto" w:fill="EEEEEE"/>
          </w:tcPr>
          <w:p>
            <w:pPr>
              <w:spacing w:after="0"/>
              <w:rPr>
                <w:sz w:val="19"/>
                <w:szCs w:val="19"/>
                <w:color w:val="auto"/>
              </w:rPr>
            </w:pPr>
          </w:p>
        </w:tc>
        <w:tc>
          <w:tcPr>
            <w:tcW w:w="9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224,936</w:t>
            </w:r>
          </w:p>
        </w:tc>
        <w:tc>
          <w:tcPr>
            <w:tcW w:w="3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186,780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Unamortized debt issuance costs of $566,000 and $629,000 as of March 31, 2022 and December 31, 2021, respectively, have been excluded from the amount reported above for residual interest financing. Similarly, unamortized debt issuance costs of $1.2 million and $400,000 as of March 31, 2022 and December 31, 2021, respectively, have been excluded from the Warehouse lines of credit amounts in the table above. These debt issuance costs are presented as a direct deduction to the carrying amount of the debt on our Unaudited Condensed Consolidated Balance Sheets.</w:t>
      </w:r>
    </w:p>
    <w:p>
      <w:pPr>
        <w:sectPr>
          <w:pgSz w:w="11900" w:h="16838" w:orient="portrait"/>
          <w:cols w:equalWidth="0" w:num="1">
            <w:col w:w="11240"/>
          </w:cols>
          <w:pgMar w:left="320" w:top="792" w:right="339" w:bottom="1440" w:gutter="0" w:footer="0" w:header="0"/>
        </w:sectPr>
      </w:pPr>
    </w:p>
    <w:p>
      <w:pPr>
        <w:spacing w:after="0" w:line="176"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finance receivables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Securitization trust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center"/>
              <w:ind w:left="63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11,314</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58,740</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43,988</w:t>
            </w:r>
          </w:p>
        </w:tc>
        <w:tc>
          <w:tcPr>
            <w:tcW w:w="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2,400</w:t>
            </w:r>
          </w:p>
        </w:tc>
        <w:tc>
          <w:tcPr>
            <w:tcW w:w="5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(4,417)</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72,460</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center"/>
              <w:ind w:left="63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13,528</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1,158</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1,094</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620</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for the three-month periods ended March 31, 2022 and 2021 were calculated using the weighted average number of shares outstanding for the related period. The following table reconciles the number of shares used in the computations of basic and diluted earnings per share for the three-month periods ended March 31, 2022 and 2021:</w:t>
      </w:r>
    </w:p>
    <w:p>
      <w:pPr>
        <w:spacing w:after="0" w:line="172"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4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 period used to compute basic earnings</w:t>
            </w:r>
          </w:p>
        </w:tc>
        <w:tc>
          <w:tcPr>
            <w:tcW w:w="5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21,221</w:t>
            </w:r>
          </w:p>
        </w:tc>
        <w:tc>
          <w:tcPr>
            <w:tcW w:w="4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Incremental common shares attributable to exercise of outstanding options and warrants</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6,976</w:t>
            </w:r>
          </w:p>
        </w:tc>
        <w:tc>
          <w:tcPr>
            <w:tcW w:w="480" w:type="dxa"/>
            <w:vAlign w:val="bottom"/>
            <w:shd w:val="clear" w:color="auto" w:fill="EEEEEE"/>
          </w:tcPr>
          <w:p>
            <w:pPr>
              <w:spacing w:after="0"/>
              <w:rPr>
                <w:sz w:val="19"/>
                <w:szCs w:val="19"/>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9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to compute diluted earnings per share</w:t>
            </w:r>
          </w:p>
        </w:tc>
        <w:tc>
          <w:tcPr>
            <w:tcW w:w="8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28,197</w:t>
            </w:r>
          </w:p>
        </w:tc>
        <w:tc>
          <w:tcPr>
            <w:tcW w:w="480" w:type="dxa"/>
            <w:vAlign w:val="bottom"/>
            <w:shd w:val="clear" w:color="auto" w:fill="EEEEEE"/>
          </w:tcPr>
          <w:p>
            <w:pPr>
              <w:spacing w:after="0"/>
              <w:rPr>
                <w:sz w:val="21"/>
                <w:szCs w:val="21"/>
                <w:color w:val="auto"/>
              </w:rPr>
            </w:pPr>
          </w:p>
        </w:tc>
        <w:tc>
          <w:tcPr>
            <w:tcW w:w="9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anti-dilutive effects of common stock equivalents were considered, shares included in the diluted earnings per share calculation for the three-months ended March 31, 2022 and 2021 would have included an additional 558,000 and 7.5 million shares, respectively, attributable to the exercise of outstanding options and warrants.</w:t>
      </w:r>
    </w:p>
    <w:p>
      <w:pPr>
        <w:spacing w:after="0" w:line="17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31,2022, and December 31, 2021,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$18.9 million as of March 31, 2022 is more likely than not based on forecasted future net earnings. Our net deferred tax asset of $18.9 million consists of approximately $11.6 million of net U.S. federal deferred tax assets and $7.3 million of net state deferred tax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was $8.2 million for the three months ended March 31, 2022, representing effective income tax rates of 28%. For the prior year period, income tax expense was $2.8 million for the three months ended March 31, 2021 representing an effective tax rate of 35%.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Litigation. </w:t>
      </w:r>
      <w:r>
        <w:rPr>
          <w:rFonts w:ascii="Times New Roman" w:cs="Times New Roman" w:eastAsia="Times New Roman" w:hAnsi="Times New Roman"/>
          <w:sz w:val="18"/>
          <w:szCs w:val="18"/>
          <w:color w:val="auto"/>
        </w:rPr>
        <w:t>We are routinely involved in various legal proceedings resulting from our consumer finance activities and practices, both continuing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most part, we have legal and factual defenses to consumer claims, which we routinely contest or settle (for immaterial amounts) depending on the particular circumstances of each case. There are as of the date of this report two civil actions that could possibly result in a material liability, if resolved adversely and on a class basis, as the respective plaintiffs allege would be appropriate.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Wage and Hour Claim. </w:t>
      </w:r>
      <w:r>
        <w:rPr>
          <w:rFonts w:ascii="Times New Roman" w:cs="Times New Roman" w:eastAsia="Times New Roman" w:hAnsi="Times New Roman"/>
          <w:sz w:val="18"/>
          <w:szCs w:val="18"/>
          <w:color w:val="auto"/>
        </w:rPr>
        <w:t>On September 24, 2018, a former employee filed a lawsuit against us in the Superior Court of Orange County, California, alleging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compensation practices with respect to our sales representatives are compliant with applicable law. Accordingly, we have defended and intend to continue to defend this lawsuit.</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Massachusetts Civil Investigative Demand</w:t>
      </w:r>
      <w:r>
        <w:rPr>
          <w:rFonts w:ascii="Times New Roman" w:cs="Times New Roman" w:eastAsia="Times New Roman" w:hAnsi="Times New Roman"/>
          <w:sz w:val="18"/>
          <w:szCs w:val="18"/>
          <w:color w:val="auto"/>
        </w:rPr>
        <w:t>. In September 2021, we received a civil investigative demand from the Office of the Attorney General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Commonwealth of Massachusetts relating to the Company’s communications with and repossession notices sent to Massachusetts customers. We are cooperating with the inquiry. At this time, it is not possible to determine any amount of loss that is probable and measurable.</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 General. </w:t>
      </w:r>
      <w:r>
        <w:rPr>
          <w:rFonts w:ascii="Times New Roman" w:cs="Times New Roman" w:eastAsia="Times New Roman" w:hAnsi="Times New Roman"/>
          <w:sz w:val="18"/>
          <w:szCs w:val="18"/>
          <w:color w:val="auto"/>
        </w:rPr>
        <w:t>There can be no assurance as to the outcomes of the matters described or referenced above. We record at each measurement date,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March 31, 2022,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March 31, 2022 is $3.4 million, and that the range of reasonably possible losses for the legal proceedings and contingencies we face, including those described or identified above, as of March 31, 2022 does not exceed $11.3 million.</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2018 we have elected to use the fair value method to value our portfolio of finance receivables acquired in January 2018 and thereafter.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March 31, 2022,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 reconciliation of the finance receivables measured at fair value on a recurring basis using significant unobservable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5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180" w:type="dxa"/>
            <w:vAlign w:val="bottom"/>
            <w:gridSpan w:val="2"/>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1,749,098</w:t>
            </w:r>
          </w:p>
        </w:tc>
        <w:tc>
          <w:tcPr>
            <w:tcW w:w="500" w:type="dxa"/>
            <w:vAlign w:val="bottom"/>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1,523,726</w:t>
            </w:r>
          </w:p>
        </w:tc>
        <w:tc>
          <w:tcPr>
            <w:tcW w:w="80" w:type="dxa"/>
            <w:vAlign w:val="bottom"/>
            <w:shd w:val="clear" w:color="auto" w:fill="EEEEEE"/>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at fair value acquired during period</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393,407</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205,459</w:t>
            </w:r>
          </w:p>
        </w:tc>
        <w:tc>
          <w:tcPr>
            <w:tcW w:w="80" w:type="dxa"/>
            <w:vAlign w:val="bottom"/>
          </w:tcPr>
          <w:p>
            <w:pPr>
              <w:spacing w:after="0"/>
              <w:rPr>
                <w:sz w:val="18"/>
                <w:szCs w:val="18"/>
                <w:color w:val="auto"/>
              </w:rPr>
            </w:pPr>
          </w:p>
        </w:tc>
      </w:tr>
      <w:tr>
        <w:trPr>
          <w:trHeight w:val="216"/>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Payments received on finance receivables at fair value</w:t>
            </w:r>
          </w:p>
        </w:tc>
        <w:tc>
          <w:tcPr>
            <w:tcW w:w="18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(209,844)</w:t>
            </w:r>
          </w:p>
        </w:tc>
        <w:tc>
          <w:tcPr>
            <w:tcW w:w="50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(156,020)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accretion on fair value receivables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(31,204)</w:t>
            </w:r>
          </w:p>
        </w:tc>
        <w:tc>
          <w:tcPr>
            <w:tcW w:w="50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(35,025)</w:t>
            </w:r>
          </w:p>
        </w:tc>
      </w:tr>
      <w:tr>
        <w:trPr>
          <w:trHeight w:val="229"/>
        </w:trPr>
        <w:tc>
          <w:tcPr>
            <w:tcW w:w="58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Mark to fair value</w:t>
            </w:r>
          </w:p>
        </w:tc>
        <w:tc>
          <w:tcPr>
            <w:tcW w:w="18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2,400</w:t>
            </w:r>
          </w:p>
        </w:tc>
        <w:tc>
          <w:tcPr>
            <w:tcW w:w="50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(4,417)</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1,903,857</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1,533,723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1"/>
        </w:trPr>
        <w:tc>
          <w:tcPr>
            <w:tcW w:w="4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6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70"/>
              <w:spacing w:after="0" w:line="201" w:lineRule="exact"/>
              <w:rPr>
                <w:sz w:val="20"/>
                <w:szCs w:val="20"/>
                <w:color w:val="auto"/>
              </w:rPr>
            </w:pPr>
            <w:r>
              <w:rPr>
                <w:rFonts w:ascii="Times New Roman" w:cs="Times New Roman" w:eastAsia="Times New Roman" w:hAnsi="Times New Roman"/>
                <w:sz w:val="18"/>
                <w:szCs w:val="18"/>
                <w:b w:val="1"/>
                <w:bCs w:val="1"/>
                <w:color w:val="auto"/>
              </w:rPr>
              <w:t>Fair</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center"/>
              <w:ind w:right="2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620" w:type="dxa"/>
            <w:vAlign w:val="bottom"/>
          </w:tcPr>
          <w:p>
            <w:pPr>
              <w:spacing w:after="0"/>
              <w:rPr>
                <w:sz w:val="20"/>
                <w:szCs w:val="20"/>
                <w:color w:val="auto"/>
              </w:rPr>
            </w:pPr>
          </w:p>
        </w:tc>
        <w:tc>
          <w:tcPr>
            <w:tcW w:w="124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36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4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2"/>
        </w:trPr>
        <w:tc>
          <w:tcPr>
            <w:tcW w:w="47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4"/>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2,133,969</w:t>
            </w:r>
          </w:p>
        </w:tc>
        <w:tc>
          <w:tcPr>
            <w:tcW w:w="620" w:type="dxa"/>
            <w:vAlign w:val="bottom"/>
            <w:shd w:val="clear" w:color="auto" w:fill="EEEEEE"/>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1,903,857</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1,972,699</w:t>
            </w:r>
          </w:p>
        </w:tc>
        <w:tc>
          <w:tcPr>
            <w:tcW w:w="42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1,749,098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certain qualitative information about our level 3 fair value measurements: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220" w:type="dxa"/>
            <w:vAlign w:val="bottom"/>
          </w:tcPr>
          <w:p>
            <w:pPr>
              <w:spacing w:after="0"/>
              <w:rPr>
                <w:sz w:val="24"/>
                <w:szCs w:val="24"/>
                <w:color w:val="auto"/>
              </w:rPr>
            </w:pPr>
          </w:p>
        </w:tc>
        <w:tc>
          <w:tcPr>
            <w:tcW w:w="318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Fair Values as of</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Inputs as of</w:t>
            </w: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center"/>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320" w:type="dxa"/>
            <w:vAlign w:val="bottom"/>
          </w:tcPr>
          <w:p>
            <w:pPr>
              <w:jc w:val="center"/>
              <w:ind w:right="5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8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32"/>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6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1,903,857</w:t>
            </w:r>
          </w:p>
        </w:tc>
        <w:tc>
          <w:tcPr>
            <w:tcW w:w="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1,749,098</w:t>
            </w:r>
          </w:p>
        </w:tc>
        <w:tc>
          <w:tcPr>
            <w:tcW w:w="1900" w:type="dxa"/>
            <w:vAlign w:val="bottom"/>
            <w:gridSpan w:val="2"/>
            <w:shd w:val="clear" w:color="auto" w:fill="EEEEEE"/>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Discount rate</w:t>
            </w:r>
          </w:p>
        </w:tc>
        <w:tc>
          <w:tcPr>
            <w:tcW w:w="13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9.9% - 11.3%</w:t>
            </w:r>
          </w:p>
        </w:tc>
        <w:tc>
          <w:tcPr>
            <w:tcW w:w="100" w:type="dxa"/>
            <w:vAlign w:val="bottom"/>
            <w:shd w:val="clear" w:color="auto" w:fill="EEEEEE"/>
          </w:tcPr>
          <w:p>
            <w:pPr>
              <w:spacing w:after="0"/>
              <w:rPr>
                <w:sz w:val="20"/>
                <w:szCs w:val="20"/>
                <w:color w:val="auto"/>
              </w:rPr>
            </w:pPr>
          </w:p>
        </w:tc>
        <w:tc>
          <w:tcPr>
            <w:tcW w:w="13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10.6% - 11.3%</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Cumulative net losses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- 18.4%</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 - 18.4%</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delinquency status of these finance receivables measured at fair value as of March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9"/>
                <w:szCs w:val="19"/>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Delinquency Status</w:t>
            </w: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gridSpan w:val="4"/>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540" w:type="dxa"/>
            <w:vAlign w:val="bottom"/>
            <w:gridSpan w:val="2"/>
            <w:vMerge w:val="continue"/>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336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1,971,766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1,787,641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92,440</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115,924</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61</w:t>
            </w:r>
          </w:p>
        </w:tc>
        <w:tc>
          <w:tcPr>
            <w:tcW w:w="4320" w:type="dxa"/>
            <w:vAlign w:val="bottom"/>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- 90 days</w:t>
            </w:r>
          </w:p>
        </w:tc>
        <w:tc>
          <w:tcPr>
            <w:tcW w:w="3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35,714</w:t>
            </w:r>
          </w:p>
        </w:tc>
        <w:tc>
          <w:tcPr>
            <w:tcW w:w="180" w:type="dxa"/>
            <w:vAlign w:val="bottom"/>
            <w:shd w:val="clear" w:color="auto" w:fill="EEEEEE"/>
          </w:tcPr>
          <w:p>
            <w:pPr>
              <w:spacing w:after="0"/>
              <w:rPr>
                <w:sz w:val="18"/>
                <w:szCs w:val="18"/>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38,999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days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11,248</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Repo</w:t>
            </w:r>
          </w:p>
        </w:tc>
        <w:tc>
          <w:tcPr>
            <w:tcW w:w="3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22,801</w:t>
            </w:r>
          </w:p>
        </w:tc>
        <w:tc>
          <w:tcPr>
            <w:tcW w:w="180" w:type="dxa"/>
            <w:vAlign w:val="bottom"/>
            <w:shd w:val="clear" w:color="auto" w:fill="EEEEEE"/>
          </w:tcPr>
          <w:p>
            <w:pPr>
              <w:spacing w:after="0"/>
              <w:rPr>
                <w:sz w:val="19"/>
                <w:szCs w:val="19"/>
                <w:color w:val="auto"/>
              </w:rPr>
            </w:pPr>
          </w:p>
        </w:tc>
        <w:tc>
          <w:tcPr>
            <w:tcW w:w="150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18,571</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2,133,969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Repossessed vehicle inventory, which is included in Other assets on our unaudited condensed consolidated balance sheet, is measured at fair value using level 2 assumptions based on our actual loss experience on sale of repossessed vehicles. At March 31, 2022 the finance receivables related to the repossessed vehicles in inventory totaled $3.6 million. We have applied a valuation adjustment, or loss allowance, of $1.6 million, which is based on a recovery rate of approximately 56%, resulting in an estimated fair value and carrying amount of $2.0 million. The fair value and carrying amount of the repossessed inventory at December 31, 2021 was $2.4 million after applying a valuation adjustment of $1.9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 or out of level 1, level 2 or level 3 assets and liabilities for the three months ended March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financial assets and liabilities at March 31, 2022 and December 31,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gridSpan w:val="9"/>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21,726</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21,726</w:t>
            </w:r>
          </w:p>
        </w:tc>
        <w:tc>
          <w:tcPr>
            <w:tcW w:w="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21,726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164,550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164,550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164,550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141,711</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144,178</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144,178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147,026</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147,026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3,807</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3,807</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1,813,478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1,727,163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1,727,163</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26,756</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26,756</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26,756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Instrument</w:t>
            </w:r>
          </w:p>
        </w:tc>
        <w:tc>
          <w:tcPr>
            <w:tcW w:w="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20" w:type="dxa"/>
            <w:vAlign w:val="bottom"/>
            <w:gridSpan w:val="2"/>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160" w:type="dxa"/>
            <w:vAlign w:val="bottom"/>
            <w:gridSpan w:val="9"/>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29,928</w:t>
            </w:r>
          </w:p>
        </w:tc>
        <w:tc>
          <w:tcPr>
            <w:tcW w:w="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29,928</w:t>
            </w:r>
          </w:p>
        </w:tc>
        <w:tc>
          <w:tcPr>
            <w:tcW w:w="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29,928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146,620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146,620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176,184</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178,795</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178,795</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105,610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105,610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105,610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3,568</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3,568</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1,759,972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1,740,901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1,740,901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26,459</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26,459</w:t>
            </w:r>
          </w:p>
        </w:tc>
        <w:tc>
          <w:tcPr>
            <w:tcW w:w="2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26,459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20, 2022 we executed our second securitization of 2022. In the transaction, qualified institutional buyers purchased $395.6 million of asset-backed notes secured by $430.0 million in automobile receivables originated by CPS. The sold notes, issued by CPS Auto Receivables Trust 2022-B, consist of five classes. Ratings of the notes were provided by Moody’s and DBRS Morningstar, and were based on the structure of the transaction, the historical performance of similar receivables and CPS’s experience as a servicer. The weighted average yield on the notes is approximately 4.83%.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2022-B transaction has initial credit enhancement consisting of a cash deposit equal to 1.00% of the original receivable pool balance and overcollateralization of 8.00%. The transaction agreements require accelerated payment of principal on the notes to reach overcollateralization of the lesser of 9.00% of the original receivable pool balance, or 25.80% of the then outstanding pool balance. The transaction utilizes a pre-funding structure, in which CPS sold approximately $285.8 million of receivables at inception and plans to sell approximately $144.2 million of additional receivables in May 2022.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From inception through March 31, 2022, we have originated a total of approximately $18.5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41" w:lineRule="exact"/>
        <w:rPr>
          <w:sz w:val="20"/>
          <w:szCs w:val="20"/>
          <w:color w:val="auto"/>
        </w:rPr>
      </w:pPr>
    </w:p>
    <w:tbl>
      <w:tblPr>
        <w:tblLayout w:type="fixed"/>
        <w:tblInd w:w="1420" w:type="dxa"/>
        <w:tblCellMar>
          <w:top w:w="0" w:type="dxa"/>
          <w:left w:w="0" w:type="dxa"/>
          <w:bottom w:w="0" w:type="dxa"/>
          <w:right w:w="0" w:type="dxa"/>
        </w:tblCellMar>
      </w:tblPr>
      <w:tr>
        <w:trPr>
          <w:trHeight w:val="236"/>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4"/>
          </w:tcPr>
          <w:p>
            <w:pPr>
              <w:ind w:left="120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w:t>
            </w:r>
          </w:p>
        </w:tc>
        <w:tc>
          <w:tcPr>
            <w:tcW w:w="1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Managed Portfolio</w:t>
            </w:r>
          </w:p>
        </w:tc>
        <w:tc>
          <w:tcPr>
            <w:tcW w:w="120" w:type="dxa"/>
            <w:vAlign w:val="bottom"/>
          </w:tcPr>
          <w:p>
            <w:pPr>
              <w:spacing w:after="0"/>
              <w:rPr>
                <w:sz w:val="16"/>
                <w:szCs w:val="16"/>
                <w:color w:val="auto"/>
              </w:rPr>
            </w:pPr>
          </w:p>
        </w:tc>
      </w:tr>
      <w:tr>
        <w:trPr>
          <w:trHeight w:val="238"/>
        </w:trPr>
        <w:tc>
          <w:tcPr>
            <w:tcW w:w="4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Purchased in Period</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 Period End</w:t>
            </w:r>
          </w:p>
        </w:tc>
      </w:tr>
      <w:tr>
        <w:trPr>
          <w:trHeight w:val="210"/>
        </w:trPr>
        <w:tc>
          <w:tcPr>
            <w:tcW w:w="46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1,088,785</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2,308,070</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859,069</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2,333,530</w:t>
            </w:r>
          </w:p>
        </w:tc>
      </w:tr>
      <w:tr>
        <w:trPr>
          <w:trHeight w:val="216"/>
        </w:trPr>
        <w:tc>
          <w:tcPr>
            <w:tcW w:w="46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2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902,416</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2,380,847</w:t>
            </w: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1,002,782</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2,416,042</w:t>
            </w:r>
          </w:p>
        </w:tc>
      </w:tr>
      <w:tr>
        <w:trPr>
          <w:trHeight w:val="216"/>
        </w:trPr>
        <w:tc>
          <w:tcPr>
            <w:tcW w:w="46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742,584</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2,174,972</w:t>
            </w: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1,146,321</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2,249,069</w:t>
            </w:r>
          </w:p>
        </w:tc>
      </w:tr>
      <w:tr>
        <w:trPr>
          <w:trHeight w:val="216"/>
        </w:trPr>
        <w:tc>
          <w:tcPr>
            <w:tcW w:w="482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 March 31, 2022</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409,961</w:t>
            </w:r>
          </w:p>
        </w:tc>
        <w:tc>
          <w:tcPr>
            <w:tcW w:w="170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2,381,588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three months ended March 31, 2022, we originated $--20.6 million under this third-party program. As of March 31, 2022, our managed portfolio includes $57.2 million of such third-party receivables.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and Warehouse Credit 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 as we did during the year ended December 31, 2020 because of the uncertainty related to the pandemic.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1994 we have conducted 92 term securitizations of automobile contracts that we originated. As of March 31, 2022, 19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2020, we closed only three term securitization transactions in that calendar year rather than four.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recent history of term securitizations is summarized in the table below:</w:t>
            </w: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420" w:type="dxa"/>
            <w:vAlign w:val="bottom"/>
          </w:tcPr>
          <w:p>
            <w:pPr>
              <w:spacing w:after="0"/>
              <w:rPr>
                <w:sz w:val="24"/>
                <w:szCs w:val="24"/>
                <w:color w:val="auto"/>
              </w:rPr>
            </w:pPr>
          </w:p>
        </w:tc>
        <w:tc>
          <w:tcPr>
            <w:tcW w:w="6640" w:type="dxa"/>
            <w:vAlign w:val="bottom"/>
            <w:gridSpan w:val="3"/>
          </w:tcPr>
          <w:p>
            <w:pPr>
              <w:ind w:left="2580"/>
              <w:spacing w:after="0"/>
              <w:rPr>
                <w:sz w:val="20"/>
                <w:szCs w:val="20"/>
                <w:color w:val="auto"/>
              </w:rPr>
            </w:pPr>
            <w:r>
              <w:rPr>
                <w:rFonts w:ascii="Times New Roman" w:cs="Times New Roman" w:eastAsia="Times New Roman" w:hAnsi="Times New Roman"/>
                <w:sz w:val="18"/>
                <w:szCs w:val="18"/>
                <w:b w:val="1"/>
                <w:bCs w:val="1"/>
                <w:color w:val="auto"/>
              </w:rPr>
              <w:t>Recent Asset-Backed Term Securitizations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4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5"/>
          </w:tcPr>
          <w:p>
            <w:pPr>
              <w:ind w:left="1040"/>
              <w:spacing w:after="0"/>
              <w:rPr>
                <w:sz w:val="20"/>
                <w:szCs w:val="20"/>
                <w:color w:val="auto"/>
              </w:rPr>
            </w:pPr>
            <w:r>
              <w:rPr>
                <w:rFonts w:ascii="Times New Roman" w:cs="Times New Roman" w:eastAsia="Times New Roman" w:hAnsi="Times New Roman"/>
                <w:sz w:val="18"/>
                <w:szCs w:val="18"/>
                <w:i w:val="1"/>
                <w:iCs w:val="1"/>
                <w:color w:val="auto"/>
              </w:rPr>
              <w:t>$ in thousands</w:t>
            </w:r>
          </w:p>
        </w:tc>
      </w:tr>
      <w:tr>
        <w:trPr>
          <w:trHeight w:val="187"/>
        </w:trPr>
        <w:tc>
          <w:tcPr>
            <w:tcW w:w="14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Receivables</w:t>
            </w:r>
          </w:p>
        </w:tc>
        <w:tc>
          <w:tcPr>
            <w:tcW w:w="8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Term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Pledged in Term</w:t>
            </w:r>
          </w:p>
        </w:tc>
      </w:tr>
      <w:tr>
        <w:trPr>
          <w:trHeight w:val="238"/>
        </w:trPr>
        <w:tc>
          <w:tcPr>
            <w:tcW w:w="1420" w:type="dxa"/>
            <w:vAlign w:val="bottom"/>
          </w:tcPr>
          <w:p>
            <w:pPr>
              <w:spacing w:after="0"/>
              <w:rPr>
                <w:sz w:val="20"/>
                <w:szCs w:val="20"/>
                <w:color w:val="auto"/>
              </w:rPr>
            </w:pPr>
          </w:p>
        </w:tc>
        <w:tc>
          <w:tcPr>
            <w:tcW w:w="5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Securitizations</w:t>
            </w:r>
          </w:p>
        </w:tc>
      </w:tr>
      <w:tr>
        <w:trPr>
          <w:trHeight w:val="209"/>
        </w:trPr>
        <w:tc>
          <w:tcPr>
            <w:tcW w:w="1420" w:type="dxa"/>
            <w:vAlign w:val="bottom"/>
          </w:tcPr>
          <w:p>
            <w:pPr>
              <w:spacing w:after="0"/>
              <w:rPr>
                <w:sz w:val="18"/>
                <w:szCs w:val="18"/>
                <w:color w:val="auto"/>
              </w:rPr>
            </w:pPr>
          </w:p>
        </w:tc>
        <w:tc>
          <w:tcPr>
            <w:tcW w:w="506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Borders>
              <w:top w:val="single" w:sz="8" w:color="EEEEEE"/>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1,214,997</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870,000</w:t>
            </w:r>
          </w:p>
        </w:tc>
      </w:tr>
      <w:tr>
        <w:trPr>
          <w:trHeight w:val="216"/>
        </w:trPr>
        <w:tc>
          <w:tcPr>
            <w:tcW w:w="142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883,452</w:t>
            </w:r>
          </w:p>
        </w:tc>
      </w:tr>
      <w:tr>
        <w:trPr>
          <w:trHeight w:val="216"/>
        </w:trPr>
        <w:tc>
          <w:tcPr>
            <w:tcW w:w="142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1,014,124</w:t>
            </w:r>
          </w:p>
        </w:tc>
      </w:tr>
      <w:tr>
        <w:trPr>
          <w:trHeight w:val="216"/>
        </w:trPr>
        <w:tc>
          <w:tcPr>
            <w:tcW w:w="1420" w:type="dxa"/>
            <w:vAlign w:val="bottom"/>
          </w:tcPr>
          <w:p>
            <w:pPr>
              <w:spacing w:after="0"/>
              <w:rPr>
                <w:sz w:val="18"/>
                <w:szCs w:val="18"/>
                <w:color w:val="auto"/>
              </w:rPr>
            </w:pPr>
          </w:p>
        </w:tc>
        <w:tc>
          <w:tcPr>
            <w:tcW w:w="50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741,867</w:t>
            </w:r>
          </w:p>
        </w:tc>
      </w:tr>
      <w:tr>
        <w:trPr>
          <w:trHeight w:val="216"/>
        </w:trPr>
        <w:tc>
          <w:tcPr>
            <w:tcW w:w="1420" w:type="dxa"/>
            <w:vAlign w:val="bottom"/>
          </w:tcPr>
          <w:p>
            <w:pPr>
              <w:spacing w:after="0"/>
              <w:rPr>
                <w:sz w:val="18"/>
                <w:szCs w:val="18"/>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1,145,002</w:t>
            </w:r>
          </w:p>
        </w:tc>
      </w:tr>
      <w:tr>
        <w:trPr>
          <w:trHeight w:val="216"/>
        </w:trPr>
        <w:tc>
          <w:tcPr>
            <w:tcW w:w="1420" w:type="dxa"/>
            <w:vAlign w:val="bottom"/>
          </w:tcPr>
          <w:p>
            <w:pPr>
              <w:spacing w:after="0"/>
              <w:rPr>
                <w:sz w:val="18"/>
                <w:szCs w:val="18"/>
                <w:color w:val="auto"/>
              </w:rPr>
            </w:pPr>
          </w:p>
        </w:tc>
        <w:tc>
          <w:tcPr>
            <w:tcW w:w="5220" w:type="dxa"/>
            <w:vAlign w:val="bottom"/>
            <w:gridSpan w:val="2"/>
            <w:shd w:val="clear" w:color="auto" w:fill="EEEEEE"/>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 months ended March 31, 2022</w:t>
            </w:r>
          </w:p>
        </w:tc>
        <w:tc>
          <w:tcPr>
            <w:tcW w:w="14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330,000</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prior to a securitization transaction we fund our automobile contract purchases primarily with proceeds from warehouse credit facilities. We previously had short-term funding capacity of $300 million, comprising three credit facilities. The first $100 million credit facility was established in May 2012. This facility was most recently renewed in December 2020, extending the revolving period to December 2022, with an optional amortization period through December 2023. In November 2015, we entered into another $100 million facility. This facility was renewed in November 2017 and again in December 2019, extending the revolving period to December 2021, followed by an amortization period to December 2023. In April 2015, we entered into a $100 million facility that was renewed in April 2017 and again in February 2019. We repaid the outstanding balance for this facility at its maturity date in February 2021 and elected not to renew it. We currently have short-term funding capacity of $200 million.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2022,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Operating Results for the three months ended March 31, 2022 with the three months ended March 31, 2021</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During the three months ended March 31, 2022, our revenues were $74.4 million, an increase of $11.3 million, or 17.8%, from the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$63.1 million. The primary reason for the increase in revenues are the marks to the finance receivables measured at fair value and the increase in the average outstanding balance of finance receivables measured at fair value. Revenues for the three months ended March 31, 2022 include a $2.4 million mark up to the recorded value of the finance receivables measured at fair value. This compares to a $4.4 million mark down in the prior year period. The marks are estimates based on our evaluation of the appropriate fair value and future earnings rate of existing receivables compared to recently acquired receivables and increases or decreases in our estimates of future net losses. During the three months ended March 31, 2022, we reduced our estimate for expected future losses in finance receivables measured at fair value as we have observed that our previous estimates for increased losses due to the pandemic hand not materialized. The change in estimated losses resulted in the $2.4 million mark up for the three months ended March 31, 2022.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2022 increased $4.0 million, or 6.0%, to $70.1 million from $66.1 million in the prior year. The primary reason for the increase in interest income is the 22.5% increase in the average balance of finance receivables measured at fair value over the prior year period. The table below shows the average balances and interest yields of the two components of our loan portfolio for the three months ended March 31,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238"/>
        </w:trPr>
        <w:tc>
          <w:tcPr>
            <w:tcW w:w="800" w:type="dxa"/>
            <w:vAlign w:val="bottom"/>
          </w:tcPr>
          <w:p>
            <w:pPr>
              <w:spacing w:after="0"/>
              <w:rPr>
                <w:sz w:val="20"/>
                <w:szCs w:val="20"/>
                <w:color w:val="auto"/>
              </w:rPr>
            </w:pP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0"/>
                <w:szCs w:val="20"/>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w:t>
            </w:r>
          </w:p>
        </w:tc>
        <w:tc>
          <w:tcPr>
            <w:tcW w:w="4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206,197</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11,320</w:t>
            </w:r>
          </w:p>
        </w:tc>
        <w:tc>
          <w:tcPr>
            <w:tcW w:w="142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451,425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22,105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58,740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1,687,232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43,988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2,273,483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70,060</w:t>
            </w: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2,138,657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66,093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$1.9 million for the three months ended March 31, 2022 compared to $1.4 million for the comparable period in 2021. This 32.7% increase was primarily driven by the origination and servicing fees we earned from third party receivables that began in May 2021. These fees were $844,000 for the quarter ended March 31, 2022.</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Our operating expenses consist largely of interest expense, provision for credit losses, employee costs, sales and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were $45.0 million for the three months ended March 31, 2022, compared to $55.2 million for the prior period, a decrease of $10.1 million, or 18.4%. The decrease is primarily due to decreases in interest expense and provisions for credit losses.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Employee costs were $22.2 million during the three months ended March 31, 2022 compared to $20.2 million for the same quarter in the prior year. The table below summarizes our employees by category as well as contract purchases and units in our managed portfolio as of, and for the three-month periods ended, March 31,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5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2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(Dollars in millions)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410.0</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205.5</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Contracts purchased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17,798</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10,736</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Managed portfolio outstanding (dollars)</w:t>
            </w:r>
          </w:p>
        </w:tc>
        <w:tc>
          <w:tcPr>
            <w:tcW w:w="3360" w:type="dxa"/>
            <w:vAlign w:val="bottom"/>
            <w:gridSpan w:val="2"/>
            <w:shd w:val="clear" w:color="auto" w:fill="EEEEEE"/>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2,381.6</w:t>
            </w:r>
          </w:p>
        </w:tc>
        <w:tc>
          <w:tcPr>
            <w:tcW w:w="600" w:type="dxa"/>
            <w:vAlign w:val="bottom"/>
            <w:shd w:val="clear" w:color="auto" w:fill="EEEEEE"/>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2,119.1</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Managed portfolio outstanding (units)</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158,844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158,933</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18"/>
                <w:szCs w:val="18"/>
                <w:color w:val="auto"/>
              </w:rPr>
            </w:pP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Originations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r>
      <w:tr>
        <w:trPr>
          <w:trHeight w:val="216"/>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Sales staff</w:t>
            </w:r>
          </w:p>
        </w:tc>
        <w:tc>
          <w:tcPr>
            <w:tcW w:w="23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6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EEEEEE"/>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Servicing staff</w:t>
            </w:r>
          </w:p>
        </w:tc>
        <w:tc>
          <w:tcPr>
            <w:tcW w:w="2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374</w:t>
            </w:r>
          </w:p>
        </w:tc>
        <w:tc>
          <w:tcPr>
            <w:tcW w:w="6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Pr>
          <w:p>
            <w:pPr>
              <w:spacing w:after="0"/>
              <w:rPr>
                <w:sz w:val="18"/>
                <w:szCs w:val="18"/>
                <w:color w:val="auto"/>
              </w:rPr>
            </w:pPr>
          </w:p>
        </w:tc>
      </w:tr>
      <w:tr>
        <w:trPr>
          <w:trHeight w:val="230"/>
        </w:trPr>
        <w:tc>
          <w:tcPr>
            <w:tcW w:w="52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other staff</w:t>
            </w:r>
          </w:p>
        </w:tc>
        <w:tc>
          <w:tcPr>
            <w:tcW w:w="238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EEEEEE"/>
          </w:tcPr>
          <w:p>
            <w:pPr>
              <w:spacing w:after="0"/>
              <w:rPr>
                <w:sz w:val="19"/>
                <w:szCs w:val="19"/>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employees</w:t>
            </w:r>
          </w:p>
        </w:tc>
        <w:tc>
          <w:tcPr>
            <w:tcW w:w="238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$8.2 million, a decrease from $7.7 million in the previous year and represented 18.3% of total operating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2022 were $16.4 million and represented 36.4% of total operating expenses, compared to $20.9 million in the previous year, when it was 38.0% of total operating expenses.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on securitization trust debt decreased by $4.9 million for the three months ended March 31, 2022 compared to the prior period. The average balance of securitization trust debt decreased to $1,808.5 million for the three months ended March 31, 2022 compared to $1,876.8 million for the three months ended March 31, 2021. In addition, the blended interest rates on new term securitizations have declined since 2020. The annualized average rate on our securitization trust debt was 3.0% for the three months ended March 31, 2022 compared to 3.9%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Blended Cost of Funds on Recent Asset-Backed</w:t>
      </w:r>
    </w:p>
    <w:p>
      <w:pPr>
        <w:spacing w:after="0" w:line="18"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3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Term Securitizations</w:t>
            </w:r>
          </w:p>
        </w:tc>
      </w:tr>
      <w:tr>
        <w:trPr>
          <w:trHeight w:val="238"/>
        </w:trPr>
        <w:tc>
          <w:tcPr>
            <w:tcW w:w="19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Blended Cost of Funds</w:t>
            </w:r>
          </w:p>
        </w:tc>
      </w:tr>
      <w:tr>
        <w:trPr>
          <w:trHeight w:val="210"/>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w w:val="99"/>
              </w:rPr>
              <w:t>January 2018</w:t>
            </w:r>
          </w:p>
        </w:tc>
        <w:tc>
          <w:tcPr>
            <w:tcW w:w="7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7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3.46%</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April 2018</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3.98%</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rPr>
              <w:t>July 2018</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4.18%</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October 2018</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4.25%</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w w:val="99"/>
              </w:rPr>
              <w:t>January 2019</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4.22%</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April 2019</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3.95%</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rPr>
              <w:t>July 2019</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3.36%</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October 2019</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2.95%</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w w:val="99"/>
              </w:rPr>
              <w:t>January 2020</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3.08%</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7"/>
              </w:rPr>
              <w:t>June 2020</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4.09%</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w w:val="98"/>
              </w:rPr>
              <w:t>September 2020</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2.39%</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January 2021</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1.11%</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rPr>
              <w:t>April 2021</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1.65%</w:t>
            </w:r>
          </w:p>
        </w:tc>
      </w:tr>
      <w:tr>
        <w:trPr>
          <w:trHeight w:val="216"/>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July 2021</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1.55%</w:t>
            </w:r>
          </w:p>
        </w:tc>
      </w:tr>
      <w:tr>
        <w:trPr>
          <w:trHeight w:val="216"/>
        </w:trPr>
        <w:tc>
          <w:tcPr>
            <w:tcW w:w="1960" w:type="dxa"/>
            <w:vAlign w:val="bottom"/>
            <w:shd w:val="clear" w:color="auto" w:fill="EEEEEE"/>
          </w:tcPr>
          <w:p>
            <w:pPr>
              <w:jc w:val="center"/>
              <w:ind w:left="630"/>
              <w:spacing w:after="0"/>
              <w:rPr>
                <w:sz w:val="20"/>
                <w:szCs w:val="20"/>
                <w:color w:val="auto"/>
              </w:rPr>
            </w:pPr>
            <w:r>
              <w:rPr>
                <w:rFonts w:ascii="Times New Roman" w:cs="Times New Roman" w:eastAsia="Times New Roman" w:hAnsi="Times New Roman"/>
                <w:sz w:val="18"/>
                <w:szCs w:val="18"/>
                <w:color w:val="auto"/>
              </w:rPr>
              <w:t>October 2021</w:t>
            </w:r>
          </w:p>
        </w:tc>
        <w:tc>
          <w:tcPr>
            <w:tcW w:w="3660" w:type="dxa"/>
            <w:vAlign w:val="bottom"/>
            <w:gridSpan w:val="3"/>
            <w:shd w:val="clear" w:color="auto" w:fill="EEEEEE"/>
          </w:tcPr>
          <w:p>
            <w:pPr>
              <w:jc w:val="center"/>
              <w:ind w:left="830"/>
              <w:spacing w:after="0"/>
              <w:rPr>
                <w:sz w:val="20"/>
                <w:szCs w:val="20"/>
                <w:color w:val="auto"/>
              </w:rPr>
            </w:pPr>
            <w:r>
              <w:rPr>
                <w:rFonts w:ascii="Times New Roman" w:cs="Times New Roman" w:eastAsia="Times New Roman" w:hAnsi="Times New Roman"/>
                <w:sz w:val="18"/>
                <w:szCs w:val="18"/>
                <w:color w:val="auto"/>
                <w:w w:val="98"/>
              </w:rPr>
              <w:t>2.09%</w:t>
            </w:r>
          </w:p>
        </w:tc>
      </w:tr>
      <w:tr>
        <w:trPr>
          <w:trHeight w:val="234"/>
        </w:trPr>
        <w:tc>
          <w:tcPr>
            <w:tcW w:w="1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January 2022</w:t>
            </w:r>
          </w:p>
        </w:tc>
        <w:tc>
          <w:tcPr>
            <w:tcW w:w="36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8"/>
              </w:rPr>
              <w:t>2.54%</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warehouse credit line debt increased by $156,000 to $1.2 million for the three months ended March 31, 2022 compared to $1.3 million in the prior year period. The increase was due to the higher utilization of our credit lines during the quarter compared to last year. The average balance of our warehouse debt was $66.5 million during the three months ended March 31, 2022 compared to $50.3 million for the same period in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subordinated renewable notes was $620,000 for the three months ended March 31, 2022. The average balance of the outstanding subordinated debt increased 19.6% to $26.5 million for the three months ended March 31, 2022 compared to $22.2 million for the prior year. The average yield of subordinated notes decreased to 9.3% compared to 11.0% in the prior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2018 and June 2021, we completed two residual interest financings of our residual interests from previously issued securitizations in the amounts of $40.0 million and $50.0 million, respectively. Interest expense on these residual interest financings was $1.1 million for the three months ended March 31, 2022 compared to $566,000 in the prior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interest income and interest expense and a net interest yield analysis for the three-month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52"/>
        </w:trPr>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Interest Earning Assets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Balance (1)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 (1)</w:t>
            </w:r>
          </w:p>
        </w:tc>
        <w:tc>
          <w:tcPr>
            <w:tcW w:w="180" w:type="dxa"/>
            <w:vAlign w:val="bottom"/>
          </w:tcPr>
          <w:p>
            <w:pPr>
              <w:spacing w:after="0"/>
              <w:rPr>
                <w:sz w:val="21"/>
                <w:szCs w:val="2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gross (2)</w:t>
            </w:r>
          </w:p>
        </w:tc>
        <w:tc>
          <w:tcPr>
            <w:tcW w:w="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206,197</w:t>
            </w:r>
          </w:p>
        </w:tc>
        <w:tc>
          <w:tcPr>
            <w:tcW w:w="3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11,320</w:t>
            </w:r>
          </w:p>
        </w:tc>
        <w:tc>
          <w:tcPr>
            <w:tcW w:w="142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451,425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22,105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3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2,067,286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58,740</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1,687,232</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43,988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6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2,273,483</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70,060</w:t>
            </w:r>
          </w:p>
        </w:tc>
        <w:tc>
          <w:tcPr>
            <w:tcW w:w="40" w:type="dxa"/>
            <w:vAlign w:val="bottom"/>
            <w:tcBorders>
              <w:top w:val="single" w:sz="8" w:color="EEEEEE"/>
            </w:tcBorders>
            <w:shd w:val="clear" w:color="auto" w:fill="EEEEEE"/>
          </w:tcPr>
          <w:p>
            <w:pPr>
              <w:spacing w:after="0"/>
              <w:rPr>
                <w:sz w:val="18"/>
                <w:szCs w:val="18"/>
                <w:color w:val="auto"/>
              </w:rPr>
            </w:pPr>
          </w:p>
        </w:tc>
        <w:tc>
          <w:tcPr>
            <w:tcW w:w="1420" w:type="dxa"/>
            <w:vAlign w:val="bottom"/>
            <w:tcBorders>
              <w:top w:val="single" w:sz="8" w:color="EEEEEE"/>
            </w:tcBorders>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2,138,657</w:t>
            </w:r>
          </w:p>
        </w:tc>
        <w:tc>
          <w:tcPr>
            <w:tcW w:w="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66,093</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 w:type="dxa"/>
            <w:vAlign w:val="bottom"/>
            <w:shd w:val="clear" w:color="auto" w:fill="EEEEEE"/>
          </w:tcPr>
          <w:p>
            <w:pPr>
              <w:spacing w:after="0"/>
              <w:rPr>
                <w:sz w:val="15"/>
                <w:szCs w:val="15"/>
                <w:color w:val="auto"/>
              </w:rPr>
            </w:pPr>
          </w:p>
        </w:tc>
        <w:tc>
          <w:tcPr>
            <w:tcW w:w="2600" w:type="dxa"/>
            <w:vAlign w:val="bottom"/>
            <w:gridSpan w:val="4"/>
            <w:shd w:val="clear" w:color="auto" w:fill="EEEEEE"/>
          </w:tcPr>
          <w:p>
            <w:pPr>
              <w:jc w:val="center"/>
              <w:ind w:right="5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24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4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5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66,465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1,158</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50,322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32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51,978</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1,094</w:t>
            </w:r>
          </w:p>
        </w:tc>
        <w:tc>
          <w:tcPr>
            <w:tcW w:w="142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22,011</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3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1,808,501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13,528</w:t>
            </w: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1,876,807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18,453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26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26,526</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shd w:val="clear" w:color="auto" w:fill="EEEEEE"/>
          </w:tcPr>
          <w:p>
            <w:pPr>
              <w:spacing w:after="0"/>
              <w:rPr>
                <w:sz w:val="19"/>
                <w:szCs w:val="19"/>
                <w:color w:val="auto"/>
              </w:rPr>
            </w:pPr>
          </w:p>
        </w:tc>
        <w:tc>
          <w:tcPr>
            <w:tcW w:w="142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auto"/>
            </w:tcBorders>
            <w:shd w:val="clear" w:color="auto" w:fill="EEEEEE"/>
          </w:tcPr>
          <w:p>
            <w:pPr>
              <w:spacing w:after="0"/>
              <w:rPr>
                <w:sz w:val="19"/>
                <w:szCs w:val="19"/>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22,180</w:t>
            </w:r>
          </w:p>
        </w:tc>
        <w:tc>
          <w:tcPr>
            <w:tcW w:w="20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1,953,470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40" w:type="dxa"/>
            <w:vAlign w:val="bottom"/>
          </w:tcPr>
          <w:p>
            <w:pPr>
              <w:spacing w:after="0"/>
              <w:rPr>
                <w:sz w:val="24"/>
                <w:szCs w:val="24"/>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1,971,320</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20,945</w:t>
            </w:r>
          </w:p>
        </w:tc>
        <w:tc>
          <w:tcPr>
            <w:tcW w:w="2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6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60" w:type="dxa"/>
            <w:vAlign w:val="bottom"/>
            <w:tcBorders>
              <w:top w:val="single" w:sz="8" w:color="EEEEEE"/>
              <w:bottom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bottom w:val="single" w:sz="8" w:color="auto"/>
            </w:tcBorders>
            <w:shd w:val="clear" w:color="auto" w:fill="EEEEEE"/>
          </w:tcPr>
          <w:p>
            <w:pPr>
              <w:spacing w:after="0"/>
              <w:rPr>
                <w:sz w:val="18"/>
                <w:szCs w:val="18"/>
                <w:color w:val="auto"/>
              </w:rPr>
            </w:pPr>
          </w:p>
        </w:tc>
        <w:tc>
          <w:tcPr>
            <w:tcW w:w="940" w:type="dxa"/>
            <w:vAlign w:val="bottom"/>
            <w:tcBorders>
              <w:top w:val="single" w:sz="8" w:color="EEEEEE"/>
              <w:bottom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EEEEEE"/>
            </w:tcBorders>
            <w:gridSpan w:val="5"/>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24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53,660</w:t>
            </w:r>
          </w:p>
        </w:tc>
        <w:tc>
          <w:tcPr>
            <w:tcW w:w="4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45,148</w:t>
            </w:r>
          </w:p>
        </w:tc>
        <w:tc>
          <w:tcPr>
            <w:tcW w:w="22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60" w:type="dxa"/>
            <w:vAlign w:val="bottom"/>
            <w:gridSpan w:val="5"/>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auto"/>
              </w:rPr>
              <w:t>Net interest yield (3)</w:t>
            </w:r>
          </w:p>
        </w:tc>
        <w:tc>
          <w:tcPr>
            <w:tcW w:w="2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420" w:type="dxa"/>
            <w:vAlign w:val="bottom"/>
            <w:gridSpan w:val="3"/>
            <w:shd w:val="clear" w:color="auto" w:fill="EEEEEE"/>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gridSpan w:val="2"/>
            <w:shd w:val="clear" w:color="auto" w:fill="EEEEEE"/>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326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Ratio of average interest earning assets to</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72"/>
        </w:trPr>
        <w:tc>
          <w:tcPr>
            <w:tcW w:w="2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_______________</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balances are based on month end balances except for warehouse lines of credit, which are based on daily balances</w:t>
      </w:r>
    </w:p>
    <w:p>
      <w:pPr>
        <w:spacing w:after="0" w:line="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deferred fees and direct costs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w:t>
            </w: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Compared to March 31, 2021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820"/>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7"/>
                <w:szCs w:val="17"/>
                <w:color w:val="auto"/>
              </w:rPr>
            </w:pPr>
          </w:p>
        </w:tc>
        <w:tc>
          <w:tcPr>
            <w:tcW w:w="1620" w:type="dxa"/>
            <w:vAlign w:val="bottom"/>
            <w:gridSpan w:val="2"/>
          </w:tcPr>
          <w:p>
            <w:pPr>
              <w:jc w:val="center"/>
              <w:ind w:right="2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Change Due</w:t>
            </w:r>
          </w:p>
        </w:tc>
        <w:tc>
          <w:tcPr>
            <w:tcW w:w="220" w:type="dxa"/>
            <w:vAlign w:val="bottom"/>
          </w:tcPr>
          <w:p>
            <w:pPr>
              <w:spacing w:after="0"/>
              <w:rPr>
                <w:sz w:val="17"/>
                <w:szCs w:val="17"/>
                <w:color w:val="auto"/>
              </w:rPr>
            </w:pPr>
          </w:p>
        </w:tc>
        <w:tc>
          <w:tcPr>
            <w:tcW w:w="1360" w:type="dxa"/>
            <w:vAlign w:val="bottom"/>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6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to Volume</w:t>
            </w:r>
          </w:p>
        </w:tc>
        <w:tc>
          <w:tcPr>
            <w:tcW w:w="220" w:type="dxa"/>
            <w:vAlign w:val="bottom"/>
          </w:tcPr>
          <w:p>
            <w:pPr>
              <w:spacing w:after="0"/>
              <w:rPr>
                <w:sz w:val="20"/>
                <w:szCs w:val="20"/>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 Rate</w:t>
            </w: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3"/>
            <w:vMerge w:val="restart"/>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Interest Earning Assets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gross</w:t>
            </w:r>
          </w:p>
        </w:tc>
        <w:tc>
          <w:tcPr>
            <w:tcW w:w="300" w:type="dxa"/>
            <w:vAlign w:val="bottom"/>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(10,785)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(12,022)</w:t>
            </w:r>
          </w:p>
        </w:tc>
        <w:tc>
          <w:tcPr>
            <w:tcW w:w="22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30"/>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Finance receivables at fair value</w:t>
            </w: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14,752</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9,584</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5,168</w:t>
            </w:r>
          </w:p>
        </w:tc>
        <w:tc>
          <w:tcPr>
            <w:tcW w:w="0" w:type="dxa"/>
            <w:vAlign w:val="bottom"/>
          </w:tcPr>
          <w:p>
            <w:pPr>
              <w:spacing w:after="0"/>
              <w:rPr>
                <w:sz w:val="1"/>
                <w:szCs w:val="1"/>
                <w:color w:val="auto"/>
              </w:rPr>
            </w:pPr>
          </w:p>
        </w:tc>
      </w:tr>
      <w:tr>
        <w:trPr>
          <w:trHeight w:val="209"/>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4080" w:type="dxa"/>
            <w:vAlign w:val="bottom"/>
            <w:gridSpan w:val="4"/>
          </w:tcPr>
          <w:p>
            <w:pPr>
              <w:jc w:val="center"/>
              <w:ind w:right="20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 Bearing Liabilities</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Pr>
          <w:p>
            <w:pPr>
              <w:spacing w:after="0"/>
              <w:rPr>
                <w:sz w:val="18"/>
                <w:szCs w:val="18"/>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598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(4,925)</w:t>
            </w:r>
          </w:p>
        </w:tc>
        <w:tc>
          <w:tcPr>
            <w:tcW w:w="16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(856)</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29"/>
        </w:trPr>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19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0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EEEEEE"/>
            </w:tcBorders>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income/spread</w:t>
            </w:r>
          </w:p>
        </w:tc>
        <w:tc>
          <w:tcPr>
            <w:tcW w:w="300" w:type="dxa"/>
            <w:vAlign w:val="bottom"/>
            <w:tcBorders>
              <w:bottom w:val="single" w:sz="8" w:color="auto"/>
            </w:tcBorders>
            <w:shd w:val="clear" w:color="auto" w:fill="EEEEE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2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20" w:type="dxa"/>
            <w:vAlign w:val="bottom"/>
            <w:tcBorders>
              <w:bottom w:val="single" w:sz="8" w:color="EEEEEE"/>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reduction in the annualized yield on our finance receivables for the three months ended March 31, 2022 compared to the prior year period is the result of the lower interest yield on the receivables measured at fair value. The interest yield on receivables measured at fair value is reduced to take account of expected losses and is therefore less than the yield on other finance receivables. The average balance of these receivables was $2,067.3 million for the three months ended March 31, 2022 compared to $1,687.2 million in the prior year period.</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2020, the Company adopted </w:t>
      </w:r>
      <w:r>
        <w:rPr>
          <w:rFonts w:ascii="Times New Roman" w:cs="Times New Roman" w:eastAsia="Times New Roman" w:hAnsi="Times New Roman"/>
          <w:sz w:val="18"/>
          <w:szCs w:val="18"/>
          <w:i w:val="1"/>
          <w:iCs w:val="1"/>
          <w:color w:val="auto"/>
        </w:rPr>
        <w:t>Accounting Standards Update 2016-13 - Financial Instruments - Credit Losses: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The amendment introduces a new credit reserving model known as the Current Expected Credit Loss model,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upon its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we recorded a reduction to provision for credit losses on finance receivables in the amount of $9.4 million. The reserve decrease was primarily due to a decrease in lifetime expected credit losses resulting from improved credit performance as our previous estimates for future losses exceeded actual incurred losses. There were no additions or reductions to provision for credit losses for the three months ended March 31,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evaluation of the allowance for credit losses indicated that the reserves against future losses are adequate as of March 31, 2022. Although we have not yet seen a deterioration in the credit performance for these receivables as a result of the pandemic, we expect that the absence of any additional government stimulus payments, the expiration of the eviction moratorium and a reversion to the mean for used car pricing could negatively affect credit performance in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$1.4 million to $5.4 million during the three months ended March 31, 2022 and represented 12.0% of total operating expenses. We purchased $410.0 million of new contracts during the three months ended March 31, 2022 compared to $205.5 million in the prior 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was $1.9 million for the three months ending March 31, 2022 and 2021.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decreased to $417,000 compared to $428,000 in the previous year and represented 0.9% of total operating expenses.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recorded income tax expense of $8.2 million, representing a 28% effective tax rate. In the prior period, our income tax expense was $2.9 million, representing a 35% effective tax rate.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Credit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Delinquency, Repossession and Extension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298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90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1"/>
        </w:trPr>
        <w:tc>
          <w:tcPr>
            <w:tcW w:w="2720" w:type="dxa"/>
            <w:vAlign w:val="bottom"/>
          </w:tcPr>
          <w:p>
            <w:pPr>
              <w:spacing w:after="0"/>
              <w:rPr>
                <w:sz w:val="17"/>
                <w:szCs w:val="17"/>
                <w:color w:val="auto"/>
              </w:rPr>
            </w:pPr>
          </w:p>
        </w:tc>
        <w:tc>
          <w:tcPr>
            <w:tcW w:w="1320" w:type="dxa"/>
            <w:vAlign w:val="bottom"/>
            <w:tcBorders>
              <w:top w:val="single" w:sz="8" w:color="auto"/>
            </w:tcBorders>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Borders>
              <w:top w:val="single" w:sz="8" w:color="auto"/>
            </w:tcBorders>
            <w:gridSpan w:val="2"/>
          </w:tcPr>
          <w:p>
            <w:pPr>
              <w:jc w:val="right"/>
              <w:ind w:right="46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32"/>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Delinquency Experience</w:t>
            </w: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servicing portfolio (1)</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155,812</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2,324,354</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158,933</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2,119,073</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154,151</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2,209,430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Period of delinquency (2)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31-60 days</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8,451</w:t>
            </w:r>
          </w:p>
        </w:tc>
        <w:tc>
          <w:tcPr>
            <w:tcW w:w="34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114,865</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7,108</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94,067</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10,895</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146,904</w:t>
            </w:r>
          </w:p>
        </w:tc>
        <w:tc>
          <w:tcPr>
            <w:tcW w:w="0" w:type="dxa"/>
            <w:vAlign w:val="bottom"/>
          </w:tcPr>
          <w:p>
            <w:pPr>
              <w:spacing w:after="0"/>
              <w:rPr>
                <w:sz w:val="1"/>
                <w:szCs w:val="1"/>
                <w:color w:val="auto"/>
              </w:rPr>
            </w:pPr>
          </w:p>
        </w:tc>
      </w:tr>
      <w:tr>
        <w:trPr>
          <w:trHeight w:val="216"/>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61-90 days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44,966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31,797</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51,069</w:t>
            </w:r>
          </w:p>
        </w:tc>
        <w:tc>
          <w:tcPr>
            <w:tcW w:w="0" w:type="dxa"/>
            <w:vAlign w:val="bottom"/>
          </w:tcPr>
          <w:p>
            <w:pPr>
              <w:spacing w:after="0"/>
              <w:rPr>
                <w:sz w:val="1"/>
                <w:szCs w:val="1"/>
                <w:color w:val="auto"/>
              </w:rPr>
            </w:pPr>
          </w:p>
        </w:tc>
      </w:tr>
      <w:tr>
        <w:trPr>
          <w:trHeight w:val="229"/>
        </w:trPr>
        <w:tc>
          <w:tcPr>
            <w:tcW w:w="27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91+ days</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1,051</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13,366</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822</w:t>
            </w: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8,416</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14,280</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delinquencies (2)</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173,197</w:t>
            </w:r>
          </w:p>
        </w:tc>
        <w:tc>
          <w:tcPr>
            <w:tcW w:w="3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10,426</w:t>
            </w: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134,280</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Amount in repossession (3)</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26,442</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2,448</w:t>
            </w: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30,353</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1,882</w:t>
            </w: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22,912</w:t>
            </w:r>
          </w:p>
        </w:tc>
        <w:tc>
          <w:tcPr>
            <w:tcW w:w="0" w:type="dxa"/>
            <w:vAlign w:val="bottom"/>
          </w:tcPr>
          <w:p>
            <w:pPr>
              <w:spacing w:after="0"/>
              <w:rPr>
                <w:sz w:val="1"/>
                <w:szCs w:val="1"/>
                <w:color w:val="auto"/>
              </w:rPr>
            </w:pPr>
          </w:p>
        </w:tc>
      </w:tr>
      <w:tr>
        <w:trPr>
          <w:trHeight w:val="178"/>
        </w:trPr>
        <w:tc>
          <w:tcPr>
            <w:tcW w:w="27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delinquencies and amount in</w:t>
            </w: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repossession (2)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14,986</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199,639</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12,874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164,633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17,887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235,165</w:t>
            </w:r>
          </w:p>
        </w:tc>
        <w:tc>
          <w:tcPr>
            <w:tcW w:w="0" w:type="dxa"/>
            <w:vAlign w:val="bottom"/>
          </w:tcPr>
          <w:p>
            <w:pPr>
              <w:spacing w:after="0"/>
              <w:rPr>
                <w:sz w:val="1"/>
                <w:szCs w:val="1"/>
                <w:color w:val="auto"/>
              </w:rPr>
            </w:pPr>
          </w:p>
        </w:tc>
      </w:tr>
      <w:tr>
        <w:trPr>
          <w:trHeight w:val="197"/>
        </w:trPr>
        <w:tc>
          <w:tcPr>
            <w:tcW w:w="27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76" w:right="339" w:bottom="1440" w:gutter="0" w:footer="0" w:header="0"/>
        </w:sectPr>
      </w:pPr>
    </w:p>
    <w:p>
      <w:pPr>
        <w:ind w:left="180" w:right="100" w:hanging="179"/>
        <w:spacing w:after="0" w:line="260" w:lineRule="auto"/>
        <w:rPr>
          <w:sz w:val="20"/>
          <w:szCs w:val="20"/>
          <w:color w:val="auto"/>
        </w:rPr>
      </w:pPr>
      <w:r>
        <w:rPr>
          <w:rFonts w:ascii="Times New Roman" w:cs="Times New Roman" w:eastAsia="Times New Roman" w:hAnsi="Times New Roman"/>
          <w:sz w:val="18"/>
          <w:szCs w:val="18"/>
          <w:color w:val="auto"/>
        </w:rPr>
        <w:t>Delinquencies as a percentage of gross servicing portfolio</w:t>
      </w:r>
    </w:p>
    <w:p>
      <w:pPr>
        <w:spacing w:after="0" w:line="222" w:lineRule="exact"/>
        <w:rPr>
          <w:sz w:val="20"/>
          <w:szCs w:val="20"/>
          <w:color w:val="auto"/>
        </w:rPr>
      </w:pPr>
    </w:p>
    <w:p>
      <w:pPr>
        <w:jc w:val="both"/>
        <w:ind w:left="180" w:hanging="179"/>
        <w:spacing w:after="0" w:line="266" w:lineRule="auto"/>
        <w:rPr>
          <w:sz w:val="20"/>
          <w:szCs w:val="20"/>
          <w:color w:val="auto"/>
        </w:rPr>
      </w:pPr>
      <w:r>
        <w:rPr>
          <w:rFonts w:ascii="Times New Roman" w:cs="Times New Roman" w:eastAsia="Times New Roman" w:hAnsi="Times New Roman"/>
          <w:sz w:val="18"/>
          <w:szCs w:val="18"/>
          <w:color w:val="auto"/>
        </w:rPr>
        <w:t>Total delinquencies and amount in repossession as a percentage of gross servicing portfolio</w:t>
      </w:r>
    </w:p>
    <w:p>
      <w:pPr>
        <w:spacing w:after="0" w:line="212"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Extension Experience </w:t>
      </w:r>
      <w:r>
        <w:rPr>
          <w:rFonts w:ascii="Times New Roman" w:cs="Times New Roman" w:eastAsia="Times New Roman" w:hAnsi="Times New Roman"/>
          <w:sz w:val="17"/>
          <w:szCs w:val="17"/>
          <w:color w:val="auto"/>
        </w:rPr>
        <w:t>Contracts with one extension,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accruing</w:t>
      </w:r>
    </w:p>
    <w:p>
      <w:pPr>
        <w:spacing w:after="0" w:line="247" w:lineRule="exact"/>
        <w:rPr>
          <w:sz w:val="20"/>
          <w:szCs w:val="20"/>
          <w:color w:val="auto"/>
        </w:rPr>
      </w:pPr>
    </w:p>
    <w:p>
      <w:pPr>
        <w:ind w:left="180" w:right="500" w:hanging="179"/>
        <w:spacing w:after="0" w:line="312" w:lineRule="auto"/>
        <w:rPr>
          <w:sz w:val="20"/>
          <w:szCs w:val="20"/>
          <w:color w:val="auto"/>
        </w:rPr>
      </w:pPr>
      <w:r>
        <w:rPr>
          <w:rFonts w:ascii="Times New Roman" w:cs="Times New Roman" w:eastAsia="Times New Roman" w:hAnsi="Times New Roman"/>
          <w:sz w:val="17"/>
          <w:szCs w:val="17"/>
          <w:color w:val="auto"/>
        </w:rPr>
        <w:t>Contracts with two or more extensions, accruing</w:t>
      </w:r>
    </w:p>
    <w:p>
      <w:pPr>
        <w:spacing w:after="0" w:line="200" w:lineRule="exact"/>
        <w:rPr>
          <w:sz w:val="20"/>
          <w:szCs w:val="20"/>
          <w:color w:val="auto"/>
        </w:rPr>
      </w:pPr>
    </w:p>
    <w:p>
      <w:pPr>
        <w:spacing w:after="0" w:line="210" w:lineRule="exact"/>
        <w:rPr>
          <w:sz w:val="20"/>
          <w:szCs w:val="20"/>
          <w:color w:val="auto"/>
        </w:rPr>
      </w:pPr>
    </w:p>
    <w:p>
      <w:pPr>
        <w:ind w:left="180" w:right="340" w:hanging="179"/>
        <w:spacing w:after="0" w:line="282" w:lineRule="auto"/>
        <w:rPr>
          <w:sz w:val="20"/>
          <w:szCs w:val="20"/>
          <w:color w:val="auto"/>
        </w:rPr>
      </w:pPr>
      <w:r>
        <w:rPr>
          <w:rFonts w:ascii="Times New Roman" w:cs="Times New Roman" w:eastAsia="Times New Roman" w:hAnsi="Times New Roman"/>
          <w:sz w:val="18"/>
          <w:szCs w:val="18"/>
          <w:color w:val="auto"/>
        </w:rPr>
        <w:t>Contracts with one extension, non-accrual (4)</w:t>
      </w:r>
    </w:p>
    <w:p>
      <w:pPr>
        <w:spacing w:after="0" w:line="202" w:lineRule="exact"/>
        <w:rPr>
          <w:sz w:val="20"/>
          <w:szCs w:val="20"/>
          <w:color w:val="auto"/>
        </w:rPr>
      </w:pPr>
    </w:p>
    <w:p>
      <w:pPr>
        <w:ind w:left="180" w:right="340" w:hanging="179"/>
        <w:spacing w:after="0" w:line="282" w:lineRule="auto"/>
        <w:rPr>
          <w:sz w:val="20"/>
          <w:szCs w:val="20"/>
          <w:color w:val="auto"/>
        </w:rPr>
      </w:pPr>
      <w:r>
        <w:rPr>
          <w:rFonts w:ascii="Times New Roman" w:cs="Times New Roman" w:eastAsia="Times New Roman" w:hAnsi="Times New Roman"/>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904"/>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r>
      <w:tr>
        <w:trPr>
          <w:trHeight w:val="905"/>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23,338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329,236</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28,384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388,637</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23,740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328,128</w:t>
            </w:r>
          </w:p>
        </w:tc>
        <w:tc>
          <w:tcPr>
            <w:tcW w:w="20" w:type="dxa"/>
            <w:vAlign w:val="bottom"/>
          </w:tcPr>
          <w:p>
            <w:pPr>
              <w:spacing w:after="0"/>
              <w:rPr>
                <w:sz w:val="24"/>
                <w:szCs w:val="24"/>
                <w:color w:val="auto"/>
              </w:rPr>
            </w:pPr>
          </w:p>
        </w:tc>
      </w:tr>
      <w:tr>
        <w:trPr>
          <w:trHeight w:val="688"/>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43,894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475,413</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54,882</w:t>
            </w:r>
          </w:p>
        </w:tc>
        <w:tc>
          <w:tcPr>
            <w:tcW w:w="2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640,154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46,541</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513,183</w:t>
            </w:r>
          </w:p>
        </w:tc>
        <w:tc>
          <w:tcPr>
            <w:tcW w:w="20" w:type="dxa"/>
            <w:vAlign w:val="bottom"/>
          </w:tcPr>
          <w:p>
            <w:pPr>
              <w:spacing w:after="0"/>
              <w:rPr>
                <w:sz w:val="24"/>
                <w:szCs w:val="24"/>
                <w:color w:val="auto"/>
              </w:rPr>
            </w:pPr>
          </w:p>
        </w:tc>
      </w:tr>
      <w:tr>
        <w:trPr>
          <w:trHeight w:val="228"/>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804,649</w:t>
            </w:r>
          </w:p>
        </w:tc>
        <w:tc>
          <w:tcPr>
            <w:tcW w:w="3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83,266</w:t>
            </w: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1,028,791</w:t>
            </w:r>
          </w:p>
        </w:tc>
        <w:tc>
          <w:tcPr>
            <w:tcW w:w="34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70,281</w:t>
            </w:r>
          </w:p>
        </w:tc>
        <w:tc>
          <w:tcPr>
            <w:tcW w:w="3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841,311</w:t>
            </w:r>
          </w:p>
        </w:tc>
        <w:tc>
          <w:tcPr>
            <w:tcW w:w="20" w:type="dxa"/>
            <w:vAlign w:val="bottom"/>
          </w:tcPr>
          <w:p>
            <w:pPr>
              <w:spacing w:after="0"/>
              <w:rPr>
                <w:sz w:val="19"/>
                <w:szCs w:val="19"/>
                <w:color w:val="auto"/>
              </w:rPr>
            </w:pPr>
          </w:p>
        </w:tc>
      </w:tr>
      <w:tr>
        <w:trPr>
          <w:trHeight w:val="670"/>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7,632</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20" w:type="dxa"/>
            <w:vAlign w:val="bottom"/>
          </w:tcPr>
          <w:p>
            <w:pPr>
              <w:spacing w:after="0"/>
              <w:rPr>
                <w:sz w:val="24"/>
                <w:szCs w:val="24"/>
                <w:color w:val="auto"/>
              </w:rPr>
            </w:pPr>
          </w:p>
        </w:tc>
      </w:tr>
      <w:tr>
        <w:trPr>
          <w:trHeight w:val="686"/>
        </w:trPr>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14,155</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5,328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1,414</w:t>
            </w:r>
          </w:p>
        </w:tc>
        <w:tc>
          <w:tcPr>
            <w:tcW w:w="32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-2604135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-2029460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-1755140</wp:posOffset>
            </wp:positionV>
            <wp:extent cx="7132320" cy="29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-1318260</wp:posOffset>
            </wp:positionV>
            <wp:extent cx="7132320" cy="30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-872490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-1721485</wp:posOffset>
            </wp:positionH>
            <wp:positionV relativeFrom="paragraph">
              <wp:posOffset>-434975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480" w:space="240"/>
            <w:col w:w="8520"/>
          </w:cols>
          <w:pgMar w:left="320" w:top="57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720" w:type="dxa"/>
            <w:vAlign w:val="bottom"/>
            <w:shd w:val="clear" w:color="auto" w:fill="EEEEE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720" w:type="dxa"/>
            <w:vAlign w:val="bottom"/>
            <w:shd w:val="clear" w:color="auto" w:fill="EEEEEE"/>
          </w:tcPr>
          <w:p>
            <w:pPr>
              <w:spacing w:after="0"/>
              <w:rPr>
                <w:sz w:val="16"/>
                <w:szCs w:val="16"/>
                <w:color w:val="auto"/>
              </w:rPr>
            </w:pPr>
          </w:p>
        </w:tc>
        <w:tc>
          <w:tcPr>
            <w:tcW w:w="1140" w:type="dxa"/>
            <w:vAlign w:val="bottom"/>
            <w:shd w:val="clear" w:color="auto" w:fill="EEEEEE"/>
          </w:tcPr>
          <w:p>
            <w:pPr>
              <w:jc w:val="right"/>
              <w:spacing w:after="0" w:line="192" w:lineRule="exact"/>
              <w:rPr>
                <w:sz w:val="20"/>
                <w:szCs w:val="20"/>
                <w:color w:val="auto"/>
              </w:rPr>
            </w:pPr>
            <w:r>
              <w:rPr>
                <w:rFonts w:ascii="Times New Roman" w:cs="Times New Roman" w:eastAsia="Times New Roman" w:hAnsi="Times New Roman"/>
                <w:sz w:val="18"/>
                <w:szCs w:val="18"/>
                <w:color w:val="auto"/>
              </w:rPr>
              <w:t>1,917</w:t>
            </w:r>
          </w:p>
        </w:tc>
        <w:tc>
          <w:tcPr>
            <w:tcW w:w="34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180" w:type="dxa"/>
            <w:vAlign w:val="bottom"/>
            <w:gridSpan w:val="2"/>
            <w:shd w:val="clear" w:color="auto" w:fill="EEEEEE"/>
          </w:tcPr>
          <w:p>
            <w:pPr>
              <w:jc w:val="right"/>
              <w:ind w:right="360"/>
              <w:spacing w:after="0" w:line="192" w:lineRule="exact"/>
              <w:rPr>
                <w:sz w:val="20"/>
                <w:szCs w:val="20"/>
                <w:color w:val="auto"/>
              </w:rPr>
            </w:pPr>
            <w:r>
              <w:rPr>
                <w:rFonts w:ascii="Times New Roman" w:cs="Times New Roman" w:eastAsia="Times New Roman" w:hAnsi="Times New Roman"/>
                <w:sz w:val="18"/>
                <w:szCs w:val="18"/>
                <w:color w:val="auto"/>
              </w:rPr>
              <w:t>21,787</w:t>
            </w:r>
          </w:p>
        </w:tc>
        <w:tc>
          <w:tcPr>
            <w:tcW w:w="1460" w:type="dxa"/>
            <w:vAlign w:val="bottom"/>
            <w:gridSpan w:val="2"/>
            <w:shd w:val="clear" w:color="auto" w:fill="EEEEEE"/>
          </w:tcPr>
          <w:p>
            <w:pPr>
              <w:jc w:val="right"/>
              <w:ind w:right="340"/>
              <w:spacing w:after="0" w:line="192" w:lineRule="exact"/>
              <w:rPr>
                <w:sz w:val="20"/>
                <w:szCs w:val="20"/>
                <w:color w:val="auto"/>
              </w:rPr>
            </w:pPr>
            <w:r>
              <w:rPr>
                <w:rFonts w:ascii="Times New Roman" w:cs="Times New Roman" w:eastAsia="Times New Roman" w:hAnsi="Times New Roman"/>
                <w:sz w:val="18"/>
                <w:szCs w:val="18"/>
                <w:color w:val="auto"/>
              </w:rPr>
              <w:t>618</w:t>
            </w:r>
          </w:p>
        </w:tc>
        <w:tc>
          <w:tcPr>
            <w:tcW w:w="24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320"/>
              <w:spacing w:after="0" w:line="192" w:lineRule="exact"/>
              <w:rPr>
                <w:sz w:val="20"/>
                <w:szCs w:val="20"/>
                <w:color w:val="auto"/>
              </w:rPr>
            </w:pPr>
            <w:r>
              <w:rPr>
                <w:rFonts w:ascii="Times New Roman" w:cs="Times New Roman" w:eastAsia="Times New Roman" w:hAnsi="Times New Roman"/>
                <w:sz w:val="18"/>
                <w:szCs w:val="18"/>
                <w:color w:val="auto"/>
              </w:rPr>
              <w:t>6,838</w:t>
            </w:r>
          </w:p>
        </w:tc>
        <w:tc>
          <w:tcPr>
            <w:tcW w:w="1420" w:type="dxa"/>
            <w:vAlign w:val="bottom"/>
            <w:gridSpan w:val="2"/>
            <w:shd w:val="clear" w:color="auto" w:fill="EEEEEE"/>
          </w:tcPr>
          <w:p>
            <w:pPr>
              <w:jc w:val="right"/>
              <w:ind w:right="320"/>
              <w:spacing w:after="0" w:line="192" w:lineRule="exact"/>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EEEEEE"/>
          </w:tcPr>
          <w:p>
            <w:pPr>
              <w:spacing w:after="0"/>
              <w:rPr>
                <w:sz w:val="16"/>
                <w:szCs w:val="16"/>
                <w:color w:val="auto"/>
              </w:rPr>
            </w:pPr>
          </w:p>
        </w:tc>
        <w:tc>
          <w:tcPr>
            <w:tcW w:w="900" w:type="dxa"/>
            <w:vAlign w:val="bottom"/>
            <w:gridSpan w:val="2"/>
            <w:shd w:val="clear" w:color="auto" w:fill="EEEEEE"/>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22,864</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contracts with extensions</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69,149</w:t>
            </w:r>
          </w:p>
        </w:tc>
        <w:tc>
          <w:tcPr>
            <w:tcW w:w="34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826,436</w:t>
            </w:r>
          </w:p>
        </w:tc>
        <w:tc>
          <w:tcPr>
            <w:tcW w:w="36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1,035,629</w:t>
            </w:r>
          </w:p>
        </w:tc>
        <w:tc>
          <w:tcPr>
            <w:tcW w:w="34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72,292</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Times New Roman" w:cs="Times New Roman" w:eastAsia="Times New Roman" w:hAnsi="Times New Roman"/>
          <w:sz w:val="18"/>
          <w:szCs w:val="18"/>
          <w:i w:val="1"/>
          <w:iCs w:val="1"/>
          <w:color w:val="auto"/>
        </w:rPr>
      </w:pPr>
    </w:p>
    <w:p>
      <w:pPr>
        <w:jc w:val="both"/>
        <w:ind w:firstLine="8"/>
        <w:spacing w:after="0" w:line="250" w:lineRule="auto"/>
        <w:tabs>
          <w:tab w:leader="none" w:pos="26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represents financed vehicles that have been repossessed but not yet liquidated.</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 in repossession and accounts past due more than 90 days are on non-accrual.</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Net Charge-Off Experience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Owned Portfolio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Finance Receivables Portfolio</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9"/>
                <w:szCs w:val="19"/>
                <w:color w:val="auto"/>
              </w:rPr>
            </w:pPr>
          </w:p>
        </w:tc>
        <w:tc>
          <w:tcPr>
            <w:tcW w:w="14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6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206,197</w:t>
            </w:r>
          </w:p>
        </w:tc>
        <w:tc>
          <w:tcPr>
            <w:tcW w:w="4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451,425</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345,021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418"/>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Fair Value Receivables Portfolio</w:t>
            </w: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9"/>
                <w:szCs w:val="19"/>
                <w:color w:val="auto"/>
              </w:rPr>
            </w:pPr>
          </w:p>
        </w:tc>
        <w:tc>
          <w:tcPr>
            <w:tcW w:w="14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6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2,067,286</w:t>
            </w:r>
          </w:p>
        </w:tc>
        <w:tc>
          <w:tcPr>
            <w:tcW w:w="4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1,687,232</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1,802,590</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418"/>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Owned Portfolio</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9"/>
                <w:szCs w:val="19"/>
                <w:color w:val="auto"/>
              </w:rPr>
            </w:pPr>
          </w:p>
        </w:tc>
        <w:tc>
          <w:tcPr>
            <w:tcW w:w="14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servicing portfolio outstanding</w:t>
            </w:r>
          </w:p>
        </w:tc>
        <w:tc>
          <w:tcPr>
            <w:tcW w:w="620" w:type="dxa"/>
            <w:vAlign w:val="bottom"/>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2,273,483</w:t>
            </w:r>
          </w:p>
        </w:tc>
        <w:tc>
          <w:tcPr>
            <w:tcW w:w="46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2,138,657</w:t>
            </w:r>
          </w:p>
        </w:tc>
        <w:tc>
          <w:tcPr>
            <w:tcW w:w="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2,147,611</w:t>
            </w: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Annualized net charge-offs as a percentage of average servicing portfolio (2)</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16"/>
                <w:szCs w:val="16"/>
                <w:color w:val="auto"/>
              </w:rPr>
            </w:pPr>
          </w:p>
        </w:tc>
        <w:tc>
          <w:tcPr>
            <w:tcW w:w="140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6"/>
                <w:szCs w:val="16"/>
                <w:color w:val="auto"/>
              </w:rPr>
            </w:pPr>
          </w:p>
        </w:tc>
        <w:tc>
          <w:tcPr>
            <w:tcW w:w="132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4.7%</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1"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53" w:lineRule="auto"/>
        <w:tabs>
          <w:tab w:leader="none" w:pos="257"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2022 and March 31, 2021 percentages represent three months ended March 31, 2022 and March 31, 2021 annualized. December 31, 2021 represents 12 months ended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52" w:lineRule="auto"/>
        <w:tabs>
          <w:tab w:leader="none" w:pos="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a prudent extension program is an integral component to mitigating losses in our portfolio of sub-prime automobile receivables. The table below summarizes the status, as of March 31, 2022, for accounts that received extensions from 2008 through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Active or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 Active or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 Charged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Charged Off</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 Charged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Avg Months</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Paid Off at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Paid Off at</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&gt; 6 Months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&gt; 6</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&lt;= 6 Months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Off &lt;= 6</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to Charge Off</w:t>
            </w:r>
          </w:p>
        </w:tc>
      </w:tr>
      <w:tr>
        <w:trPr>
          <w:trHeight w:val="216"/>
        </w:trPr>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Period of</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 Extensions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31,</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Months After</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Months After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Post</w:t>
            </w:r>
          </w:p>
        </w:tc>
      </w:tr>
      <w:tr>
        <w:trPr>
          <w:trHeight w:val="234"/>
        </w:trPr>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Granted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Extension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Extension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Extension</w:t>
            </w:r>
          </w:p>
        </w:tc>
      </w:tr>
      <w:tr>
        <w:trPr>
          <w:trHeight w:val="210"/>
        </w:trPr>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35,588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10,708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20,061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4,819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32,226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10,273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16,170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5,783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26,167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12,159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12,009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18,786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10,972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6,882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932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18,783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11,320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6,667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23,398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11,152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11,270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976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25,773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10,521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14,426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53,319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22,588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29,649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1,082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80,897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37,510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41,454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1,933</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133,881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63,538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63,417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47.4%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6,926</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121,531</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68,889</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56.7%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46,635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6,007</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71,548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53,433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16,173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83,170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69,458</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11,613</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2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2,099</w:t>
            </w:r>
          </w:p>
        </w:tc>
        <w:tc>
          <w:tcPr>
            <w:tcW w:w="122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extensions on portfolios serviced for third parties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view these results as a confirmation of the effectiveness of our extension program. For example, of the accounts granted extensions in 2018, 56.7% were either paid in full or active and performing March 31, 2022.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Three Months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Three Months</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Ended</w:t>
            </w: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Year Ended</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March 31,</w:t>
            </w:r>
          </w:p>
        </w:tc>
        <w:tc>
          <w:tcPr>
            <w:tcW w:w="0" w:type="dxa"/>
            <w:vAlign w:val="bottom"/>
          </w:tcPr>
          <w:p>
            <w:pPr>
              <w:spacing w:after="0"/>
              <w:rPr>
                <w:sz w:val="1"/>
                <w:szCs w:val="1"/>
                <w:color w:val="auto"/>
              </w:rPr>
            </w:pPr>
          </w:p>
        </w:tc>
      </w:tr>
      <w:tr>
        <w:trPr>
          <w:trHeight w:val="234"/>
        </w:trPr>
        <w:tc>
          <w:tcPr>
            <w:tcW w:w="7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extensions granted per month</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4,061</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3,918</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number of outstanding accounts</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154,729</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157,076</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160,448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monthly extensions as % of average outstandings</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98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March 31, 2022</w:t>
            </w:r>
          </w:p>
        </w:tc>
        <w:tc>
          <w:tcPr>
            <w:tcW w:w="290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March 31, 2021</w:t>
            </w:r>
          </w:p>
        </w:tc>
        <w:tc>
          <w:tcPr>
            <w:tcW w:w="264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191"/>
        </w:trPr>
        <w:tc>
          <w:tcPr>
            <w:tcW w:w="27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50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Borders>
              <w:top w:val="single" w:sz="8" w:color="auto"/>
            </w:tcBorders>
            <w:gridSpan w:val="2"/>
          </w:tcPr>
          <w:p>
            <w:pPr>
              <w:jc w:val="right"/>
              <w:ind w:right="480"/>
              <w:spacing w:after="0" w:line="191" w:lineRule="exact"/>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2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Amount</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Amount</w:t>
            </w: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Contracts</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Amount</w:t>
            </w:r>
          </w:p>
        </w:tc>
      </w:tr>
      <w:tr>
        <w:trPr>
          <w:trHeight w:val="228"/>
        </w:trPr>
        <w:tc>
          <w:tcPr>
            <w:tcW w:w="27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56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(Dollars in thousands)</w:t>
            </w:r>
          </w:p>
        </w:tc>
        <w:tc>
          <w:tcPr>
            <w:tcW w:w="3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one extension</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23,929</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336,868</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28,514</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390,146</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24,337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335,864</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two extensions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185,348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18,664</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247,272</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15,861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200,705</w:t>
            </w:r>
          </w:p>
        </w:tc>
      </w:tr>
      <w:tr>
        <w:trPr>
          <w:trHeight w:val="216"/>
        </w:trPr>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three extensions</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11,271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129,519</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12,720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152,871</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11,755</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136,970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four extensions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88,758</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10,235</w:t>
            </w:r>
          </w:p>
        </w:tc>
        <w:tc>
          <w:tcPr>
            <w:tcW w:w="1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111,789</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9,272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95,182</w:t>
            </w:r>
          </w:p>
        </w:tc>
      </w:tr>
      <w:tr>
        <w:trPr>
          <w:trHeight w:val="216"/>
        </w:trPr>
        <w:tc>
          <w:tcPr>
            <w:tcW w:w="2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with five extensions</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6,195</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54,982</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7,827</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79,510</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6,531</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59,651</w:t>
            </w: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Contracts with six extensions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30,960</w:t>
            </w: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5,924</w:t>
            </w:r>
          </w:p>
        </w:tc>
        <w:tc>
          <w:tcPr>
            <w:tcW w:w="1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54,040</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4,536</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35,803</w:t>
            </w:r>
          </w:p>
        </w:tc>
      </w:tr>
      <w:tr>
        <w:trPr>
          <w:trHeight w:val="223"/>
        </w:trPr>
        <w:tc>
          <w:tcPr>
            <w:tcW w:w="27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69,149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826,435</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1,035,628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72,292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864,175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7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Managed portfolio (excluding</w:t>
            </w:r>
          </w:p>
        </w:tc>
        <w:tc>
          <w:tcPr>
            <w:tcW w:w="1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27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originated and owned by 3rd</w:t>
            </w: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4"/>
        </w:trPr>
        <w:tc>
          <w:tcPr>
            <w:tcW w:w="27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13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155,812</w:t>
            </w:r>
          </w:p>
        </w:tc>
        <w:tc>
          <w:tcPr>
            <w:tcW w:w="3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2,324,354</w:t>
            </w:r>
          </w:p>
        </w:tc>
        <w:tc>
          <w:tcPr>
            <w:tcW w:w="14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158,933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2,119,073</w:t>
            </w: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154,151</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2,209,430</w:t>
            </w:r>
          </w:p>
        </w:tc>
      </w:tr>
      <w:tr>
        <w:trPr>
          <w:trHeight w:val="245"/>
        </w:trPr>
        <w:tc>
          <w:tcPr>
            <w:tcW w:w="2720" w:type="dxa"/>
            <w:vAlign w:val="bottom"/>
          </w:tcPr>
          <w:p>
            <w:pPr>
              <w:spacing w:after="0" w:line="245" w:lineRule="exact"/>
              <w:rPr>
                <w:sz w:val="20"/>
                <w:szCs w:val="20"/>
                <w:color w:val="auto"/>
              </w:rPr>
            </w:pPr>
            <w:r>
              <w:rPr>
                <w:rFonts w:ascii="Times New Roman" w:cs="Times New Roman" w:eastAsia="Times New Roman" w:hAnsi="Times New Roman"/>
                <w:sz w:val="22"/>
                <w:szCs w:val="22"/>
                <w:color w:val="auto"/>
              </w:rPr>
              <w:t>______________________</w:t>
            </w: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rPr>
          <w:sz w:val="20"/>
          <w:szCs w:val="20"/>
          <w:color w:val="auto"/>
        </w:rPr>
      </w:pPr>
      <w:r>
        <w:rPr>
          <w:rFonts w:ascii="Times New Roman" w:cs="Times New Roman" w:eastAsia="Times New Roman" w:hAnsi="Times New Roman"/>
          <w:sz w:val="18"/>
          <w:szCs w:val="18"/>
          <w:i w:val="1"/>
          <w:iCs w:val="1"/>
          <w:color w:val="auto"/>
        </w:rPr>
        <w:t>Note: Table excludes portfolios originated and owned by third parties</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Non-Accrual Receivables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three-month period ended March 31, 2022 was $68.3 million, an increase of $2.9 million, compared to net cash provided by operating activities for the three-month period ended March 31, 2021 of $65.4 million. Net cash from operating activities is generally provided by net income from operations adjusted for significant non-cash items such as our provision for credit losses and marks to finance receivables measured at fair value.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$139.5 million for the three months ended March 31, 2022. Net cash provided by investing activities for the three-month period ended March 31, 2021 was $23.9 million.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$393.4 million and $205.5 million during the first three months of 2022 and 2021,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2022 was $80.9 million compared to net cash used in financing activities of $64.8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2022, we issued $316.8 million in new securitization trust debt compared to $230.5 million in the same period of 2021. We repaid $262.7 million in securitization trust debt in the three months ended March 31, 2022 compared to repayments of securitization trust debt of $242.5 million in the prior year period. In the three months ended March 31, 2022, we had net advances on warehouse lines of credit of $42.2 million, compared to net repayments of $48.3 million in the prior year’s period.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may in the future be limited in our ability to purchase automobile contracts due to limits on our capital. As of March 31, 2022, we had unrestricted cash of $21.7 million and $53.0 million aggregate available borrowings under our two warehouse credit facilities (assuming the availability of sufficient eligible collateral). As of March 31, 2022, we had approximately $93.9 million of such eligible collateral. Our plans to manage our liquidity include maintaining our rate of automobile contract purchases at a level that matches our available capital, and, as appropriate, minimizing our operating costs. During the three-month period ended March 31, 2022, we completed one securitizations aggregating $316.8 million of notes sold.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March 31, 2022, we were in compliance with all such financial covenants.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2022, we had approximately $2,036.7 million of debt outstanding. Such debt consisted primarily of $1,813.5 million of securitization trust debt and $147.0 million of debt from warehouse lines of credit. Our securitization trust debt has increased by $53.5 million while our warehouse lines of credit debt has increased by $41.4 million since December 31, 2021 (each net of deferred financing costs). Since 2005, we have offered renewable subordinated notes to the public on a continuous basis, and such notes have maturities that range from six months to 10 years. We had $26.8 million and $26.5 million in subordinated renewable notes outstanding at March 31, 2022 and December 31, 2021, respectively. On June 30, 2021, we completed a $50.0 million securitization of residual interests from other previously issued securitizations. As of March 31, 2022, $50.0 million of this debt remains outstanding.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remind the reader that risk factors are set forth in Item 1A of our report on Form 10-K, filed with the U.S. Securities and Exchange Commission on March 15, 2022. Where we are aware of material changes to such risk factors as previously disclosed, we set forth below an updated discussion of such risks. The reader should note that the other risks identified in our report on Form 10-K remain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have substantial indebtedness.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will continue to have a substantial amount of indebtedness. At March 31, 2022, we had approximately $2,036.7 million of debt outstanding. Such debt consisted primarily of $1,813.5 million of securitization trust debt and $147.0 million of debt from warehouse lines of credit. Our securitization trust debt has increased by $53.5 million while our warehouse lines of credit debt has increased by $41.4 million since December 31, 2021 (each net of deferred financing costs). Since 2005, we have offered renewable subordinated notes to the public on a continuous basis, and such notes have maturities that range from six months to 10 years. We had $26.8 million and $26.5 million in subordinated renewable notes outstanding at March 31, 2022 and December 31, 2021, respectively. On June 1, 2021, we completed a $50.0 million securitization of residual interests from other previously issued securitizations. As of March 31, 2022, $50.0 million of this debt remains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by, among other things:</w:t>
      </w:r>
    </w:p>
    <w:p>
      <w:pPr>
        <w:spacing w:after="0" w:line="252" w:lineRule="exact"/>
        <w:rPr>
          <w:sz w:val="20"/>
          <w:szCs w:val="20"/>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rFonts w:ascii="Times New Roman" w:cs="Times New Roman" w:eastAsia="Times New Roman" w:hAnsi="Times New Roman"/>
          <w:sz w:val="18"/>
          <w:szCs w:val="18"/>
          <w:color w:val="auto"/>
        </w:rPr>
      </w:pPr>
    </w:p>
    <w:p>
      <w:pPr>
        <w:ind w:left="780" w:hanging="259"/>
        <w:spacing w:after="0" w:line="250"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780" w:hanging="259"/>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89"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obtain necessary financing, and the terms of any such financing;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especially as applicable to securitization trust debt;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future provisioning for receivables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levels of actual losses on receivables; and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18"/>
          <w:szCs w:val="18"/>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information. You are advised to consult any additional disclosure we make in our periodic reports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2022, we repurchased 922,363 shares from existing shareholders, as reflected in the table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38"/>
        </w:trPr>
        <w:tc>
          <w:tcPr>
            <w:tcW w:w="238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Period(1)</w:t>
            </w:r>
          </w:p>
        </w:tc>
        <w:tc>
          <w:tcPr>
            <w:tcW w:w="144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Programs (2)</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January 2022</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119,000</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20" w:type="dxa"/>
            <w:vAlign w:val="bottom"/>
            <w:tcBorders>
              <w:top w:val="single" w:sz="8" w:color="EEEEEE"/>
            </w:tcBorders>
            <w:shd w:val="clear" w:color="auto" w:fill="EEEEEE"/>
          </w:tcPr>
          <w:p>
            <w:pPr>
              <w:spacing w:after="0"/>
              <w:rPr>
                <w:sz w:val="18"/>
                <w:szCs w:val="18"/>
                <w:color w:val="auto"/>
              </w:rPr>
            </w:pPr>
          </w:p>
        </w:tc>
        <w:tc>
          <w:tcPr>
            <w:tcW w:w="19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119,000</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10,837,840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4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254,492</w:t>
            </w:r>
          </w:p>
        </w:tc>
        <w:tc>
          <w:tcPr>
            <w:tcW w:w="5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11.04</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254,492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8,029,149</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March 2022</w:t>
            </w:r>
          </w:p>
        </w:tc>
        <w:tc>
          <w:tcPr>
            <w:tcW w:w="14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w w:val="99"/>
              </w:rPr>
              <w:t>548,871</w:t>
            </w:r>
          </w:p>
        </w:tc>
        <w:tc>
          <w:tcPr>
            <w:tcW w:w="500" w:type="dxa"/>
            <w:vAlign w:val="bottom"/>
            <w:gridSpan w:val="2"/>
            <w:shd w:val="clear" w:color="auto" w:fill="EEEEEE"/>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11.16</w:t>
            </w:r>
          </w:p>
        </w:tc>
        <w:tc>
          <w:tcPr>
            <w:tcW w:w="206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548,871</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11,902,176</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922,363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3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2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Each monthly period is the calendar month.</w:t>
      </w:r>
    </w:p>
    <w:p>
      <w:pPr>
        <w:spacing w:after="0" w:line="9" w:lineRule="exact"/>
        <w:rPr>
          <w:rFonts w:ascii="Times New Roman" w:cs="Times New Roman" w:eastAsia="Times New Roman" w:hAnsi="Times New Roman"/>
          <w:sz w:val="18"/>
          <w:szCs w:val="18"/>
          <w:i w:val="1"/>
          <w:iCs w:val="1"/>
          <w:color w:val="auto"/>
        </w:rPr>
      </w:pPr>
    </w:p>
    <w:p>
      <w:pPr>
        <w:jc w:val="both"/>
        <w:ind w:left="660" w:hanging="328"/>
        <w:spacing w:after="0" w:line="253"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board of directors authorized the purchase of an additional $5.0 million and $10.0 million of our outstanding securities in January and March 2022, respectively. Through March 31, 2022,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with this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95"/>
              </w:rPr>
              <w:t>4.14</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provide copies of such instruments to the United States Securities and Exchange Commission upon request.</w:t>
            </w:r>
          </w:p>
        </w:tc>
      </w:tr>
      <w:tr>
        <w:trPr>
          <w:trHeight w:val="194"/>
        </w:trPr>
        <w:tc>
          <w:tcPr>
            <w:tcW w:w="1360" w:type="dxa"/>
            <w:vAlign w:val="bottom"/>
          </w:tcPr>
          <w:p>
            <w:pPr>
              <w:jc w:val="right"/>
              <w:ind w:right="950"/>
              <w:spacing w:after="0" w:line="194" w:lineRule="exact"/>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Rule 13a-14(a) Certification of the Chief Executive Officer of the registrant.</w:t>
            </w:r>
          </w:p>
        </w:tc>
        <w:tc>
          <w:tcPr>
            <w:tcW w:w="4380" w:type="dxa"/>
            <w:vAlign w:val="bottom"/>
          </w:tcPr>
          <w:p>
            <w:pPr>
              <w:spacing w:after="0"/>
              <w:rPr>
                <w:sz w:val="16"/>
                <w:szCs w:val="16"/>
                <w:color w:val="auto"/>
              </w:rPr>
            </w:pPr>
          </w:p>
        </w:tc>
      </w:tr>
      <w:tr>
        <w:trPr>
          <w:trHeight w:val="196"/>
        </w:trPr>
        <w:tc>
          <w:tcPr>
            <w:tcW w:w="136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9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Rule 13a-14(a) Certification of the Chief Financial Officer of the registrant.</w:t>
            </w:r>
          </w:p>
        </w:tc>
      </w:tr>
      <w:tr>
        <w:trPr>
          <w:trHeight w:val="20"/>
        </w:trPr>
        <w:tc>
          <w:tcPr>
            <w:tcW w:w="136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Section 1350 Certifications</w:t>
      </w:r>
      <w:r>
        <w:rPr>
          <w:rFonts w:ascii="Times New Roman" w:cs="Times New Roman" w:eastAsia="Times New Roman" w:hAnsi="Times New Roman"/>
          <w:sz w:val="18"/>
          <w:szCs w:val="18"/>
          <w:color w:val="000000"/>
        </w:rPr>
        <w: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16"/>
        </w:trPr>
        <w:tc>
          <w:tcPr>
            <w:tcW w:w="1020" w:type="dxa"/>
            <w:vAlign w:val="bottom"/>
          </w:tcPr>
          <w:p>
            <w:pPr>
              <w:spacing w:after="0"/>
              <w:rPr>
                <w:sz w:val="18"/>
                <w:szCs w:val="18"/>
                <w:color w:val="auto"/>
              </w:rPr>
            </w:pP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60" w:hanging="1352"/>
        <w:spacing w:after="0"/>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6" w:lineRule="exact"/>
        <w:rPr>
          <w:rFonts w:ascii="Times New Roman" w:cs="Times New Roman" w:eastAsia="Times New Roman" w:hAnsi="Times New Roman"/>
          <w:sz w:val="18"/>
          <w:szCs w:val="18"/>
          <w:color w:val="auto"/>
        </w:rPr>
      </w:pPr>
    </w:p>
    <w:p>
      <w:pPr>
        <w:jc w:val="both"/>
        <w:ind w:left="260" w:firstLine="311"/>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CONSUMER PORTFOLIO SERVICES, INC.</w:t>
            </w:r>
          </w:p>
        </w:tc>
        <w:tc>
          <w:tcPr>
            <w:tcW w:w="0" w:type="dxa"/>
            <w:vAlign w:val="bottom"/>
          </w:tcPr>
          <w:p>
            <w:pPr>
              <w:spacing w:after="0"/>
              <w:rPr>
                <w:sz w:val="1"/>
                <w:szCs w:val="1"/>
                <w:color w:val="auto"/>
              </w:rPr>
            </w:pPr>
          </w:p>
        </w:tc>
      </w:tr>
      <w:tr>
        <w:trPr>
          <w:trHeight w:val="234"/>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644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8"/>
                <w:szCs w:val="18"/>
                <w:color w:val="auto"/>
              </w:rPr>
              <w:t>By: /s/  CHARLES E. BRADLEY, JR.</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6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tcPr>
          <w:p>
            <w:pPr>
              <w:spacing w:after="0"/>
              <w:rPr>
                <w:sz w:val="18"/>
                <w:szCs w:val="18"/>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Charles E. Bradley, Jr.</w:t>
            </w:r>
          </w:p>
        </w:tc>
        <w:tc>
          <w:tcPr>
            <w:tcW w:w="0" w:type="dxa"/>
            <w:vAlign w:val="bottom"/>
          </w:tcPr>
          <w:p>
            <w:pPr>
              <w:spacing w:after="0"/>
              <w:rPr>
                <w:sz w:val="1"/>
                <w:szCs w:val="1"/>
                <w:color w:val="auto"/>
              </w:rPr>
            </w:pPr>
          </w:p>
        </w:tc>
      </w:tr>
      <w:tr>
        <w:trPr>
          <w:trHeight w:val="218"/>
        </w:trPr>
        <w:tc>
          <w:tcPr>
            <w:tcW w:w="3500" w:type="dxa"/>
            <w:vAlign w:val="bottom"/>
          </w:tcPr>
          <w:p>
            <w:pPr>
              <w:spacing w:after="0"/>
              <w:rPr>
                <w:sz w:val="18"/>
                <w:szCs w:val="18"/>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JEFFREY P. FRITZ</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tcPr>
          <w:p>
            <w:pPr>
              <w:spacing w:after="0"/>
              <w:rPr>
                <w:sz w:val="18"/>
                <w:szCs w:val="18"/>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Jeffrey P. Fritz</w:t>
            </w:r>
          </w:p>
        </w:tc>
        <w:tc>
          <w:tcPr>
            <w:tcW w:w="0" w:type="dxa"/>
            <w:vAlign w:val="bottom"/>
          </w:tcPr>
          <w:p>
            <w:pPr>
              <w:spacing w:after="0"/>
              <w:rPr>
                <w:sz w:val="1"/>
                <w:szCs w:val="1"/>
                <w:color w:val="auto"/>
              </w:rPr>
            </w:pPr>
          </w:p>
        </w:tc>
      </w:tr>
      <w:tr>
        <w:trPr>
          <w:trHeight w:val="218"/>
        </w:trPr>
        <w:tc>
          <w:tcPr>
            <w:tcW w:w="3500" w:type="dxa"/>
            <w:vAlign w:val="bottom"/>
          </w:tcPr>
          <w:p>
            <w:pPr>
              <w:spacing w:after="0"/>
              <w:rPr>
                <w:sz w:val="18"/>
                <w:szCs w:val="18"/>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64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2022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 Chief Executive Officer</w:t>
      </w:r>
    </w:p>
    <w:p>
      <w:pPr>
        <w:sectPr>
          <w:pgSz w:w="11900" w:h="16838" w:orient="portrait"/>
          <w:cols w:equalWidth="0" w:num="1">
            <w:col w:w="11240"/>
          </w:cols>
          <w:pgMar w:left="320" w:top="11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March 31, 2022 of Consumer Portfolio Services,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Fritz, Chief Financial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Consumer Portfolio Services, Inc. (the “Company”) for the quarterly period ended March 31, 2022,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0" w:lineRule="exact"/>
        <w:rPr>
          <w:sz w:val="20"/>
          <w:szCs w:val="20"/>
          <w:color w:val="auto"/>
        </w:rPr>
      </w:pPr>
    </w:p>
    <w:p>
      <w:pPr>
        <w:ind w:left="1040" w:hanging="34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348"/>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744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3"/>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5"/>
    </w:lvl>
  </w:abstractNum>
  <w:abstractNum w:abstractNumId="9">
    <w:nsid w:val="25E45D32"/>
    <w:multiLevelType w:val="hybridMultilevel"/>
    <w:lvl w:ilvl="0">
      <w:lvlJc w:val="left"/>
      <w:lvlText w:val="(%1)"/>
      <w:numFmt w:val="decimal"/>
      <w:start w:val="6"/>
    </w:lvl>
  </w:abstractNum>
  <w:abstractNum w:abstractNumId="10">
    <w:nsid w:val="519B500D"/>
    <w:multiLevelType w:val="hybridMultilevel"/>
    <w:lvl w:ilvl="0">
      <w:lvlJc w:val="left"/>
      <w:lvlText w:val="(%1)"/>
      <w:numFmt w:val="decimal"/>
      <w:start w:val="7"/>
    </w:lvl>
  </w:abstractNum>
  <w:abstractNum w:abstractNumId="11">
    <w:nsid w:val="431BD7B7"/>
    <w:multiLevelType w:val="hybridMultilevel"/>
    <w:lvl w:ilvl="0">
      <w:lvlJc w:val="left"/>
      <w:lvlText w:val="(%1)"/>
      <w:numFmt w:val="decimal"/>
      <w:start w:val="8"/>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104"/>
    </w:lvl>
    <w:lvl w:ilvl="1">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2022-05-04T16:47:16Z</dcterms:created>
  <dcterms:modified xsi:type="dcterms:W3CDTF">2022-05-04T16:47:16Z</dcterms:modified>
</cp:coreProperties>
</file>