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Table of Contents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1560" w:hanging="205"/>
        <w:spacing w:after="0"/>
        <w:tabs>
          <w:tab w:leader="none" w:pos="15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22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2022</w:t>
      </w:r>
    </w:p>
    <w:p>
      <w:pPr>
        <w:spacing w:after="0" w:line="229" w:lineRule="exact"/>
        <w:rPr>
          <w:rFonts w:ascii="MS PGothic" w:cs="MS PGothic" w:eastAsia="MS PGothic" w:hAnsi="MS PGothic"/>
          <w:sz w:val="18"/>
          <w:szCs w:val="18"/>
          <w:color w:val="auto"/>
        </w:rPr>
      </w:pPr>
    </w:p>
    <w:p>
      <w:pPr>
        <w:jc w:val="center"/>
        <w:ind w:left="3600" w:right="1460" w:hanging="2711"/>
        <w:spacing w:after="0" w:line="498" w:lineRule="auto"/>
        <w:tabs>
          <w:tab w:leader="none" w:pos="11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4010660</wp:posOffset>
            </wp:positionH>
            <wp:positionV relativeFrom="paragraph">
              <wp:posOffset>-281940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CONSUMER PORTFOLIO SERVICES,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6"/>
              </w:rPr>
              <w:t>California</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0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700" w:type="dxa"/>
            <w:vAlign w:val="bottom"/>
          </w:tcPr>
          <w:p>
            <w:pPr>
              <w:jc w:val="right"/>
              <w:ind w:right="1050"/>
              <w:spacing w:after="0"/>
              <w:rPr>
                <w:sz w:val="20"/>
                <w:szCs w:val="20"/>
                <w:color w:val="auto"/>
              </w:rPr>
            </w:pPr>
            <w:r>
              <w:rPr>
                <w:rFonts w:ascii="Arial" w:cs="Arial" w:eastAsia="Arial" w:hAnsi="Arial"/>
                <w:sz w:val="18"/>
                <w:szCs w:val="18"/>
                <w:b w:val="1"/>
                <w:bCs w:val="1"/>
                <w:color w:val="auto"/>
              </w:rPr>
              <w:t>89169</w:t>
            </w:r>
          </w:p>
        </w:tc>
      </w:tr>
      <w:tr>
        <w:trPr>
          <w:trHeight w:val="234"/>
        </w:trPr>
        <w:tc>
          <w:tcPr>
            <w:tcW w:w="56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274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Title of Each Class</w:t>
            </w:r>
          </w:p>
        </w:tc>
        <w:tc>
          <w:tcPr>
            <w:tcW w:w="2840" w:type="dxa"/>
            <w:vAlign w:val="bottom"/>
            <w:gridSpan w:val="3"/>
          </w:tcPr>
          <w:p>
            <w:pPr>
              <w:jc w:val="center"/>
              <w:ind w:left="250"/>
              <w:spacing w:after="0"/>
              <w:rPr>
                <w:sz w:val="20"/>
                <w:szCs w:val="20"/>
                <w:color w:val="auto"/>
              </w:rPr>
            </w:pPr>
            <w:r>
              <w:rPr>
                <w:rFonts w:ascii="Arial" w:cs="Arial" w:eastAsia="Arial" w:hAnsi="Arial"/>
                <w:sz w:val="18"/>
                <w:szCs w:val="18"/>
                <w:color w:val="auto"/>
                <w:w w:val="93"/>
              </w:rPr>
              <w:t>Trading Symbol</w:t>
            </w:r>
          </w:p>
        </w:tc>
        <w:tc>
          <w:tcPr>
            <w:tcW w:w="720" w:type="dxa"/>
            <w:vAlign w:val="bottom"/>
          </w:tcPr>
          <w:p>
            <w:pPr>
              <w:spacing w:after="0"/>
              <w:rPr>
                <w:sz w:val="18"/>
                <w:szCs w:val="18"/>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120" w:type="dxa"/>
            <w:vAlign w:val="bottom"/>
            <w:gridSpan w:val="3"/>
          </w:tcPr>
          <w:p>
            <w:pPr>
              <w:jc w:val="center"/>
              <w:ind w:right="1000"/>
              <w:spacing w:after="0"/>
              <w:rPr>
                <w:sz w:val="20"/>
                <w:szCs w:val="20"/>
                <w:color w:val="auto"/>
              </w:rPr>
            </w:pPr>
            <w:r>
              <w:rPr>
                <w:rFonts w:ascii="Arial" w:cs="Arial" w:eastAsia="Arial" w:hAnsi="Arial"/>
                <w:sz w:val="18"/>
                <w:szCs w:val="18"/>
                <w:color w:val="auto"/>
                <w:w w:val="91"/>
              </w:rPr>
              <w:t>Common Stock, no par value</w:t>
            </w:r>
          </w:p>
        </w:tc>
        <w:tc>
          <w:tcPr>
            <w:tcW w:w="1000" w:type="dxa"/>
            <w:vAlign w:val="bottom"/>
          </w:tcPr>
          <w:p>
            <w:pPr>
              <w:spacing w:after="0"/>
              <w:rPr>
                <w:sz w:val="20"/>
                <w:szCs w:val="20"/>
                <w:color w:val="auto"/>
              </w:rPr>
            </w:pPr>
          </w:p>
        </w:tc>
        <w:tc>
          <w:tcPr>
            <w:tcW w:w="1840" w:type="dxa"/>
            <w:vAlign w:val="bottom"/>
            <w:gridSpan w:val="2"/>
          </w:tcPr>
          <w:p>
            <w:pPr>
              <w:jc w:val="center"/>
              <w:ind w:right="660"/>
              <w:spacing w:after="0"/>
              <w:rPr>
                <w:sz w:val="20"/>
                <w:szCs w:val="20"/>
                <w:color w:val="auto"/>
              </w:rPr>
            </w:pPr>
            <w:r>
              <w:rPr>
                <w:rFonts w:ascii="Arial" w:cs="Arial" w:eastAsia="Arial" w:hAnsi="Arial"/>
                <w:sz w:val="18"/>
                <w:szCs w:val="18"/>
                <w:color w:val="auto"/>
                <w:w w:val="85"/>
              </w:rPr>
              <w:t>CPSS</w:t>
            </w:r>
          </w:p>
        </w:tc>
        <w:tc>
          <w:tcPr>
            <w:tcW w:w="4140" w:type="dxa"/>
            <w:vAlign w:val="bottom"/>
            <w:gridSpan w:val="3"/>
          </w:tcPr>
          <w:p>
            <w:pPr>
              <w:jc w:val="center"/>
              <w:ind w:left="570"/>
              <w:spacing w:after="0"/>
              <w:rPr>
                <w:sz w:val="20"/>
                <w:szCs w:val="20"/>
                <w:color w:val="auto"/>
              </w:rPr>
            </w:pPr>
            <w:r>
              <w:rPr>
                <w:rFonts w:ascii="Arial" w:cs="Arial" w:eastAsia="Arial" w:hAnsi="Arial"/>
                <w:sz w:val="18"/>
                <w:szCs w:val="18"/>
                <w:color w:val="auto"/>
                <w:w w:val="92"/>
              </w:rPr>
              <w:t>The Nasdaq Stock Market LLC (Global Market)</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jc w:val="center"/>
        <w:spacing w:after="0" w:line="207" w:lineRule="exact"/>
        <w:tabs>
          <w:tab w:leader="none" w:pos="18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13,680,435 shares of the registrant’s common stock held by non-affiliates as of the date of filing of this report, based upon the closing price of the registrant’s common stock of $10.25 per share reported by Nasdaq as of June 30, 2022, was approximately $140,224,459.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8, 2023 was 20,535,126.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2023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r>
      <w:tr>
        <w:trPr>
          <w:trHeight w:val="405"/>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4"/>
              </w:rPr>
              <w:t>Business</w:t>
            </w:r>
          </w:p>
        </w:tc>
        <w:tc>
          <w:tcPr>
            <w:tcW w:w="8360" w:type="dxa"/>
            <w:vAlign w:val="bottom"/>
            <w:gridSpan w:val="21"/>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1A.</w:t>
            </w:r>
          </w:p>
        </w:tc>
        <w:tc>
          <w:tcPr>
            <w:tcW w:w="900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1B.</w:t>
            </w:r>
          </w:p>
        </w:tc>
        <w:tc>
          <w:tcPr>
            <w:tcW w:w="9000" w:type="dxa"/>
            <w:vAlign w:val="bottom"/>
            <w:gridSpan w:val="22"/>
          </w:tcPr>
          <w:p>
            <w:pPr>
              <w:spacing w:after="0"/>
              <w:rPr>
                <w:sz w:val="20"/>
                <w:szCs w:val="20"/>
                <w:color w:val="auto"/>
              </w:rPr>
            </w:pPr>
            <w:r>
              <w:rPr>
                <w:rFonts w:ascii="Arial" w:cs="Arial" w:eastAsia="Arial" w:hAnsi="Arial"/>
                <w:sz w:val="18"/>
                <w:szCs w:val="18"/>
                <w:color w:val="0000EE"/>
              </w:rPr>
              <w:t>Unresolved Staff Comments</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Properties</w:t>
            </w:r>
          </w:p>
        </w:tc>
        <w:tc>
          <w:tcPr>
            <w:tcW w:w="6960" w:type="dxa"/>
            <w:vAlign w:val="bottom"/>
            <w:gridSpan w:val="13"/>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3.</w:t>
            </w:r>
          </w:p>
        </w:tc>
        <w:tc>
          <w:tcPr>
            <w:tcW w:w="900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4.</w:t>
            </w:r>
          </w:p>
        </w:tc>
        <w:tc>
          <w:tcPr>
            <w:tcW w:w="900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0" w:type="dxa"/>
            <w:vAlign w:val="bottom"/>
            <w:gridSpan w:val="22"/>
          </w:tcPr>
          <w:p>
            <w:pPr>
              <w:spacing w:after="0"/>
              <w:rPr>
                <w:sz w:val="20"/>
                <w:szCs w:val="20"/>
                <w:color w:val="auto"/>
              </w:rPr>
            </w:pPr>
            <w:r>
              <w:rPr>
                <w:rFonts w:ascii="Arial" w:cs="Arial" w:eastAsia="Arial" w:hAnsi="Arial"/>
                <w:sz w:val="18"/>
                <w:szCs w:val="18"/>
                <w:color w:val="0000EE"/>
              </w:rPr>
              <w:t>Executive Officers of the Registrant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66"/>
        </w:trPr>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9"/>
              </w:rPr>
              <w:t>PART II</w:t>
            </w:r>
          </w:p>
        </w:tc>
        <w:tc>
          <w:tcPr>
            <w:tcW w:w="4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8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6.</w:t>
            </w:r>
          </w:p>
        </w:tc>
        <w:tc>
          <w:tcPr>
            <w:tcW w:w="9000" w:type="dxa"/>
            <w:vAlign w:val="bottom"/>
            <w:gridSpan w:val="22"/>
          </w:tcPr>
          <w:p>
            <w:pPr>
              <w:spacing w:after="0"/>
              <w:rPr>
                <w:sz w:val="20"/>
                <w:szCs w:val="20"/>
                <w:color w:val="auto"/>
              </w:rPr>
            </w:pPr>
            <w:r>
              <w:rPr>
                <w:rFonts w:ascii="Arial" w:cs="Arial" w:eastAsia="Arial" w:hAnsi="Arial"/>
                <w:sz w:val="18"/>
                <w:szCs w:val="18"/>
                <w:color w:val="0000EE"/>
              </w:rPr>
              <w:t>[Reserved]</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540" w:type="dxa"/>
            <w:vAlign w:val="bottom"/>
            <w:gridSpan w:val="4"/>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4640" w:type="dxa"/>
            <w:vAlign w:val="bottom"/>
            <w:gridSpan w:val="7"/>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8.</w:t>
            </w:r>
          </w:p>
        </w:tc>
        <w:tc>
          <w:tcPr>
            <w:tcW w:w="9000" w:type="dxa"/>
            <w:vAlign w:val="bottom"/>
            <w:gridSpan w:val="22"/>
          </w:tcPr>
          <w:p>
            <w:pPr>
              <w:spacing w:after="0"/>
              <w:rPr>
                <w:sz w:val="20"/>
                <w:szCs w:val="20"/>
                <w:color w:val="auto"/>
              </w:rPr>
            </w:pPr>
            <w:r>
              <w:rPr>
                <w:rFonts w:ascii="Arial" w:cs="Arial" w:eastAsia="Arial" w:hAnsi="Arial"/>
                <w:sz w:val="18"/>
                <w:szCs w:val="18"/>
                <w:color w:val="0000EE"/>
              </w:rPr>
              <w:t>Financial Statements and Supplementary Data</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9.</w:t>
            </w:r>
          </w:p>
        </w:tc>
        <w:tc>
          <w:tcPr>
            <w:tcW w:w="9000" w:type="dxa"/>
            <w:vAlign w:val="bottom"/>
            <w:gridSpan w:val="22"/>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Controls and Procedures</w:t>
            </w:r>
          </w:p>
        </w:tc>
        <w:tc>
          <w:tcPr>
            <w:tcW w:w="2500" w:type="dxa"/>
            <w:vAlign w:val="bottom"/>
            <w:gridSpan w:val="3"/>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7240" w:type="dxa"/>
            <w:vAlign w:val="bottom"/>
            <w:gridSpan w:val="15"/>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9C.</w:t>
            </w:r>
          </w:p>
        </w:tc>
        <w:tc>
          <w:tcPr>
            <w:tcW w:w="9000" w:type="dxa"/>
            <w:vAlign w:val="bottom"/>
            <w:gridSpan w:val="22"/>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66"/>
        </w:trPr>
        <w:tc>
          <w:tcPr>
            <w:tcW w:w="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rPr>
              <w:t>PART III</w:t>
            </w: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10.</w:t>
            </w:r>
          </w:p>
        </w:tc>
        <w:tc>
          <w:tcPr>
            <w:tcW w:w="9000" w:type="dxa"/>
            <w:vAlign w:val="bottom"/>
            <w:gridSpan w:val="22"/>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Executive Compensation</w:t>
            </w:r>
          </w:p>
        </w:tc>
        <w:tc>
          <w:tcPr>
            <w:tcW w:w="2280" w:type="dxa"/>
            <w:vAlign w:val="bottom"/>
            <w:tcBorders>
              <w:top w:val="single" w:sz="8" w:color="0000EE"/>
            </w:tcBorders>
            <w:gridSpan w:val="6"/>
          </w:tcPr>
          <w:p>
            <w:pPr>
              <w:spacing w:after="0"/>
              <w:rPr>
                <w:sz w:val="19"/>
                <w:szCs w:val="19"/>
                <w:color w:val="auto"/>
              </w:rPr>
            </w:pPr>
          </w:p>
        </w:tc>
        <w:tc>
          <w:tcPr>
            <w:tcW w:w="4920" w:type="dxa"/>
            <w:vAlign w:val="bottom"/>
            <w:gridSpan w:val="8"/>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12.</w:t>
            </w:r>
          </w:p>
        </w:tc>
        <w:tc>
          <w:tcPr>
            <w:tcW w:w="9000" w:type="dxa"/>
            <w:vAlign w:val="bottom"/>
            <w:gridSpan w:val="22"/>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720" w:type="dxa"/>
            <w:vAlign w:val="bottom"/>
            <w:gridSpan w:val="2"/>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Principal Accountant Fees and Services</w:t>
            </w:r>
          </w:p>
        </w:tc>
        <w:tc>
          <w:tcPr>
            <w:tcW w:w="3560" w:type="dxa"/>
            <w:vAlign w:val="bottom"/>
            <w:gridSpan w:val="5"/>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93"/>
        </w:trPr>
        <w:tc>
          <w:tcPr>
            <w:tcW w:w="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PART IV</w:t>
            </w:r>
          </w:p>
        </w:tc>
        <w:tc>
          <w:tcPr>
            <w:tcW w:w="4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Exhibits, Financial Statement Schedules</w:t>
            </w:r>
          </w:p>
        </w:tc>
        <w:tc>
          <w:tcPr>
            <w:tcW w:w="6100" w:type="dxa"/>
            <w:vAlign w:val="bottom"/>
            <w:gridSpan w:val="10"/>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1140" w:type="dxa"/>
            <w:vAlign w:val="bottom"/>
            <w:gridSpan w:val="5"/>
          </w:tcPr>
          <w:p>
            <w:pPr>
              <w:ind w:left="160"/>
              <w:spacing w:after="0"/>
              <w:rPr>
                <w:sz w:val="20"/>
                <w:szCs w:val="20"/>
                <w:color w:val="auto"/>
              </w:rPr>
            </w:pPr>
            <w:r>
              <w:rPr>
                <w:rFonts w:ascii="Arial" w:cs="Arial" w:eastAsia="Arial" w:hAnsi="Arial"/>
                <w:sz w:val="18"/>
                <w:szCs w:val="18"/>
                <w:color w:val="auto"/>
              </w:rPr>
              <w:t>Item 16.</w:t>
            </w:r>
          </w:p>
        </w:tc>
        <w:tc>
          <w:tcPr>
            <w:tcW w:w="9000" w:type="dxa"/>
            <w:vAlign w:val="bottom"/>
            <w:gridSpan w:val="22"/>
          </w:tcPr>
          <w:p>
            <w:pPr>
              <w:spacing w:after="0"/>
              <w:rPr>
                <w:sz w:val="20"/>
                <w:szCs w:val="20"/>
                <w:color w:val="auto"/>
              </w:rPr>
            </w:pPr>
            <w:r>
              <w:rPr>
                <w:rFonts w:ascii="Arial" w:cs="Arial" w:eastAsia="Arial" w:hAnsi="Arial"/>
                <w:sz w:val="18"/>
                <w:szCs w:val="18"/>
                <w:color w:val="0000EE"/>
              </w:rPr>
              <w:t>Form 10-K Summary</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8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December 31, 2022, we have purchased a total of approximately $20.0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2022 are shown in the table below. Managed portfolio comprises both contracts we owned and those we were servicing for third parties.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20" w:type="dxa"/>
            <w:vAlign w:val="bottom"/>
            <w:gridSpan w:val="5"/>
          </w:tcPr>
          <w:p>
            <w:pPr>
              <w:jc w:val="right"/>
              <w:ind w:right="15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1"/>
              </w:rPr>
              <w:t>Contracts Purchased in</w:t>
            </w: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80" w:type="dxa"/>
            <w:vAlign w:val="bottom"/>
          </w:tcPr>
          <w:p>
            <w:pPr>
              <w:spacing w:after="0"/>
              <w:rPr>
                <w:sz w:val="16"/>
                <w:szCs w:val="16"/>
                <w:color w:val="auto"/>
              </w:rPr>
            </w:pPr>
          </w:p>
        </w:tc>
      </w:tr>
      <w:tr>
        <w:trPr>
          <w:trHeight w:val="234"/>
        </w:trPr>
        <w:tc>
          <w:tcPr>
            <w:tcW w:w="3780" w:type="dxa"/>
            <w:vAlign w:val="bottom"/>
          </w:tcPr>
          <w:p>
            <w:pPr>
              <w:ind w:left="170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Period End</w:t>
            </w:r>
          </w:p>
        </w:tc>
      </w:tr>
      <w:tr>
        <w:trPr>
          <w:trHeight w:val="209"/>
        </w:trPr>
        <w:tc>
          <w:tcPr>
            <w:tcW w:w="3780" w:type="dxa"/>
            <w:vAlign w:val="bottom"/>
            <w:tcBorders>
              <w:top w:val="single" w:sz="8" w:color="auto"/>
            </w:tcBorders>
            <w:shd w:val="clear" w:color="auto" w:fill="EEEEEE"/>
          </w:tcPr>
          <w:p>
            <w:pPr>
              <w:ind w:left="1700"/>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18"/>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3780" w:type="dxa"/>
            <w:vAlign w:val="bottom"/>
          </w:tcPr>
          <w:p>
            <w:pPr>
              <w:ind w:left="170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1,002,782</w:t>
            </w:r>
          </w:p>
        </w:tc>
        <w:tc>
          <w:tcPr>
            <w:tcW w:w="10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2,416,042</w:t>
            </w:r>
          </w:p>
        </w:tc>
      </w:tr>
      <w:tr>
        <w:trPr>
          <w:trHeight w:val="216"/>
        </w:trPr>
        <w:tc>
          <w:tcPr>
            <w:tcW w:w="3780" w:type="dxa"/>
            <w:vAlign w:val="bottom"/>
            <w:shd w:val="clear" w:color="auto" w:fill="EEEEEE"/>
          </w:tcPr>
          <w:p>
            <w:pPr>
              <w:ind w:left="170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742,584</w:t>
            </w:r>
          </w:p>
        </w:tc>
        <w:tc>
          <w:tcPr>
            <w:tcW w:w="10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2,174,972</w:t>
            </w:r>
          </w:p>
        </w:tc>
      </w:tr>
      <w:tr>
        <w:trPr>
          <w:trHeight w:val="216"/>
        </w:trPr>
        <w:tc>
          <w:tcPr>
            <w:tcW w:w="3780" w:type="dxa"/>
            <w:vAlign w:val="bottom"/>
          </w:tcPr>
          <w:p>
            <w:pPr>
              <w:ind w:left="170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1,146,321</w:t>
            </w:r>
          </w:p>
        </w:tc>
        <w:tc>
          <w:tcPr>
            <w:tcW w:w="10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2,249,069</w:t>
            </w:r>
          </w:p>
        </w:tc>
      </w:tr>
      <w:tr>
        <w:trPr>
          <w:trHeight w:val="216"/>
        </w:trPr>
        <w:tc>
          <w:tcPr>
            <w:tcW w:w="3780" w:type="dxa"/>
            <w:vAlign w:val="bottom"/>
            <w:shd w:val="clear" w:color="auto" w:fill="EEEEEE"/>
          </w:tcPr>
          <w:p>
            <w:pPr>
              <w:ind w:left="170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1,854,385</w:t>
            </w:r>
          </w:p>
        </w:tc>
        <w:tc>
          <w:tcPr>
            <w:tcW w:w="10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3,001,308</w:t>
            </w:r>
          </w:p>
        </w:tc>
      </w:tr>
    </w:tbl>
    <w:p>
      <w:pPr>
        <w:spacing w:after="0" w:line="20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Most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work from our Irvine branch, our Las Vegas branch, or in the field, in which case they work from their homes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2022, we had 90 sales representatives, and in that month, we received applications from 8,078 dealers in 47 states. As of December 31, 2022, approximately 75% of our active dealers were franchised new car dealers that sell both new and used vehicles, and the remainder were independent used car dealers.</w:t>
      </w:r>
    </w:p>
    <w:p>
      <w:pPr>
        <w:spacing w:after="0" w:line="196"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ind w:firstLine="130"/>
        <w:spacing w:after="0" w:line="259" w:lineRule="auto"/>
        <w:rPr>
          <w:sz w:val="20"/>
          <w:szCs w:val="20"/>
          <w:color w:val="auto"/>
        </w:rPr>
      </w:pPr>
      <w:r>
        <w:rPr>
          <w:rFonts w:ascii="Arial" w:cs="Arial" w:eastAsia="Arial" w:hAnsi="Arial"/>
          <w:sz w:val="18"/>
          <w:szCs w:val="18"/>
          <w:color w:val="auto"/>
        </w:rPr>
        <w:t>During the year ended December 31, 2022 automobile contracts originated under the direct lending platform represented 3.2% of our total acquisitions and represented 2.7% of our outstanding managed portfolio as of December 31, 2022. Regardless of whether an automobile contract is originated from one of our dealers or through our direct lending platform, the discussion that follows regarding our acquisitions guidelines, procedures and demographic statistics applies to all of our originated contracts.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For the year ended December 31, 2022 approximately 91% of the automobile contracts originated under our programs consisted of financing for used cars and 9% consisted of financing for new cars.</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generally solicit applications with the intent of originating contracts to hold as investments in our own portfolio. However, in May 2021 we began purchasing some contracts for immediate sale to a third-party to whom we refer applications that do not meet our lending criteria. We service all such contracts on behalf of the third-party.</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contracts we originate for our own portfolio, we generally finance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95 term securitizations of approximately $17.7 billion in automobile contracts. We depend upon the availability of short-term warehouse credit facilities as interim financing for our contract purchases prior to the time we pool those contracts for a securitization. As of December 31, 2022, we had two such short-term warehouse facilities, each with a maximum borrowing amount of $200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2022, most of our staff were working without a significant impact from the pandemic.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2022, we received 2.5 million applications. Approximately 63% of all applications came through DealerTrack (the industry leading dealership application aggregator), 36% via another aggregator, Route One and 1% via our website. A portion of the DealerTrack and Route One volume are applications from our pass-through arrangements with other lenders who send us applications from their dealers in cases where those lenders choose not to approve those applications. For the year ended December 31, 2022, such pass-through applications represented 13% of our total applications. For the year ended December 31, 2022, our automated application decisioning system produced our initial decision within seconds on approximately 99% of those applications.</w:t>
      </w:r>
    </w:p>
    <w:p>
      <w:pPr>
        <w:spacing w:after="0" w:line="182"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Upon receipt an application, if the application meets certain minimum criteria, we immediately order two credit reports to document the buyer's credit history and an alternative data credit score provided by a major credit reporting bureau. If, upon review by our proprietary automated decisioning system, or in some cases, one of our credit analysts, we determine that the applicant and structure of the automobile financing contract meets our criteria, we advise the dealer of our decision to approve the contract and the terms under which we will purchase it. For applications that do not meet our criteria, we may forward them to one or more business partners who also invest in subprime automobile contracts. In the case of one third-party partner, as described above, we may purchase contracts they approve, followed by immediate resale to them, after which we retain the servicing. If this third-party declines the application, we advise the dealer that we will not purchase the contract. Other partners to whom we refer applications may or may not choose to purchase such contracts by working directly with the dealers who submitted the applications. Unless otherwise notated, contract origination and managed portfolio data discussed herein includes third-party contracts.</w:t>
      </w:r>
    </w:p>
    <w:p>
      <w:pPr>
        <w:spacing w:after="0" w:line="181" w:lineRule="exact"/>
        <w:rPr>
          <w:sz w:val="20"/>
          <w:szCs w:val="20"/>
          <w:color w:val="auto"/>
        </w:rPr>
      </w:pPr>
    </w:p>
    <w:p>
      <w:pPr>
        <w:jc w:val="both"/>
        <w:ind w:right="20" w:firstLine="130"/>
        <w:spacing w:after="0" w:line="263"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2022, no dealer accounted for as much as 1% of the total number of automobile contracts we purchased.</w:t>
      </w:r>
    </w:p>
    <w:p>
      <w:pPr>
        <w:spacing w:after="0" w:line="184"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Under our direct lending platform, the applicant submits a credit application directly to us via our website, or in some cases, through a third-party who accepts such applications and refers them to us for a fee. In either case, we process the application with the same automated application decisioning process as described above for applications from dealers. We then advise the applicant as to whether we would grant them credit and on what terms.</w:t>
      </w:r>
    </w:p>
    <w:p>
      <w:pPr>
        <w:spacing w:after="0" w:line="14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2022 and 2021.</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Contracts Purchased During the Year Ended</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2020" w:type="dxa"/>
            <w:vAlign w:val="bottom"/>
          </w:tcPr>
          <w:p>
            <w:pPr>
              <w:spacing w:after="0"/>
              <w:rPr>
                <w:sz w:val="19"/>
                <w:szCs w:val="19"/>
                <w:color w:val="auto"/>
              </w:rPr>
            </w:pPr>
          </w:p>
        </w:tc>
        <w:tc>
          <w:tcPr>
            <w:tcW w:w="3820" w:type="dxa"/>
            <w:vAlign w:val="bottom"/>
            <w:tcBorders>
              <w:top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rPr>
              <w:t>December 31, 2022</w:t>
            </w:r>
          </w:p>
        </w:tc>
        <w:tc>
          <w:tcPr>
            <w:tcW w:w="3600" w:type="dxa"/>
            <w:vAlign w:val="bottom"/>
            <w:tcBorders>
              <w:top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9"/>
                <w:szCs w:val="19"/>
                <w:color w:val="auto"/>
              </w:rPr>
            </w:pPr>
          </w:p>
        </w:tc>
      </w:tr>
      <w:tr>
        <w:trPr>
          <w:trHeight w:val="223"/>
        </w:trPr>
        <w:tc>
          <w:tcPr>
            <w:tcW w:w="2020" w:type="dxa"/>
            <w:vAlign w:val="bottom"/>
          </w:tcPr>
          <w:p>
            <w:pPr>
              <w:spacing w:after="0"/>
              <w:rPr>
                <w:sz w:val="19"/>
                <w:szCs w:val="19"/>
                <w:color w:val="auto"/>
              </w:rPr>
            </w:pPr>
          </w:p>
        </w:tc>
        <w:tc>
          <w:tcPr>
            <w:tcW w:w="120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Percent (1)</w:t>
            </w:r>
          </w:p>
        </w:tc>
        <w:tc>
          <w:tcPr>
            <w:tcW w:w="200" w:type="dxa"/>
            <w:vAlign w:val="bottom"/>
          </w:tcPr>
          <w:p>
            <w:pPr>
              <w:spacing w:after="0"/>
              <w:rPr>
                <w:sz w:val="19"/>
                <w:szCs w:val="19"/>
                <w:color w:val="auto"/>
              </w:rPr>
            </w:pPr>
          </w:p>
        </w:tc>
        <w:tc>
          <w:tcPr>
            <w:tcW w:w="190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Number</w:t>
            </w:r>
          </w:p>
        </w:tc>
        <w:tc>
          <w:tcPr>
            <w:tcW w:w="1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Percent (1)</w:t>
            </w:r>
          </w:p>
        </w:tc>
        <w:tc>
          <w:tcPr>
            <w:tcW w:w="100" w:type="dxa"/>
            <w:vAlign w:val="bottom"/>
          </w:tcPr>
          <w:p>
            <w:pPr>
              <w:spacing w:after="0"/>
              <w:rPr>
                <w:sz w:val="19"/>
                <w:szCs w:val="19"/>
                <w:color w:val="auto"/>
              </w:rPr>
            </w:pPr>
          </w:p>
        </w:tc>
      </w:tr>
      <w:tr>
        <w:trPr>
          <w:trHeight w:val="210"/>
        </w:trPr>
        <w:tc>
          <w:tcPr>
            <w:tcW w:w="2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California</w:t>
            </w:r>
          </w:p>
        </w:tc>
        <w:tc>
          <w:tcPr>
            <w:tcW w:w="12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6,707</w:t>
            </w:r>
          </w:p>
        </w:tc>
        <w:tc>
          <w:tcPr>
            <w:tcW w:w="180" w:type="dxa"/>
            <w:vAlign w:val="bottom"/>
            <w:tcBorders>
              <w:top w:val="single" w:sz="8" w:color="EEEEEE"/>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5,928</w:t>
            </w:r>
          </w:p>
        </w:tc>
        <w:tc>
          <w:tcPr>
            <w:tcW w:w="20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Texas</w:t>
            </w:r>
          </w:p>
        </w:tc>
        <w:tc>
          <w:tcPr>
            <w:tcW w:w="520" w:type="dxa"/>
            <w:vAlign w:val="bottom"/>
          </w:tcPr>
          <w:p>
            <w:pPr>
              <w:jc w:val="right"/>
              <w:spacing w:after="0"/>
              <w:rPr>
                <w:sz w:val="20"/>
                <w:szCs w:val="20"/>
                <w:color w:val="auto"/>
              </w:rPr>
            </w:pPr>
            <w:r>
              <w:rPr>
                <w:rFonts w:ascii="Arial" w:cs="Arial" w:eastAsia="Arial" w:hAnsi="Arial"/>
                <w:sz w:val="18"/>
                <w:szCs w:val="18"/>
                <w:color w:val="auto"/>
              </w:rPr>
              <w:t>6,415</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Ohio</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6,247</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5,071</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EEEEEE"/>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520" w:type="dxa"/>
            <w:vAlign w:val="bottom"/>
          </w:tcPr>
          <w:p>
            <w:pPr>
              <w:jc w:val="right"/>
              <w:spacing w:after="0"/>
              <w:rPr>
                <w:sz w:val="20"/>
                <w:szCs w:val="20"/>
                <w:color w:val="auto"/>
              </w:rPr>
            </w:pPr>
            <w:r>
              <w:rPr>
                <w:rFonts w:ascii="Arial" w:cs="Arial" w:eastAsia="Arial" w:hAnsi="Arial"/>
                <w:sz w:val="18"/>
                <w:szCs w:val="18"/>
                <w:color w:val="auto"/>
              </w:rPr>
              <w:t>4,648</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1,963</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Florida</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4,189</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2,716</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EEEEE"/>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520" w:type="dxa"/>
            <w:vAlign w:val="bottom"/>
          </w:tcPr>
          <w:p>
            <w:pPr>
              <w:jc w:val="right"/>
              <w:spacing w:after="0"/>
              <w:rPr>
                <w:sz w:val="20"/>
                <w:szCs w:val="20"/>
                <w:color w:val="auto"/>
              </w:rPr>
            </w:pPr>
            <w:r>
              <w:rPr>
                <w:rFonts w:ascii="Arial" w:cs="Arial" w:eastAsia="Arial" w:hAnsi="Arial"/>
                <w:sz w:val="18"/>
                <w:szCs w:val="18"/>
                <w:color w:val="auto"/>
              </w:rPr>
              <w:t>3,767</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2,525</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Indiana</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3,791</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EEEEE"/>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Other States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46,171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30,053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r>
      <w:tr>
        <w:trPr>
          <w:trHeight w:val="223"/>
        </w:trPr>
        <w:tc>
          <w:tcPr>
            <w:tcW w:w="2020" w:type="dxa"/>
            <w:vAlign w:val="bottom"/>
            <w:tcBorders>
              <w:top w:val="single" w:sz="8" w:color="EEEEEE"/>
              <w:bottom w:val="single" w:sz="8" w:color="EEEEEE"/>
            </w:tcBorders>
            <w:shd w:val="clear" w:color="auto" w:fill="EEEEEE"/>
          </w:tcPr>
          <w:p>
            <w:pPr>
              <w:ind w:left="76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81,935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54,317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2022 and 2021.</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Outstanding Managed Portfolio as of</w:t>
            </w:r>
          </w:p>
        </w:tc>
        <w:tc>
          <w:tcPr>
            <w:tcW w:w="1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9"/>
                <w:szCs w:val="19"/>
                <w:color w:val="auto"/>
              </w:rPr>
            </w:pPr>
          </w:p>
        </w:tc>
      </w:tr>
      <w:tr>
        <w:trPr>
          <w:trHeight w:val="223"/>
        </w:trPr>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Percent (1)</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Percent (1)</w:t>
            </w:r>
          </w:p>
        </w:tc>
        <w:tc>
          <w:tcPr>
            <w:tcW w:w="100" w:type="dxa"/>
            <w:vAlign w:val="bottom"/>
          </w:tcPr>
          <w:p>
            <w:pPr>
              <w:spacing w:after="0"/>
              <w:rPr>
                <w:sz w:val="19"/>
                <w:szCs w:val="19"/>
                <w:color w:val="auto"/>
              </w:rPr>
            </w:pPr>
          </w:p>
        </w:tc>
      </w:tr>
      <w:tr>
        <w:trPr>
          <w:trHeight w:val="209"/>
        </w:trPr>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620" w:type="dxa"/>
            <w:vAlign w:val="bottom"/>
            <w:gridSpan w:val="2"/>
            <w:shd w:val="clear" w:color="auto" w:fill="EEEEEE"/>
          </w:tcPr>
          <w:p>
            <w:pPr>
              <w:jc w:val="right"/>
              <w:ind w:right="1016"/>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303.8</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EEEEEE"/>
          </w:tcPr>
          <w:p>
            <w:pPr>
              <w:jc w:val="right"/>
              <w:ind w:right="3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EEEEEE"/>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Ohio</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243.0</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205.6</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220.4</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140.7</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EEEEE"/>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Florida</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148.0</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Indiana</w:t>
            </w: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139.3</w:t>
            </w:r>
          </w:p>
        </w:tc>
        <w:tc>
          <w:tcPr>
            <w:tcW w:w="18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EEEEE"/>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Illinois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30"/>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All others</w:t>
            </w:r>
          </w:p>
        </w:tc>
        <w:tc>
          <w:tcPr>
            <w:tcW w:w="44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1,811.6</w:t>
            </w:r>
          </w:p>
        </w:tc>
        <w:tc>
          <w:tcPr>
            <w:tcW w:w="180" w:type="dxa"/>
            <w:vAlign w:val="bottom"/>
            <w:shd w:val="clear" w:color="auto" w:fill="EEEEEE"/>
          </w:tcPr>
          <w:p>
            <w:pPr>
              <w:spacing w:after="0"/>
              <w:rPr>
                <w:sz w:val="19"/>
                <w:szCs w:val="19"/>
                <w:color w:val="auto"/>
              </w:rPr>
            </w:pPr>
          </w:p>
        </w:tc>
        <w:tc>
          <w:tcPr>
            <w:tcW w:w="17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1,343.1</w:t>
            </w:r>
          </w:p>
        </w:tc>
        <w:tc>
          <w:tcPr>
            <w:tcW w:w="200" w:type="dxa"/>
            <w:vAlign w:val="bottom"/>
            <w:shd w:val="clear" w:color="auto" w:fill="EEEEEE"/>
          </w:tcPr>
          <w:p>
            <w:pPr>
              <w:spacing w:after="0"/>
              <w:rPr>
                <w:sz w:val="19"/>
                <w:szCs w:val="19"/>
                <w:color w:val="auto"/>
              </w:rPr>
            </w:pPr>
          </w:p>
        </w:tc>
        <w:tc>
          <w:tcPr>
            <w:tcW w:w="17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EEEEEE"/>
          </w:tcPr>
          <w:p>
            <w:pPr>
              <w:spacing w:after="0"/>
              <w:rPr>
                <w:sz w:val="19"/>
                <w:szCs w:val="19"/>
                <w:color w:val="auto"/>
              </w:rPr>
            </w:pPr>
          </w:p>
        </w:tc>
      </w:tr>
      <w:tr>
        <w:trPr>
          <w:trHeight w:val="223"/>
        </w:trPr>
        <w:tc>
          <w:tcPr>
            <w:tcW w:w="1580" w:type="dxa"/>
            <w:vAlign w:val="bottom"/>
          </w:tcPr>
          <w:p>
            <w:pPr>
              <w:ind w:left="76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180" w:type="dxa"/>
            <w:vAlign w:val="bottom"/>
            <w:tcBorders>
              <w:bottom w:val="single" w:sz="8" w:color="auto"/>
            </w:tcBorders>
          </w:tcPr>
          <w:p>
            <w:pPr>
              <w:jc w:val="right"/>
              <w:ind w:right="101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3,001.3</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2,249.1</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We purchase automobile contracts from dealers at a price generally computed as the total amount financed under the automobile contracts, adjusted for an acquisition fee, which may be comprised of multiple components and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contracts purchased for our own portfolio for the periods shown: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EEEEE"/>
            </w:tcBorders>
          </w:tcPr>
          <w:p>
            <w:pPr>
              <w:spacing w:after="0"/>
              <w:rPr>
                <w:sz w:val="20"/>
                <w:szCs w:val="20"/>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charged (paid) to dealers (1)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Average net acquisition fee as % of amount financed (1)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Not applicable to direct lending platform</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pricing strategy is driven by our objectives for new contract purchase quantities and maximizing our risk adjusted yield. We believe that levels of acquisition fees are determined primarily by competition in the marketplace, which has been robust over the periods presented, and by our pricing strategy. We make changes to our pricing algorithm based on our volume goals, our own costs for borrowing and periodic recalibration of our risk-based scoring models.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70"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First Time Buyer</w:t>
      </w:r>
      <w:r>
        <w:rPr>
          <w:rFonts w:ascii="Arial" w:cs="Arial" w:eastAsia="Arial" w:hAnsi="Arial"/>
          <w:sz w:val="18"/>
          <w:szCs w:val="18"/>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4" w:lineRule="exact"/>
        <w:rPr>
          <w:sz w:val="20"/>
          <w:szCs w:val="20"/>
          <w:color w:val="auto"/>
        </w:rPr>
      </w:pPr>
    </w:p>
    <w:p>
      <w:pPr>
        <w:jc w:val="both"/>
        <w:ind w:left="140" w:firstLine="129"/>
        <w:spacing w:after="0" w:line="311"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9"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Meta</w:t>
      </w:r>
      <w:r>
        <w:rPr>
          <w:rFonts w:ascii="Arial" w:cs="Arial" w:eastAsia="Arial" w:hAnsi="Arial"/>
          <w:sz w:val="18"/>
          <w:szCs w:val="18"/>
          <w:color w:val="auto"/>
        </w:rPr>
        <w:t xml:space="preserve"> - This program accommodates applicants with past non-performing credit, but who demonstrate a stronger history of recent performing credit than the Preferred program. Contract interest rates and dealer acquisition fees are lower, and the maximum loan amount is somewhat higher than the Preferred program.</w:t>
      </w:r>
    </w:p>
    <w:p>
      <w:pPr>
        <w:spacing w:after="0" w:line="184"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Our upper credit tier products, which are our Meta, Preferred, Super Alpha, Alpha Plus and Alpha programs, accounted for approximately 80% of our new contract acquisitions for our own portfolio in 2022, 75% in 2021, and 75% in 2020, measured by aggregate amount financed.</w:t>
      </w:r>
    </w:p>
    <w:p>
      <w:pPr>
        <w:spacing w:after="0" w:line="170"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2022 and 2021.</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60" w:type="dxa"/>
            <w:vAlign w:val="bottom"/>
            <w:gridSpan w:val="8"/>
          </w:tcPr>
          <w:p>
            <w:pPr>
              <w:jc w:val="center"/>
              <w:ind w:left="77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ind w:left="50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6"/>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2900" w:type="dxa"/>
            <w:vAlign w:val="bottom"/>
            <w:gridSpan w:val="3"/>
          </w:tcPr>
          <w:p>
            <w:pPr>
              <w:jc w:val="right"/>
              <w:ind w:right="1927"/>
              <w:spacing w:after="0"/>
              <w:rPr>
                <w:sz w:val="20"/>
                <w:szCs w:val="20"/>
                <w:color w:val="auto"/>
              </w:rPr>
            </w:pPr>
            <w:r>
              <w:rPr>
                <w:rFonts w:ascii="Arial" w:cs="Arial" w:eastAsia="Arial" w:hAnsi="Arial"/>
                <w:sz w:val="18"/>
                <w:szCs w:val="18"/>
                <w:b w:val="1"/>
                <w:bCs w:val="1"/>
                <w:color w:val="auto"/>
              </w:rPr>
              <w:t>Program</w:t>
            </w: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Financed</w:t>
            </w: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 (1)</w:t>
            </w:r>
          </w:p>
        </w:tc>
        <w:tc>
          <w:tcPr>
            <w:tcW w:w="180" w:type="dxa"/>
            <w:vAlign w:val="bottom"/>
          </w:tcPr>
          <w:p>
            <w:pPr>
              <w:spacing w:after="0"/>
              <w:rPr>
                <w:sz w:val="20"/>
                <w:szCs w:val="20"/>
                <w:color w:val="auto"/>
              </w:rPr>
            </w:pPr>
          </w:p>
        </w:tc>
        <w:tc>
          <w:tcPr>
            <w:tcW w:w="15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8"/>
              </w:rPr>
              <w:t>Financed</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(1)</w:t>
            </w:r>
          </w:p>
        </w:tc>
      </w:tr>
      <w:tr>
        <w:trPr>
          <w:trHeight w:val="210"/>
        </w:trPr>
        <w:tc>
          <w:tcPr>
            <w:tcW w:w="14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Meta</w:t>
            </w:r>
          </w:p>
        </w:tc>
        <w:tc>
          <w:tcPr>
            <w:tcW w:w="2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57,145</w:t>
            </w:r>
          </w:p>
        </w:tc>
        <w:tc>
          <w:tcPr>
            <w:tcW w:w="22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Preferred</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219,872</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161,289</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Super Alpha</w:t>
            </w:r>
          </w:p>
        </w:tc>
        <w:tc>
          <w:tcPr>
            <w:tcW w:w="2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394,743</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197,809</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Alpha Plus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193,728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157,212</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Alpha</w:t>
            </w:r>
          </w:p>
        </w:tc>
        <w:tc>
          <w:tcPr>
            <w:tcW w:w="2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463,466</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304,978</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Standard</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196,738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177,876</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Mercury / Delta</w:t>
            </w:r>
          </w:p>
        </w:tc>
        <w:tc>
          <w:tcPr>
            <w:tcW w:w="2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74,865</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62,334</w:t>
            </w: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EEEEEE"/>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First Time Buyer</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61,742</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42,537</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30"/>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Third Parties</w:t>
            </w:r>
          </w:p>
        </w:tc>
        <w:tc>
          <w:tcPr>
            <w:tcW w:w="25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192,086</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42,286</w:t>
            </w: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EEEEEE"/>
          </w:tcPr>
          <w:p>
            <w:pPr>
              <w:spacing w:after="0"/>
              <w:rPr>
                <w:sz w:val="19"/>
                <w:szCs w:val="19"/>
                <w:color w:val="auto"/>
              </w:rPr>
            </w:pPr>
          </w:p>
        </w:tc>
      </w:tr>
      <w:tr>
        <w:trPr>
          <w:trHeight w:val="223"/>
        </w:trPr>
        <w:tc>
          <w:tcPr>
            <w:tcW w:w="1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1,854,385</w:t>
            </w:r>
          </w:p>
        </w:tc>
        <w:tc>
          <w:tcPr>
            <w:tcW w:w="2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1,146,321</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ind w:firstLine="130"/>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if the dealer breaches its representations or warranties. There can be no assurance, however, that any dealer will have the willingness or the financial resources to satisfy their repurchase obligations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Funding</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funding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technology and human expertise provides for a 360-degree evaluation of an applicant’s employment and residence stability, income level and affordability, and creditworthiness in relation to the desired collateral securing the automobile contract. This perspective is used to assign application and structure allowances and limits related to price, term, amount of down payment, monthly payment, and interest rate; type of vehicle; and principal amount of the automobile contract in relation to the value of the vehicle.</w:t>
      </w:r>
    </w:p>
    <w:p>
      <w:pPr>
        <w:spacing w:after="0" w:line="187"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Specifically, our funding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12 model years old or have more than 200,000 miles. The maximum term of a purchased contract is 78 months, although we consider the program, amount financed, and mileage as significant factors in determining the maximum term of a contract. Automobile contract purchase criteria are subject to change from time to time as circumstances may warrant. Prior to purchasing an automobile contract, our funding staff verify the customer's employment, income, residency,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open-ended questions about his application and the contract, which may uncover potential misrepresentations.</w:t>
      </w:r>
    </w:p>
    <w:p>
      <w:pPr>
        <w:spacing w:after="0" w:line="18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two internal "credit scores" at the time the application is received. These proprietary scores</w:t>
      </w:r>
      <w:r>
        <w:rPr>
          <w:rFonts w:ascii="Arial" w:cs="Arial" w:eastAsia="Arial" w:hAnsi="Arial"/>
          <w:sz w:val="17"/>
          <w:szCs w:val="17"/>
          <w:i w:val="1"/>
          <w:iCs w:val="1"/>
          <w:color w:val="auto"/>
        </w:rPr>
        <w:t xml:space="preserve"> </w:t>
      </w:r>
      <w:r>
        <w:rPr>
          <w:rFonts w:ascii="Arial" w:cs="Arial" w:eastAsia="Arial" w:hAnsi="Arial"/>
          <w:sz w:val="17"/>
          <w:szCs w:val="17"/>
          <w:color w:val="auto"/>
        </w:rPr>
        <w:t>are used to help determine whether we want to approve the application and, if so, the program and pricing we will offer either to the dealer, or in the case of our direct lending platform, directly to the customer. Our internal credit scores are based on a variety of parameters including traditional and alternative credit history, data derived from other sources such as house/rental payment, length of employment, residence stability and total income. When the dealer proposes a structure for the contract, our scores consider various deal structure parameters such as down payment amount, loan to value, payment to income, make and model, vehicle class, and mileage.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7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gridSpan w:val="6"/>
          </w:tcPr>
          <w:p>
            <w:pPr>
              <w:ind w:left="60"/>
              <w:spacing w:after="0"/>
              <w:rPr>
                <w:sz w:val="20"/>
                <w:szCs w:val="20"/>
                <w:color w:val="auto"/>
              </w:rPr>
            </w:pPr>
            <w:r>
              <w:rPr>
                <w:rFonts w:ascii="Arial" w:cs="Arial" w:eastAsia="Arial" w:hAnsi="Arial"/>
                <w:sz w:val="18"/>
                <w:szCs w:val="18"/>
                <w:b w:val="1"/>
                <w:bCs w:val="1"/>
                <w:color w:val="auto"/>
                <w:w w:val="97"/>
              </w:rPr>
              <w:t>Contracts Purchased During the Year Ended</w:t>
            </w: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2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22,632</w:t>
            </w:r>
          </w:p>
        </w:tc>
        <w:tc>
          <w:tcPr>
            <w:tcW w:w="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Weighted Average Original Term</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70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70 months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2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21,122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19,881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2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 years</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42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42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2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 years</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 years</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69,121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61,377</w:t>
            </w:r>
          </w:p>
        </w:tc>
        <w:tc>
          <w:tcPr>
            <w:tcW w:w="560" w:type="dxa"/>
            <w:vAlign w:val="bottom"/>
          </w:tcPr>
          <w:p>
            <w:pPr>
              <w:spacing w:after="0"/>
              <w:rPr>
                <w:sz w:val="20"/>
                <w:szCs w:val="20"/>
                <w:color w:val="auto"/>
              </w:rPr>
            </w:pPr>
          </w:p>
        </w:tc>
      </w:tr>
      <w:tr>
        <w:trPr>
          <w:trHeight w:val="850"/>
        </w:trPr>
        <w:tc>
          <w:tcPr>
            <w:tcW w:w="5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jc w:val="both"/>
        <w:ind w:firstLine="130"/>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to rectify the situation. If these efforts are unsuccessful, we generally will require the dealer to repurchase the automobile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Beginning in April 2020, we experienced a decrease in monthly contract purchase volumes which continued through December 2020. Since January 2021, our contract purchase levels have returned to or exceeded pre-pandemic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Collections</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currently service all automobile contracts that we own as well as those automobile contracts we service for third parties. We organize our servicing activities based on the tasks performed by our personnel. Our servicing activities consist of mailing monthly billing statements; contacting obligors whose payments are late; accounting for and posting of all payments received; responding to customer inquiries; taking all necessary action to maintain the security interest granted in the financed vehicle or other collateral; skip tracing; repossessing and liquidating the collateral when necessary; collecting deficiency balances; and generally monitoring each automobile contract and the related collateral. For contracts that we securitize, we are typically entitled to receive a base monthly servicing fee equal to 2.5% per annum computed as a percentage of the declining outstanding principal balance of the non-charged-off automobile contracts</w:t>
      </w:r>
      <w:r>
        <w:rPr>
          <w:rFonts w:ascii="Arial" w:cs="Arial" w:eastAsia="Arial" w:hAnsi="Arial"/>
          <w:sz w:val="18"/>
          <w:szCs w:val="18"/>
          <w:b w:val="1"/>
          <w:bCs w:val="1"/>
          <w:color w:val="auto"/>
        </w:rPr>
        <w:t>.</w:t>
      </w:r>
      <w:r>
        <w:rPr>
          <w:rFonts w:ascii="Arial" w:cs="Arial" w:eastAsia="Arial" w:hAnsi="Arial"/>
          <w:sz w:val="18"/>
          <w:szCs w:val="18"/>
          <w:color w:val="auto"/>
        </w:rPr>
        <w:t xml:space="preserve"> The servicing fee is included in interest income for contracts that are pledged to a warehouse credit facility or a securitization transaction. For contracts we service for third parties, we receive a base monthly servicing fee equal to 2.5%, and certain other incentive fees tied to credit performance.</w:t>
      </w:r>
    </w:p>
    <w:p>
      <w:pPr>
        <w:spacing w:after="0" w:line="196"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i w:val="1"/>
          <w:iCs w:val="1"/>
          <w:color w:val="auto"/>
        </w:rPr>
        <w:t xml:space="preserve">Collection Procedures. </w:t>
      </w:r>
      <w:r>
        <w:rPr>
          <w:rFonts w:ascii="Arial" w:cs="Arial" w:eastAsia="Arial" w:hAnsi="Arial"/>
          <w:sz w:val="18"/>
          <w:szCs w:val="18"/>
          <w:color w:val="auto"/>
        </w:rPr>
        <w:t>We believe that our ability to monitor performance and collect payments owed from sub-prime customers is primarily a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We engage a nearshore third-party call center to supplement the efforts the collectors in our five branch locations. As of December 31, 2022, our nearshore partner had approximately 33 agents assigned to our portfolio.</w:t>
      </w:r>
    </w:p>
    <w:p>
      <w:pPr>
        <w:spacing w:after="0" w:line="196"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We attempt to make telephonic contact with delinquent customers from one to 20 days after their monthly payment due date, depending on our risk-based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attempts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firstLine="130"/>
        <w:spacing w:after="0" w:line="254" w:lineRule="auto"/>
        <w:rPr>
          <w:sz w:val="20"/>
          <w:szCs w:val="20"/>
          <w:color w:val="auto"/>
        </w:rPr>
      </w:pPr>
      <w:r>
        <w:rPr>
          <w:rFonts w:ascii="Arial" w:cs="Arial" w:eastAsia="Arial" w:hAnsi="Arial"/>
          <w:sz w:val="18"/>
          <w:szCs w:val="18"/>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Contracts originated since January 2018 are accounted for at fair value and the economic impact of repossessions is incorporated into the estimated net yield on those contracts. For contracts originated prior to January 2018, which are not accounted for at fair value, we suspend interest accruals on contracts where the vehicle has been repossessed and reclassify the remaining automobile contract balance to other assets. In addition, we apply a specific reserve to such contracts so that the net balance represents the estimated remaining balance after the proceeds of the sale of the vehicle are applied, net of related costs.</w:t>
      </w:r>
    </w:p>
    <w:p>
      <w:pPr>
        <w:spacing w:after="0" w:line="192"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Contracts originated since January 2018 are accounted for at fair value and the economic impact of late payments is incorporated into the estimated net yield on those contracts. For contracts originated prior to January 2018, which are not accounted for at fair value, we suspend interest accruals on contracts once an automobile contract becomes greater than 90 days delinquent. We do not recognize additional interest income until the borrower makes sufficient payments to be less than 90 days delinquent. Any payments received by a borrower, regardless of their stage of delinquency are first applied to outstanding accrued interest and then to principal reduction.</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 The weighted average seasoning of our total owned portfolio, represented in the tables below, was 25 months, 23 months, and 23 months as of December 31, 2022, December 31, 2021, and December 31, 2020, respectively. Our financial results are dependent on the performance of the automobile contracts in which we retain an ownership interest. Broad economic factors such as pandemic,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own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ind w:right="-139"/>
        <w:spacing w:after="0"/>
        <w:rPr>
          <w:sz w:val="20"/>
          <w:szCs w:val="20"/>
          <w:color w:val="auto"/>
        </w:rPr>
      </w:pPr>
      <w:r>
        <w:rPr>
          <w:rFonts w:ascii="Arial" w:cs="Arial" w:eastAsia="Arial" w:hAnsi="Arial"/>
          <w:sz w:val="18"/>
          <w:szCs w:val="18"/>
          <w:b w:val="1"/>
          <w:bCs w:val="1"/>
          <w:color w:val="auto"/>
        </w:rPr>
        <w:t>Delinquency, Repossession and Extension Experience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Managed Portfolio (Excludes Third Party Portfolio)</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2022</w:t>
            </w:r>
          </w:p>
        </w:tc>
        <w:tc>
          <w:tcPr>
            <w:tcW w:w="256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2021</w:t>
            </w:r>
          </w:p>
        </w:tc>
        <w:tc>
          <w:tcPr>
            <w:tcW w:w="244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9"/>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9"/>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Contracts</w:t>
            </w: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170,658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2,795,383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154,151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2,209,430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163,117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2,174,972</w:t>
            </w:r>
          </w:p>
        </w:tc>
        <w:tc>
          <w:tcPr>
            <w:tcW w:w="0" w:type="dxa"/>
            <w:vAlign w:val="bottom"/>
          </w:tcPr>
          <w:p>
            <w:pPr>
              <w:spacing w:after="0"/>
              <w:rPr>
                <w:sz w:val="1"/>
                <w:szCs w:val="1"/>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31-60 days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13,434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201,764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10,895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146,904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152,868</w:t>
            </w:r>
          </w:p>
        </w:tc>
        <w:tc>
          <w:tcPr>
            <w:tcW w:w="0" w:type="dxa"/>
            <w:vAlign w:val="bottom"/>
          </w:tcPr>
          <w:p>
            <w:pPr>
              <w:spacing w:after="0"/>
              <w:rPr>
                <w:sz w:val="1"/>
                <w:szCs w:val="1"/>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61-90 days</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5,481</w:t>
            </w: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80,146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3,939</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51,069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4,525</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59,096</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91+ days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2,148</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31,036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14,279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14,989</w:t>
            </w:r>
          </w:p>
        </w:tc>
        <w:tc>
          <w:tcPr>
            <w:tcW w:w="0" w:type="dxa"/>
            <w:vAlign w:val="bottom"/>
          </w:tcPr>
          <w:p>
            <w:pPr>
              <w:spacing w:after="0"/>
              <w:rPr>
                <w:sz w:val="1"/>
                <w:szCs w:val="1"/>
                <w:color w:val="auto"/>
              </w:rPr>
            </w:pPr>
          </w:p>
        </w:tc>
      </w:tr>
      <w:tr>
        <w:trPr>
          <w:trHeight w:val="210"/>
        </w:trPr>
        <w:tc>
          <w:tcPr>
            <w:tcW w:w="3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21,063</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312,946</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16,005</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212,252</w:t>
            </w:r>
          </w:p>
        </w:tc>
        <w:tc>
          <w:tcPr>
            <w:tcW w:w="2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17,172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226,953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41,401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22,912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2,979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35,839</w:t>
            </w:r>
          </w:p>
        </w:tc>
        <w:tc>
          <w:tcPr>
            <w:tcW w:w="0" w:type="dxa"/>
            <w:vAlign w:val="bottom"/>
          </w:tcPr>
          <w:p>
            <w:pPr>
              <w:spacing w:after="0"/>
              <w:rPr>
                <w:sz w:val="1"/>
                <w:szCs w:val="1"/>
                <w:color w:val="auto"/>
              </w:rPr>
            </w:pPr>
          </w:p>
        </w:tc>
      </w:tr>
      <w:tr>
        <w:trPr>
          <w:trHeight w:val="182"/>
        </w:trPr>
        <w:tc>
          <w:tcPr>
            <w:tcW w:w="36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3"/>
              </w:rPr>
              <w:t>Total delinquencies and amount in repossession</w:t>
            </w:r>
          </w:p>
        </w:tc>
        <w:tc>
          <w:tcPr>
            <w:tcW w:w="100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02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23,967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354,347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17,887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235,164</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20,151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262,792</w:t>
            </w:r>
          </w:p>
        </w:tc>
        <w:tc>
          <w:tcPr>
            <w:tcW w:w="0" w:type="dxa"/>
            <w:vAlign w:val="bottom"/>
          </w:tcPr>
          <w:p>
            <w:pPr>
              <w:spacing w:after="0"/>
              <w:rPr>
                <w:sz w:val="1"/>
                <w:szCs w:val="1"/>
                <w:color w:val="auto"/>
              </w:rPr>
            </w:pPr>
          </w:p>
        </w:tc>
      </w:tr>
      <w:tr>
        <w:trPr>
          <w:trHeight w:val="20"/>
        </w:trPr>
        <w:tc>
          <w:tcPr>
            <w:tcW w:w="3620" w:type="dxa"/>
            <w:vAlign w:val="bottom"/>
            <w:tcBorders>
              <w:top w:val="single" w:sz="8" w:color="EEEEEE"/>
              <w:bottom w:val="single" w:sz="8" w:color="EEEEEE"/>
            </w:tcBorders>
            <w:vMerge w:val="restart"/>
          </w:tcPr>
          <w:p>
            <w:pPr>
              <w:spacing w:after="0" w:line="195" w:lineRule="exact"/>
              <w:rPr>
                <w:sz w:val="20"/>
                <w:szCs w:val="20"/>
                <w:color w:val="auto"/>
              </w:rPr>
            </w:pPr>
            <w:r>
              <w:rPr>
                <w:rFonts w:ascii="Arial" w:cs="Arial" w:eastAsia="Arial" w:hAnsi="Arial"/>
                <w:sz w:val="18"/>
                <w:szCs w:val="18"/>
                <w:color w:val="auto"/>
              </w:rPr>
              <w:t>Delinquencies as a percentage of gross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3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Total delinquencies and amount in repossession</w:t>
            </w: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as a percentage of gross servicing portfolio</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27,584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464,323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23,740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328,128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29,709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417,347</w:t>
            </w:r>
          </w:p>
        </w:tc>
        <w:tc>
          <w:tcPr>
            <w:tcW w:w="0" w:type="dxa"/>
            <w:vAlign w:val="bottom"/>
          </w:tcPr>
          <w:p>
            <w:pPr>
              <w:spacing w:after="0"/>
              <w:rPr>
                <w:sz w:val="1"/>
                <w:szCs w:val="1"/>
                <w:color w:val="auto"/>
              </w:rPr>
            </w:pPr>
          </w:p>
        </w:tc>
      </w:tr>
      <w:tr>
        <w:trPr>
          <w:trHeight w:val="202"/>
        </w:trPr>
        <w:tc>
          <w:tcPr>
            <w:tcW w:w="3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accruing</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38,714</w:t>
            </w: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417,682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46,541</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513,183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55,885</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665,572</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66,298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882,005</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841,311</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85,594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Contracts with one extension, non-accrual (4)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14,792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7,736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02"/>
        </w:trPr>
        <w:tc>
          <w:tcPr>
            <w:tcW w:w="3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 non-</w:t>
            </w: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accrual (4)</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15,395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15,128</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2,502</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30,187</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22,864</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EEEEEE"/>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68,764</w:t>
            </w:r>
          </w:p>
        </w:tc>
        <w:tc>
          <w:tcPr>
            <w:tcW w:w="2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912,192</w:t>
            </w:r>
          </w:p>
        </w:tc>
        <w:tc>
          <w:tcPr>
            <w:tcW w:w="24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72,292</w:t>
            </w: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864,175</w:t>
            </w:r>
          </w:p>
        </w:tc>
        <w:tc>
          <w:tcPr>
            <w:tcW w:w="2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hanging="318"/>
        <w:spacing w:after="0" w:line="254" w:lineRule="auto"/>
        <w:tabs>
          <w:tab w:leader="none" w:pos="38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 parties on which we earn servicing fees only, and have no credit risk.</w:t>
      </w:r>
    </w:p>
    <w:p>
      <w:pPr>
        <w:spacing w:after="0" w:line="2" w:lineRule="exact"/>
        <w:rPr>
          <w:rFonts w:ascii="Arial" w:cs="Arial" w:eastAsia="Arial" w:hAnsi="Arial"/>
          <w:sz w:val="18"/>
          <w:szCs w:val="18"/>
          <w:i w:val="1"/>
          <w:iCs w:val="1"/>
          <w:color w:val="auto"/>
        </w:rPr>
      </w:pPr>
    </w:p>
    <w:p>
      <w:pPr>
        <w:jc w:val="both"/>
        <w:ind w:left="380" w:hanging="318"/>
        <w:spacing w:after="0" w:line="250" w:lineRule="auto"/>
        <w:tabs>
          <w:tab w:leader="none" w:pos="38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do not recognize interest income on accounts past due more than 90 days.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9"/>
              </w:rPr>
              <w:t>Finance Receivables Portfolio (2)</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8"/>
        </w:trPr>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(Dollars in thousands)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150,919</w:t>
            </w:r>
          </w:p>
        </w:tc>
        <w:tc>
          <w:tcPr>
            <w:tcW w:w="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345,021</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684,259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458"/>
        </w:trPr>
        <w:tc>
          <w:tcPr>
            <w:tcW w:w="5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0"/>
              </w:rPr>
              <w:t>Fair Value Receivables Portfolio (4)</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8"/>
        </w:trPr>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(Dollars in thousands)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2,388,191</w:t>
            </w:r>
          </w:p>
        </w:tc>
        <w:tc>
          <w:tcPr>
            <w:tcW w:w="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1,802,590</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1,631,491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458"/>
        </w:trPr>
        <w:tc>
          <w:tcPr>
            <w:tcW w:w="5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Total Owned Portfolio</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8"/>
        </w:trPr>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(Dollars in thousands)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2,539,110</w:t>
            </w:r>
          </w:p>
        </w:tc>
        <w:tc>
          <w:tcPr>
            <w:tcW w:w="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2,147,611</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2,315,750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03" w:lineRule="exact"/>
        <w:rPr>
          <w:sz w:val="20"/>
          <w:szCs w:val="20"/>
          <w:color w:val="auto"/>
        </w:rPr>
      </w:pPr>
    </w:p>
    <w:p>
      <w:pPr>
        <w:jc w:val="both"/>
        <w:ind w:left="340" w:right="20" w:hanging="332"/>
        <w:spacing w:after="0" w:line="255"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 parties on which we earn servicing fees only, and have no credit risk.</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finance receivables portfolio is comprised of contracts we originated prior to January 2018.</w:t>
      </w:r>
    </w:p>
    <w:p>
      <w:pPr>
        <w:spacing w:after="0" w:line="9" w:lineRule="exact"/>
        <w:rPr>
          <w:rFonts w:ascii="Arial" w:cs="Arial" w:eastAsia="Arial" w:hAnsi="Arial"/>
          <w:sz w:val="18"/>
          <w:szCs w:val="18"/>
          <w:i w:val="1"/>
          <w:iCs w:val="1"/>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after the date of charge-off, including some recoveries which have been classified as other income in the accompanying financial statements.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fair value portfolio is comprised of contracts we have originated since January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 rather than troubled debt restructurings.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basic question in deciding to grant an extension is whether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69" w:lineRule="auto"/>
        <w:tabs>
          <w:tab w:leader="none" w:pos="256"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180"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2022, for accounts that received extensions from 2012 through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6"/>
                <w:szCs w:val="16"/>
                <w:color w:val="auto"/>
                <w:w w:val="94"/>
              </w:rPr>
              <w:t>Avg Months</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Active or Paid</w:t>
            </w: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 Active or Paid</w:t>
            </w: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Charged Off &gt; 6</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 Charged Off &gt;</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Charged Off &lt;= 6</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 Charged Off</w:t>
            </w:r>
          </w:p>
        </w:tc>
        <w:tc>
          <w:tcPr>
            <w:tcW w:w="92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to Charge</w:t>
            </w:r>
          </w:p>
        </w:tc>
      </w:tr>
      <w:tr>
        <w:trPr>
          <w:trHeight w:val="203"/>
        </w:trPr>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3"/>
              </w:rPr>
              <w:t>Period of</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 of Extensions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Off at December</w:t>
            </w: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Off at December</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Months After</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6 Months After</w:t>
            </w: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Months After</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&lt;= 6 Months</w:t>
            </w:r>
          </w:p>
        </w:tc>
        <w:tc>
          <w:tcPr>
            <w:tcW w:w="92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Off Post</w:t>
            </w:r>
          </w:p>
        </w:tc>
      </w:tr>
      <w:tr>
        <w:trPr>
          <w:trHeight w:val="209"/>
        </w:trPr>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Extension</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Granted</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31, 2022</w:t>
            </w: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31, 2022</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Extension</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Extension</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Extension</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After Extension</w:t>
            </w:r>
          </w:p>
        </w:tc>
        <w:tc>
          <w:tcPr>
            <w:tcW w:w="92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Extension</w:t>
            </w:r>
          </w:p>
        </w:tc>
      </w:tr>
      <w:tr>
        <w:trPr>
          <w:trHeight w:val="199"/>
        </w:trPr>
        <w:tc>
          <w:tcPr>
            <w:tcW w:w="6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6"/>
                <w:szCs w:val="16"/>
                <w:color w:val="auto"/>
                <w:w w:val="89"/>
              </w:rPr>
              <w:t>2012</w:t>
            </w:r>
          </w:p>
        </w:tc>
        <w:tc>
          <w:tcPr>
            <w:tcW w:w="8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18,783</w:t>
            </w:r>
          </w:p>
        </w:tc>
        <w:tc>
          <w:tcPr>
            <w:tcW w:w="18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11,320</w:t>
            </w:r>
          </w:p>
        </w:tc>
        <w:tc>
          <w:tcPr>
            <w:tcW w:w="200" w:type="dxa"/>
            <w:vAlign w:val="bottom"/>
            <w:tcBorders>
              <w:top w:val="single" w:sz="8" w:color="EEEEEE"/>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60.3%</w:t>
            </w:r>
          </w:p>
        </w:tc>
        <w:tc>
          <w:tcPr>
            <w:tcW w:w="20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6,667</w:t>
            </w:r>
          </w:p>
        </w:tc>
        <w:tc>
          <w:tcPr>
            <w:tcW w:w="22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Borders>
              <w:top w:val="single" w:sz="8" w:color="EEEEEE"/>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796</w:t>
            </w:r>
          </w:p>
        </w:tc>
        <w:tc>
          <w:tcPr>
            <w:tcW w:w="22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top w:val="single" w:sz="8" w:color="EEEEEE"/>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18</w:t>
            </w:r>
          </w:p>
        </w:tc>
        <w:tc>
          <w:tcPr>
            <w:tcW w:w="40" w:type="dxa"/>
            <w:vAlign w:val="bottom"/>
            <w:tcBorders>
              <w:top w:val="single" w:sz="8" w:color="EEEEEE"/>
            </w:tcBorders>
            <w:shd w:val="clear" w:color="auto" w:fill="EEEEEE"/>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23,398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11,147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47.6%</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11,275</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48.2%</w:t>
            </w:r>
          </w:p>
        </w:tc>
        <w:tc>
          <w:tcPr>
            <w:tcW w:w="1180" w:type="dxa"/>
            <w:vAlign w:val="bottom"/>
          </w:tcPr>
          <w:p>
            <w:pPr>
              <w:jc w:val="right"/>
              <w:spacing w:after="0"/>
              <w:rPr>
                <w:sz w:val="20"/>
                <w:szCs w:val="20"/>
                <w:color w:val="auto"/>
              </w:rPr>
            </w:pPr>
            <w:r>
              <w:rPr>
                <w:rFonts w:ascii="Arial" w:cs="Arial" w:eastAsia="Arial" w:hAnsi="Arial"/>
                <w:sz w:val="16"/>
                <w:szCs w:val="16"/>
                <w:color w:val="auto"/>
              </w:rPr>
              <w:t>976</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r>
      <w:tr>
        <w:trPr>
          <w:trHeight w:val="203"/>
        </w:trPr>
        <w:tc>
          <w:tcPr>
            <w:tcW w:w="66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2014</w:t>
            </w:r>
          </w:p>
        </w:tc>
        <w:tc>
          <w:tcPr>
            <w:tcW w:w="80" w:type="dxa"/>
            <w:vAlign w:val="bottom"/>
            <w:shd w:val="clear" w:color="auto" w:fill="EEEEEE"/>
          </w:tcPr>
          <w:p>
            <w:pPr>
              <w:spacing w:after="0"/>
              <w:rPr>
                <w:sz w:val="17"/>
                <w:szCs w:val="17"/>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25,773</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10,483</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40.7%</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14,464</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56.1%</w:t>
            </w:r>
          </w:p>
        </w:tc>
        <w:tc>
          <w:tcPr>
            <w:tcW w:w="11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826</w:t>
            </w:r>
          </w:p>
        </w:tc>
        <w:tc>
          <w:tcPr>
            <w:tcW w:w="22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3.2%</w:t>
            </w:r>
          </w:p>
        </w:tc>
        <w:tc>
          <w:tcPr>
            <w:tcW w:w="8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w:t>
            </w:r>
          </w:p>
        </w:tc>
        <w:tc>
          <w:tcPr>
            <w:tcW w:w="40" w:type="dxa"/>
            <w:vAlign w:val="bottom"/>
            <w:shd w:val="clear" w:color="auto" w:fill="EEEEEE"/>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53,319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22,361</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41.9%</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29,876</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56.0%</w:t>
            </w:r>
          </w:p>
        </w:tc>
        <w:tc>
          <w:tcPr>
            <w:tcW w:w="1180" w:type="dxa"/>
            <w:vAlign w:val="bottom"/>
          </w:tcPr>
          <w:p>
            <w:pPr>
              <w:jc w:val="right"/>
              <w:spacing w:after="0"/>
              <w:rPr>
                <w:sz w:val="20"/>
                <w:szCs w:val="20"/>
                <w:color w:val="auto"/>
              </w:rPr>
            </w:pPr>
            <w:r>
              <w:rPr>
                <w:rFonts w:ascii="Arial" w:cs="Arial" w:eastAsia="Arial" w:hAnsi="Arial"/>
                <w:sz w:val="16"/>
                <w:szCs w:val="16"/>
                <w:color w:val="auto"/>
              </w:rPr>
              <w:t>1,082</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7"/>
                <w:szCs w:val="17"/>
                <w:color w:val="auto"/>
              </w:rPr>
            </w:pPr>
          </w:p>
        </w:tc>
      </w:tr>
      <w:tr>
        <w:trPr>
          <w:trHeight w:val="203"/>
        </w:trPr>
        <w:tc>
          <w:tcPr>
            <w:tcW w:w="66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2016</w:t>
            </w:r>
          </w:p>
        </w:tc>
        <w:tc>
          <w:tcPr>
            <w:tcW w:w="80" w:type="dxa"/>
            <w:vAlign w:val="bottom"/>
            <w:shd w:val="clear" w:color="auto" w:fill="EEEEEE"/>
          </w:tcPr>
          <w:p>
            <w:pPr>
              <w:spacing w:after="0"/>
              <w:rPr>
                <w:sz w:val="17"/>
                <w:szCs w:val="17"/>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80,897</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36,770</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45.5%</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42,194</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52.2%</w:t>
            </w:r>
          </w:p>
        </w:tc>
        <w:tc>
          <w:tcPr>
            <w:tcW w:w="11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1,933</w:t>
            </w:r>
          </w:p>
        </w:tc>
        <w:tc>
          <w:tcPr>
            <w:tcW w:w="22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2.4%</w:t>
            </w:r>
          </w:p>
        </w:tc>
        <w:tc>
          <w:tcPr>
            <w:tcW w:w="8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EEEEEE"/>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133,881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61,465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45.9%</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65,490</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48.9%</w:t>
            </w:r>
          </w:p>
        </w:tc>
        <w:tc>
          <w:tcPr>
            <w:tcW w:w="1180" w:type="dxa"/>
            <w:vAlign w:val="bottom"/>
          </w:tcPr>
          <w:p>
            <w:pPr>
              <w:jc w:val="right"/>
              <w:spacing w:after="0"/>
              <w:rPr>
                <w:sz w:val="20"/>
                <w:szCs w:val="20"/>
                <w:color w:val="auto"/>
              </w:rPr>
            </w:pPr>
            <w:r>
              <w:rPr>
                <w:rFonts w:ascii="Arial" w:cs="Arial" w:eastAsia="Arial" w:hAnsi="Arial"/>
                <w:sz w:val="16"/>
                <w:szCs w:val="16"/>
                <w:color w:val="auto"/>
              </w:rPr>
              <w:t>6,926</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r>
      <w:tr>
        <w:trPr>
          <w:trHeight w:val="203"/>
        </w:trPr>
        <w:tc>
          <w:tcPr>
            <w:tcW w:w="66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2018</w:t>
            </w:r>
          </w:p>
        </w:tc>
        <w:tc>
          <w:tcPr>
            <w:tcW w:w="80" w:type="dxa"/>
            <w:vAlign w:val="bottom"/>
            <w:shd w:val="clear" w:color="auto" w:fill="EEEEEE"/>
          </w:tcPr>
          <w:p>
            <w:pPr>
              <w:spacing w:after="0"/>
              <w:rPr>
                <w:sz w:val="17"/>
                <w:szCs w:val="17"/>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121,531</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66,007</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54.3%</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49,517</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40.7%</w:t>
            </w:r>
          </w:p>
        </w:tc>
        <w:tc>
          <w:tcPr>
            <w:tcW w:w="11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6,007</w:t>
            </w:r>
          </w:p>
        </w:tc>
        <w:tc>
          <w:tcPr>
            <w:tcW w:w="22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4.9%</w:t>
            </w:r>
          </w:p>
        </w:tc>
        <w:tc>
          <w:tcPr>
            <w:tcW w:w="8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EEEEEE"/>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71,548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50,795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71.0%</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18,811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26.3%</w:t>
            </w:r>
          </w:p>
        </w:tc>
        <w:tc>
          <w:tcPr>
            <w:tcW w:w="1180" w:type="dxa"/>
            <w:vAlign w:val="bottom"/>
          </w:tcPr>
          <w:p>
            <w:pPr>
              <w:jc w:val="right"/>
              <w:spacing w:after="0"/>
              <w:rPr>
                <w:sz w:val="20"/>
                <w:szCs w:val="20"/>
                <w:color w:val="auto"/>
              </w:rPr>
            </w:pPr>
            <w:r>
              <w:rPr>
                <w:rFonts w:ascii="Arial" w:cs="Arial" w:eastAsia="Arial" w:hAnsi="Arial"/>
                <w:sz w:val="16"/>
                <w:szCs w:val="16"/>
                <w:color w:val="auto"/>
              </w:rPr>
              <w:t>1,942</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r>
      <w:tr>
        <w:trPr>
          <w:trHeight w:val="203"/>
        </w:trPr>
        <w:tc>
          <w:tcPr>
            <w:tcW w:w="66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2020</w:t>
            </w:r>
          </w:p>
        </w:tc>
        <w:tc>
          <w:tcPr>
            <w:tcW w:w="80" w:type="dxa"/>
            <w:vAlign w:val="bottom"/>
            <w:shd w:val="clear" w:color="auto" w:fill="EEEEEE"/>
          </w:tcPr>
          <w:p>
            <w:pPr>
              <w:spacing w:after="0"/>
              <w:rPr>
                <w:sz w:val="17"/>
                <w:szCs w:val="17"/>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83,170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64,768</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77.9%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14,057</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16.9%</w:t>
            </w:r>
          </w:p>
        </w:tc>
        <w:tc>
          <w:tcPr>
            <w:tcW w:w="11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2,099</w:t>
            </w:r>
          </w:p>
        </w:tc>
        <w:tc>
          <w:tcPr>
            <w:tcW w:w="22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2.5%</w:t>
            </w:r>
          </w:p>
        </w:tc>
        <w:tc>
          <w:tcPr>
            <w:tcW w:w="8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EEEEEE"/>
          </w:tcPr>
          <w:p>
            <w:pPr>
              <w:spacing w:after="0"/>
              <w:rPr>
                <w:sz w:val="17"/>
                <w:szCs w:val="17"/>
                <w:color w:val="auto"/>
              </w:rPr>
            </w:pPr>
          </w:p>
        </w:tc>
      </w:tr>
      <w:tr>
        <w:trPr>
          <w:trHeight w:val="206"/>
        </w:trPr>
        <w:tc>
          <w:tcPr>
            <w:tcW w:w="66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47,029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40,292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85.7%</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5,482</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11.7%</w:t>
            </w:r>
          </w:p>
        </w:tc>
        <w:tc>
          <w:tcPr>
            <w:tcW w:w="1180" w:type="dxa"/>
            <w:vAlign w:val="bottom"/>
          </w:tcPr>
          <w:p>
            <w:pPr>
              <w:jc w:val="right"/>
              <w:spacing w:after="0"/>
              <w:rPr>
                <w:sz w:val="20"/>
                <w:szCs w:val="20"/>
                <w:color w:val="auto"/>
              </w:rPr>
            </w:pPr>
            <w:r>
              <w:rPr>
                <w:rFonts w:ascii="Arial" w:cs="Arial" w:eastAsia="Arial" w:hAnsi="Arial"/>
                <w:sz w:val="16"/>
                <w:szCs w:val="16"/>
                <w:color w:val="auto"/>
              </w:rPr>
              <w:t>1,236</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r>
    </w:tbl>
    <w:p>
      <w:pPr>
        <w:spacing w:after="0" w:line="19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as of December 31, 2022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right="20" w:firstLine="130"/>
        <w:spacing w:after="0" w:line="342" w:lineRule="auto"/>
        <w:rPr>
          <w:sz w:val="20"/>
          <w:szCs w:val="20"/>
          <w:color w:val="auto"/>
        </w:rPr>
      </w:pPr>
      <w:r>
        <w:rPr>
          <w:rFonts w:ascii="Arial" w:cs="Arial" w:eastAsia="Arial" w:hAnsi="Arial"/>
          <w:sz w:val="16"/>
          <w:szCs w:val="16"/>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For the Year Ended</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December 31, 2022</w:t>
            </w:r>
          </w:p>
        </w:tc>
        <w:tc>
          <w:tcPr>
            <w:tcW w:w="160" w:type="dxa"/>
            <w:vAlign w:val="bottom"/>
          </w:tcPr>
          <w:p>
            <w:pPr>
              <w:spacing w:after="0"/>
              <w:rPr>
                <w:sz w:val="19"/>
                <w:szCs w:val="19"/>
                <w:color w:val="auto"/>
              </w:rPr>
            </w:pPr>
          </w:p>
        </w:tc>
        <w:tc>
          <w:tcPr>
            <w:tcW w:w="3120" w:type="dxa"/>
            <w:vAlign w:val="bottom"/>
            <w:gridSpan w:val="9"/>
          </w:tcPr>
          <w:p>
            <w:pPr>
              <w:jc w:val="right"/>
              <w:spacing w:after="0"/>
              <w:rPr>
                <w:sz w:val="20"/>
                <w:szCs w:val="20"/>
                <w:color w:val="auto"/>
              </w:rPr>
            </w:pPr>
            <w:r>
              <w:rPr>
                <w:rFonts w:ascii="Arial" w:cs="Arial" w:eastAsia="Arial" w:hAnsi="Arial"/>
                <w:sz w:val="18"/>
                <w:szCs w:val="18"/>
                <w:color w:val="auto"/>
                <w:w w:val="92"/>
              </w:rPr>
              <w:t>December 31, 2021   December 31, 2020</w:t>
            </w: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w w:val="98"/>
              </w:rPr>
              <w:t>Average number of extensions granted per month</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4,689</w:t>
            </w:r>
          </w:p>
        </w:tc>
        <w:tc>
          <w:tcPr>
            <w:tcW w:w="1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3,918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6,931</w:t>
            </w: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162,264</w:t>
            </w:r>
          </w:p>
        </w:tc>
        <w:tc>
          <w:tcPr>
            <w:tcW w:w="1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157,076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172,129</w:t>
            </w:r>
          </w:p>
        </w:tc>
      </w:tr>
      <w:tr>
        <w:trPr>
          <w:trHeight w:val="216"/>
        </w:trPr>
        <w:tc>
          <w:tcPr>
            <w:tcW w:w="4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r>
      <w:tr>
        <w:trPr>
          <w:trHeight w:val="446"/>
        </w:trPr>
        <w:tc>
          <w:tcPr>
            <w:tcW w:w="39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4"/>
                <w:szCs w:val="24"/>
                <w:color w:val="auto"/>
              </w:rPr>
            </w:pPr>
          </w:p>
        </w:tc>
        <w:tc>
          <w:tcPr>
            <w:tcW w:w="2320" w:type="dxa"/>
            <w:vAlign w:val="bottom"/>
            <w:gridSpan w:val="7"/>
          </w:tcPr>
          <w:p>
            <w:pPr>
              <w:jc w:val="right"/>
              <w:ind w:right="500"/>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24"/>
                <w:szCs w:val="24"/>
                <w:color w:val="auto"/>
              </w:rPr>
            </w:pPr>
          </w:p>
        </w:tc>
        <w:tc>
          <w:tcPr>
            <w:tcW w:w="2320" w:type="dxa"/>
            <w:vAlign w:val="bottom"/>
            <w:gridSpan w:val="7"/>
          </w:tcPr>
          <w:p>
            <w:pPr>
              <w:ind w:left="400"/>
              <w:spacing w:after="0"/>
              <w:rPr>
                <w:sz w:val="20"/>
                <w:szCs w:val="20"/>
                <w:color w:val="auto"/>
              </w:rPr>
            </w:pPr>
            <w:r>
              <w:rPr>
                <w:rFonts w:ascii="Arial" w:cs="Arial" w:eastAsia="Arial" w:hAnsi="Arial"/>
                <w:sz w:val="18"/>
                <w:szCs w:val="18"/>
                <w:color w:val="auto"/>
              </w:rPr>
              <w:t>December 31, 2020</w:t>
            </w:r>
          </w:p>
        </w:tc>
      </w:tr>
      <w:tr>
        <w:trPr>
          <w:trHeight w:val="195"/>
        </w:trPr>
        <w:tc>
          <w:tcPr>
            <w:tcW w:w="394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color w:val="auto"/>
              </w:rPr>
              <w:t>Number of</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gridSpan w:val="4"/>
          </w:tcPr>
          <w:p>
            <w:pPr>
              <w:jc w:val="center"/>
              <w:ind w:right="240"/>
              <w:spacing w:after="0" w:line="195" w:lineRule="exact"/>
              <w:rPr>
                <w:sz w:val="20"/>
                <w:szCs w:val="20"/>
                <w:color w:val="auto"/>
              </w:rPr>
            </w:pPr>
            <w:r>
              <w:rPr>
                <w:rFonts w:ascii="Arial" w:cs="Arial" w:eastAsia="Arial" w:hAnsi="Arial"/>
                <w:sz w:val="18"/>
                <w:szCs w:val="18"/>
                <w:color w:val="auto"/>
                <w:w w:val="92"/>
              </w:rPr>
              <w:t>Number of</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Contracts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20"/>
                <w:szCs w:val="20"/>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Contracts</w:t>
            </w: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Amount</w:t>
            </w: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7"/>
          </w:tcPr>
          <w:p>
            <w:pPr>
              <w:jc w:val="right"/>
              <w:ind w:right="460"/>
              <w:spacing w:after="0"/>
              <w:rPr>
                <w:sz w:val="20"/>
                <w:szCs w:val="20"/>
                <w:color w:val="auto"/>
              </w:rPr>
            </w:pPr>
            <w:r>
              <w:rPr>
                <w:rFonts w:ascii="Arial" w:cs="Arial" w:eastAsia="Arial" w:hAnsi="Arial"/>
                <w:sz w:val="18"/>
                <w:szCs w:val="18"/>
                <w:color w:val="auto"/>
              </w:rPr>
              <w:t>(Dollars in thousands)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28,565</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479,114</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24,337</w:t>
            </w:r>
          </w:p>
        </w:tc>
        <w:tc>
          <w:tcPr>
            <w:tcW w:w="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335,864</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30,624</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429,754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13,730</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180,547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15,861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200,705</w:t>
            </w:r>
          </w:p>
        </w:tc>
        <w:tc>
          <w:tcPr>
            <w:tcW w:w="1340" w:type="dxa"/>
            <w:vAlign w:val="bottom"/>
            <w:gridSpan w:val="5"/>
          </w:tcPr>
          <w:p>
            <w:pPr>
              <w:jc w:val="right"/>
              <w:ind w:right="220"/>
              <w:spacing w:after="0"/>
              <w:rPr>
                <w:sz w:val="20"/>
                <w:szCs w:val="20"/>
                <w:color w:val="auto"/>
              </w:rPr>
            </w:pPr>
            <w:r>
              <w:rPr>
                <w:rFonts w:ascii="Arial" w:cs="Arial" w:eastAsia="Arial" w:hAnsi="Arial"/>
                <w:sz w:val="18"/>
                <w:szCs w:val="18"/>
                <w:color w:val="auto"/>
              </w:rPr>
              <w:t>19,381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259,236</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9,837</w:t>
            </w: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108,986</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11,755</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136,970</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13,117</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159,447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7,938</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76,220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9,272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95,182</w:t>
            </w:r>
          </w:p>
        </w:tc>
        <w:tc>
          <w:tcPr>
            <w:tcW w:w="1340" w:type="dxa"/>
            <w:vAlign w:val="bottom"/>
            <w:gridSpan w:val="5"/>
          </w:tcPr>
          <w:p>
            <w:pPr>
              <w:jc w:val="right"/>
              <w:ind w:right="220"/>
              <w:spacing w:after="0"/>
              <w:rPr>
                <w:sz w:val="20"/>
                <w:szCs w:val="20"/>
                <w:color w:val="auto"/>
              </w:rPr>
            </w:pPr>
            <w:r>
              <w:rPr>
                <w:rFonts w:ascii="Arial" w:cs="Arial" w:eastAsia="Arial" w:hAnsi="Arial"/>
                <w:sz w:val="18"/>
                <w:szCs w:val="18"/>
                <w:color w:val="auto"/>
              </w:rPr>
              <w:t>10,868</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122,469</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5,425</w:t>
            </w: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45,519</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6,531</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59,651</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8,548</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90,322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3,269</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21,806</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35,803</w:t>
            </w:r>
          </w:p>
        </w:tc>
        <w:tc>
          <w:tcPr>
            <w:tcW w:w="1340" w:type="dxa"/>
            <w:vAlign w:val="bottom"/>
            <w:gridSpan w:val="5"/>
          </w:tcPr>
          <w:p>
            <w:pPr>
              <w:jc w:val="right"/>
              <w:ind w:right="220"/>
              <w:spacing w:after="0"/>
              <w:rPr>
                <w:sz w:val="20"/>
                <w:szCs w:val="20"/>
                <w:color w:val="auto"/>
              </w:rPr>
            </w:pPr>
            <w:r>
              <w:rPr>
                <w:rFonts w:ascii="Arial" w:cs="Arial" w:eastAsia="Arial" w:hAnsi="Arial"/>
                <w:sz w:val="18"/>
                <w:szCs w:val="18"/>
                <w:color w:val="auto"/>
              </w:rPr>
              <w:t>6,473</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62,288</w:t>
            </w:r>
          </w:p>
        </w:tc>
      </w:tr>
      <w:tr>
        <w:trPr>
          <w:trHeight w:val="209"/>
        </w:trPr>
        <w:tc>
          <w:tcPr>
            <w:tcW w:w="39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68,764</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912,192</w:t>
            </w: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72,292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864,175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180,795</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3,001,308</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156,280</w:t>
            </w:r>
          </w:p>
        </w:tc>
        <w:tc>
          <w:tcPr>
            <w:tcW w:w="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2,249,069</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163,117</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2,174,972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178"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130"/>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6"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64"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Since 1994 we have conducted 95 term securitizations of automobile contracts that we originated under our regular programs. As of December 31, 2022, 19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0" w:type="dxa"/>
            <w:vAlign w:val="bottom"/>
            <w:gridSpan w:val="5"/>
          </w:tcPr>
          <w:p>
            <w:pPr>
              <w:jc w:val="center"/>
              <w:ind w:left="170"/>
              <w:spacing w:after="0"/>
              <w:rPr>
                <w:sz w:val="20"/>
                <w:szCs w:val="20"/>
                <w:color w:val="auto"/>
              </w:rPr>
            </w:pPr>
            <w:r>
              <w:rPr>
                <w:rFonts w:ascii="Arial" w:cs="Arial" w:eastAsia="Arial" w:hAnsi="Arial"/>
                <w:sz w:val="18"/>
                <w:szCs w:val="18"/>
                <w:color w:val="auto"/>
                <w:w w:val="90"/>
              </w:rPr>
              <w:t>Recent Asset-Backed Securitizations</w:t>
            </w:r>
          </w:p>
        </w:tc>
        <w:tc>
          <w:tcPr>
            <w:tcW w:w="20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5"/>
        </w:trPr>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Number of Term</w:t>
            </w:r>
          </w:p>
        </w:tc>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1740" w:type="dxa"/>
            <w:vAlign w:val="bottom"/>
          </w:tcPr>
          <w:p>
            <w:pPr>
              <w:jc w:val="center"/>
              <w:ind w:left="590"/>
              <w:spacing w:after="0"/>
              <w:rPr>
                <w:sz w:val="20"/>
                <w:szCs w:val="20"/>
                <w:color w:val="auto"/>
              </w:rPr>
            </w:pPr>
            <w:r>
              <w:rPr>
                <w:rFonts w:ascii="Arial" w:cs="Arial" w:eastAsia="Arial" w:hAnsi="Arial"/>
                <w:sz w:val="18"/>
                <w:szCs w:val="18"/>
                <w:color w:val="auto"/>
                <w:w w:val="88"/>
              </w:rPr>
              <w:t>Period</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Securitizations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w w:val="92"/>
              </w:rPr>
              <w:t>Amount of Receivables</w:t>
            </w:r>
          </w:p>
        </w:tc>
        <w:tc>
          <w:tcPr>
            <w:tcW w:w="2240" w:type="dxa"/>
            <w:vAlign w:val="bottom"/>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EEEEEE"/>
          </w:tcPr>
          <w:p>
            <w:pPr>
              <w:jc w:val="center"/>
              <w:ind w:left="610"/>
              <w:spacing w:after="0"/>
              <w:rPr>
                <w:sz w:val="20"/>
                <w:szCs w:val="20"/>
                <w:color w:val="auto"/>
              </w:rPr>
            </w:pPr>
            <w:r>
              <w:rPr>
                <w:rFonts w:ascii="Arial" w:cs="Arial" w:eastAsia="Arial" w:hAnsi="Arial"/>
                <w:sz w:val="18"/>
                <w:szCs w:val="18"/>
                <w:color w:val="auto"/>
                <w:w w:val="89"/>
              </w:rPr>
              <w:t>2013</w:t>
            </w:r>
          </w:p>
        </w:tc>
        <w:tc>
          <w:tcPr>
            <w:tcW w:w="2780" w:type="dxa"/>
            <w:vAlign w:val="bottom"/>
            <w:gridSpan w:val="3"/>
            <w:shd w:val="clear" w:color="auto" w:fill="EEEEEE"/>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2014</w:t>
            </w:r>
          </w:p>
        </w:tc>
        <w:tc>
          <w:tcPr>
            <w:tcW w:w="278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923,000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EEEEEE"/>
          </w:tcPr>
          <w:p>
            <w:pPr>
              <w:jc w:val="center"/>
              <w:ind w:left="610"/>
              <w:spacing w:after="0"/>
              <w:rPr>
                <w:sz w:val="20"/>
                <w:szCs w:val="20"/>
                <w:color w:val="auto"/>
              </w:rPr>
            </w:pPr>
            <w:r>
              <w:rPr>
                <w:rFonts w:ascii="Arial" w:cs="Arial" w:eastAsia="Arial" w:hAnsi="Arial"/>
                <w:sz w:val="18"/>
                <w:szCs w:val="18"/>
                <w:color w:val="auto"/>
                <w:w w:val="89"/>
              </w:rPr>
              <w:t>2015</w:t>
            </w:r>
          </w:p>
        </w:tc>
        <w:tc>
          <w:tcPr>
            <w:tcW w:w="2780" w:type="dxa"/>
            <w:vAlign w:val="bottom"/>
            <w:gridSpan w:val="3"/>
            <w:shd w:val="clear" w:color="auto" w:fill="EEEEEE"/>
          </w:tcPr>
          <w:p>
            <w:pPr>
              <w:jc w:val="center"/>
              <w:ind w:left="67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2016</w:t>
            </w:r>
          </w:p>
        </w:tc>
        <w:tc>
          <w:tcPr>
            <w:tcW w:w="278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1,214,997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EEEEEE"/>
          </w:tcPr>
          <w:p>
            <w:pPr>
              <w:jc w:val="center"/>
              <w:ind w:left="610"/>
              <w:spacing w:after="0"/>
              <w:rPr>
                <w:sz w:val="20"/>
                <w:szCs w:val="20"/>
                <w:color w:val="auto"/>
              </w:rPr>
            </w:pPr>
            <w:r>
              <w:rPr>
                <w:rFonts w:ascii="Arial" w:cs="Arial" w:eastAsia="Arial" w:hAnsi="Arial"/>
                <w:sz w:val="18"/>
                <w:szCs w:val="18"/>
                <w:color w:val="auto"/>
                <w:w w:val="89"/>
              </w:rPr>
              <w:t>2017</w:t>
            </w:r>
          </w:p>
        </w:tc>
        <w:tc>
          <w:tcPr>
            <w:tcW w:w="2780" w:type="dxa"/>
            <w:vAlign w:val="bottom"/>
            <w:gridSpan w:val="3"/>
            <w:shd w:val="clear" w:color="auto" w:fill="EEEEEE"/>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2018</w:t>
            </w:r>
          </w:p>
        </w:tc>
        <w:tc>
          <w:tcPr>
            <w:tcW w:w="278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883,452</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EEEEEE"/>
          </w:tcPr>
          <w:p>
            <w:pPr>
              <w:jc w:val="center"/>
              <w:ind w:left="610"/>
              <w:spacing w:after="0"/>
              <w:rPr>
                <w:sz w:val="20"/>
                <w:szCs w:val="20"/>
                <w:color w:val="auto"/>
              </w:rPr>
            </w:pPr>
            <w:r>
              <w:rPr>
                <w:rFonts w:ascii="Arial" w:cs="Arial" w:eastAsia="Arial" w:hAnsi="Arial"/>
                <w:sz w:val="18"/>
                <w:szCs w:val="18"/>
                <w:color w:val="auto"/>
                <w:w w:val="89"/>
              </w:rPr>
              <w:t>2019</w:t>
            </w:r>
          </w:p>
        </w:tc>
        <w:tc>
          <w:tcPr>
            <w:tcW w:w="2780" w:type="dxa"/>
            <w:vAlign w:val="bottom"/>
            <w:gridSpan w:val="3"/>
            <w:shd w:val="clear" w:color="auto" w:fill="EEEEEE"/>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1,014,124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2020</w:t>
            </w:r>
          </w:p>
        </w:tc>
        <w:tc>
          <w:tcPr>
            <w:tcW w:w="278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741,867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EEEEEE"/>
          </w:tcPr>
          <w:p>
            <w:pPr>
              <w:jc w:val="center"/>
              <w:ind w:left="610"/>
              <w:spacing w:after="0"/>
              <w:rPr>
                <w:sz w:val="20"/>
                <w:szCs w:val="20"/>
                <w:color w:val="auto"/>
              </w:rPr>
            </w:pPr>
            <w:r>
              <w:rPr>
                <w:rFonts w:ascii="Arial" w:cs="Arial" w:eastAsia="Arial" w:hAnsi="Arial"/>
                <w:sz w:val="18"/>
                <w:szCs w:val="18"/>
                <w:color w:val="auto"/>
                <w:w w:val="89"/>
              </w:rPr>
              <w:t>2021</w:t>
            </w:r>
          </w:p>
        </w:tc>
        <w:tc>
          <w:tcPr>
            <w:tcW w:w="2780" w:type="dxa"/>
            <w:vAlign w:val="bottom"/>
            <w:gridSpan w:val="3"/>
            <w:shd w:val="clear" w:color="auto" w:fill="EEEEEE"/>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1,145,002</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2022</w:t>
            </w:r>
          </w:p>
        </w:tc>
        <w:tc>
          <w:tcPr>
            <w:tcW w:w="278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1,537,383</w:t>
            </w:r>
          </w:p>
        </w:tc>
        <w:tc>
          <w:tcPr>
            <w:tcW w:w="2240" w:type="dxa"/>
            <w:vAlign w:val="bottom"/>
          </w:tcPr>
          <w:p>
            <w:pPr>
              <w:spacing w:after="0"/>
              <w:rPr>
                <w:sz w:val="20"/>
                <w:szCs w:val="20"/>
                <w:color w:val="auto"/>
              </w:rPr>
            </w:pPr>
          </w:p>
        </w:tc>
      </w:tr>
      <w:tr>
        <w:trPr>
          <w:trHeight w:val="850"/>
        </w:trPr>
        <w:tc>
          <w:tcPr>
            <w:tcW w:w="2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6" w:name="page17"/>
    <w:bookmarkEnd w:id="16"/>
    <w:p>
      <w:pPr>
        <w:jc w:val="both"/>
        <w:ind w:firstLine="130"/>
        <w:spacing w:after="0" w:line="273" w:lineRule="auto"/>
        <w:rPr>
          <w:sz w:val="20"/>
          <w:szCs w:val="20"/>
          <w:color w:val="auto"/>
        </w:rPr>
      </w:pPr>
      <w:r>
        <w:rPr>
          <w:rFonts w:ascii="Arial" w:cs="Arial" w:eastAsia="Arial" w:hAnsi="Arial"/>
          <w:sz w:val="17"/>
          <w:szCs w:val="17"/>
          <w:color w:val="auto"/>
        </w:rPr>
        <w:t>From time to time we have also completed financings of our residual interests in other securitizations that we and our affiliates previously sponsored. 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The remaining balance on the notes were paid in full on February 16, 2022.</w:t>
      </w:r>
    </w:p>
    <w:p>
      <w:pPr>
        <w:spacing w:after="0" w:line="178"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On June 30, 2021, we completed a $50.0 million securitization of residual interests from previously issued securitizations. In this residual interest financing transaction, qualified institutional buyers purchased $50.0 million of asset-backed notes secured by residual interests in three CPS securitizations consecutively conducted from January 2018 through July 2018, and an 80% interest in a CPS affiliate that owns the residual interests in the eight CPS securitizations conducted from December 2018 through September 2020. The sold notes (“2021-1 Notes”), issued by CPS Auto Securitization Trust 2021-1, consist of a single class with a coupon of 7.86%. As of December 31, 2022, the notes had a principal balance of $50.0 million.</w:t>
      </w:r>
    </w:p>
    <w:p>
      <w:pPr>
        <w:spacing w:after="0" w:line="16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$400 million, comprising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November 2015, we entered into another $100 million facility. This facility was most recently renewed in February 2022, extending the revolving period to January 2024, followed by an amortization period to January 2026. In June 2022, we doubled the capacity for this facility from $100 million to $200 million.</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2022,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The automobile financing business is highly competitive. We compete with several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1"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jc w:val="both"/>
        <w:ind w:firstLine="130"/>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are subject to supervision and examination by the Consumer Financial Protection Bureau (the “CFPB”), a federal agency created by the Dodd-Frank Wall Street Reform and Consumer Protection Act (the “Dodd-Frank Act”).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w:t>
      </w:r>
    </w:p>
    <w:p>
      <w:pPr>
        <w:spacing w:after="0" w:line="19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ind w:firstLine="130"/>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rely on our employees for everything we do. To make our business work, we seek to supply them with the tools and knowledge they need to succeed.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new hire training, we provide mentor programs and management workshops.</w:t>
      </w:r>
    </w:p>
    <w:p>
      <w:pPr>
        <w:spacing w:after="0" w:line="211"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i w:val="1"/>
          <w:iCs w:val="1"/>
          <w:color w:val="auto"/>
        </w:rPr>
        <w:t xml:space="preserve">Workforce Allocation and Diversity </w:t>
      </w:r>
      <w:r>
        <w:rPr>
          <w:rFonts w:ascii="Arial" w:cs="Arial" w:eastAsia="Arial" w:hAnsi="Arial"/>
          <w:sz w:val="16"/>
          <w:szCs w:val="16"/>
          <w:color w:val="auto"/>
        </w:rPr>
        <w:t>We had 792 employees as of December 31, 2022. Our employee population was 66% female, and 67% self-identified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ethnically diverse (defined as all EEOC classifications other than white). Broken out by function, our human capital was allocated thus: 11 were senior management personnel; 407 were servicing personnel; 182 were automobile contract origination personnel; 127 were sales personnel and program development (78 of whom were sales representatives); 65 were various administrative personnel including human resources, legal, accounting and systems.</w:t>
      </w:r>
    </w:p>
    <w:p>
      <w:pPr>
        <w:spacing w:after="0" w:line="15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Our compensation policy is to be market competitive. We offer a benefits and wellness package that includes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defined contribution retirement benefits, and other components.</w:t>
      </w:r>
    </w:p>
    <w:p>
      <w:pPr>
        <w:spacing w:after="0" w:line="170"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i w:val="1"/>
          <w:iCs w:val="1"/>
          <w:color w:val="auto"/>
        </w:rPr>
        <w:t xml:space="preserve">Employee Engagement </w:t>
      </w:r>
      <w:r>
        <w:rPr>
          <w:rFonts w:ascii="Arial" w:cs="Arial" w:eastAsia="Arial" w:hAnsi="Arial"/>
          <w:sz w:val="17"/>
          <w:szCs w:val="17"/>
          <w:color w:val="auto"/>
        </w:rPr>
        <w:t>Our means of evaluating our human capital resources include, on an individual basis, annual performance reviews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with senior management on or close to the employee’s anniversary date. On an aggregate basis, a new hire survey and department round table meetings. The feedback from the meetings and survey results are reviewed by senior management and used to assist in reviewing our human capital strategies, programs, and practices. Other metrics used in human capital management include average employee tenure and annual turnover rate. We believe that our relations with our employees are good. We are not a party to any collective bargaining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Information</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www.consumerportfolio.com</w:t>
      </w:r>
      <w:r>
        <w:rPr>
          <w:rFonts w:ascii="Arial" w:cs="Arial" w:eastAsia="Arial" w:hAnsi="Arial"/>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2023. While our access to such funding has improved since then, our results of operations, financial condition and cash flows have been from time to time in the past and may be in the future materially and adversely affected. We require a substantial amount of cash liquidity to operate our business. Among other things, we use such cash liquidity to:</w:t>
      </w:r>
    </w:p>
    <w:p>
      <w:pPr>
        <w:spacing w:after="0" w:line="16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3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expect to earn quarterly profits during 2023;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in each of the eleven fiscal years ended December 31, 2022, although not in every quarter within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We depend on various financing sources, including credit facilities, our securitization program and other secured and unsecured debt issuances, to finance our business operations. 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$400 million, comprising two credit facilities, each with a maximum credit limit of $200 million. Both warehouse credit facilities have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6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Substantial Indebtedness Could Adversely Affect Our Financial Health and Prevent Us From Fulfilling Our Obligations Under Our Existing Indebtedness</w:t>
      </w:r>
    </w:p>
    <w:p>
      <w:pPr>
        <w:spacing w:after="0" w:line="16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currently have and will continue to have a substantial amount of outstanding indebtedness. At December 31, 2022, we had approximately $2,469.0 million of debt outstanding. Such debt consisted primarily of $2,108.7 million of securitization trust debt, and also included $285.3 million of warehouse lines of credit, $49.6 million of residual interest financing debt and $25.3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left="140"/>
        <w:spacing w:after="0"/>
        <w:rPr>
          <w:sz w:val="20"/>
          <w:szCs w:val="20"/>
          <w:color w:val="auto"/>
        </w:rPr>
      </w:pPr>
      <w:r>
        <w:rPr>
          <w:rFonts w:ascii="Arial" w:cs="Arial" w:eastAsia="Arial" w:hAnsi="Arial"/>
          <w:sz w:val="18"/>
          <w:szCs w:val="18"/>
          <w:color w:val="auto"/>
        </w:rPr>
        <w:t>The degree to which we are leveraged creates risks, including:</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satisfy our obligations under our outstanding indebtedness;</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find it more difficult to fund future credit enhancement requirements, operating costs, tax payments, capital expenditures or general corporate expenditures;</w:t>
      </w:r>
    </w:p>
    <w:p>
      <w:pPr>
        <w:ind w:left="1300" w:right="2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have to dedicate a substantial portion of our cash resources to payments on our outstanding indebtedness, thereby reducing the funds available for operations and future business opportunities; and</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industry and capital markets conditions.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9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2023. However, if the market conditions for asset-backed securitizations should reverse, we would expect a material adverse effect on our results of operations.</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130"/>
        <w:spacing w:after="0" w:line="263"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4"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71" w:lineRule="exact"/>
        <w:rPr>
          <w:sz w:val="20"/>
          <w:szCs w:val="20"/>
          <w:color w:val="auto"/>
        </w:rPr>
      </w:pPr>
    </w:p>
    <w:p>
      <w:pPr>
        <w:ind w:left="380" w:hanging="318"/>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70"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70"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Affected by Changing Economic Conditions</w:t>
      </w:r>
    </w:p>
    <w:p>
      <w:pPr>
        <w:spacing w:after="0" w:line="229"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spacing w:after="0" w:line="18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as they were during the recent COVID 19 pandemic, we may be unable to sell our used vehicles at sufficient volume and/or pricing.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ind w:firstLine="130"/>
        <w:spacing w:after="0" w:line="263" w:lineRule="auto"/>
        <w:rPr>
          <w:sz w:val="20"/>
          <w:szCs w:val="20"/>
          <w:color w:val="auto"/>
        </w:rPr>
      </w:pPr>
      <w:r>
        <w:rPr>
          <w:rFonts w:ascii="Arial" w:cs="Arial" w:eastAsia="Arial" w:hAnsi="Arial"/>
          <w:sz w:val="18"/>
          <w:szCs w:val="18"/>
          <w:color w:val="auto"/>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w:t>
      </w:r>
    </w:p>
    <w:p>
      <w:pPr>
        <w:spacing w:after="0" w:line="184"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spacing w:after="0" w:line="157"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 or if we elect to, or are required to, implement forbearance programs in connection with obligors suffering a hardship (including hardships related to the COVID-19 pandemic and general economic conditions).</w:t>
      </w:r>
    </w:p>
    <w:p>
      <w:pPr>
        <w:spacing w:after="0" w:line="165"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130"/>
        <w:spacing w:after="0" w:line="342" w:lineRule="auto"/>
        <w:rPr>
          <w:sz w:val="20"/>
          <w:szCs w:val="20"/>
          <w:color w:val="auto"/>
        </w:rPr>
      </w:pPr>
      <w:r>
        <w:rPr>
          <w:rFonts w:ascii="Arial" w:cs="Arial" w:eastAsia="Arial" w:hAnsi="Arial"/>
          <w:sz w:val="16"/>
          <w:szCs w:val="16"/>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2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The Federal Reserve increased interest rates multiple times in 2022, once in early 2023, and is expected to continue to raise rates further in 2023. If interest rates on risk-free debt continue to increase, or if our spread above risk-free rates should increase, or both, we would expect increased interest expense, If interest rates in general should rise, our expenses would likewise rise, to have a material adverse effect on our financial position, liquidity, results of operation and our ability to enter into future financing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2022 and 2021,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76"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61"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If the allowance is inadequate, then we would recognize the losses in excess of the allowance as an expense and our results of operations could be adversely affected.</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130"/>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Our industry is also at times investigated by regulators and offices of state attorneys general, which could lead to enforcement actions, fines and penalties, or the assertion of private claims and law suits against us. The CFPB and the Federal Trade Commission (“FTC”) have the authority to investigate consumer complaints against us, to conduct inquiries at their own instance, and to recommend enforcement actions and seek monetary penalties. The FTC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19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4"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Existing law, regulations and interpretations may change in ways that increase our costs of compliance.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addition to direct costs, such compliance requires changes in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Because the rules place an upper limit on the degree to which we may use financial leverage, our securitization structures may require more capital of us, or may release less cash to us, than might be the case in the absence of such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right="20" w:firstLine="130"/>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paying dividends or other distributions to our shareholders or redeeming, repurchasing or retiring our capital stock or subordinated obligations;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7"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Fair Value Accounting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Receivables we’ve acquired since January 1, 2018 are accounted for based on the fair value method of accounting.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6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6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84"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44"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we might be required to adjust the recorded value of our receivables. A downward readjustment in recorded value would correspondingly reduce our income and book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Ohio, Texas,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Outbreak Could Have Adverse Effects</w:t>
      </w:r>
    </w:p>
    <w:p>
      <w:pPr>
        <w:spacing w:after="0" w:line="229"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The COVID-19 virus has spread (“the pandemic”) throughout the world. The pandemic has had adverse effects on the economy of the United States (notably a significant decrease in employment) and the global economy in general. The long-term effects of the social, economic and financial disruptions caused by the pandemic are unknown. The extent to which obligors on our automobile contracts may be adversely affected by the pandemic (including a resurgence due to variants of COVID-19), by loss of employment, and by related efforts of governments to slow the spread of the COVID-19 virus throughout the nation and world cannot be predicted. These occurrences could have a material adverse effect on the ability of obligors to make timely payments to us.</w:t>
      </w:r>
    </w:p>
    <w:p>
      <w:pPr>
        <w:spacing w:after="0" w:line="19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Finally, and depending on the extent to which the pandemic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Social, Economic and Other Factors on Losses.</w:t>
      </w:r>
    </w:p>
    <w:p>
      <w:pPr>
        <w:spacing w:after="0" w:line="229"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government stimulus programs and consumer protection/payment relief efforts implemented in connection with the COVID-19 virus. Social factors include changes in consumer confidence levels, consumer attitudes toward bankruptcy and the repayment of indebtedness and consumer perceptions of political events and shifts, which may be affected by the pandemic.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2022, our directors and executive officers collectively owned 6.3 million shares of our common stock, or approximately 31%.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exogenous events, such as a widespread plague;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mandates imposed in reaction to such events, such as prohibitions of otherwise permissible activity;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Our principal executive offices are located in Las Vegas, Nevada, where we currently lease approximately 45,000 square feet of general office space from an unaffiliated lessor. The annual base rent is approximately $1.8 million through 2023.</w:t>
      </w:r>
    </w:p>
    <w:p>
      <w:pPr>
        <w:spacing w:after="0" w:line="170"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Our operating headquarters are located in Irvine, California, where we currently lease approximately 69,000 square feet of general office space from an unaffiliated lessor. The annual base rent is approximately $2.5 million through 2024.</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remaining three regional servicing centers occupy a total of approximately 59,000 square feet of leased space in Chesapeake, Virginia; Maitland, Florida; and Oak Brook, Illinois. The termination dates of such leases range from 2023 to 2029. The annual base rent for these facilities total approximately $1.4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71"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76"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i w:val="1"/>
          <w:iCs w:val="1"/>
          <w:color w:val="auto"/>
        </w:rPr>
        <w:t xml:space="preserve">Wage and Hour Claim. </w:t>
      </w:r>
      <w:r>
        <w:rPr>
          <w:rFonts w:ascii="Arial" w:cs="Arial" w:eastAsia="Arial" w:hAnsi="Arial"/>
          <w:sz w:val="17"/>
          <w:szCs w:val="17"/>
          <w:color w:val="auto"/>
        </w:rPr>
        <w:t>On September 24, 2018, a former employee filed a lawsuit against us in the Superior Court of Orange County, California, alleging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 We believe that our compensation practices with respect to our sales representatives are compliant with applicable law. Accordingly, we have defended and intend to continue to defend this lawsuit.</w:t>
      </w:r>
    </w:p>
    <w:p>
      <w:pPr>
        <w:spacing w:after="0" w:line="17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Massachusetts Civil Investigative Demand</w:t>
      </w:r>
      <w:r>
        <w:rPr>
          <w:rFonts w:ascii="Arial" w:cs="Arial" w:eastAsia="Arial" w:hAnsi="Arial"/>
          <w:sz w:val="18"/>
          <w:szCs w:val="18"/>
          <w:color w:val="auto"/>
        </w:rPr>
        <w:t>. In September 2021, we received a civil investigative demand from the Office of the Attorney General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Commonwealth of Massachusetts relating to the Company’s communications with and repossession notices sent to Massachusetts customers. We are cooperating with the inquiry.</w:t>
      </w:r>
    </w:p>
    <w:p>
      <w:pPr>
        <w:spacing w:after="0" w:line="184"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 of December 31, 2022,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December 31, 2022 is $4.9 million, and that the range of reasonably possible losses for the legal proceedings and contingencies we face, including those described or identified above, as of December 31, 2022 does not exceed $11.2 million.</w:t>
      </w:r>
    </w:p>
    <w:p>
      <w:pPr>
        <w:spacing w:after="0" w:line="16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Charles E. Bradley, Jr</w:t>
      </w:r>
      <w:r>
        <w:rPr>
          <w:rFonts w:ascii="Arial" w:cs="Arial" w:eastAsia="Arial" w:hAnsi="Arial"/>
          <w:sz w:val="18"/>
          <w:szCs w:val="18"/>
          <w:color w:val="auto"/>
        </w:rPr>
        <w:t>., 63, has been our Chief Executive Officer since January 1992, a director since our formation in March 1991, and was elected</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of Directors in July 2001. Prior to that he was our President from March 1991 to December 2022.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8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i w:val="1"/>
          <w:iCs w:val="1"/>
          <w:color w:val="auto"/>
        </w:rPr>
        <w:t xml:space="preserve">Michael T. Lavin, </w:t>
      </w:r>
      <w:r>
        <w:rPr>
          <w:rFonts w:ascii="Arial" w:cs="Arial" w:eastAsia="Arial" w:hAnsi="Arial"/>
          <w:sz w:val="18"/>
          <w:szCs w:val="18"/>
          <w:color w:val="auto"/>
        </w:rPr>
        <w:t>50, has been President since December 2022, Chief Operating Officer since February 2019, and our Chief Legal Officer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Prior to that, he was our Executive Vice President since March 2014, Senior Vice President – General Counsel since March 2013, Senior Vice President and Corporate Counsel since May 2009 and our Vice President- Legal since joining the Company in November of 2001. Mr. Lavin was previously engaged as an associate at a large law firm and a spin off start up law firm.</w:t>
      </w:r>
    </w:p>
    <w:p>
      <w:pPr>
        <w:spacing w:after="0" w:line="187"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i w:val="1"/>
          <w:iCs w:val="1"/>
          <w:color w:val="auto"/>
        </w:rPr>
        <w:t>Danny Bharwani</w:t>
      </w:r>
      <w:r>
        <w:rPr>
          <w:rFonts w:ascii="Arial" w:cs="Arial" w:eastAsia="Arial" w:hAnsi="Arial"/>
          <w:sz w:val="16"/>
          <w:szCs w:val="16"/>
          <w:color w:val="auto"/>
        </w:rPr>
        <w:t>, 55, has been Chief Financial Officer since September 2022 and Executive Vice President – Finance since December 2022.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he was our Senior Vice President – Finance from April 2016 to December 2022 and Vice President – Finance from June 2002 to April 2016. He joined us as Assistant Controller in August 1997. Mr. Bharwani was previously employed as Assistant Controller at The Todd-AO Corporation, from 1989 to 1997.</w:t>
      </w:r>
    </w:p>
    <w:p>
      <w:pPr>
        <w:spacing w:after="0" w:line="149"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Christopher Terry, </w:t>
      </w:r>
      <w:r>
        <w:rPr>
          <w:rFonts w:ascii="Arial" w:cs="Arial" w:eastAsia="Arial" w:hAnsi="Arial"/>
          <w:sz w:val="18"/>
          <w:szCs w:val="18"/>
          <w:color w:val="auto"/>
        </w:rPr>
        <w:t>55, has been Executive Vice President of Risk Management, Systems, and IT since December 2022. Prior to that he was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Risk Management, Systems, and IT from October 2018 to December 2022, and Senior Vice President of Risk Management from May 2017 to October 2018. Prior to that, he was our Senior Vice President of 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92"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i w:val="1"/>
          <w:iCs w:val="1"/>
          <w:color w:val="auto"/>
        </w:rPr>
        <w:t xml:space="preserve">Teri L. Robinson, </w:t>
      </w:r>
      <w:r>
        <w:rPr>
          <w:rFonts w:ascii="Arial" w:cs="Arial" w:eastAsia="Arial" w:hAnsi="Arial"/>
          <w:sz w:val="17"/>
          <w:szCs w:val="17"/>
          <w:color w:val="auto"/>
        </w:rPr>
        <w:t>60, has been Executive Vice President of Sales and Originations since December 2022. Prior to that she was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Originations from June 2020 to December 2022 and Senior Vice President of 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171"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i w:val="1"/>
          <w:iCs w:val="1"/>
          <w:color w:val="auto"/>
        </w:rPr>
        <w:t xml:space="preserve">Laurie A. Straten, </w:t>
      </w:r>
      <w:r>
        <w:rPr>
          <w:rFonts w:ascii="Arial" w:cs="Arial" w:eastAsia="Arial" w:hAnsi="Arial"/>
          <w:sz w:val="16"/>
          <w:szCs w:val="16"/>
          <w:color w:val="auto"/>
        </w:rPr>
        <w:t>56</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Executive Vice President of Servicing since December 2022. Prior to that, she was our Senior Vice President of Servicing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August 2013 to December 2022 and Senior Vice President of Asset Recovery from April 2013 to August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5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John P. Harton</w:t>
      </w:r>
      <w:r>
        <w:rPr>
          <w:rFonts w:ascii="Arial" w:cs="Arial" w:eastAsia="Arial" w:hAnsi="Arial"/>
          <w:sz w:val="18"/>
          <w:szCs w:val="18"/>
          <w:color w:val="auto"/>
        </w:rPr>
        <w:t>, 58, has been Senior Vice President – Business Development since June 2020. Prior to that he was Senior Vice President –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from March 2019 to June 2020, Senior Vice President – Marketing from March 2014 to March 2019, and Vice President – Marketing from April 2010 to March 2014.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8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i w:val="1"/>
          <w:iCs w:val="1"/>
          <w:color w:val="auto"/>
        </w:rPr>
        <w:t>Catrina Ralston</w:t>
      </w:r>
      <w:r>
        <w:rPr>
          <w:rFonts w:ascii="Arial" w:cs="Arial" w:eastAsia="Arial" w:hAnsi="Arial"/>
          <w:sz w:val="18"/>
          <w:szCs w:val="18"/>
          <w:color w:val="auto"/>
        </w:rPr>
        <w:t>, 47, has been Senior Vice President of Human Resources since December 2022. Prior to that, she was Vice President -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2016. She joined the Company in 1997 as an Operations Clerk and transferred into the Human Resources Department in 2001 where she held a series of successively more responsible positions. Prior to joining CPS, Ms. Ralston worked as a customer service representative for the City of Virginia Beach Parks &amp; Recreation Department.</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Steve Schween</w:t>
      </w:r>
      <w:r>
        <w:rPr>
          <w:rFonts w:ascii="Arial" w:cs="Arial" w:eastAsia="Arial" w:hAnsi="Arial"/>
          <w:sz w:val="18"/>
          <w:szCs w:val="18"/>
          <w:color w:val="auto"/>
        </w:rPr>
        <w:t>, 60, has been Senior Vice President of Systems since December 2022. Previously, he was Vice President of Systems since February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He joined in the Company in 2000 as a Systems Analyst and took on more responsibility over time. Mr. Schween was previously a Systems Analyst with Jeunique International.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As of January 1, 2023, there were 28 holders of record of the Company’s Common Stock.</w:t>
      </w:r>
    </w:p>
    <w:p>
      <w:pPr>
        <w:spacing w:after="0" w:line="170"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securities to be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securities remaining</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4"/>
              </w:rPr>
              <w:t>issued upon exercise</w:t>
            </w:r>
          </w:p>
        </w:tc>
        <w:tc>
          <w:tcPr>
            <w:tcW w:w="100" w:type="dxa"/>
            <w:vAlign w:val="bottom"/>
          </w:tcPr>
          <w:p>
            <w:pPr>
              <w:spacing w:after="0"/>
              <w:rPr>
                <w:sz w:val="18"/>
                <w:szCs w:val="18"/>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available for future</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outstanding</w:t>
            </w:r>
          </w:p>
        </w:tc>
        <w:tc>
          <w:tcPr>
            <w:tcW w:w="100" w:type="dxa"/>
            <w:vAlign w:val="bottom"/>
          </w:tcPr>
          <w:p>
            <w:pPr>
              <w:spacing w:after="0"/>
              <w:rPr>
                <w:sz w:val="18"/>
                <w:szCs w:val="18"/>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issuance under</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options, warrants</w:t>
            </w: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equity</w:t>
            </w:r>
          </w:p>
        </w:tc>
      </w:tr>
      <w:tr>
        <w:trPr>
          <w:trHeight w:val="234"/>
        </w:trPr>
        <w:tc>
          <w:tcPr>
            <w:tcW w:w="2400" w:type="dxa"/>
            <w:vAlign w:val="bottom"/>
          </w:tcPr>
          <w:p>
            <w:pPr>
              <w:spacing w:after="0"/>
              <w:rPr>
                <w:sz w:val="20"/>
                <w:szCs w:val="20"/>
                <w:color w:val="auto"/>
              </w:rPr>
            </w:pPr>
          </w:p>
        </w:tc>
        <w:tc>
          <w:tcPr>
            <w:tcW w:w="3580" w:type="dxa"/>
            <w:vAlign w:val="bottom"/>
            <w:gridSpan w:val="5"/>
          </w:tcPr>
          <w:p>
            <w:pPr>
              <w:spacing w:after="0"/>
              <w:rPr>
                <w:sz w:val="20"/>
                <w:szCs w:val="20"/>
                <w:color w:val="auto"/>
              </w:rPr>
            </w:pPr>
            <w:r>
              <w:rPr>
                <w:rFonts w:ascii="Arial" w:cs="Arial" w:eastAsia="Arial" w:hAnsi="Arial"/>
                <w:sz w:val="18"/>
                <w:szCs w:val="18"/>
                <w:b w:val="1"/>
                <w:bCs w:val="1"/>
                <w:color w:val="auto"/>
              </w:rPr>
              <w:t>Plan category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and rights</w:t>
            </w: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warrants and rights</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r>
      <w:tr>
        <w:trPr>
          <w:trHeight w:val="210"/>
        </w:trPr>
        <w:tc>
          <w:tcPr>
            <w:tcW w:w="5860" w:type="dxa"/>
            <w:vAlign w:val="bottom"/>
            <w:tcBorders>
              <w:top w:val="single" w:sz="8" w:color="auto"/>
            </w:tcBorders>
            <w:gridSpan w:val="5"/>
            <w:shd w:val="clear" w:color="auto" w:fill="EEEEE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11,167,329</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2,661,330</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980" w:type="dxa"/>
            <w:vAlign w:val="bottom"/>
            <w:gridSpan w:val="6"/>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4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auto"/>
              <w:bottom w:val="single" w:sz="8" w:color="auto"/>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11,167,329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2,661,330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400" w:type="dxa"/>
            <w:vAlign w:val="bottom"/>
          </w:tcPr>
          <w:p>
            <w:pPr>
              <w:spacing w:after="0"/>
              <w:rPr>
                <w:sz w:val="24"/>
                <w:szCs w:val="24"/>
                <w:color w:val="auto"/>
              </w:rPr>
            </w:pPr>
          </w:p>
        </w:tc>
        <w:tc>
          <w:tcPr>
            <w:tcW w:w="7160" w:type="dxa"/>
            <w:vAlign w:val="bottom"/>
            <w:gridSpan w:val="13"/>
          </w:tcPr>
          <w:p>
            <w:pPr>
              <w:ind w:left="94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8"/>
                <w:szCs w:val="18"/>
                <w:color w:val="auto"/>
              </w:rPr>
            </w:pPr>
          </w:p>
        </w:tc>
        <w:tc>
          <w:tcPr>
            <w:tcW w:w="1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Average Price Paid</w:t>
            </w: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400" w:type="dxa"/>
            <w:vAlign w:val="bottom"/>
          </w:tcPr>
          <w:p>
            <w:pPr>
              <w:ind w:left="1680"/>
              <w:spacing w:after="0"/>
              <w:rPr>
                <w:sz w:val="20"/>
                <w:szCs w:val="20"/>
                <w:color w:val="auto"/>
              </w:rPr>
            </w:pPr>
            <w:r>
              <w:rPr>
                <w:rFonts w:ascii="Arial" w:cs="Arial" w:eastAsia="Arial" w:hAnsi="Arial"/>
                <w:sz w:val="18"/>
                <w:szCs w:val="18"/>
                <w:b w:val="1"/>
                <w:bCs w:val="1"/>
                <w:color w:val="auto"/>
                <w:w w:val="89"/>
              </w:rPr>
              <w:t>Period(1)</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Programs(2)</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Programs</w:t>
            </w:r>
          </w:p>
        </w:tc>
      </w:tr>
      <w:tr>
        <w:trPr>
          <w:trHeight w:val="210"/>
        </w:trPr>
        <w:tc>
          <w:tcPr>
            <w:tcW w:w="2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October 2022</w:t>
            </w:r>
          </w:p>
        </w:tc>
        <w:tc>
          <w:tcPr>
            <w:tcW w:w="16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315,800</w:t>
            </w: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315,800</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10,863,384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November 2022</w:t>
            </w:r>
          </w:p>
        </w:tc>
        <w:tc>
          <w:tcPr>
            <w:tcW w:w="3460" w:type="dxa"/>
            <w:vAlign w:val="bottom"/>
            <w:gridSpan w:val="4"/>
          </w:tcPr>
          <w:p>
            <w:pPr>
              <w:jc w:val="right"/>
              <w:ind w:right="80"/>
              <w:spacing w:after="0"/>
              <w:rPr>
                <w:sz w:val="20"/>
                <w:szCs w:val="20"/>
                <w:color w:val="auto"/>
              </w:rPr>
            </w:pPr>
            <w:r>
              <w:rPr>
                <w:rFonts w:ascii="Arial" w:cs="Arial" w:eastAsia="Arial" w:hAnsi="Arial"/>
                <w:sz w:val="18"/>
                <w:szCs w:val="18"/>
                <w:color w:val="auto"/>
              </w:rPr>
              <w:t>178,611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178,611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9,460,731</w:t>
            </w:r>
          </w:p>
        </w:tc>
      </w:tr>
      <w:tr>
        <w:trPr>
          <w:trHeight w:val="230"/>
        </w:trPr>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December 2022</w:t>
            </w:r>
          </w:p>
        </w:tc>
        <w:tc>
          <w:tcPr>
            <w:tcW w:w="34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135,552</w:t>
            </w:r>
          </w:p>
        </w:tc>
        <w:tc>
          <w:tcPr>
            <w:tcW w:w="1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135,552</w:t>
            </w: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8,342,529</w:t>
            </w: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629,963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260" w:hanging="252"/>
        <w:spacing w:after="0" w:line="253" w:lineRule="auto"/>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board of directors authorized the purchase of $5.0 million, $10 million and $20 million of our outstanding securities in January, March and July 2022, respectively. Through December 31, 2022, our board of directors had authorized the purchase of up to $123.2 million of our outstanding securities, which program was first announced in our annual report for the year 2002, filed on March 26, 2003. All purchases described in the table above were under the plan announced in March 2003, which has no fixed expiration date. As of December 31, 2022, we have purchased $109.9 million of our common stock representing 22,903,866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We were incorporated and began our operations in March 1991. From inception through December 31, 2022, we have originated a total of approximately $20.0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Contract purchase volumes and managed portfolio levels for the five years ended December 31, 2022 are shown in the table below. Managed portfolio comprises both contracts we owned and those we were servicing for third parties.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60" w:type="dxa"/>
            <w:vAlign w:val="bottom"/>
            <w:gridSpan w:val="5"/>
          </w:tcPr>
          <w:p>
            <w:pPr>
              <w:ind w:left="14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2"/>
              </w:rPr>
              <w:t>Contracts Purchased</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60" w:type="dxa"/>
            <w:vAlign w:val="bottom"/>
          </w:tcPr>
          <w:p>
            <w:pPr>
              <w:spacing w:after="0"/>
              <w:rPr>
                <w:sz w:val="16"/>
                <w:szCs w:val="16"/>
                <w:color w:val="auto"/>
              </w:rPr>
            </w:pPr>
          </w:p>
        </w:tc>
      </w:tr>
      <w:tr>
        <w:trPr>
          <w:trHeight w:val="234"/>
        </w:trPr>
        <w:tc>
          <w:tcPr>
            <w:tcW w:w="2160" w:type="dxa"/>
            <w:vAlign w:val="bottom"/>
          </w:tcPr>
          <w:p>
            <w:pPr>
              <w:ind w:left="90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ind w:right="650"/>
              <w:spacing w:after="0"/>
              <w:rPr>
                <w:sz w:val="20"/>
                <w:szCs w:val="20"/>
                <w:color w:val="auto"/>
              </w:rPr>
            </w:pPr>
            <w:r>
              <w:rPr>
                <w:rFonts w:ascii="Arial" w:cs="Arial" w:eastAsia="Arial" w:hAnsi="Arial"/>
                <w:sz w:val="18"/>
                <w:szCs w:val="18"/>
                <w:b w:val="1"/>
                <w:bCs w:val="1"/>
                <w:color w:val="auto"/>
              </w:rPr>
              <w:t>in Period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2160" w:type="dxa"/>
            <w:vAlign w:val="bottom"/>
            <w:tcBorders>
              <w:top w:val="single" w:sz="8" w:color="auto"/>
            </w:tcBorders>
            <w:shd w:val="clear" w:color="auto" w:fill="EEEEEE"/>
          </w:tcPr>
          <w:p>
            <w:pPr>
              <w:ind w:left="90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2160" w:type="dxa"/>
            <w:vAlign w:val="bottom"/>
          </w:tcPr>
          <w:p>
            <w:pPr>
              <w:ind w:left="90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1,002,782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2,416,042</w:t>
            </w:r>
          </w:p>
        </w:tc>
        <w:tc>
          <w:tcPr>
            <w:tcW w:w="60" w:type="dxa"/>
            <w:vAlign w:val="bottom"/>
          </w:tcPr>
          <w:p>
            <w:pPr>
              <w:spacing w:after="0"/>
              <w:rPr>
                <w:sz w:val="18"/>
                <w:szCs w:val="18"/>
                <w:color w:val="auto"/>
              </w:rPr>
            </w:pPr>
          </w:p>
        </w:tc>
      </w:tr>
      <w:tr>
        <w:trPr>
          <w:trHeight w:val="216"/>
        </w:trPr>
        <w:tc>
          <w:tcPr>
            <w:tcW w:w="2160" w:type="dxa"/>
            <w:vAlign w:val="bottom"/>
            <w:shd w:val="clear" w:color="auto" w:fill="EEEEEE"/>
          </w:tcPr>
          <w:p>
            <w:pPr>
              <w:ind w:left="90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742,584</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2,174,972</w:t>
            </w:r>
          </w:p>
        </w:tc>
        <w:tc>
          <w:tcPr>
            <w:tcW w:w="60" w:type="dxa"/>
            <w:vAlign w:val="bottom"/>
            <w:shd w:val="clear" w:color="auto" w:fill="EEEEEE"/>
          </w:tcPr>
          <w:p>
            <w:pPr>
              <w:spacing w:after="0"/>
              <w:rPr>
                <w:sz w:val="18"/>
                <w:szCs w:val="18"/>
                <w:color w:val="auto"/>
              </w:rPr>
            </w:pPr>
          </w:p>
        </w:tc>
      </w:tr>
      <w:tr>
        <w:trPr>
          <w:trHeight w:val="216"/>
        </w:trPr>
        <w:tc>
          <w:tcPr>
            <w:tcW w:w="2160" w:type="dxa"/>
            <w:vAlign w:val="bottom"/>
          </w:tcPr>
          <w:p>
            <w:pPr>
              <w:ind w:left="90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1,146,321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2,249,069</w:t>
            </w:r>
          </w:p>
        </w:tc>
        <w:tc>
          <w:tcPr>
            <w:tcW w:w="60" w:type="dxa"/>
            <w:vAlign w:val="bottom"/>
          </w:tcPr>
          <w:p>
            <w:pPr>
              <w:spacing w:after="0"/>
              <w:rPr>
                <w:sz w:val="18"/>
                <w:szCs w:val="18"/>
                <w:color w:val="auto"/>
              </w:rPr>
            </w:pPr>
          </w:p>
        </w:tc>
      </w:tr>
      <w:tr>
        <w:trPr>
          <w:trHeight w:val="216"/>
        </w:trPr>
        <w:tc>
          <w:tcPr>
            <w:tcW w:w="2160" w:type="dxa"/>
            <w:vAlign w:val="bottom"/>
            <w:shd w:val="clear" w:color="auto" w:fill="EEEEEE"/>
          </w:tcPr>
          <w:p>
            <w:pPr>
              <w:ind w:left="90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1,854,385</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3,001,308</w:t>
            </w:r>
          </w:p>
        </w:tc>
        <w:tc>
          <w:tcPr>
            <w:tcW w:w="6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2022, most of our staff were working without a significant impact from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Since 1994 we have conducted 95 term securitizations of automobile contracts that we originated under our regular programs. As of December 31, 2022, 19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40" w:type="dxa"/>
            <w:vAlign w:val="bottom"/>
            <w:gridSpan w:val="6"/>
          </w:tcPr>
          <w:p>
            <w:pPr>
              <w:jc w:val="right"/>
              <w:ind w:right="1370"/>
              <w:spacing w:after="0"/>
              <w:rPr>
                <w:sz w:val="20"/>
                <w:szCs w:val="20"/>
                <w:color w:val="auto"/>
              </w:rPr>
            </w:pPr>
            <w:r>
              <w:rPr>
                <w:rFonts w:ascii="Arial" w:cs="Arial" w:eastAsia="Arial" w:hAnsi="Arial"/>
                <w:sz w:val="18"/>
                <w:szCs w:val="18"/>
                <w:b w:val="1"/>
                <w:bCs w:val="1"/>
                <w:color w:val="auto"/>
                <w:w w:val="91"/>
              </w:rPr>
              <w:t>Recent Asset-Backed Term Securitizations</w:t>
            </w:r>
          </w:p>
        </w:tc>
        <w:tc>
          <w:tcPr>
            <w:tcW w:w="2520" w:type="dxa"/>
            <w:vAlign w:val="bottom"/>
          </w:tcPr>
          <w:p>
            <w:pPr>
              <w:spacing w:after="0"/>
              <w:rPr>
                <w:sz w:val="20"/>
                <w:szCs w:val="20"/>
                <w:color w:val="auto"/>
              </w:rPr>
            </w:pPr>
          </w:p>
        </w:tc>
      </w:tr>
      <w:tr>
        <w:trPr>
          <w:trHeight w:val="445"/>
        </w:trPr>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i w:val="1"/>
                <w:iCs w:val="1"/>
                <w:color w:val="auto"/>
                <w:w w:val="90"/>
              </w:rPr>
              <w:t>$ in thousands</w:t>
            </w:r>
          </w:p>
        </w:tc>
        <w:tc>
          <w:tcPr>
            <w:tcW w:w="15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191"/>
        </w:trPr>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w w:val="99"/>
              </w:rPr>
              <w:t>Amount of</w:t>
            </w:r>
          </w:p>
        </w:tc>
        <w:tc>
          <w:tcPr>
            <w:tcW w:w="2520" w:type="dxa"/>
            <w:vAlign w:val="bottom"/>
          </w:tcPr>
          <w:p>
            <w:pPr>
              <w:spacing w:after="0"/>
              <w:rPr>
                <w:sz w:val="16"/>
                <w:szCs w:val="16"/>
                <w:color w:val="auto"/>
              </w:rPr>
            </w:pPr>
          </w:p>
        </w:tc>
      </w:tr>
      <w:tr>
        <w:trPr>
          <w:trHeight w:val="234"/>
        </w:trPr>
        <w:tc>
          <w:tcPr>
            <w:tcW w:w="2540" w:type="dxa"/>
            <w:vAlign w:val="bottom"/>
          </w:tcPr>
          <w:p>
            <w:pPr>
              <w:spacing w:after="0"/>
              <w:rPr>
                <w:sz w:val="20"/>
                <w:szCs w:val="20"/>
                <w:color w:val="auto"/>
              </w:rPr>
            </w:pPr>
          </w:p>
        </w:tc>
        <w:tc>
          <w:tcPr>
            <w:tcW w:w="134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Period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w w:val="90"/>
              </w:rPr>
              <w:t>Receivables</w:t>
            </w:r>
          </w:p>
        </w:tc>
        <w:tc>
          <w:tcPr>
            <w:tcW w:w="2520" w:type="dxa"/>
            <w:vAlign w:val="bottom"/>
          </w:tcPr>
          <w:p>
            <w:pPr>
              <w:spacing w:after="0"/>
              <w:rPr>
                <w:sz w:val="20"/>
                <w:szCs w:val="20"/>
                <w:color w:val="auto"/>
              </w:rPr>
            </w:pPr>
          </w:p>
        </w:tc>
      </w:tr>
      <w:tr>
        <w:trPr>
          <w:trHeight w:val="210"/>
        </w:trPr>
        <w:tc>
          <w:tcPr>
            <w:tcW w:w="2540" w:type="dxa"/>
            <w:vAlign w:val="bottom"/>
          </w:tcPr>
          <w:p>
            <w:pPr>
              <w:spacing w:after="0"/>
              <w:rPr>
                <w:sz w:val="18"/>
                <w:szCs w:val="18"/>
                <w:color w:val="auto"/>
              </w:rPr>
            </w:pPr>
          </w:p>
        </w:tc>
        <w:tc>
          <w:tcPr>
            <w:tcW w:w="1340" w:type="dxa"/>
            <w:vAlign w:val="bottom"/>
            <w:tcBorders>
              <w:top w:val="single" w:sz="8" w:color="auto"/>
            </w:tcBorders>
            <w:shd w:val="clear" w:color="auto" w:fill="EEEEEE"/>
          </w:tcPr>
          <w:p>
            <w:pPr>
              <w:jc w:val="center"/>
              <w:ind w:left="490"/>
              <w:spacing w:after="0"/>
              <w:rPr>
                <w:sz w:val="20"/>
                <w:szCs w:val="20"/>
                <w:color w:val="auto"/>
              </w:rPr>
            </w:pPr>
            <w:r>
              <w:rPr>
                <w:rFonts w:ascii="Arial" w:cs="Arial" w:eastAsia="Arial" w:hAnsi="Arial"/>
                <w:sz w:val="18"/>
                <w:szCs w:val="18"/>
                <w:color w:val="auto"/>
                <w:w w:val="89"/>
              </w:rPr>
              <w:t>2016</w:t>
            </w: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auto"/>
            </w:tcBorders>
            <w:shd w:val="clear" w:color="auto" w:fill="EEEEEE"/>
          </w:tcPr>
          <w:p>
            <w:pPr>
              <w:ind w:left="96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1,214,997</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tcPr>
          <w:p>
            <w:pPr>
              <w:jc w:val="center"/>
              <w:ind w:left="490"/>
              <w:spacing w:after="0"/>
              <w:rPr>
                <w:sz w:val="20"/>
                <w:szCs w:val="20"/>
                <w:color w:val="auto"/>
              </w:rPr>
            </w:pPr>
            <w:r>
              <w:rPr>
                <w:rFonts w:ascii="Arial" w:cs="Arial" w:eastAsia="Arial" w:hAnsi="Arial"/>
                <w:sz w:val="18"/>
                <w:szCs w:val="18"/>
                <w:color w:val="auto"/>
                <w:w w:val="89"/>
              </w:rPr>
              <w:t>2017</w:t>
            </w:r>
          </w:p>
        </w:tc>
        <w:tc>
          <w:tcPr>
            <w:tcW w:w="2720" w:type="dxa"/>
            <w:vAlign w:val="bottom"/>
            <w:gridSpan w:val="3"/>
          </w:tcPr>
          <w:p>
            <w:pPr>
              <w:ind w:left="16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870,000</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9"/>
              </w:rPr>
              <w:t>2018</w:t>
            </w:r>
          </w:p>
        </w:tc>
        <w:tc>
          <w:tcPr>
            <w:tcW w:w="2720" w:type="dxa"/>
            <w:vAlign w:val="bottom"/>
            <w:gridSpan w:val="3"/>
            <w:shd w:val="clear" w:color="auto" w:fill="EEEEEE"/>
          </w:tcPr>
          <w:p>
            <w:pPr>
              <w:ind w:left="16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883,452</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tcPr>
          <w:p>
            <w:pPr>
              <w:jc w:val="center"/>
              <w:ind w:left="490"/>
              <w:spacing w:after="0"/>
              <w:rPr>
                <w:sz w:val="20"/>
                <w:szCs w:val="20"/>
                <w:color w:val="auto"/>
              </w:rPr>
            </w:pPr>
            <w:r>
              <w:rPr>
                <w:rFonts w:ascii="Arial" w:cs="Arial" w:eastAsia="Arial" w:hAnsi="Arial"/>
                <w:sz w:val="18"/>
                <w:szCs w:val="18"/>
                <w:color w:val="auto"/>
                <w:w w:val="89"/>
              </w:rPr>
              <w:t>2019</w:t>
            </w:r>
          </w:p>
        </w:tc>
        <w:tc>
          <w:tcPr>
            <w:tcW w:w="2720" w:type="dxa"/>
            <w:vAlign w:val="bottom"/>
            <w:gridSpan w:val="3"/>
          </w:tcPr>
          <w:p>
            <w:pPr>
              <w:ind w:left="16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1,014,124</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9"/>
              </w:rPr>
              <w:t>2020</w:t>
            </w:r>
          </w:p>
        </w:tc>
        <w:tc>
          <w:tcPr>
            <w:tcW w:w="2720" w:type="dxa"/>
            <w:vAlign w:val="bottom"/>
            <w:gridSpan w:val="3"/>
            <w:shd w:val="clear" w:color="auto" w:fill="EEEEEE"/>
          </w:tcPr>
          <w:p>
            <w:pPr>
              <w:ind w:left="16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741,867</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tcPr>
          <w:p>
            <w:pPr>
              <w:jc w:val="center"/>
              <w:ind w:left="490"/>
              <w:spacing w:after="0"/>
              <w:rPr>
                <w:sz w:val="20"/>
                <w:szCs w:val="20"/>
                <w:color w:val="auto"/>
              </w:rPr>
            </w:pPr>
            <w:r>
              <w:rPr>
                <w:rFonts w:ascii="Arial" w:cs="Arial" w:eastAsia="Arial" w:hAnsi="Arial"/>
                <w:sz w:val="18"/>
                <w:szCs w:val="18"/>
                <w:color w:val="auto"/>
                <w:w w:val="89"/>
              </w:rPr>
              <w:t>2021</w:t>
            </w:r>
          </w:p>
        </w:tc>
        <w:tc>
          <w:tcPr>
            <w:tcW w:w="2720" w:type="dxa"/>
            <w:vAlign w:val="bottom"/>
            <w:gridSpan w:val="3"/>
          </w:tcPr>
          <w:p>
            <w:pPr>
              <w:ind w:left="16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1,145,002</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9"/>
              </w:rPr>
              <w:t>2022</w:t>
            </w:r>
          </w:p>
        </w:tc>
        <w:tc>
          <w:tcPr>
            <w:tcW w:w="2720" w:type="dxa"/>
            <w:vAlign w:val="bottom"/>
            <w:gridSpan w:val="3"/>
            <w:shd w:val="clear" w:color="auto" w:fill="EEEEEE"/>
          </w:tcPr>
          <w:p>
            <w:pPr>
              <w:ind w:left="16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1,537,383</w:t>
            </w:r>
          </w:p>
        </w:tc>
        <w:tc>
          <w:tcPr>
            <w:tcW w:w="2520" w:type="dxa"/>
            <w:vAlign w:val="bottom"/>
          </w:tcPr>
          <w:p>
            <w:pPr>
              <w:spacing w:after="0"/>
              <w:rPr>
                <w:sz w:val="18"/>
                <w:szCs w:val="18"/>
                <w:color w:val="auto"/>
              </w:rPr>
            </w:pPr>
          </w:p>
        </w:tc>
      </w:tr>
      <w:tr>
        <w:trPr>
          <w:trHeight w:val="864"/>
        </w:trPr>
        <w:tc>
          <w:tcPr>
            <w:tcW w:w="2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ind w:left="166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7" w:name="page38"/>
    <w:bookmarkEnd w:id="37"/>
    <w:p>
      <w:pPr>
        <w:jc w:val="both"/>
        <w:ind w:firstLine="162"/>
        <w:spacing w:after="0" w:line="259"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$400 million, comprising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November 2015, we entered into another $100 million facility. This facility was most recently renewed in February 2022, extending the revolving period to January 2024, followed by an amortization period to January 2026. In June 2022, we doubled the capacity for this facility from $100 million to $200 million.</w:t>
      </w:r>
    </w:p>
    <w:p>
      <w:pPr>
        <w:spacing w:after="0" w:line="18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previously had a third facility. This $100 million facility was established in April 2015 and was renewed in April 2017 and again in February 2019, extending the revolving period to February 2021. We repaid this facility in full at its maturity in February 2021 and elected not to renew it.</w:t>
      </w:r>
    </w:p>
    <w:p>
      <w:pPr>
        <w:spacing w:after="0" w:line="14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believe that our accounting policies related to (a) Finance Receivables at Fair Value, (b) Allowance for Finance Credit Losses, (c) Term Securitizations, (d) Accrual for Contingent Liabilities and (e) Income Taxes are the most critical to understanding and evaluating our reported financial results. Such policies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Results for the year ended December 31, 2022 included a $15.3 million mark to the carrying value of the portion of the receivables portfolio accounted for at fair value. The mark-up was the result of lower than expected losses during the period as our previous estimates for higher losses due to the pandemic had not materialized.</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the fourth quarter of 2022, our re-evaluation of the fair values of these receivables resulted in a positive mark for certain older receivables and a negative mark to the fair values of newer receivables that largely offset each other. As a result, on a net basis, no mark was taken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ind w:firstLine="13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4"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generally do not lower the contractual interest rate or waive or forgive principal when our borrowers incur financial difficulty on either a temporary or permanent basis. An exception to this policy is when a court order mandates the terms of the contract to be modified, such as in a Chapter 13 bankruptcy proceeding. In such cases, which represent an immaterial portion of our portfolio of finance receivables, we have estimated the amount of impairment that results from such modification and established an appropriate allowance within our Allowance for Finance Credit Losses.</w:t>
      </w:r>
    </w:p>
    <w:p>
      <w:pPr>
        <w:spacing w:after="0" w:line="157"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firstLine="130"/>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79" w:lineRule="exact"/>
        <w:rPr>
          <w:sz w:val="20"/>
          <w:szCs w:val="20"/>
          <w:color w:val="auto"/>
        </w:rPr>
      </w:pPr>
    </w:p>
    <w:p>
      <w:pPr>
        <w:jc w:val="both"/>
        <w:ind w:firstLine="130"/>
        <w:spacing w:after="0" w:line="342" w:lineRule="auto"/>
        <w:rPr>
          <w:sz w:val="20"/>
          <w:szCs w:val="20"/>
          <w:color w:val="auto"/>
        </w:rPr>
      </w:pPr>
      <w:r>
        <w:rPr>
          <w:rFonts w:ascii="Arial" w:cs="Arial" w:eastAsia="Arial" w:hAnsi="Arial"/>
          <w:sz w:val="16"/>
          <w:szCs w:val="16"/>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24"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5"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8"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have recorded a liability as of December 31, 2022,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2022, and in excess of the liability we have recorded, does not exceed $11.2 million.</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4"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7"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depend upon the availability of warehouse credit facilities and access to long-term financing through the issuance of asset-backed securities collateralized by our automobile contracts. Since 1994, we have completed 95 term securitizations of approximately $17.7 billion in contracts.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four securitizations in each of 2021 and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2022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2022 with the year ended December 31, 2021</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year ended December 31, 2022, our revenues were $329.7 million, an increase of $61.9 million, or 23.1%,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of $267.8 million. The primary reason for the increase in revenues is the increase in interest income resulting from the increase in the average outstanding balance of finance receivables measured at fair value. In addition, mark ups to the finance receivables measured at fair value also contributed to the increase in revenues during the year. Revenues for the year ended December 31, 2022 include a $15.3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Results for the nine-month period ended September 30, 2022 included the $15.3 million mark to the carrying value of the portion of the receivables portfolio accounted for at fair value. The mark-up was the result of lower than expected losses during the period as our previous estimates for higher losses due to the pandemic had not materialized. In the fourth quarter of 2022, our re-evaluation of the fair values of these receivables resulted in a positive mark for certain older receivables and a negative mark to the fair values of newer receivables that largely offset each other. As a result, on a net basis, no mark was taken in the fourth quarter of 2022. Revenues for the prior year period include a $4.4 million mark down to the fair value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 ended December 31, 2021 include a $4.4 million mark down to the fair value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for the year ended December 31, 2022 increased $39.0 million, or 14.6%, to $305.2 million from $266.2 million in the prior year. The primary reason for the increase in interest income is the 32.5% increase in the average balance of finance receivables measured at fair value over the prior year period. The table below shows the outstanding and average balances of our portfolio held by consolidated subsidiaries for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7"/>
              </w:rPr>
              <w:t>Year Ended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150,919</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36,616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345,021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69,805</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2,388,191</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268,621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1,802,590</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196,461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2,539,110</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305,237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2,147,611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266,266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was $9.2 million for the year ended December 31, 2022 compared to $6.0 million for the year ended December 31, 2021. This 54.1% increase was primarily driven by the increase in origination and servicing fees we earned from third party receivables that we began originating in May 2021. These fees were $6.8 million for the year ended December 31, 2022 and $1.3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Total operating expenses were $213.5 million for the year ended December 31, 2021, compared to $202.1 million for the prior year, an increase of $11.5 million, or 5.7%. The increase is primarily due to increases in interest expense, sales expense, employee costs and general and administrative expenses. Reductions in provisions for credit losses offset some of the increase in operating expenses.</w:t>
      </w:r>
    </w:p>
    <w:p>
      <w:pPr>
        <w:spacing w:after="0" w:line="18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Employee costs increased by $3.7 million or 4.7%, to $84.3 million during the year ended December 31, 2022, representing 39.5% of total operating expenses. Employee costs were $80.5 million in the prior year, or 39.9% of total operating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summarizes our employees by category as well as contract purchases and units in our managed portfolio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2022</w:t>
            </w: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December 31, 2021</w:t>
            </w:r>
          </w:p>
        </w:tc>
      </w:tr>
      <w:tr>
        <w:trPr>
          <w:trHeight w:val="209"/>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gridSpan w:val="2"/>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7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1,854.4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1,146.3</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81,935</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54,317</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7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2,795.4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2,249.1</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180,795</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156,280</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r>
      <w:tr>
        <w:trPr>
          <w:trHeight w:val="229"/>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4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88</w:t>
            </w:r>
          </w:p>
        </w:tc>
        <w:tc>
          <w:tcPr>
            <w:tcW w:w="4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$37.6 million, an increase of $3.0 million, or 8.7%, compared to the previous year and represented 17.6%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162"/>
        <w:spacing w:after="0" w:line="263" w:lineRule="auto"/>
        <w:rPr>
          <w:sz w:val="20"/>
          <w:szCs w:val="20"/>
          <w:color w:val="auto"/>
        </w:rPr>
      </w:pPr>
      <w:r>
        <w:rPr>
          <w:rFonts w:ascii="Arial" w:cs="Arial" w:eastAsia="Arial" w:hAnsi="Arial"/>
          <w:sz w:val="18"/>
          <w:szCs w:val="18"/>
          <w:color w:val="auto"/>
        </w:rPr>
        <w:t>Interest expense for the year ended December 31, 2022 increased by $12.3 million to $87.5 million, or 16.3%, compared to $75.2 million in the previous year. Interest expense represented 41.0% of total operating expenses in 2022. The primary reason for the increase in interest expense is the increase in interest expense on our warehouse lines of credit and securitization trust debt.</w:t>
      </w:r>
    </w:p>
    <w:p>
      <w:pPr>
        <w:spacing w:after="0" w:line="18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Interest on securitization trust debt increased by $6.2 million, or 9.7%, for the year ended December 31, 2022 compared to the prior year. The average balance of securitization trust debt increased 11.0% to $2,020.0 million for the year ended December 31, 2022 compared to $1,819.9 million for the year ended December 31, 2021. The blended interest rates on new term securitizations have increased in 2022 after decreasing in 2021.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5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3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2019</w:t>
            </w:r>
          </w:p>
        </w:tc>
        <w:tc>
          <w:tcPr>
            <w:tcW w:w="140" w:type="dxa"/>
            <w:vAlign w:val="bottom"/>
            <w:tcBorders>
              <w:top w:val="single" w:sz="8" w:color="EEEEEE"/>
            </w:tcBorders>
            <w:shd w:val="clear" w:color="auto" w:fill="EEEEEE"/>
          </w:tcPr>
          <w:p>
            <w:pPr>
              <w:spacing w:after="0"/>
              <w:rPr>
                <w:sz w:val="18"/>
                <w:szCs w:val="18"/>
                <w:color w:val="auto"/>
              </w:rPr>
            </w:pPr>
          </w:p>
        </w:tc>
        <w:tc>
          <w:tcPr>
            <w:tcW w:w="3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April 2019</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July 2019</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2019</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January 2020</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2020</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September 2020</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2021</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April 2021</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2021</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October 2021</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2.09%</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2022</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2.54%</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April 2022</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4.83%</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2022</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6.02%</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October 2022</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8.48%</w:t>
            </w: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annualized average rate on our securitization trust debt was 3.5% for the years ended December 31, 2022 and 2021.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Interest expense on warehouse lines of credit was $10.3 million for the year ended December 31, 2022 compared to $4.4 million in the prior year. Lower rates were offset by higher utilization of our credit lines during the year compared to last year. The average balance of our warehouse debt was $130.1 million during 2022 compared to $51.3 million in 2021.</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on residual interest financing was $4.2 million in the year ended December 31, 2022 compared to $3.8 million in the prior year as the average balance has increased.</w:t>
      </w:r>
    </w:p>
    <w:p>
      <w:pPr>
        <w:spacing w:after="0" w:line="170"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Interest expense on our subordinated renewable notes decreased by $297,000, or 11.3%, for the year ended December 31, 2022 compared to the prior year. The average balance of the notes increased from $25.3 million in the prior year to $26.8 million for the year ended December 31, 2022. The average interest rate on our subordinated notes decreased to 8.7% for the year ended December 31, 2022 from 10.5% for the year ended December 31, 2021.</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ind w:firstLine="162"/>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2"/>
              </w:rPr>
              <w:t>Year Ended 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520"/>
              <w:spacing w:after="0" w:line="191" w:lineRule="exact"/>
              <w:rPr>
                <w:sz w:val="20"/>
                <w:szCs w:val="20"/>
                <w:color w:val="auto"/>
              </w:rPr>
            </w:pPr>
            <w:r>
              <w:rPr>
                <w:rFonts w:ascii="Arial" w:cs="Arial" w:eastAsia="Arial" w:hAnsi="Arial"/>
                <w:sz w:val="18"/>
                <w:szCs w:val="18"/>
                <w:b w:val="1"/>
                <w:bCs w:val="1"/>
                <w:color w:val="auto"/>
                <w:w w:val="99"/>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Interest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Yield/Rate</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Balance (1)</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90"/>
        </w:trPr>
        <w:tc>
          <w:tcPr>
            <w:tcW w:w="88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Arial" w:cs="Arial" w:eastAsia="Arial" w:hAnsi="Arial"/>
                <w:sz w:val="18"/>
                <w:szCs w:val="18"/>
                <w:b w:val="1"/>
                <w:bCs w:val="1"/>
                <w:color w:val="auto"/>
                <w:w w:val="89"/>
              </w:rPr>
              <w:t>Interest Earning Assets</w:t>
            </w:r>
          </w:p>
        </w:tc>
        <w:tc>
          <w:tcPr>
            <w:tcW w:w="112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8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8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150,919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36,616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345,021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69,805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2,388,191</w:t>
            </w:r>
          </w:p>
        </w:tc>
        <w:tc>
          <w:tcPr>
            <w:tcW w:w="1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268,621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1,802,590</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196,461</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2,539,110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305,237</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2,147,611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266,266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130,122</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10,311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51,313</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4,448</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50,488</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4,243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42,692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3,763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2,020,036</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70,626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1,819,914</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64,387</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25,270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37"/>
        </w:trPr>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2,227,452</w:t>
            </w: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87,524</w:t>
            </w:r>
          </w:p>
        </w:tc>
        <w:tc>
          <w:tcPr>
            <w:tcW w:w="24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1,939,189</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75,239</w:t>
            </w:r>
          </w:p>
        </w:tc>
        <w:tc>
          <w:tcPr>
            <w:tcW w:w="220" w:type="dxa"/>
            <w:vAlign w:val="bottom"/>
            <w:vMerge w:val="continue"/>
            <w:shd w:val="clear" w:color="auto" w:fill="EEEEEE"/>
          </w:tcPr>
          <w:p>
            <w:pPr>
              <w:spacing w:after="0"/>
              <w:rPr>
                <w:sz w:val="20"/>
                <w:szCs w:val="20"/>
                <w:color w:val="auto"/>
              </w:rPr>
            </w:pPr>
          </w:p>
        </w:tc>
        <w:tc>
          <w:tcPr>
            <w:tcW w:w="110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217,713</w:t>
            </w:r>
          </w:p>
        </w:tc>
        <w:tc>
          <w:tcPr>
            <w:tcW w:w="24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191,027</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spacing w:after="0"/>
              <w:rPr>
                <w:sz w:val="20"/>
                <w:szCs w:val="20"/>
                <w:color w:val="auto"/>
              </w:rPr>
            </w:pPr>
            <w:r>
              <w:rPr>
                <w:rFonts w:ascii="Arial" w:cs="Arial" w:eastAsia="Arial" w:hAnsi="Arial"/>
                <w:sz w:val="18"/>
                <w:szCs w:val="18"/>
                <w:color w:val="auto"/>
              </w:rPr>
              <w:t>Net interest margin (3)</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97"/>
        </w:trPr>
        <w:tc>
          <w:tcPr>
            <w:tcW w:w="39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 assets to average</w:t>
            </w: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287"/>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40" w:hanging="307"/>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 2022</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89"/>
              </w:rPr>
              <w:t>Compared to December 31, 2021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820"/>
              <w:spacing w:after="0" w:line="191"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16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280" w:type="dxa"/>
            <w:vAlign w:val="bottom"/>
          </w:tcPr>
          <w:p>
            <w:pPr>
              <w:spacing w:after="0"/>
              <w:rPr>
                <w:sz w:val="16"/>
                <w:szCs w:val="16"/>
                <w:color w:val="auto"/>
              </w:rPr>
            </w:pPr>
          </w:p>
        </w:tc>
        <w:tc>
          <w:tcPr>
            <w:tcW w:w="13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1"/>
              </w:rPr>
              <w:t>Change Due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Volume</w:t>
            </w:r>
          </w:p>
        </w:tc>
        <w:tc>
          <w:tcPr>
            <w:tcW w:w="28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720" w:type="dxa"/>
            <w:vAlign w:val="bottom"/>
            <w:gridSpan w:val="3"/>
            <w:shd w:val="clear" w:color="auto" w:fill="EEEEEE"/>
          </w:tcPr>
          <w:p>
            <w:pPr>
              <w:jc w:val="center"/>
              <w:ind w:right="940"/>
              <w:spacing w:after="0" w:line="176" w:lineRule="exact"/>
              <w:rPr>
                <w:sz w:val="20"/>
                <w:szCs w:val="20"/>
                <w:color w:val="auto"/>
              </w:rPr>
            </w:pPr>
            <w:r>
              <w:rPr>
                <w:rFonts w:ascii="Arial" w:cs="Arial" w:eastAsia="Arial" w:hAnsi="Arial"/>
                <w:sz w:val="18"/>
                <w:szCs w:val="18"/>
                <w:b w:val="1"/>
                <w:bCs w:val="1"/>
                <w:color w:val="auto"/>
                <w:w w:val="88"/>
              </w:rPr>
              <w:t>Interest Earning Assets</w:t>
            </w:r>
          </w:p>
        </w:tc>
        <w:tc>
          <w:tcPr>
            <w:tcW w:w="1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w w:val="96"/>
              </w:rPr>
              <w:t>Finance receivables gross</w:t>
            </w:r>
          </w:p>
        </w:tc>
        <w:tc>
          <w:tcPr>
            <w:tcW w:w="1780" w:type="dxa"/>
            <w:vAlign w:val="bottom"/>
            <w:tcBorders>
              <w:top w:val="single" w:sz="8" w:color="auto"/>
            </w:tcBorders>
          </w:tcPr>
          <w:p>
            <w:pPr>
              <w:spacing w:after="0"/>
              <w:rPr>
                <w:sz w:val="18"/>
                <w:szCs w:val="18"/>
                <w:color w:val="auto"/>
              </w:rPr>
            </w:pPr>
          </w:p>
        </w:tc>
        <w:tc>
          <w:tcPr>
            <w:tcW w:w="940" w:type="dxa"/>
            <w:vAlign w:val="bottom"/>
            <w:tcBorders>
              <w:top w:val="single" w:sz="8" w:color="EEEEEE"/>
            </w:tcBorders>
            <w:gridSpan w:val="2"/>
          </w:tcPr>
          <w:p>
            <w:pPr>
              <w:spacing w:after="0"/>
              <w:rPr>
                <w:sz w:val="18"/>
                <w:szCs w:val="18"/>
                <w:color w:val="auto"/>
              </w:rPr>
            </w:pPr>
          </w:p>
        </w:tc>
        <w:tc>
          <w:tcPr>
            <w:tcW w:w="1520" w:type="dxa"/>
            <w:vAlign w:val="bottom"/>
            <w:tcBorders>
              <w:top w:val="single" w:sz="8" w:color="EEEEEE"/>
            </w:tcBorders>
            <w:gridSpan w:val="2"/>
          </w:tcPr>
          <w:p>
            <w:pPr>
              <w:jc w:val="right"/>
              <w:ind w:right="147"/>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EEEEEE"/>
            </w:tcBorders>
            <w:gridSpan w:val="2"/>
          </w:tcPr>
          <w:p>
            <w:pPr>
              <w:jc w:val="right"/>
              <w:ind w:right="160"/>
              <w:spacing w:after="0"/>
              <w:rPr>
                <w:sz w:val="20"/>
                <w:szCs w:val="20"/>
                <w:color w:val="auto"/>
              </w:rPr>
            </w:pPr>
            <w:r>
              <w:rPr>
                <w:rFonts w:ascii="Arial" w:cs="Arial" w:eastAsia="Arial" w:hAnsi="Arial"/>
                <w:sz w:val="18"/>
                <w:szCs w:val="18"/>
                <w:color w:val="auto"/>
              </w:rPr>
              <w:t>(33,189)</w:t>
            </w:r>
          </w:p>
        </w:tc>
        <w:tc>
          <w:tcPr>
            <w:tcW w:w="16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EEEEEE"/>
            </w:tcBorders>
            <w:gridSpan w:val="2"/>
          </w:tcPr>
          <w:p>
            <w:pPr>
              <w:jc w:val="right"/>
              <w:ind w:right="140"/>
              <w:spacing w:after="0"/>
              <w:rPr>
                <w:sz w:val="20"/>
                <w:szCs w:val="20"/>
                <w:color w:val="auto"/>
              </w:rPr>
            </w:pPr>
            <w:r>
              <w:rPr>
                <w:rFonts w:ascii="Arial" w:cs="Arial" w:eastAsia="Arial" w:hAnsi="Arial"/>
                <w:sz w:val="18"/>
                <w:szCs w:val="18"/>
                <w:color w:val="auto"/>
              </w:rPr>
              <w:t>(39,271)</w:t>
            </w:r>
          </w:p>
        </w:tc>
        <w:tc>
          <w:tcPr>
            <w:tcW w:w="280" w:type="dxa"/>
            <w:vAlign w:val="bottom"/>
            <w:tcBorders>
              <w:top w:val="single" w:sz="8" w:color="EEEEEE"/>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30"/>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72,160</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63,824</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8,336</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24,553</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EEEEEE"/>
          </w:tcPr>
          <w:p>
            <w:pPr>
              <w:spacing w:after="0"/>
              <w:rPr>
                <w:sz w:val="17"/>
                <w:szCs w:val="17"/>
                <w:color w:val="auto"/>
              </w:rPr>
            </w:pPr>
          </w:p>
        </w:tc>
        <w:tc>
          <w:tcPr>
            <w:tcW w:w="2860" w:type="dxa"/>
            <w:vAlign w:val="bottom"/>
            <w:gridSpan w:val="4"/>
            <w:shd w:val="clear" w:color="auto" w:fill="EEEEEE"/>
          </w:tcPr>
          <w:p>
            <w:pPr>
              <w:jc w:val="center"/>
              <w:ind w:right="8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EEEEEE"/>
            </w:tcBorders>
          </w:tcPr>
          <w:p>
            <w:pPr>
              <w:spacing w:after="0"/>
              <w:rPr>
                <w:sz w:val="20"/>
                <w:szCs w:val="20"/>
                <w:color w:val="auto"/>
              </w:rPr>
            </w:pPr>
            <w:r>
              <w:rPr>
                <w:rFonts w:ascii="Arial" w:cs="Arial" w:eastAsia="Arial" w:hAnsi="Arial"/>
                <w:sz w:val="18"/>
                <w:szCs w:val="18"/>
                <w:color w:val="auto"/>
                <w:w w:val="92"/>
              </w:rPr>
              <w:t>Warehouse lines of credit</w:t>
            </w:r>
          </w:p>
        </w:tc>
        <w:tc>
          <w:tcPr>
            <w:tcW w:w="2060" w:type="dxa"/>
            <w:vAlign w:val="bottom"/>
            <w:tcBorders>
              <w:top w:val="single" w:sz="8" w:color="auto"/>
            </w:tcBorders>
            <w:gridSpan w:val="3"/>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5,863</w:t>
            </w:r>
          </w:p>
        </w:tc>
        <w:tc>
          <w:tcPr>
            <w:tcW w:w="16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6,831</w:t>
            </w:r>
          </w:p>
        </w:tc>
        <w:tc>
          <w:tcPr>
            <w:tcW w:w="280" w:type="dxa"/>
            <w:vAlign w:val="bottom"/>
            <w:tcBorders>
              <w:top w:val="single" w:sz="8" w:color="EEEEEE"/>
            </w:tcBorders>
          </w:tcPr>
          <w:p>
            <w:pPr>
              <w:spacing w:after="0"/>
              <w:rPr>
                <w:sz w:val="18"/>
                <w:szCs w:val="18"/>
                <w:color w:val="auto"/>
              </w:rPr>
            </w:pPr>
          </w:p>
        </w:tc>
        <w:tc>
          <w:tcPr>
            <w:tcW w:w="1400" w:type="dxa"/>
            <w:vAlign w:val="bottom"/>
            <w:tcBorders>
              <w:top w:val="single" w:sz="8" w:color="EEEEEE"/>
            </w:tcBorders>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7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6,239</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7,080</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5" w:name="page46"/>
    <w:bookmarkEnd w:id="45"/>
    <w:p>
      <w:pPr>
        <w:jc w:val="both"/>
        <w:ind w:firstLine="162"/>
        <w:spacing w:after="0" w:line="286" w:lineRule="auto"/>
        <w:rPr>
          <w:sz w:val="20"/>
          <w:szCs w:val="20"/>
          <w:color w:val="auto"/>
        </w:rPr>
      </w:pPr>
      <w:r>
        <w:rPr>
          <w:rFonts w:ascii="Arial" w:cs="Arial" w:eastAsia="Arial" w:hAnsi="Arial"/>
          <w:sz w:val="17"/>
          <w:szCs w:val="17"/>
          <w:color w:val="auto"/>
        </w:rPr>
        <w:t>The annualized yield on our finance receivables was 12.0% for 2022 compared to 12.4% in 2021. The interest yield on receivables measured at fair value is reduced to take account of expected losses and is therefore less than the yield on other finance receivables. The average balance of these fair value receivables was $2,388.2 million for the year ended December 31, 2022 compared to $1,802.6 million in the prior year period.</w:t>
      </w:r>
    </w:p>
    <w:p>
      <w:pPr>
        <w:spacing w:after="0" w:line="16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Codification Topic 326 -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For the year ended December 31, 2022, we recorded a reduction to provision for credit losses on finance receivables in the amount of $28.1 million compared to $14.6 million in 2021. The reserve decreases were primarily due to improved credit performance for these receivables.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increased by $6.2 million to $23.0 million during the year ended December 31, 2022 and represented 10.8% of total operating expenses. We purchased $1,854.4 million of new contracts during the year ended December 31, 2022 compared to $1,146.3 million in the prior year period.</w:t>
      </w:r>
    </w:p>
    <w:p>
      <w:pPr>
        <w:spacing w:after="0" w:line="17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Occupancy expenses decreased by $180,000 or 2.3%, to $7.5 million compared to $7.7 million in the previous year and represented 3.5% of total operating expenses.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Depreciation and amortization expenses decreased by $57,000 or 3.4%, to $1.6 million compared to $1.7 million in the previous year and represented 0.8%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2022, we recorded income tax expense of $30.2 million, representing a 26% effective tax rate. In the prior period, our income tax expense was $18.2 million, representing a 28%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2021 with the year ended December 31,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2021, our revenues were $267.8 million, a decrease of $3.4 million, or 1.2%, from the prior year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of $271.2 million. The primary reason for the decrease in revenues is a decrease in interest income. Interest income for the year ended December 31, 2021 decreased $28.7 million, or 9.7%, to $266.3 million from $295.0 million in the prior year. The primary reason for the decrease in interest income is the continued runoff of our legacy portfolio of finance receivables originated prior to January 2018, which accrued interest at an average of 20.2%,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2021 and 2020:</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0" w:firstLine="1012"/>
        <w:spacing w:after="0" w:line="261" w:lineRule="auto"/>
        <w:rPr>
          <w:sz w:val="20"/>
          <w:szCs w:val="20"/>
          <w:color w:val="auto"/>
        </w:rPr>
      </w:pPr>
      <w:r>
        <w:rPr>
          <w:rFonts w:ascii="Arial" w:cs="Arial" w:eastAsia="Arial" w:hAnsi="Arial"/>
          <w:sz w:val="18"/>
          <w:szCs w:val="18"/>
          <w:b w:val="1"/>
          <w:bCs w:val="1"/>
          <w:u w:val="single" w:color="auto"/>
          <w:color w:val="auto"/>
        </w:rPr>
        <w:t xml:space="preserve">Interest Earning Assets </w:t>
      </w:r>
      <w:r>
        <w:rPr>
          <w:rFonts w:ascii="Arial" w:cs="Arial" w:eastAsia="Arial" w:hAnsi="Arial"/>
          <w:sz w:val="18"/>
          <w:szCs w:val="18"/>
          <w:color w:val="auto"/>
        </w:rPr>
        <w:t>Finance receivables</w:t>
      </w:r>
    </w:p>
    <w:p>
      <w:pPr>
        <w:ind w:right="140"/>
        <w:spacing w:after="0" w:line="276" w:lineRule="auto"/>
        <w:rPr>
          <w:sz w:val="20"/>
          <w:szCs w:val="20"/>
          <w:color w:val="auto"/>
        </w:rPr>
      </w:pPr>
      <w:r>
        <w:rPr>
          <w:rFonts w:ascii="Arial" w:cs="Arial" w:eastAsia="Arial" w:hAnsi="Arial"/>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r>
      <w:tr>
        <w:trPr>
          <w:trHeight w:val="191"/>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2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Interest</w:t>
            </w:r>
          </w:p>
        </w:tc>
      </w:tr>
      <w:tr>
        <w:trPr>
          <w:trHeight w:val="234"/>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Balance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4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Yield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Yield</w:t>
            </w:r>
          </w:p>
        </w:tc>
      </w:tr>
      <w:tr>
        <w:trPr>
          <w:trHeight w:val="42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345,021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69,805</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20.2%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684,259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126,716</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1,802,590</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196,461</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1,631,491</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168,266</w:t>
            </w: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2,147,611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266,266</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12.4%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2,315,750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294,982</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-462280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-179705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692"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6" w:name="page47"/>
    <w:bookmarkEnd w:id="46"/>
    <w:p>
      <w:pPr>
        <w:jc w:val="both"/>
        <w:ind w:firstLine="162"/>
        <w:spacing w:after="0" w:line="311" w:lineRule="auto"/>
        <w:rPr>
          <w:sz w:val="20"/>
          <w:szCs w:val="20"/>
          <w:color w:val="auto"/>
        </w:rPr>
      </w:pPr>
      <w:r>
        <w:rPr>
          <w:rFonts w:ascii="Arial" w:cs="Arial" w:eastAsia="Arial" w:hAnsi="Arial"/>
          <w:sz w:val="16"/>
          <w:szCs w:val="16"/>
          <w:color w:val="auto"/>
        </w:rPr>
        <w:t>Revenues for the year ended December 31, 2021 and 2020 are net of mark downs of $4.4 million and $29.5 million, respectively,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 was $6.0 million for the year ended December 31, 2021 compared to $5.7 million for the year ended December 31, 2020.</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Total operating expenses were $202.1 million for the year ended December 31, 2021, compared to $251.0 million for the prior year, a decrease of $49.0 million, or 19.5%. The decrease is primarily due to a decreases in interest expense and provisions for credit losses.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increased by $336,000 or 0.4%, to $80.5 million during the year ended December 31, 2021, representing 39.9% of total operating expenses, from $80.2 million for the prior year, or 31.9% of total operating expenses. Employee costs for 2021 include approximately $8.0 million for the establishment of a bonus pool for a segment of employees we classify as Managers.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summarizes our employees by category as well as contract purchases and units in our managed portfolio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jc w:val="right"/>
              <w:ind w:right="910"/>
              <w:spacing w:after="0"/>
              <w:rPr>
                <w:sz w:val="20"/>
                <w:szCs w:val="20"/>
                <w:color w:val="auto"/>
              </w:rPr>
            </w:pPr>
            <w:r>
              <w:rPr>
                <w:rFonts w:ascii="Arial" w:cs="Arial" w:eastAsia="Arial" w:hAnsi="Arial"/>
                <w:sz w:val="18"/>
                <w:szCs w:val="18"/>
                <w:b w:val="1"/>
                <w:bCs w:val="1"/>
                <w:color w:val="auto"/>
              </w:rPr>
              <w:t>($ in millions)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1,146.3</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54,317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39,887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2,249.1</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2,175.0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156,280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163,177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tcBorders>
              <w:right w:val="single" w:sz="8" w:color="EEEEEE"/>
            </w:tcBorders>
            <w:shd w:val="clear" w:color="auto" w:fill="EEEEEE"/>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0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76</w:t>
            </w:r>
          </w:p>
        </w:tc>
        <w:tc>
          <w:tcPr>
            <w:tcW w:w="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7" w:name="page48"/>
    <w:bookmarkEnd w:id="47"/>
    <w:p>
      <w:pPr>
        <w:jc w:val="both"/>
        <w:ind w:firstLine="162"/>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$34.6 million, an increase of $2.6 million, or 8.2%, compared to the previous year and represented 17.1% of total operating expenses.</w:t>
      </w:r>
    </w:p>
    <w:p>
      <w:pPr>
        <w:spacing w:after="0" w:line="18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Interest expense for the year ended December 31, 2021 decreased by $26.1 million to $75.2 million, or 25.8%, compared to $101.3 million in the previous year. Interest expense represented 37.2% of total operating expenses in 2021. The primary reason for the decrease in interest expense is the decrease in securitization trust debt interest.</w:t>
      </w:r>
    </w:p>
    <w:p>
      <w:pPr>
        <w:spacing w:after="0" w:line="18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Interest on securitization trust debt decreased by $23.6 million, or 26.9%, for the year ended December 31, 2021 compared to the prior year. The average balance of securitization trust debt decreased 9.8% to $1,819.9 million for the year ended December 31, 2021 compared to $2,017.2 million for the year ended December 31, 2020. The blended interest rates on new term securitizations have generally decreased since 2019 and have stayed relatively low in 2021 despite trending upward throughout the year.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5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3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2018</w:t>
            </w:r>
          </w:p>
        </w:tc>
        <w:tc>
          <w:tcPr>
            <w:tcW w:w="140" w:type="dxa"/>
            <w:vAlign w:val="bottom"/>
            <w:tcBorders>
              <w:top w:val="single" w:sz="8" w:color="EEEEEE"/>
            </w:tcBorders>
            <w:shd w:val="clear" w:color="auto" w:fill="EEEEEE"/>
          </w:tcPr>
          <w:p>
            <w:pPr>
              <w:spacing w:after="0"/>
              <w:rPr>
                <w:sz w:val="18"/>
                <w:szCs w:val="18"/>
                <w:color w:val="auto"/>
              </w:rPr>
            </w:pPr>
          </w:p>
        </w:tc>
        <w:tc>
          <w:tcPr>
            <w:tcW w:w="3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April 2018</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July 2018</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2018</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January 2019</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April 2019</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July 2019</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2019</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January 2020</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2020</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September 2020</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2021</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April 2021</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16"/>
        </w:trPr>
        <w:tc>
          <w:tcPr>
            <w:tcW w:w="3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2021</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16"/>
        </w:trPr>
        <w:tc>
          <w:tcPr>
            <w:tcW w:w="34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October 2021</w:t>
            </w:r>
          </w:p>
        </w:tc>
        <w:tc>
          <w:tcPr>
            <w:tcW w:w="3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2.09%</w:t>
            </w: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annualized average rate on our securitization trust debt was 3.5% for the year ended December 31, 2021 compared with 4.4% for 2020.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Interest expense on warehouse lines of credit decreased by $3.2 million, or 42.1% for the year ended December 31, 2021 compared to the prior year. The decrease was primarily due to the lower utilization of our credit lines during the year. The average balance of our warehouse debt was $51.3 million during 2021 compared to $92.5 million in 2020.</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on residual interest financing was $3.8 million in the year ended December 31, 2021 compared to $3.5 million in the prior year as the average balance has increased.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ind w:firstLine="162"/>
        <w:spacing w:after="0" w:line="311" w:lineRule="auto"/>
        <w:rPr>
          <w:sz w:val="20"/>
          <w:szCs w:val="20"/>
          <w:color w:val="auto"/>
        </w:rPr>
      </w:pPr>
      <w:r>
        <w:rPr>
          <w:rFonts w:ascii="Arial" w:cs="Arial" w:eastAsia="Arial" w:hAnsi="Arial"/>
          <w:sz w:val="16"/>
          <w:szCs w:val="16"/>
          <w:color w:val="auto"/>
        </w:rPr>
        <w:t>Interest expense on our subordinated renewable notes increased by $466,000, or 21.4%, for the year ended December 31, 2021 compared to the prior year. The average balance of the notes increased from $19.3 million in the prior year to $25.3 million for the year ended December 31, 2021. The average interest rate on our subordinated notes decreased to 10.5% for the year ended December 31, 2021 from 11.2% for the year ended December 31, 2020.</w:t>
      </w:r>
    </w:p>
    <w:p>
      <w:pPr>
        <w:spacing w:after="0" w:line="14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8"/>
                <w:szCs w:val="18"/>
                <w:b w:val="1"/>
                <w:bCs w:val="1"/>
                <w:color w:val="auto"/>
                <w:w w:val="90"/>
              </w:rPr>
              <w:t>Year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Balance (1)</w:t>
            </w: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Yield/Rate</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(1)</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90"/>
        </w:trPr>
        <w:tc>
          <w:tcPr>
            <w:tcW w:w="122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Arial" w:cs="Arial" w:eastAsia="Arial" w:hAnsi="Arial"/>
                <w:sz w:val="18"/>
                <w:szCs w:val="18"/>
                <w:b w:val="1"/>
                <w:bCs w:val="1"/>
                <w:color w:val="auto"/>
                <w:w w:val="89"/>
              </w:rPr>
              <w:t>Interest Earning Assets</w:t>
            </w:r>
          </w:p>
        </w:tc>
        <w:tc>
          <w:tcPr>
            <w:tcW w:w="146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80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78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900" w:type="dxa"/>
            <w:vAlign w:val="bottom"/>
            <w:tcBorders>
              <w:top w:val="single" w:sz="8" w:color="auto"/>
              <w:bottom w:val="single" w:sz="8" w:color="EEEEEE"/>
            </w:tcBorders>
            <w:shd w:val="clear" w:color="auto" w:fill="EEEEEE"/>
          </w:tcPr>
          <w:p>
            <w:pPr>
              <w:spacing w:after="0"/>
              <w:rPr>
                <w:sz w:val="16"/>
                <w:szCs w:val="16"/>
                <w:color w:val="auto"/>
              </w:rPr>
            </w:pP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78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7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90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345,021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69,805</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684,259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126,716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6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7"/>
              </w:rPr>
              <w:t>1,802,590</w:t>
            </w:r>
          </w:p>
        </w:tc>
        <w:tc>
          <w:tcPr>
            <w:tcW w:w="1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196,461</w:t>
            </w:r>
          </w:p>
        </w:tc>
        <w:tc>
          <w:tcPr>
            <w:tcW w:w="12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1,631,491</w:t>
            </w:r>
          </w:p>
        </w:tc>
        <w:tc>
          <w:tcPr>
            <w:tcW w:w="1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168,266</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2,147,611</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266,266</w:t>
            </w: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2,315,750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3400" w:type="dxa"/>
            <w:vAlign w:val="bottom"/>
            <w:gridSpan w:val="4"/>
          </w:tcPr>
          <w:p>
            <w:pPr>
              <w:jc w:val="center"/>
              <w:ind w:right="13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51,313</w:t>
            </w: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4,448</w:t>
            </w:r>
          </w:p>
        </w:tc>
        <w:tc>
          <w:tcPr>
            <w:tcW w:w="12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92,481</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7,678</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42,692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34,906</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3,454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7"/>
              </w:rPr>
              <w:t>1,819,914</w:t>
            </w: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64,387</w:t>
            </w:r>
          </w:p>
        </w:tc>
        <w:tc>
          <w:tcPr>
            <w:tcW w:w="12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2,017,152</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88,031</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6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25,270</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19,340</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2,175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220" w:type="dxa"/>
            <w:vAlign w:val="bottom"/>
            <w:gridSpan w:val="3"/>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0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37"/>
        </w:trPr>
        <w:tc>
          <w:tcPr>
            <w:tcW w:w="1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4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7"/>
              </w:rPr>
              <w:t>1,939,189</w:t>
            </w:r>
          </w:p>
        </w:tc>
        <w:tc>
          <w:tcPr>
            <w:tcW w:w="140" w:type="dxa"/>
            <w:vAlign w:val="bottom"/>
            <w:shd w:val="clear" w:color="auto" w:fill="EEEEEE"/>
          </w:tcPr>
          <w:p>
            <w:pPr>
              <w:spacing w:after="0"/>
              <w:rPr>
                <w:sz w:val="20"/>
                <w:szCs w:val="20"/>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75,239</w:t>
            </w:r>
          </w:p>
        </w:tc>
        <w:tc>
          <w:tcPr>
            <w:tcW w:w="100" w:type="dxa"/>
            <w:vAlign w:val="bottom"/>
            <w:vMerge w:val="continue"/>
            <w:shd w:val="clear" w:color="auto" w:fill="EEEEEE"/>
          </w:tcPr>
          <w:p>
            <w:pPr>
              <w:spacing w:after="0"/>
              <w:rPr>
                <w:sz w:val="20"/>
                <w:szCs w:val="20"/>
                <w:color w:val="auto"/>
              </w:rPr>
            </w:pPr>
          </w:p>
        </w:tc>
        <w:tc>
          <w:tcPr>
            <w:tcW w:w="1220" w:type="dxa"/>
            <w:vAlign w:val="bottom"/>
            <w:gridSpan w:val="3"/>
            <w:vMerge w:val="continue"/>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2,163,879</w:t>
            </w:r>
          </w:p>
        </w:tc>
        <w:tc>
          <w:tcPr>
            <w:tcW w:w="120" w:type="dxa"/>
            <w:vAlign w:val="bottom"/>
            <w:shd w:val="clear" w:color="auto" w:fill="EEEEEE"/>
          </w:tcPr>
          <w:p>
            <w:pPr>
              <w:spacing w:after="0"/>
              <w:rPr>
                <w:sz w:val="20"/>
                <w:szCs w:val="20"/>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101,338</w:t>
            </w:r>
          </w:p>
        </w:tc>
        <w:tc>
          <w:tcPr>
            <w:tcW w:w="220" w:type="dxa"/>
            <w:vAlign w:val="bottom"/>
            <w:vMerge w:val="continue"/>
            <w:shd w:val="clear" w:color="auto" w:fill="EEEEEE"/>
          </w:tcPr>
          <w:p>
            <w:pPr>
              <w:spacing w:after="0"/>
              <w:rPr>
                <w:sz w:val="20"/>
                <w:szCs w:val="20"/>
                <w:color w:val="auto"/>
              </w:rPr>
            </w:pPr>
          </w:p>
        </w:tc>
        <w:tc>
          <w:tcPr>
            <w:tcW w:w="100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191,027</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193,644</w:t>
            </w:r>
          </w:p>
        </w:tc>
        <w:tc>
          <w:tcPr>
            <w:tcW w:w="22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5"/>
            <w:vMerge w:val="restart"/>
          </w:tcPr>
          <w:p>
            <w:pPr>
              <w:spacing w:after="0"/>
              <w:rPr>
                <w:sz w:val="20"/>
                <w:szCs w:val="20"/>
                <w:color w:val="auto"/>
              </w:rPr>
            </w:pPr>
            <w:r>
              <w:rPr>
                <w:rFonts w:ascii="Arial" w:cs="Arial" w:eastAsia="Arial" w:hAnsi="Arial"/>
                <w:sz w:val="18"/>
                <w:szCs w:val="18"/>
                <w:color w:val="auto"/>
              </w:rPr>
              <w:t>Net interest margin (3)</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7"/>
        </w:trPr>
        <w:tc>
          <w:tcPr>
            <w:tcW w:w="462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 assets to average interest</w:t>
            </w: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bearing liabilities</w:t>
            </w:r>
          </w:p>
        </w:tc>
        <w:tc>
          <w:tcPr>
            <w:tcW w:w="1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28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40" w:hanging="307"/>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gridSpan w:val="6"/>
          </w:tcPr>
          <w:p>
            <w:pPr>
              <w:jc w:val="center"/>
              <w:ind w:left="910"/>
              <w:spacing w:after="0"/>
              <w:rPr>
                <w:sz w:val="20"/>
                <w:szCs w:val="20"/>
                <w:color w:val="auto"/>
              </w:rPr>
            </w:pPr>
            <w:r>
              <w:rPr>
                <w:rFonts w:ascii="Arial" w:cs="Arial" w:eastAsia="Arial" w:hAnsi="Arial"/>
                <w:sz w:val="18"/>
                <w:szCs w:val="18"/>
                <w:b w:val="1"/>
                <w:bCs w:val="1"/>
                <w:color w:val="auto"/>
                <w:w w:val="90"/>
              </w:rPr>
              <w:t>Year Ended December 31, 202</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89"/>
              </w:rPr>
              <w:t>Compared to December 31, 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741"/>
              <w:spacing w:after="0" w:line="191"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1620" w:type="dxa"/>
            <w:vAlign w:val="bottom"/>
            <w:gridSpan w:val="2"/>
          </w:tcPr>
          <w:p>
            <w:pPr>
              <w:jc w:val="center"/>
              <w:ind w:right="27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280" w:type="dxa"/>
            <w:vAlign w:val="bottom"/>
          </w:tcPr>
          <w:p>
            <w:pPr>
              <w:spacing w:after="0"/>
              <w:rPr>
                <w:sz w:val="16"/>
                <w:szCs w:val="16"/>
                <w:color w:val="auto"/>
              </w:rPr>
            </w:pPr>
          </w:p>
        </w:tc>
        <w:tc>
          <w:tcPr>
            <w:tcW w:w="13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1"/>
              </w:rPr>
              <w:t>Change Due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Volume</w:t>
            </w:r>
          </w:p>
        </w:tc>
        <w:tc>
          <w:tcPr>
            <w:tcW w:w="28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720" w:type="dxa"/>
            <w:vAlign w:val="bottom"/>
            <w:gridSpan w:val="3"/>
            <w:shd w:val="clear" w:color="auto" w:fill="EEEEEE"/>
          </w:tcPr>
          <w:p>
            <w:pPr>
              <w:jc w:val="center"/>
              <w:ind w:right="940"/>
              <w:spacing w:after="0" w:line="176" w:lineRule="exact"/>
              <w:rPr>
                <w:sz w:val="20"/>
                <w:szCs w:val="20"/>
                <w:color w:val="auto"/>
              </w:rPr>
            </w:pPr>
            <w:r>
              <w:rPr>
                <w:rFonts w:ascii="Arial" w:cs="Arial" w:eastAsia="Arial" w:hAnsi="Arial"/>
                <w:sz w:val="18"/>
                <w:szCs w:val="18"/>
                <w:b w:val="1"/>
                <w:bCs w:val="1"/>
                <w:color w:val="auto"/>
                <w:w w:val="88"/>
              </w:rPr>
              <w:t>Interest Earning Assets</w:t>
            </w:r>
          </w:p>
        </w:tc>
        <w:tc>
          <w:tcPr>
            <w:tcW w:w="1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w w:val="96"/>
              </w:rPr>
              <w:t>Finance receivables gross</w:t>
            </w:r>
          </w:p>
        </w:tc>
        <w:tc>
          <w:tcPr>
            <w:tcW w:w="1780" w:type="dxa"/>
            <w:vAlign w:val="bottom"/>
            <w:tcBorders>
              <w:top w:val="single" w:sz="8" w:color="auto"/>
            </w:tcBorders>
          </w:tcPr>
          <w:p>
            <w:pPr>
              <w:spacing w:after="0"/>
              <w:rPr>
                <w:sz w:val="18"/>
                <w:szCs w:val="18"/>
                <w:color w:val="auto"/>
              </w:rPr>
            </w:pPr>
          </w:p>
        </w:tc>
        <w:tc>
          <w:tcPr>
            <w:tcW w:w="940" w:type="dxa"/>
            <w:vAlign w:val="bottom"/>
            <w:tcBorders>
              <w:top w:val="single" w:sz="8" w:color="EEEEEE"/>
            </w:tcBorders>
            <w:gridSpan w:val="2"/>
          </w:tcPr>
          <w:p>
            <w:pPr>
              <w:spacing w:after="0"/>
              <w:rPr>
                <w:sz w:val="18"/>
                <w:szCs w:val="18"/>
                <w:color w:val="auto"/>
              </w:rPr>
            </w:pPr>
          </w:p>
        </w:tc>
        <w:tc>
          <w:tcPr>
            <w:tcW w:w="1520" w:type="dxa"/>
            <w:vAlign w:val="bottom"/>
            <w:tcBorders>
              <w:top w:val="single" w:sz="8" w:color="EEEEEE"/>
            </w:tcBorders>
            <w:gridSpan w:val="2"/>
          </w:tcPr>
          <w:p>
            <w:pPr>
              <w:jc w:val="right"/>
              <w:ind w:right="147"/>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EEEEEE"/>
            </w:tcBorders>
            <w:gridSpan w:val="2"/>
          </w:tcPr>
          <w:p>
            <w:pPr>
              <w:jc w:val="right"/>
              <w:ind w:right="81"/>
              <w:spacing w:after="0"/>
              <w:rPr>
                <w:sz w:val="20"/>
                <w:szCs w:val="20"/>
                <w:color w:val="auto"/>
              </w:rPr>
            </w:pPr>
            <w:r>
              <w:rPr>
                <w:rFonts w:ascii="Arial" w:cs="Arial" w:eastAsia="Arial" w:hAnsi="Arial"/>
                <w:sz w:val="18"/>
                <w:szCs w:val="18"/>
                <w:color w:val="auto"/>
              </w:rPr>
              <w:t>(56,911)</w:t>
            </w:r>
          </w:p>
        </w:tc>
        <w:tc>
          <w:tcPr>
            <w:tcW w:w="16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EEEEEE"/>
            </w:tcBorders>
            <w:gridSpan w:val="2"/>
          </w:tcPr>
          <w:p>
            <w:pPr>
              <w:jc w:val="right"/>
              <w:ind w:right="50"/>
              <w:spacing w:after="0"/>
              <w:rPr>
                <w:sz w:val="20"/>
                <w:szCs w:val="20"/>
                <w:color w:val="auto"/>
              </w:rPr>
            </w:pPr>
            <w:r>
              <w:rPr>
                <w:rFonts w:ascii="Arial" w:cs="Arial" w:eastAsia="Arial" w:hAnsi="Arial"/>
                <w:sz w:val="18"/>
                <w:szCs w:val="18"/>
                <w:color w:val="auto"/>
              </w:rPr>
              <w:t>(62,823)</w:t>
            </w:r>
          </w:p>
        </w:tc>
        <w:tc>
          <w:tcPr>
            <w:tcW w:w="280" w:type="dxa"/>
            <w:vAlign w:val="bottom"/>
            <w:tcBorders>
              <w:top w:val="single" w:sz="8" w:color="EEEEEE"/>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30"/>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28,195</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17,647</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(45,176)</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EEEEEE"/>
          </w:tcPr>
          <w:p>
            <w:pPr>
              <w:spacing w:after="0"/>
              <w:rPr>
                <w:sz w:val="17"/>
                <w:szCs w:val="17"/>
                <w:color w:val="auto"/>
              </w:rPr>
            </w:pPr>
          </w:p>
        </w:tc>
        <w:tc>
          <w:tcPr>
            <w:tcW w:w="2860" w:type="dxa"/>
            <w:vAlign w:val="bottom"/>
            <w:gridSpan w:val="4"/>
            <w:shd w:val="clear" w:color="auto" w:fill="EEEEEE"/>
          </w:tcPr>
          <w:p>
            <w:pPr>
              <w:jc w:val="center"/>
              <w:ind w:right="8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EEEEEE"/>
            </w:tcBorders>
          </w:tcPr>
          <w:p>
            <w:pPr>
              <w:spacing w:after="0"/>
              <w:rPr>
                <w:sz w:val="20"/>
                <w:szCs w:val="20"/>
                <w:color w:val="auto"/>
              </w:rPr>
            </w:pPr>
            <w:r>
              <w:rPr>
                <w:rFonts w:ascii="Arial" w:cs="Arial" w:eastAsia="Arial" w:hAnsi="Arial"/>
                <w:sz w:val="18"/>
                <w:szCs w:val="18"/>
                <w:color w:val="auto"/>
                <w:w w:val="92"/>
              </w:rPr>
              <w:t>Warehouse lines of credit</w:t>
            </w:r>
          </w:p>
        </w:tc>
        <w:tc>
          <w:tcPr>
            <w:tcW w:w="2060" w:type="dxa"/>
            <w:vAlign w:val="bottom"/>
            <w:tcBorders>
              <w:top w:val="single" w:sz="8" w:color="auto"/>
            </w:tcBorders>
            <w:gridSpan w:val="3"/>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gridSpan w:val="2"/>
          </w:tcPr>
          <w:p>
            <w:pPr>
              <w:jc w:val="right"/>
              <w:ind w:right="81"/>
              <w:spacing w:after="0"/>
              <w:rPr>
                <w:sz w:val="20"/>
                <w:szCs w:val="20"/>
                <w:color w:val="auto"/>
              </w:rPr>
            </w:pPr>
            <w:r>
              <w:rPr>
                <w:rFonts w:ascii="Arial" w:cs="Arial" w:eastAsia="Arial" w:hAnsi="Arial"/>
                <w:sz w:val="18"/>
                <w:szCs w:val="18"/>
                <w:color w:val="auto"/>
              </w:rPr>
              <w:t>(3,230)</w:t>
            </w:r>
          </w:p>
        </w:tc>
        <w:tc>
          <w:tcPr>
            <w:tcW w:w="16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50"/>
              <w:spacing w:after="0"/>
              <w:rPr>
                <w:sz w:val="20"/>
                <w:szCs w:val="20"/>
                <w:color w:val="auto"/>
              </w:rPr>
            </w:pPr>
            <w:r>
              <w:rPr>
                <w:rFonts w:ascii="Arial" w:cs="Arial" w:eastAsia="Arial" w:hAnsi="Arial"/>
                <w:sz w:val="18"/>
                <w:szCs w:val="18"/>
                <w:color w:val="auto"/>
              </w:rPr>
              <w:t>(3,418)</w:t>
            </w:r>
          </w:p>
        </w:tc>
        <w:tc>
          <w:tcPr>
            <w:tcW w:w="280" w:type="dxa"/>
            <w:vAlign w:val="bottom"/>
            <w:tcBorders>
              <w:top w:val="single" w:sz="8" w:color="EEEEEE"/>
            </w:tcBorders>
          </w:tcPr>
          <w:p>
            <w:pPr>
              <w:spacing w:after="0"/>
              <w:rPr>
                <w:sz w:val="18"/>
                <w:szCs w:val="18"/>
                <w:color w:val="auto"/>
              </w:rPr>
            </w:pPr>
          </w:p>
        </w:tc>
        <w:tc>
          <w:tcPr>
            <w:tcW w:w="140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47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Arial" w:cs="Arial" w:eastAsia="Arial" w:hAnsi="Arial"/>
                <w:sz w:val="18"/>
                <w:szCs w:val="18"/>
                <w:color w:val="auto"/>
              </w:rPr>
              <w:t>(23,644)</w:t>
            </w:r>
          </w:p>
        </w:tc>
        <w:tc>
          <w:tcPr>
            <w:tcW w:w="160" w:type="dxa"/>
            <w:vAlign w:val="bottom"/>
          </w:tcPr>
          <w:p>
            <w:pPr>
              <w:spacing w:after="0"/>
              <w:rPr>
                <w:sz w:val="18"/>
                <w:szCs w:val="18"/>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(8,608)</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(15,036)</w:t>
            </w:r>
          </w:p>
        </w:tc>
        <w:tc>
          <w:tcPr>
            <w:tcW w:w="0" w:type="dxa"/>
            <w:vAlign w:val="bottom"/>
          </w:tcPr>
          <w:p>
            <w:pPr>
              <w:spacing w:after="0"/>
              <w:rPr>
                <w:sz w:val="1"/>
                <w:szCs w:val="1"/>
                <w:color w:val="auto"/>
              </w:rPr>
            </w:pPr>
          </w:p>
        </w:tc>
      </w:tr>
      <w:tr>
        <w:trPr>
          <w:trHeight w:val="230"/>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9" w:name="page50"/>
    <w:bookmarkEnd w:id="49"/>
    <w:p>
      <w:pPr>
        <w:jc w:val="both"/>
        <w:ind w:firstLine="162"/>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year ended December 31,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$1,802.6 million for the twelve months ended December 31, 2021 compared to $1,631.5 million in the prior year period.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Codification Topic 326 - Financial Instruments - Credit Losses: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2021, we recorded a reduction to provision for credit losses on finance receivables in the amount of $14.6 million. The reserve decrease was primarily due to a decrease in lifetime expected credit losses resulting from improved credit performance. In the prior year period, we recorded an increase to provision for credit losses for $14.1 million. That provision represented our estimate in 2020 of additional forecasted losses that might be incurred as a result of the pandemic on our portfolio of finance receivables. Such losses were not considered in our initial estimate of remaining lifetime losses that we recorded upon our adoption of CECL in January 2020.</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$2.7 million to $16.9 million during the year ended December 31, 2021 and represented 8.4% of total operating expenses. We purchased $1,146.3 million of new contracts during the year ended December 31, 2021 compared to $742.6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Occupancy expenses increased by $294,000 or 4.0%, to $7.7 million compared to $7.4 million in the previous year and represented 3.8% of total operating expenses.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Depreciation and amortization expenses decreased by $109,000 or 6.1%, to $1.7 million compared to $1.8 million in the previous year and represented 0.8% of total operating expenses.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 expense was $18.2 million in 2021 compared to an income tax benefit of $1.6 million for 2020.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$680,000 and $8.8 million for 2021 and 2020, respectively. Excluding the tax benefit, income tax expense for 2021 would have been $18.9 million, representing an effective income tax rate of 29%. For 2020, income tax expense would have been $7.2 million for an effective tax rate of 36%.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Net cash provided by operating activities for the years ended December 31, 2022, 2021 and 2020 was $215.9 million, $198.2 million and $238.8 million, respectively. Net cash from operating activities is generally provided by net income from operations adjusted for significant non-cash items such as our provision for credit losses and interest accretion on fair value receivables.</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Net cash used in investing activities for the year ended December 31, 2022 and 2021 was $713.9 million and $115.4 million, respectively. This compares to net cash provided by investing activities of $93.0 million for the year ended December 31, 2020. Cash used in investing activities generally relates to purchases of automobile contracts. Purchases of finance receivables were $1,673.2 million (includes acquisition fees paid), $1,107.5 million and $739.7 million in 2022, 2021 and 2020, respectively. Cash provided by investing activities primarily results from principal payments and other proceeds received on finance receivables.</w:t>
      </w:r>
    </w:p>
    <w:p>
      <w:pPr>
        <w:spacing w:after="0" w:line="188"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Net cash provided by financing activities were $484.2 million in 2022. Net cash used in financing activities for the year ended December 31, 2021 and 2020 was $50.4 million and $328.5 million, respectively. Cash used or provided by financing activities is primarily related to the issuance of securitization trust debt, reduced by the amount of repayment of securitization trust debt and net proceeds or repayments on our warehouse lines of credit and other debt. We issued $1,411.0 million in new securitization trust debt in 2022 compared to $1,110.7 million in 2021 and $714.5 million in 2020. Repayments of securitization debt were $1,060.1 million, $1,153.1 million and $1,010.0 million in 2022, 2021 and 2020, respectively.</w:t>
      </w:r>
    </w:p>
    <w:p>
      <w:pPr>
        <w:spacing w:after="0" w:line="176"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130"/>
        <w:spacing w:after="0" w:line="290"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December 31, 2022, we had unrestricted cash of $13.5 million and $114.7 million aggregate available borrowings under our two warehouse credit facilities (assuming the availability of sufficient eligible collateral). As of December 31, 2022, we had approximately $22.1 million of such eligible collateral. During 2022, we completed four securitizations aggregating $1,411.0 million of notes sold. In January 2023, we completed another securitization with $324.8 million of notes sold. Cash proceeds from this securitization were used to pay down the outstanding balance on our two warehouse credit facilities thus increasing the amounts available for borrowing under these facilities.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6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2022, we were in compliance with all such financial covenants.</w:t>
      </w:r>
    </w:p>
    <w:p>
      <w:pPr>
        <w:spacing w:after="0" w:line="176" w:lineRule="exact"/>
        <w:rPr>
          <w:sz w:val="20"/>
          <w:szCs w:val="20"/>
          <w:color w:val="auto"/>
        </w:rPr>
      </w:pPr>
    </w:p>
    <w:p>
      <w:pPr>
        <w:jc w:val="both"/>
        <w:ind w:right="20" w:firstLine="130"/>
        <w:spacing w:after="0" w:line="263" w:lineRule="auto"/>
        <w:rPr>
          <w:sz w:val="20"/>
          <w:szCs w:val="20"/>
          <w:color w:val="auto"/>
        </w:rPr>
      </w:pPr>
      <w:r>
        <w:rPr>
          <w:rFonts w:ascii="Arial" w:cs="Arial" w:eastAsia="Arial" w:hAnsi="Arial"/>
          <w:sz w:val="18"/>
          <w:szCs w:val="18"/>
          <w:color w:val="auto"/>
        </w:rPr>
        <w:t>We currently have and will continue to have a substantial amount of indebtedness. At December 31, 2022, we had approximately $2,469.0 million of debt outstanding. Such debt consisted primarily of $2,108.7 million of securitization trust debt, and also included $285.3 million of warehouse lines of credit, $49.6 million of residual interest financing debt and $25.3 million in subordinated renewable notes.</w:t>
      </w:r>
    </w:p>
    <w:p>
      <w:pPr>
        <w:spacing w:after="0" w:line="184"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our material contractual obligations as of December 31, 2022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Payment Due by Period (1)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2 to 3</w:t>
            </w:r>
          </w:p>
        </w:tc>
        <w:tc>
          <w:tcPr>
            <w:tcW w:w="280" w:type="dxa"/>
            <w:vAlign w:val="bottom"/>
          </w:tcPr>
          <w:p>
            <w:pPr>
              <w:spacing w:after="0"/>
              <w:rPr>
                <w:sz w:val="17"/>
                <w:szCs w:val="17"/>
                <w:color w:val="auto"/>
              </w:rPr>
            </w:pPr>
          </w:p>
        </w:tc>
        <w:tc>
          <w:tcPr>
            <w:tcW w:w="116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2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28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6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EEEEE"/>
          </w:tcPr>
          <w:p>
            <w:pPr>
              <w:ind w:left="660"/>
              <w:spacing w:after="0"/>
              <w:rPr>
                <w:sz w:val="20"/>
                <w:szCs w:val="20"/>
                <w:color w:val="auto"/>
              </w:rPr>
            </w:pPr>
            <w:r>
              <w:rPr>
                <w:rFonts w:ascii="Arial" w:cs="Arial" w:eastAsia="Arial" w:hAnsi="Arial"/>
                <w:sz w:val="18"/>
                <w:szCs w:val="18"/>
                <w:color w:val="auto"/>
                <w:w w:val="84"/>
              </w:rPr>
              <w:t>5,944</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Operating and Finance Leases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8,558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2,373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r>
    </w:tbl>
    <w:p>
      <w:pPr>
        <w:spacing w:after="0" w:line="187" w:lineRule="exact"/>
        <w:rPr>
          <w:sz w:val="20"/>
          <w:szCs w:val="20"/>
          <w:color w:val="auto"/>
        </w:rPr>
      </w:pPr>
    </w:p>
    <w:p>
      <w:pPr>
        <w:jc w:val="both"/>
        <w:ind w:left="340" w:hanging="332"/>
        <w:spacing w:after="0" w:line="25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$2,108.7 million as of December 31, 2022, is omitted from this table because it becomes due as and when the related receivables balance is reduced by payments and charge-offs. Expected payments, which will depend on the performance of such receivables, as to which there can be no assurance, are $804.4 million in 2023, $578.9 million in 2024, $339.1 million in 2025, $202.3 million in 2026, $128.1 million in 2027, $55.3 million in 2028, and $0.6 million in 2029.</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140"/>
        <w:spacing w:after="0"/>
        <w:rPr>
          <w:sz w:val="20"/>
          <w:szCs w:val="20"/>
          <w:color w:val="auto"/>
        </w:rPr>
      </w:pPr>
      <w:r>
        <w:rPr>
          <w:rFonts w:ascii="Arial" w:cs="Arial" w:eastAsia="Arial" w:hAnsi="Arial"/>
          <w:sz w:val="18"/>
          <w:szCs w:val="18"/>
          <w:color w:val="auto"/>
        </w:rPr>
        <w:t>We anticipate repaying debt due in 2023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 facility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structured to allow us to fund a portion of the purchase price of automobile contracts by borrowing from a credit facility to our consolidated subsidiary Page Eight Funding, LLC. The facility provides for effective advances up to 82.0% of eligible finance receivables. The Class A loans under the facility generally accrue interest during the revolving period at a per annum rate equal to one-month SOFR plus 3.00% per annum, with a minimum rate of 3.75% per annum and during the amortization period at a per annum rate equal to one-month SOFR plus 4.00% per annum, with a minimum rate of 4.75% per annum. The Class B loans under the facility generally accrue interest during the revolving period at a per annum rate equal to 8.50% per annum and during the amortization period at a per annum rate equal to 9.50% per annum. In July 2022, we renewed our two-year revolving credit agreement with Citibank, N.A., and doubled the capacity from $100 million to $200 million. This facility was amended to extend the revolving period to July 2024 and to include an amortization period through July 2025 for any receivables pledged to the facility at the end of the revolving period. At December 31, 2022 there was $150.3 million outstanding under this facility.</w:t>
      </w:r>
    </w:p>
    <w:p>
      <w:pPr>
        <w:spacing w:after="0" w:line="18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i w:val="1"/>
          <w:iCs w:val="1"/>
          <w:color w:val="auto"/>
        </w:rPr>
        <w:t xml:space="preserve">Facility Established in November 2015. </w:t>
      </w:r>
      <w:r>
        <w:rPr>
          <w:rFonts w:ascii="Arial" w:cs="Arial" w:eastAsia="Arial" w:hAnsi="Arial"/>
          <w:sz w:val="17"/>
          <w:szCs w:val="17"/>
          <w:color w:val="auto"/>
        </w:rPr>
        <w:t>On November 24, 2015, we entered into an additional $100 million one-year warehouse credit line with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88.00% of eligible finance receivables. The loans under the facility accrue interest at a commercial paper rate plus 4.15% per annum, with a minimum rate of 5.15% per annum. On February 2, 2022, we renewed our two-year revolving credit agreement with Ares Agent Services, L.P. In June 2022, we increased the capacity of our credit agreement with Ares Agent Services, L.P. from $100 million to $200 million. This facility was amended to extend the revolving period to January 2024 followed by an amortization period through January 2028 for any receivables pledged to the facility at the end of the revolving period. At December 31, 2022 there was $137.6 million outstanding under this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Over the period from January 1, 2020 through December 31, 2022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107"/>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53,682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25,426</w:t>
            </w: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39,478</w:t>
            </w:r>
          </w:p>
        </w:tc>
      </w:tr>
      <w:tr>
        <w:trPr>
          <w:trHeight w:val="216"/>
        </w:trPr>
        <w:tc>
          <w:tcPr>
            <w:tcW w:w="6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(21,265)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(14,424)</w:t>
            </w:r>
          </w:p>
        </w:tc>
      </w:tr>
      <w:tr>
        <w:trPr>
          <w:trHeight w:val="216"/>
        </w:trPr>
        <w:tc>
          <w:tcPr>
            <w:tcW w:w="6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Capitalization of deferred financing costs</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(755)</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49,623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53,682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1,759,972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1,803,673</w:t>
            </w: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2,097,728</w:t>
            </w:r>
          </w:p>
        </w:tc>
      </w:tr>
      <w:tr>
        <w:trPr>
          <w:trHeight w:val="216"/>
        </w:trPr>
        <w:tc>
          <w:tcPr>
            <w:tcW w:w="6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1,411,018</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1,110,747</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714,543</w:t>
            </w:r>
          </w:p>
        </w:tc>
      </w:tr>
      <w:tr>
        <w:trPr>
          <w:trHeight w:val="216"/>
        </w:trPr>
        <w:tc>
          <w:tcPr>
            <w:tcW w:w="66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(1,060,052)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(1,153,114)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(1,009,988)</w:t>
            </w:r>
          </w:p>
        </w:tc>
      </w:tr>
      <w:tr>
        <w:trPr>
          <w:trHeight w:val="216"/>
        </w:trPr>
        <w:tc>
          <w:tcPr>
            <w:tcW w:w="6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Capitalization of deferred financing costs</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(8,681)</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(7,058)</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(4,862)</w:t>
            </w: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6,252</w:t>
            </w: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2,108,744</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1,759,972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1,803,673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26,459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21,323</w:t>
            </w: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17,534</w:t>
            </w:r>
          </w:p>
        </w:tc>
      </w:tr>
      <w:tr>
        <w:trPr>
          <w:trHeight w:val="216"/>
        </w:trPr>
        <w:tc>
          <w:tcPr>
            <w:tcW w:w="6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4,004</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12,298</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6,750</w:t>
            </w: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(7,162)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26,459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i w:val="1"/>
          <w:iCs w:val="1"/>
          <w:color w:val="auto"/>
        </w:rPr>
        <w:t xml:space="preserve">Residual Interest Financing. </w:t>
      </w:r>
      <w:r>
        <w:rPr>
          <w:rFonts w:ascii="Arial" w:cs="Arial" w:eastAsia="Arial" w:hAnsi="Arial"/>
          <w:sz w:val="17"/>
          <w:szCs w:val="17"/>
          <w:color w:val="auto"/>
        </w:rPr>
        <w:t>On May 16, 2018, we completed a $40.0 million securitization of residual interests from previously issued securitizations.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The notes were paid off in February 2022.</w:t>
      </w:r>
    </w:p>
    <w:p>
      <w:pPr>
        <w:spacing w:after="0" w:line="176"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On June 30, 2021, we completed a $50 million securitization of residual interests from other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2022 there was $50.0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130"/>
        <w:spacing w:after="0" w:line="279" w:lineRule="auto"/>
        <w:rPr>
          <w:sz w:val="20"/>
          <w:szCs w:val="20"/>
          <w:color w:val="auto"/>
        </w:rPr>
      </w:pPr>
      <w:r>
        <w:rPr>
          <w:rFonts w:ascii="Arial" w:cs="Arial" w:eastAsia="Arial" w:hAnsi="Arial"/>
          <w:sz w:val="17"/>
          <w:szCs w:val="17"/>
          <w:color w:val="auto"/>
        </w:rPr>
        <w:t>The agreed valuation of the collateral for the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2021-1 Notes are entitled to interest at the coupon rate and, if necessary, a principal payment necessary to maintain a specified minimum collateral ratio.</w:t>
      </w:r>
    </w:p>
    <w:p>
      <w:pPr>
        <w:spacing w:after="0" w:line="171" w:lineRule="exact"/>
        <w:rPr>
          <w:sz w:val="20"/>
          <w:szCs w:val="20"/>
          <w:color w:val="auto"/>
        </w:rPr>
      </w:pPr>
    </w:p>
    <w:p>
      <w:pPr>
        <w:jc w:val="both"/>
        <w:ind w:right="20" w:firstLine="130"/>
        <w:spacing w:after="0" w:line="263"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45 of our securitizations of automobile contracts as secured financings for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and the asset-backed securities issued in such securitizations remain on our consolidated balance sheet as securitization trust debt. We had $2,108.7 million of securitization trust debt outstanding at December 31, 2022.</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2022 there were $25.3 million of such notes outstanding.</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2022,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unexpected exogenous events, such as a widespread plague that might affect the ability or willingness of obligors to pay pursuant to the terms of contracts; mandates imposed in reaction to such events, such as prohibitions of otherwise permissible activity, which might impair the obligation to perform contracts, or the ability of obligors to earn;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6"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usually structured our term securitization transactions to include pre-funding structures, whereby the amount of notes issued exceeds the amount of contracts initially sold to the trusts. We may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60" w:firstLine="130"/>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2022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130"/>
        <w:spacing w:after="0" w:line="263"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2022,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7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2022.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2022, our internal control over financial reporting is effective based on those criteria.</w:t>
      </w:r>
    </w:p>
    <w:p>
      <w:pPr>
        <w:spacing w:after="0" w:line="18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Our internal control over financial reporting as of December 31, 2022, has been audited by Crowe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2023 (the "2023 Proxy Statement"). The 2023 Proxy Statement will be filed not later than May 1, 2023. Information regarding executive officers of the registrant appears in Part I of this report,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2023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i w:val="1"/>
                <w:iCs w:val="1"/>
                <w:color w:val="auto"/>
              </w:rPr>
              <w:t>Exhibit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i w:val="1"/>
                <w:iCs w:val="1"/>
                <w:color w:val="auto"/>
              </w:rPr>
              <w:t>Number</w:t>
            </w:r>
          </w:p>
        </w:tc>
        <w:tc>
          <w:tcPr>
            <w:tcW w:w="10100" w:type="dxa"/>
            <w:vAlign w:val="bottom"/>
            <w:gridSpan w:val="4"/>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385"/>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tcBorders>
              <w:top w:val="single" w:sz="8" w:color="auto"/>
            </w:tcBorders>
            <w:gridSpan w:val="4"/>
          </w:tcPr>
          <w:p>
            <w:pPr>
              <w:spacing w:after="0"/>
              <w:rPr>
                <w:rFonts w:ascii="Arial" w:cs="Arial" w:eastAsia="Arial" w:hAnsi="Arial"/>
                <w:sz w:val="18"/>
                <w:szCs w:val="18"/>
                <w:color w:val="0000EE"/>
              </w:rPr>
            </w:pPr>
            <w:hyperlink r:id="rId66">
              <w:r>
                <w:rPr>
                  <w:rFonts w:ascii="Arial" w:cs="Arial" w:eastAsia="Arial" w:hAnsi="Arial"/>
                  <w:sz w:val="18"/>
                  <w:szCs w:val="18"/>
                  <w:color w:val="0000EE"/>
                </w:rPr>
                <w:t xml:space="preserve">Restated Articles of Incorporation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 xml:space="preserve">Certificate of Designation re Series B Preferred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 xml:space="preserve">Amended and Restated Bylaws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3.2 to Form 8-K filed December 3, 2021)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140" w:hanging="1132"/>
        <w:spacing w:after="0" w:line="291"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w:t>
      </w:r>
    </w:p>
    <w:tbl>
      <w:tblPr>
        <w:tblLayout w:type="fixed"/>
        <w:tblInd w:w="0" w:type="dxa"/>
        <w:tblCellMar>
          <w:top w:w="0" w:type="dxa"/>
          <w:left w:w="0" w:type="dxa"/>
          <w:bottom w:w="0" w:type="dxa"/>
          <w:right w:w="0" w:type="dxa"/>
        </w:tblCellMar>
      </w:tblPr>
      <w:tr>
        <w:trPr>
          <w:trHeight w:val="202"/>
        </w:trPr>
        <w:tc>
          <w:tcPr>
            <w:tcW w:w="1140" w:type="dxa"/>
            <w:vAlign w:val="bottom"/>
          </w:tcPr>
          <w:p>
            <w:pPr>
              <w:spacing w:after="0"/>
              <w:rPr>
                <w:sz w:val="17"/>
                <w:szCs w:val="17"/>
                <w:color w:val="auto"/>
              </w:rPr>
            </w:pPr>
          </w:p>
        </w:tc>
        <w:tc>
          <w:tcPr>
            <w:tcW w:w="10100" w:type="dxa"/>
            <w:vAlign w:val="bottom"/>
            <w:gridSpan w:val="10"/>
          </w:tcPr>
          <w:p>
            <w:pPr>
              <w:spacing w:after="0" w:line="202" w:lineRule="exact"/>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0100" w:type="dxa"/>
            <w:vAlign w:val="bottom"/>
            <w:gridSpan w:val="10"/>
          </w:tcPr>
          <w:p>
            <w:pPr>
              <w:spacing w:after="0" w:line="190" w:lineRule="exact"/>
              <w:rPr>
                <w:rFonts w:ascii="Arial" w:cs="Arial" w:eastAsia="Arial" w:hAnsi="Arial"/>
                <w:sz w:val="18"/>
                <w:szCs w:val="18"/>
                <w:color w:val="0000EE"/>
              </w:rPr>
            </w:pPr>
            <w:hyperlink r:id="rId69">
              <w:r>
                <w:rPr>
                  <w:rFonts w:ascii="Arial" w:cs="Arial" w:eastAsia="Arial" w:hAnsi="Arial"/>
                  <w:sz w:val="18"/>
                  <w:szCs w:val="18"/>
                  <w:color w:val="0000EE"/>
                </w:rPr>
                <w:t xml:space="preserve">Form of Indenture re Renewable Unsecured Subordinated Notes </w:t>
              </w:r>
            </w:hyperlink>
            <w:r>
              <w:rPr>
                <w:rFonts w:ascii="Arial" w:cs="Arial" w:eastAsia="Arial" w:hAnsi="Arial"/>
                <w:sz w:val="18"/>
                <w:szCs w:val="18"/>
                <w:color w:val="000000"/>
              </w:rPr>
              <w:t>(“RUS</w:t>
            </w:r>
            <w:r>
              <w:rPr>
                <w:rFonts w:ascii="Arial" w:cs="Arial" w:eastAsia="Arial" w:hAnsi="Arial"/>
                <w:sz w:val="18"/>
                <w:szCs w:val="18"/>
                <w:color w:val="0000EE"/>
              </w:rPr>
              <w:t xml:space="preserve"> </w:t>
            </w:r>
            <w:r>
              <w:rPr>
                <w:rFonts w:ascii="Arial" w:cs="Arial" w:eastAsia="Arial" w:hAnsi="Arial"/>
                <w:sz w:val="18"/>
                <w:szCs w:val="18"/>
                <w:color w:val="000000"/>
              </w:rPr>
              <w:t>Notes”). (Exhibit 4.1 to Form S-1, no. 333-168976)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464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 xml:space="preserve">Form of RUS Notes </w:t>
              </w:r>
            </w:hyperlink>
            <w:r>
              <w:rPr>
                <w:rFonts w:ascii="Arial" w:cs="Arial" w:eastAsia="Arial" w:hAnsi="Arial"/>
                <w:sz w:val="18"/>
                <w:szCs w:val="18"/>
                <w:color w:val="000000"/>
                <w:w w:val="93"/>
              </w:rPr>
              <w:t>(Exhibit</w:t>
            </w:r>
            <w:r>
              <w:rPr>
                <w:rFonts w:ascii="Arial" w:cs="Arial" w:eastAsia="Arial" w:hAnsi="Arial"/>
                <w:sz w:val="18"/>
                <w:szCs w:val="18"/>
                <w:color w:val="0000EE"/>
                <w:w w:val="93"/>
              </w:rPr>
              <w:t xml:space="preserve"> </w:t>
            </w:r>
            <w:r>
              <w:rPr>
                <w:rFonts w:ascii="Arial" w:cs="Arial" w:eastAsia="Arial" w:hAnsi="Arial"/>
                <w:sz w:val="18"/>
                <w:szCs w:val="18"/>
                <w:color w:val="000000"/>
                <w:w w:val="93"/>
              </w:rPr>
              <w:t>4.2 to Form S-1, no. 333-168976)</w:t>
            </w:r>
          </w:p>
        </w:tc>
        <w:tc>
          <w:tcPr>
            <w:tcW w:w="546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0100" w:type="dxa"/>
            <w:vAlign w:val="bottom"/>
            <w:gridSpan w:val="1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 xml:space="preserve">Supplement No. 1 dated December 7, 2010 to Indenture re RUS Notes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4.3 to Form S-1/A, no. 333-168976)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0100" w:type="dxa"/>
            <w:vAlign w:val="bottom"/>
            <w:gridSpan w:val="10"/>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 xml:space="preserve">Supplement No. 2 dated January 22, 2014 to Indenture re RUS Notes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4.4 to Form S-1, no. 333-190766)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100" w:type="dxa"/>
            <w:vAlign w:val="bottom"/>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 xml:space="preserve">1997 Long-Term Incentive Stock Plan </w:t>
              </w:r>
            </w:hyperlink>
            <w:r>
              <w:rPr>
                <w:rFonts w:ascii="Arial" w:cs="Arial" w:eastAsia="Arial" w:hAnsi="Arial"/>
                <w:sz w:val="18"/>
                <w:szCs w:val="18"/>
                <w:color w:val="000000"/>
              </w:rPr>
              <w:t>("1997</w:t>
            </w:r>
            <w:r>
              <w:rPr>
                <w:rFonts w:ascii="Arial" w:cs="Arial" w:eastAsia="Arial" w:hAnsi="Arial"/>
                <w:sz w:val="18"/>
                <w:szCs w:val="18"/>
                <w:color w:val="0000EE"/>
              </w:rPr>
              <w:t xml:space="preserve"> </w:t>
            </w:r>
            <w:r>
              <w:rPr>
                <w:rFonts w:ascii="Arial" w:cs="Arial" w:eastAsia="Arial" w:hAnsi="Arial"/>
                <w:sz w:val="18"/>
                <w:szCs w:val="18"/>
                <w:color w:val="000000"/>
              </w:rPr>
              <w:t>Plan") (Exhibit 10.20 to Form S-2, no. 333-121913) **</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100" w:type="dxa"/>
            <w:vAlign w:val="bottom"/>
            <w:gridSpan w:val="1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 xml:space="preserve">Form of Option Agreement under 1997 Plan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10.2.1 to Form 10-K filed March 13, 2006) **</w:t>
            </w:r>
          </w:p>
        </w:tc>
      </w:tr>
      <w:tr>
        <w:trPr>
          <w:trHeight w:val="20"/>
        </w:trPr>
        <w:tc>
          <w:tcPr>
            <w:tcW w:w="114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100" w:type="dxa"/>
            <w:vAlign w:val="bottom"/>
            <w:gridSpan w:val="10"/>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 xml:space="preserve">2006 Long-Term Equity Incentive Plan as amended May 18, 2015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pages A-1 through A-10 of the definitive</w:t>
            </w:r>
          </w:p>
        </w:tc>
      </w:tr>
      <w:tr>
        <w:trPr>
          <w:trHeight w:val="222"/>
        </w:trPr>
        <w:tc>
          <w:tcPr>
            <w:tcW w:w="1140" w:type="dxa"/>
            <w:vAlign w:val="bottom"/>
          </w:tcPr>
          <w:p>
            <w:pPr>
              <w:spacing w:after="0"/>
              <w:rPr>
                <w:sz w:val="19"/>
                <w:szCs w:val="19"/>
                <w:color w:val="auto"/>
              </w:rPr>
            </w:pPr>
          </w:p>
        </w:tc>
        <w:tc>
          <w:tcPr>
            <w:tcW w:w="48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proxy statement filed by the registrant on April 27, 2015)**</w:t>
            </w:r>
          </w:p>
        </w:tc>
        <w:tc>
          <w:tcPr>
            <w:tcW w:w="5260" w:type="dxa"/>
            <w:vAlign w:val="bottom"/>
            <w:gridSpan w:val="5"/>
          </w:tcPr>
          <w:p>
            <w:pPr>
              <w:spacing w:after="0"/>
              <w:rPr>
                <w:sz w:val="19"/>
                <w:szCs w:val="19"/>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10.14.1</w:t>
            </w:r>
          </w:p>
        </w:tc>
        <w:tc>
          <w:tcPr>
            <w:tcW w:w="10100" w:type="dxa"/>
            <w:vAlign w:val="bottom"/>
            <w:gridSpan w:val="10"/>
          </w:tcPr>
          <w:p>
            <w:pPr>
              <w:spacing w:after="0" w:line="190" w:lineRule="exact"/>
              <w:rPr>
                <w:rFonts w:ascii="Arial" w:cs="Arial" w:eastAsia="Arial" w:hAnsi="Arial"/>
                <w:sz w:val="18"/>
                <w:szCs w:val="18"/>
                <w:color w:val="0000EE"/>
                <w:w w:val="95"/>
              </w:rPr>
            </w:pPr>
            <w:hyperlink r:id="rId76">
              <w:r>
                <w:rPr>
                  <w:rFonts w:ascii="Arial" w:cs="Arial" w:eastAsia="Arial" w:hAnsi="Arial"/>
                  <w:sz w:val="18"/>
                  <w:szCs w:val="18"/>
                  <w:color w:val="0000EE"/>
                  <w:w w:val="95"/>
                </w:rPr>
                <w:t xml:space="preserve">Form of Option Agreement under the 2006 Long-Term Equity Incentive Plan </w:t>
              </w:r>
            </w:hyperlink>
            <w:r>
              <w:rPr>
                <w:rFonts w:ascii="Arial" w:cs="Arial" w:eastAsia="Arial" w:hAnsi="Arial"/>
                <w:sz w:val="18"/>
                <w:szCs w:val="18"/>
                <w:color w:val="000000"/>
                <w:w w:val="95"/>
              </w:rPr>
              <w:t>(Exhibit</w:t>
            </w:r>
            <w:r>
              <w:rPr>
                <w:rFonts w:ascii="Arial" w:cs="Arial" w:eastAsia="Arial" w:hAnsi="Arial"/>
                <w:sz w:val="18"/>
                <w:szCs w:val="18"/>
                <w:color w:val="0000EE"/>
                <w:w w:val="95"/>
              </w:rPr>
              <w:t xml:space="preserve"> </w:t>
            </w:r>
            <w:r>
              <w:rPr>
                <w:rFonts w:ascii="Arial" w:cs="Arial" w:eastAsia="Arial" w:hAnsi="Arial"/>
                <w:sz w:val="18"/>
                <w:szCs w:val="18"/>
                <w:color w:val="000000"/>
                <w:w w:val="95"/>
              </w:rPr>
              <w:t>10.14.1 to registrant's Form 10-K filed March 9,</w:t>
            </w:r>
          </w:p>
        </w:tc>
      </w:tr>
      <w:tr>
        <w:trPr>
          <w:trHeight w:val="222"/>
        </w:trPr>
        <w:tc>
          <w:tcPr>
            <w:tcW w:w="1140" w:type="dxa"/>
            <w:vAlign w:val="bottom"/>
          </w:tcPr>
          <w:p>
            <w:pPr>
              <w:spacing w:after="0"/>
              <w:rPr>
                <w:sz w:val="19"/>
                <w:szCs w:val="19"/>
                <w:color w:val="auto"/>
              </w:rPr>
            </w:pPr>
          </w:p>
        </w:tc>
        <w:tc>
          <w:tcPr>
            <w:tcW w:w="14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2007)**</w:t>
            </w:r>
          </w:p>
        </w:tc>
        <w:tc>
          <w:tcPr>
            <w:tcW w:w="13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10.14.2</w:t>
            </w:r>
          </w:p>
        </w:tc>
        <w:tc>
          <w:tcPr>
            <w:tcW w:w="10100" w:type="dxa"/>
            <w:vAlign w:val="bottom"/>
            <w:gridSpan w:val="10"/>
          </w:tcPr>
          <w:p>
            <w:pPr>
              <w:spacing w:after="0" w:line="190" w:lineRule="exact"/>
              <w:rPr>
                <w:rFonts w:ascii="Arial" w:cs="Arial" w:eastAsia="Arial" w:hAnsi="Arial"/>
                <w:sz w:val="18"/>
                <w:szCs w:val="18"/>
                <w:color w:val="0000EE"/>
              </w:rPr>
            </w:pPr>
            <w:hyperlink r:id="rId77">
              <w:r>
                <w:rPr>
                  <w:rFonts w:ascii="Arial" w:cs="Arial" w:eastAsia="Arial" w:hAnsi="Arial"/>
                  <w:sz w:val="18"/>
                  <w:szCs w:val="18"/>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99.(D)(2) to registrant's Schedule TO filed</w:t>
            </w:r>
          </w:p>
        </w:tc>
      </w:tr>
      <w:tr>
        <w:trPr>
          <w:trHeight w:val="222"/>
        </w:trPr>
        <w:tc>
          <w:tcPr>
            <w:tcW w:w="1140" w:type="dxa"/>
            <w:vAlign w:val="bottom"/>
          </w:tcPr>
          <w:p>
            <w:pPr>
              <w:spacing w:after="0"/>
              <w:rPr>
                <w:sz w:val="19"/>
                <w:szCs w:val="19"/>
                <w:color w:val="auto"/>
              </w:rPr>
            </w:pPr>
          </w:p>
        </w:tc>
        <w:tc>
          <w:tcPr>
            <w:tcW w:w="60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November 12, 2009)**</w:t>
            </w:r>
          </w:p>
        </w:tc>
        <w:tc>
          <w:tcPr>
            <w:tcW w:w="4080" w:type="dxa"/>
            <w:vAlign w:val="bottom"/>
          </w:tcPr>
          <w:p>
            <w:pPr>
              <w:spacing w:after="0"/>
              <w:rPr>
                <w:sz w:val="19"/>
                <w:szCs w:val="19"/>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10.14.3</w:t>
            </w:r>
          </w:p>
        </w:tc>
        <w:tc>
          <w:tcPr>
            <w:tcW w:w="10100" w:type="dxa"/>
            <w:vAlign w:val="bottom"/>
            <w:gridSpan w:val="10"/>
          </w:tcPr>
          <w:p>
            <w:pPr>
              <w:spacing w:after="0" w:line="190" w:lineRule="exact"/>
              <w:rPr>
                <w:rFonts w:ascii="Arial" w:cs="Arial" w:eastAsia="Arial" w:hAnsi="Arial"/>
                <w:sz w:val="18"/>
                <w:szCs w:val="18"/>
                <w:color w:val="0000EE"/>
              </w:rPr>
            </w:pPr>
            <w:hyperlink r:id="rId78">
              <w:r>
                <w:rPr>
                  <w:rFonts w:ascii="Arial" w:cs="Arial" w:eastAsia="Arial" w:hAnsi="Arial"/>
                  <w:sz w:val="18"/>
                  <w:szCs w:val="18"/>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99.(D)(3) to registrant's Schedule TO filed</w:t>
            </w:r>
          </w:p>
        </w:tc>
      </w:tr>
      <w:tr>
        <w:trPr>
          <w:trHeight w:val="237"/>
        </w:trPr>
        <w:tc>
          <w:tcPr>
            <w:tcW w:w="1140" w:type="dxa"/>
            <w:vAlign w:val="bottom"/>
          </w:tcPr>
          <w:p>
            <w:pPr>
              <w:spacing w:after="0"/>
              <w:rPr>
                <w:sz w:val="20"/>
                <w:szCs w:val="20"/>
                <w:color w:val="auto"/>
              </w:rPr>
            </w:pPr>
          </w:p>
        </w:tc>
        <w:tc>
          <w:tcPr>
            <w:tcW w:w="60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November 12, 2009)**</w:t>
            </w:r>
          </w:p>
        </w:tc>
        <w:tc>
          <w:tcPr>
            <w:tcW w:w="4080" w:type="dxa"/>
            <w:vAlign w:val="bottom"/>
          </w:tcPr>
          <w:p>
            <w:pPr>
              <w:spacing w:after="0"/>
              <w:rPr>
                <w:sz w:val="20"/>
                <w:szCs w:val="20"/>
                <w:color w:val="auto"/>
              </w:rPr>
            </w:pPr>
          </w:p>
        </w:tc>
      </w:tr>
    </w:tbl>
    <w:p>
      <w:pPr>
        <w:ind w:left="1140" w:hanging="1132"/>
        <w:spacing w:after="0"/>
        <w:tabs>
          <w:tab w:leader="none" w:pos="1140" w:val="left"/>
        </w:tabs>
        <w:numPr>
          <w:ilvl w:val="0"/>
          <w:numId w:val="24"/>
        </w:numPr>
        <w:rPr>
          <w:rFonts w:ascii="Arial" w:cs="Arial" w:eastAsia="Arial" w:hAnsi="Arial"/>
          <w:sz w:val="18"/>
          <w:szCs w:val="18"/>
          <w:color w:val="0000EE"/>
        </w:rPr>
      </w:pPr>
      <w:hyperlink r:id="rId79">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sz w:val="20"/>
          <w:szCs w:val="20"/>
          <w:color w:val="auto"/>
        </w:rPr>
      </w:pPr>
    </w:p>
    <w:p>
      <w:pPr>
        <w:ind w:left="1140" w:hanging="113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r>
        <w:rPr>
          <w:rFonts w:ascii="Arial" w:cs="Arial" w:eastAsia="Arial" w:hAnsi="Arial"/>
          <w:sz w:val="18"/>
          <w:szCs w:val="18"/>
          <w:color w:val="000000"/>
        </w:rPr>
        <w:t>(filed herewith)</w:t>
      </w: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line="184" w:lineRule="exact"/>
              <w:rPr>
                <w:sz w:val="20"/>
                <w:szCs w:val="20"/>
                <w:color w:val="auto"/>
              </w:rPr>
            </w:pPr>
            <w:r>
              <w:rPr>
                <w:rFonts w:ascii="Arial" w:cs="Arial" w:eastAsia="Arial" w:hAnsi="Arial"/>
                <w:sz w:val="18"/>
                <w:szCs w:val="18"/>
                <w:color w:val="auto"/>
              </w:rPr>
              <w:t>23.1</w:t>
            </w:r>
          </w:p>
        </w:tc>
        <w:tc>
          <w:tcPr>
            <w:tcW w:w="6540" w:type="dxa"/>
            <w:vAlign w:val="bottom"/>
            <w:gridSpan w:val="2"/>
          </w:tcPr>
          <w:p>
            <w:pPr>
              <w:spacing w:after="0" w:line="184" w:lineRule="exact"/>
              <w:rPr>
                <w:sz w:val="20"/>
                <w:szCs w:val="20"/>
                <w:color w:val="auto"/>
              </w:rPr>
            </w:pPr>
            <w:r>
              <w:rPr>
                <w:rFonts w:ascii="Arial" w:cs="Arial" w:eastAsia="Arial" w:hAnsi="Arial"/>
                <w:sz w:val="18"/>
                <w:szCs w:val="18"/>
                <w:color w:val="0000EE"/>
              </w:rPr>
              <w:t xml:space="preserve">Consent of Crowe LLP </w:t>
            </w:r>
            <w:r>
              <w:rPr>
                <w:rFonts w:ascii="Arial" w:cs="Arial" w:eastAsia="Arial" w:hAnsi="Arial"/>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6540" w:type="dxa"/>
            <w:vAlign w:val="bottom"/>
            <w:gridSpan w:val="2"/>
          </w:tcPr>
          <w:p>
            <w:pPr>
              <w:spacing w:after="0"/>
              <w:rPr>
                <w:sz w:val="20"/>
                <w:szCs w:val="20"/>
                <w:color w:val="auto"/>
              </w:rPr>
            </w:pPr>
            <w:r>
              <w:rPr>
                <w:rFonts w:ascii="Arial" w:cs="Arial" w:eastAsia="Arial" w:hAnsi="Arial"/>
                <w:sz w:val="18"/>
                <w:szCs w:val="18"/>
                <w:color w:val="auto"/>
              </w:rPr>
              <w:t>Rule 13a-14(a) certification by Chief Executive Officer (filed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6540" w:type="dxa"/>
            <w:vAlign w:val="bottom"/>
            <w:gridSpan w:val="2"/>
          </w:tcPr>
          <w:p>
            <w:pPr>
              <w:spacing w:after="0"/>
              <w:rPr>
                <w:sz w:val="20"/>
                <w:szCs w:val="20"/>
                <w:color w:val="auto"/>
              </w:rPr>
            </w:pPr>
            <w:r>
              <w:rPr>
                <w:rFonts w:ascii="Arial" w:cs="Arial" w:eastAsia="Arial" w:hAnsi="Arial"/>
                <w:sz w:val="18"/>
                <w:szCs w:val="18"/>
                <w:color w:val="auto"/>
              </w:rPr>
              <w:t>Rule 13a-14(a) certification by Chief Financial Officer (filed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6540" w:type="dxa"/>
            <w:vAlign w:val="bottom"/>
            <w:gridSpan w:val="2"/>
          </w:tcPr>
          <w:p>
            <w:pPr>
              <w:spacing w:after="0"/>
              <w:rPr>
                <w:sz w:val="20"/>
                <w:szCs w:val="20"/>
                <w:color w:val="auto"/>
              </w:rPr>
            </w:pPr>
            <w:r>
              <w:rPr>
                <w:rFonts w:ascii="Arial" w:cs="Arial" w:eastAsia="Arial" w:hAnsi="Arial"/>
                <w:sz w:val="18"/>
                <w:szCs w:val="18"/>
                <w:color w:val="auto"/>
              </w:rPr>
              <w:t>Section 1350 certification (filed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65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6540" w:type="dxa"/>
            <w:vAlign w:val="bottom"/>
            <w:gridSpan w:val="2"/>
          </w:tcPr>
          <w:p>
            <w:pPr>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March 15, 2023</w:t>
            </w:r>
          </w:p>
        </w:tc>
        <w:tc>
          <w:tcPr>
            <w:tcW w:w="8120" w:type="dxa"/>
            <w:vAlign w:val="bottom"/>
            <w:gridSpan w:val="2"/>
          </w:tcPr>
          <w:p>
            <w:pPr>
              <w:ind w:left="1960"/>
              <w:spacing w:after="0"/>
              <w:rPr>
                <w:sz w:val="20"/>
                <w:szCs w:val="20"/>
                <w:color w:val="auto"/>
              </w:rPr>
            </w:pPr>
            <w:r>
              <w:rPr>
                <w:rFonts w:ascii="Arial" w:cs="Arial" w:eastAsia="Arial" w:hAnsi="Arial"/>
                <w:sz w:val="18"/>
                <w:szCs w:val="18"/>
                <w:color w:val="auto"/>
              </w:rPr>
              <w:t>By:   /s/ CHARLES E. BRADLEY, JR.</w:t>
            </w:r>
          </w:p>
        </w:tc>
      </w:tr>
      <w:tr>
        <w:trPr>
          <w:trHeight w:val="224"/>
        </w:trPr>
        <w:tc>
          <w:tcPr>
            <w:tcW w:w="3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 and Chief Executive Officer</w:t>
            </w:r>
          </w:p>
        </w:tc>
      </w:tr>
    </w:tbl>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202"/>
        </w:trPr>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3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and Chief Executive Officer</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DECKOFF</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Stephen H. Deckoff,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GRASSO</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Louis M. Grasso,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W. GROUNDS</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William W. Grounds,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WALKER</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James E. Walker, 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425"/>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411"/>
        </w:trPr>
        <w:tc>
          <w:tcPr>
            <w:tcW w:w="3340" w:type="dxa"/>
            <w:vAlign w:val="bottom"/>
          </w:tcPr>
          <w:p>
            <w:pPr>
              <w:spacing w:after="0"/>
              <w:rPr>
                <w:sz w:val="20"/>
                <w:szCs w:val="20"/>
                <w:color w:val="auto"/>
              </w:rPr>
            </w:pPr>
            <w:r>
              <w:rPr>
                <w:rFonts w:ascii="Arial" w:cs="Arial" w:eastAsia="Arial" w:hAnsi="Arial"/>
                <w:sz w:val="18"/>
                <w:szCs w:val="18"/>
                <w:color w:val="auto"/>
              </w:rPr>
              <w:t>March 15, 2023</w:t>
            </w:r>
          </w:p>
        </w:tc>
        <w:tc>
          <w:tcPr>
            <w:tcW w:w="22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DENESH BHARWANI</w:t>
            </w:r>
          </w:p>
        </w:tc>
      </w:tr>
      <w:tr>
        <w:trPr>
          <w:trHeight w:val="202"/>
        </w:trPr>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98"/>
              </w:rPr>
              <w:t xml:space="preserve">Denesh Bharwani, </w:t>
            </w:r>
            <w:r>
              <w:rPr>
                <w:rFonts w:ascii="Arial" w:cs="Arial" w:eastAsia="Arial" w:hAnsi="Arial"/>
                <w:sz w:val="18"/>
                <w:szCs w:val="18"/>
                <w:i w:val="1"/>
                <w:iCs w:val="1"/>
                <w:color w:val="auto"/>
                <w:w w:val="98"/>
              </w:rPr>
              <w:t>Executive Vice President and Chief Financial Officer</w:t>
            </w:r>
          </w:p>
        </w:tc>
      </w:tr>
      <w:tr>
        <w:trPr>
          <w:trHeight w:val="230"/>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864"/>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320" w:top="692"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080" w:type="dxa"/>
            <w:vAlign w:val="bottom"/>
            <w:gridSpan w:val="7"/>
          </w:tcPr>
          <w:p>
            <w:pPr>
              <w:ind w:left="86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385"/>
        </w:trPr>
        <w:tc>
          <w:tcPr>
            <w:tcW w:w="10240" w:type="dxa"/>
            <w:vAlign w:val="bottom"/>
            <w:gridSpan w:val="8"/>
          </w:tcPr>
          <w:p>
            <w:pPr>
              <w:spacing w:after="0"/>
              <w:rPr>
                <w:sz w:val="20"/>
                <w:szCs w:val="20"/>
                <w:color w:val="auto"/>
              </w:rPr>
            </w:pPr>
            <w:r>
              <w:rPr>
                <w:rFonts w:ascii="Arial" w:cs="Arial" w:eastAsia="Arial" w:hAnsi="Arial"/>
                <w:sz w:val="18"/>
                <w:szCs w:val="18"/>
                <w:color w:val="0000EE"/>
              </w:rPr>
              <w:t xml:space="preserve">Report of Crowe LLP, Independent Registered Public Accounting Firm </w:t>
            </w:r>
            <w:r>
              <w:rPr>
                <w:rFonts w:ascii="Arial" w:cs="Arial" w:eastAsia="Arial" w:hAnsi="Arial"/>
                <w:sz w:val="18"/>
                <w:szCs w:val="18"/>
                <w:color w:val="000000"/>
              </w:rPr>
              <w:t>(PCAOB ID: 173)</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12"/>
        </w:trPr>
        <w:tc>
          <w:tcPr>
            <w:tcW w:w="46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Consolidated Balance Sheets as of December 31, 2022 and 2021</w:t>
            </w:r>
          </w:p>
        </w:tc>
        <w:tc>
          <w:tcPr>
            <w:tcW w:w="480" w:type="dxa"/>
            <w:vAlign w:val="bottom"/>
            <w:tcBorders>
              <w:top w:val="single" w:sz="8" w:color="0000EE"/>
            </w:tcBorders>
          </w:tcPr>
          <w:p>
            <w:pPr>
              <w:spacing w:after="0"/>
              <w:rPr>
                <w:sz w:val="24"/>
                <w:szCs w:val="24"/>
                <w:color w:val="auto"/>
              </w:rPr>
            </w:pPr>
          </w:p>
        </w:tc>
        <w:tc>
          <w:tcPr>
            <w:tcW w:w="510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2"/>
        </w:trPr>
        <w:tc>
          <w:tcPr>
            <w:tcW w:w="10240" w:type="dxa"/>
            <w:vAlign w:val="bottom"/>
            <w:gridSpan w:val="8"/>
          </w:tcPr>
          <w:p>
            <w:pPr>
              <w:spacing w:after="0"/>
              <w:rPr>
                <w:sz w:val="20"/>
                <w:szCs w:val="20"/>
                <w:color w:val="auto"/>
              </w:rPr>
            </w:pPr>
            <w:r>
              <w:rPr>
                <w:rFonts w:ascii="Arial" w:cs="Arial" w:eastAsia="Arial" w:hAnsi="Arial"/>
                <w:sz w:val="18"/>
                <w:szCs w:val="18"/>
                <w:color w:val="0000EE"/>
              </w:rPr>
              <w:t>Consolidated Statements of Income for the years ended December 31, 2022, 2021 and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240" w:type="dxa"/>
            <w:vAlign w:val="bottom"/>
            <w:gridSpan w:val="8"/>
          </w:tcPr>
          <w:p>
            <w:pPr>
              <w:spacing w:after="0"/>
              <w:rPr>
                <w:sz w:val="20"/>
                <w:szCs w:val="20"/>
                <w:color w:val="auto"/>
              </w:rPr>
            </w:pPr>
            <w:r>
              <w:rPr>
                <w:rFonts w:ascii="Arial" w:cs="Arial" w:eastAsia="Arial" w:hAnsi="Arial"/>
                <w:sz w:val="18"/>
                <w:szCs w:val="18"/>
                <w:color w:val="0000EE"/>
              </w:rPr>
              <w:t>Consolidated Statements of Comprehensive Income for the years ended December 31, 2022, 2021 and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76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9"/>
              </w:rPr>
              <w:t>Consolidated Statements of Shareholders’ Equity for the years ended December 31, 2022, 2021 and 2020</w:t>
            </w:r>
          </w:p>
        </w:tc>
        <w:tc>
          <w:tcPr>
            <w:tcW w:w="1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412"/>
        </w:trPr>
        <w:tc>
          <w:tcPr>
            <w:tcW w:w="6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Consolidated Statements of Cash Flows for the years ended December 31, 2022, 2021 and 2020</w:t>
            </w:r>
          </w:p>
        </w:tc>
        <w:tc>
          <w:tcPr>
            <w:tcW w:w="332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412"/>
        </w:trPr>
        <w:tc>
          <w:tcPr>
            <w:tcW w:w="31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708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Consumer Portfolio Services, Inc. and Subsidiaries (the "Company") as of December 31, 2022 and 2021, the related consolidated statements of income, comprehensive income, shareholders’ equity, and cash flows for each of the years in the</w:t>
      </w:r>
    </w:p>
    <w:p>
      <w:pPr>
        <w:jc w:val="both"/>
        <w:spacing w:after="0" w:line="221" w:lineRule="auto"/>
        <w:rPr>
          <w:sz w:val="20"/>
          <w:szCs w:val="20"/>
          <w:color w:val="auto"/>
        </w:rPr>
      </w:pPr>
      <w:r>
        <w:rPr>
          <w:rFonts w:ascii="Arial" w:cs="Arial" w:eastAsia="Arial" w:hAnsi="Arial"/>
          <w:sz w:val="18"/>
          <w:szCs w:val="18"/>
          <w:color w:val="auto"/>
        </w:rPr>
        <w:t>three-year period ended December 31, 2022, and the related notes (collectively referred to as the "financial statements")</w:t>
      </w:r>
      <w:r>
        <w:rPr>
          <w:rFonts w:ascii="Arial" w:cs="Arial" w:eastAsia="Arial" w:hAnsi="Arial"/>
          <w:sz w:val="29"/>
          <w:szCs w:val="29"/>
          <w:color w:val="auto"/>
          <w:vertAlign w:val="superscript"/>
        </w:rPr>
        <w:t>2</w:t>
      </w:r>
      <w:r>
        <w:rPr>
          <w:rFonts w:ascii="Arial" w:cs="Arial" w:eastAsia="Arial" w:hAnsi="Arial"/>
          <w:sz w:val="18"/>
          <w:szCs w:val="18"/>
          <w:color w:val="auto"/>
        </w:rPr>
        <w:t>.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Loans at Fair Value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1 and 12 to the consolidated financial statements, the Company carries all finance receivables acquired after 2017 at fair value on a recurring basis. The Company had $2.4 billion in finance receivables that are carried at fair value, all of which are classified as level 3 fair values as they contain one or more inputs which are unobservable and significant to the fair value measurement. With assistance from an outside valuation expert, the Company used a level 3 fair value methodology for the fair value of finance receivables. The significant assumptions used by the Company to calculate the fair value of these financial receivables include the magnitude and timing of net charge-offs and the rate of amortization of the portfolio of finance receivables. These significant assumptions were based on the factors that market participants use in pricing similar receivables and are based on the best information available in the circumstances.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the valuation of finance receivables carried at fair value as a critical audit matter as this estimate requires subjective auditor judgment. Our principal considerations in making this determination are (i) there was significant judgment and estimation by the Company in determining the assumptions to estimate fair value, which in turn led to a high degree of auditor judgment, subjectivity, and effort in performing procedures related to the fair value of these finance receivables, and (ii) the audit effort involved professionals with specialized skill and knowledge to assist in evaluating the audit evidence obtained from these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right="640"/>
        <w:spacing w:after="0" w:line="277" w:lineRule="auto"/>
        <w:rPr>
          <w:sz w:val="20"/>
          <w:szCs w:val="20"/>
          <w:color w:val="auto"/>
        </w:rPr>
      </w:pPr>
      <w:r>
        <w:rPr>
          <w:rFonts w:ascii="Arial" w:cs="Arial" w:eastAsia="Arial" w:hAnsi="Arial"/>
          <w:sz w:val="18"/>
          <w:szCs w:val="18"/>
          <w:color w:val="auto"/>
        </w:rPr>
        <w:t>Testing the design and operating effectiveness of controls over the application of the assumptions used to support the estimate of loans at fair value included addressing: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completeness and accuracy of data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model review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of management’s judgments and significant assumptions over inputs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Substantively testing management's process, including evaluating management’s judgments and assumptions, for developing the estimate of loans at fair value included:</w:t>
      </w:r>
    </w:p>
    <w:p>
      <w:pPr>
        <w:spacing w:after="0" w:line="170" w:lineRule="exact"/>
        <w:rPr>
          <w:sz w:val="20"/>
          <w:szCs w:val="20"/>
          <w:color w:val="auto"/>
        </w:rPr>
      </w:pPr>
    </w:p>
    <w:p>
      <w:pPr>
        <w:jc w:val="both"/>
        <w:ind w:left="66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an auditor employed valuation specialist to assist in testing the Company’s estimate of fair value of the finance receivables. Testing included evaluation of certain management significant assumptions and, evaluating the appropriateness of the methodology including a recalculation of the model.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Testing the completeness and accuracy of the underlying data used in the fair value of finance receivables estimate.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 – Qualitative Factors Related to the CECL Reasonable and Supportable Forecasts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1 and 3 to the financial statements, the Company has a gross receivables portfolio of $92.3 million and a related allowance for finance credit losses (ACL) on loans of $21.7 million for the year ended December 31, 2022. Management estimates the allowance using relevant information from internal and external sources, relating to past events, current conditions and reasonable and supportable forecasts. Historical loss experience for older receivables, aggregated into vintage pools based on the calendar quarter of origination is used to estimate expected losses for less seasoned quarterly vintage pools. This estimate is adjusted by certain qualitative factors that may impact future credit losses. The qualitative factors represent management’s estimate of the impact of future losses.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use of qualitative factors to adjust historical losses for management’s forecast requires significant judgment. Management applies qualitative factors to adjust its estimation of the timing and amount losses to represent its future economic forecast. We identified auditing the reasonableness of qualitative factors used to create forecasts in its credit loss model as a critical audit matter as it involves especially subjective auditor judgment.</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Testing the design and operating effectiveness of controls over the application of the assumptions used to support the estimate of the allowance for credit losses included addressing: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completeness and accuracy of internal data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management’s judgments and significant assumptions over inputs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Substantively testing management's process, including evaluating management’s judgments and assumptions, for developing the estimate of the allowance for credit losses included:</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the appropriateness of the methodology for developing the forecast and qualitative factors.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Testing the completeness and accuracy of data used in the calculation of qualitative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the reasonableness of the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Inspecting and evaluating key assumptions and judgments used in developing the qualitative factors.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420" w:type="dxa"/>
            <w:vAlign w:val="bottom"/>
            <w:tcBorders>
              <w:bottom w:val="single" w:sz="8" w:color="EEEEEE"/>
            </w:tcBorders>
          </w:tcPr>
          <w:p>
            <w:pPr>
              <w:spacing w:after="0"/>
              <w:rPr>
                <w:sz w:val="20"/>
                <w:szCs w:val="20"/>
                <w:color w:val="auto"/>
              </w:rPr>
            </w:pPr>
          </w:p>
        </w:tc>
        <w:tc>
          <w:tcPr>
            <w:tcW w:w="23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5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13,490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29,928</w:t>
            </w:r>
          </w:p>
        </w:tc>
      </w:tr>
      <w:tr>
        <w:trPr>
          <w:trHeight w:val="216"/>
        </w:trPr>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149,299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146,620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2,476,617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1,749,098</w:t>
            </w:r>
          </w:p>
        </w:tc>
      </w:tr>
      <w:tr>
        <w:trPr>
          <w:trHeight w:val="216"/>
        </w:trPr>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92,304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232,390</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(21,753)</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(56,206)</w:t>
            </w:r>
          </w:p>
        </w:tc>
      </w:tr>
      <w:tr>
        <w:trPr>
          <w:trHeight w:val="210"/>
        </w:trPr>
        <w:tc>
          <w:tcPr>
            <w:tcW w:w="5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70,551</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176,184</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EEEEEE"/>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1,660</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10,177</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19,575</w:t>
            </w: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2,269</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30,325</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34,775</w:t>
            </w: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2,752,768</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2,159,578</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-736600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-462280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-179070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68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55,421</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43,648</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285,328</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105,610</w:t>
            </w: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49,623</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53,682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2,108,744</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1,759,972</w:t>
            </w:r>
          </w:p>
        </w:tc>
      </w:tr>
      <w:tr>
        <w:trPr>
          <w:trHeight w:val="230"/>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25,263</w:t>
            </w: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r>
      <w:tr>
        <w:trPr>
          <w:trHeight w:val="210"/>
        </w:trPr>
        <w:tc>
          <w:tcPr>
            <w:tcW w:w="7700" w:type="dxa"/>
            <w:vAlign w:val="bottom"/>
          </w:tcPr>
          <w:p>
            <w:pPr>
              <w:ind w:left="40"/>
              <w:spacing w:after="0"/>
              <w:rPr>
                <w:sz w:val="20"/>
                <w:szCs w:val="20"/>
                <w:color w:val="auto"/>
              </w:rPr>
            </w:pPr>
            <w:r>
              <w:rPr>
                <w:rFonts w:ascii="Arial" w:cs="Arial" w:eastAsia="Arial" w:hAnsi="Arial"/>
                <w:sz w:val="18"/>
                <w:szCs w:val="18"/>
                <w:color w:val="FFFFFF"/>
              </w:rPr>
              <w:t>Total Liabilities</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2,524,379</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1,989,371</w:t>
            </w:r>
          </w:p>
        </w:tc>
        <w:tc>
          <w:tcPr>
            <w:tcW w:w="100" w:type="dxa"/>
            <w:vAlign w:val="bottom"/>
          </w:tcPr>
          <w:p>
            <w:pPr>
              <w:spacing w:after="0"/>
              <w:rPr>
                <w:sz w:val="18"/>
                <w:szCs w:val="18"/>
                <w:color w:val="auto"/>
              </w:rPr>
            </w:pP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w w:val="89"/>
              </w:rPr>
              <w:t>Common stock, no par value; authorized 75,000,000 shares; 20,131,323 and 21,143,764 shares issued and</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outstanding at December 31, 2022 and December 31, 2021, respectively</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28,906</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55,298</w:t>
            </w: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202,514</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116,531</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(3,031)</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r>
      <w:tr>
        <w:trPr>
          <w:trHeight w:val="209"/>
        </w:trPr>
        <w:tc>
          <w:tcPr>
            <w:tcW w:w="7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EEEEEE"/>
              </w:rPr>
              <w:t>Total stockholders' equity</w:t>
            </w:r>
          </w:p>
        </w:tc>
        <w:tc>
          <w:tcPr>
            <w:tcW w:w="8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228,389</w:t>
            </w: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170,207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00" w:type="dxa"/>
            <w:vAlign w:val="bottom"/>
            <w:shd w:val="clear" w:color="auto" w:fill="EEEEEE"/>
          </w:tcPr>
          <w:p>
            <w:pPr>
              <w:ind w:left="40"/>
              <w:spacing w:after="0"/>
              <w:rPr>
                <w:sz w:val="20"/>
                <w:szCs w:val="20"/>
                <w:color w:val="auto"/>
              </w:rPr>
            </w:pPr>
            <w:r>
              <w:rPr>
                <w:rFonts w:ascii="Arial" w:cs="Arial" w:eastAsia="Arial" w:hAnsi="Arial"/>
                <w:sz w:val="18"/>
                <w:szCs w:val="18"/>
                <w:color w:val="EEEEEE"/>
              </w:rPr>
              <w:t>Total liabilities and stockholders' equity</w:t>
            </w:r>
          </w:p>
        </w:tc>
        <w:tc>
          <w:tcPr>
            <w:tcW w:w="5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2,752,768</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2,159,578</w:t>
            </w:r>
          </w:p>
        </w:tc>
      </w:tr>
      <w:tr>
        <w:trPr>
          <w:trHeight w:val="20"/>
        </w:trPr>
        <w:tc>
          <w:tcPr>
            <w:tcW w:w="77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19"/>
                <w:szCs w:val="19"/>
                <w:color w:val="auto"/>
              </w:rPr>
            </w:pPr>
          </w:p>
        </w:tc>
      </w:tr>
      <w:tr>
        <w:trPr>
          <w:trHeight w:val="210"/>
        </w:trPr>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305,237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266,266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294,982</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15,283</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(4,417)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(29,528)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9,189</w:t>
            </w:r>
          </w:p>
        </w:tc>
        <w:tc>
          <w:tcPr>
            <w:tcW w:w="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5,962</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r>
      <w:tr>
        <w:trPr>
          <w:trHeight w:val="209"/>
        </w:trPr>
        <w:tc>
          <w:tcPr>
            <w:tcW w:w="59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329,709</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267,811</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271,161</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Employee costs</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84,282</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80,534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80,198</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37,618</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34,616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31,981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87,524</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75,239</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101,338</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(28,100)</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(14,590)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14,113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23,039</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16,876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14,206</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7,535</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7,715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7,421</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1,675</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r>
      <w:tr>
        <w:trPr>
          <w:trHeight w:val="209"/>
        </w:trPr>
        <w:tc>
          <w:tcPr>
            <w:tcW w:w="59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213,516</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202,065</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251,041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116,193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18"/>
                <w:szCs w:val="18"/>
                <w:color w:val="auto"/>
              </w:rPr>
            </w:pPr>
          </w:p>
        </w:tc>
      </w:tr>
      <w:tr>
        <w:trPr>
          <w:trHeight w:val="229"/>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30,210</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18,222</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(1,557)</w:t>
            </w:r>
          </w:p>
        </w:tc>
      </w:tr>
      <w:tr>
        <w:trPr>
          <w:trHeight w:val="263"/>
        </w:trPr>
        <w:tc>
          <w:tcPr>
            <w:tcW w:w="59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85,983</w:t>
            </w:r>
          </w:p>
        </w:tc>
        <w:tc>
          <w:tcPr>
            <w:tcW w:w="2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47,524</w:t>
            </w:r>
          </w:p>
        </w:tc>
        <w:tc>
          <w:tcPr>
            <w:tcW w:w="2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tcBorders>
              <w:bottom w:val="single" w:sz="8" w:color="EEEEEE"/>
            </w:tcBorders>
          </w:tcPr>
          <w:p>
            <w:pPr>
              <w:spacing w:after="0"/>
              <w:rPr>
                <w:sz w:val="22"/>
                <w:szCs w:val="22"/>
                <w:color w:val="auto"/>
              </w:rPr>
            </w:pPr>
          </w:p>
        </w:tc>
      </w:tr>
      <w:tr>
        <w:trPr>
          <w:trHeight w:val="196"/>
        </w:trPr>
        <w:tc>
          <w:tcPr>
            <w:tcW w:w="59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4.10</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0.96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r>
      <w:tr>
        <w:trPr>
          <w:trHeight w:val="216"/>
        </w:trPr>
        <w:tc>
          <w:tcPr>
            <w:tcW w:w="5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20,958</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22,562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22,611</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26,589</w:t>
            </w: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25,780</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24,003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85,983</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47,524</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Other comprehensive income (loss); change in funded status of pension plan, net</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of $513, $2,554 and $55 in tax for 2022, 2021 and 2020, respectively</w:t>
            </w:r>
          </w:p>
        </w:tc>
        <w:tc>
          <w:tcPr>
            <w:tcW w:w="10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(1,409)</w:t>
            </w:r>
          </w:p>
        </w:tc>
        <w:tc>
          <w:tcPr>
            <w:tcW w:w="3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6,949</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bottom w:val="single" w:sz="8" w:color="auto"/>
            </w:tcBorders>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84,574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54,473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1"/>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5160" w:type="dxa"/>
            <w:vAlign w:val="bottom"/>
          </w:tcPr>
          <w:p>
            <w:pPr>
              <w:spacing w:after="0"/>
              <w:rPr>
                <w:sz w:val="21"/>
                <w:szCs w:val="21"/>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Retained</w:t>
            </w:r>
          </w:p>
        </w:tc>
        <w:tc>
          <w:tcPr>
            <w:tcW w:w="1460" w:type="dxa"/>
            <w:vAlign w:val="bottom"/>
            <w:gridSpan w:val="4"/>
          </w:tcPr>
          <w:p>
            <w:pPr>
              <w:ind w:left="120"/>
              <w:spacing w:after="0"/>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16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Earnings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1"/>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19"/>
                <w:szCs w:val="19"/>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Total</w:t>
            </w:r>
          </w:p>
        </w:tc>
      </w:tr>
      <w:tr>
        <w:trPr>
          <w:trHeight w:val="209"/>
        </w:trPr>
        <w:tc>
          <w:tcPr>
            <w:tcW w:w="5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22,531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71,257</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47,330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110,166</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r>
      <w:tr>
        <w:trPr>
          <w:trHeight w:val="229"/>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r>
      <w:tr>
        <w:trPr>
          <w:trHeight w:val="263"/>
        </w:trPr>
        <w:tc>
          <w:tcPr>
            <w:tcW w:w="51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22,737</w:t>
            </w:r>
          </w:p>
        </w:tc>
        <w:tc>
          <w:tcPr>
            <w:tcW w:w="20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69,007</w:t>
            </w: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133,362</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51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6,048</w:t>
            </w:r>
          </w:p>
        </w:tc>
        <w:tc>
          <w:tcPr>
            <w:tcW w:w="8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(3,884)</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(25,676)</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(25,676)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6,949</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6,949</w:t>
            </w:r>
          </w:p>
        </w:tc>
        <w:tc>
          <w:tcPr>
            <w:tcW w:w="8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EEEEEE"/>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47,524</w:t>
            </w:r>
          </w:p>
        </w:tc>
      </w:tr>
      <w:tr>
        <w:trPr>
          <w:trHeight w:val="223"/>
        </w:trPr>
        <w:tc>
          <w:tcPr>
            <w:tcW w:w="51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2021</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21,144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55,298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116,531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170,207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3,127</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15,277</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15,277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(46,096)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(46,096)</w:t>
            </w: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(1,409)</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(1,409)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4,427</w:t>
            </w:r>
          </w:p>
        </w:tc>
        <w:tc>
          <w:tcPr>
            <w:tcW w:w="80" w:type="dxa"/>
            <w:vAlign w:val="bottom"/>
          </w:tcPr>
          <w:p>
            <w:pPr>
              <w:spacing w:after="0"/>
              <w:rPr>
                <w:sz w:val="18"/>
                <w:szCs w:val="18"/>
                <w:color w:val="auto"/>
              </w:rPr>
            </w:pPr>
          </w:p>
        </w:tc>
      </w:tr>
      <w:tr>
        <w:trPr>
          <w:trHeight w:val="229"/>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85,983</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85,983</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19"/>
                <w:szCs w:val="19"/>
                <w:color w:val="auto"/>
              </w:rPr>
            </w:pPr>
          </w:p>
        </w:tc>
      </w:tr>
      <w:tr>
        <w:trPr>
          <w:trHeight w:val="210"/>
        </w:trPr>
        <w:tc>
          <w:tcPr>
            <w:tcW w:w="66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85,983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47,524</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21,677</w:t>
            </w: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Accretion of deferred acquisition fees and origination costs</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1,138</w:t>
            </w:r>
          </w:p>
        </w:tc>
      </w:tr>
      <w:tr>
        <w:trPr>
          <w:trHeight w:val="216"/>
        </w:trPr>
        <w:tc>
          <w:tcPr>
            <w:tcW w:w="6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135,147</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134,020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133,771</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1,618</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1,784</w:t>
            </w:r>
          </w:p>
        </w:tc>
      </w:tr>
      <w:tr>
        <w:trPr>
          <w:trHeight w:val="216"/>
        </w:trPr>
        <w:tc>
          <w:tcPr>
            <w:tcW w:w="6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8,207</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7,114</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8,102</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Mark to fair value of finance receivables measured at fair value</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(15,283)</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4,417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29,528</w:t>
            </w:r>
          </w:p>
        </w:tc>
      </w:tr>
      <w:tr>
        <w:trPr>
          <w:trHeight w:val="216"/>
        </w:trPr>
        <w:tc>
          <w:tcPr>
            <w:tcW w:w="6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(28,100)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(14,590)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14,113</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4,427</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1,935</w:t>
            </w:r>
          </w:p>
        </w:tc>
      </w:tr>
      <w:tr>
        <w:trPr>
          <w:trHeight w:val="216"/>
        </w:trPr>
        <w:tc>
          <w:tcPr>
            <w:tcW w:w="6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540"/>
              <w:spacing w:after="0"/>
              <w:rPr>
                <w:sz w:val="20"/>
                <w:szCs w:val="20"/>
                <w:color w:val="auto"/>
              </w:rPr>
            </w:pPr>
            <w:r>
              <w:rPr>
                <w:rFonts w:ascii="Arial" w:cs="Arial" w:eastAsia="Arial" w:hAnsi="Arial"/>
                <w:sz w:val="18"/>
                <w:szCs w:val="18"/>
                <w:color w:val="auto"/>
              </w:rPr>
              <w:t>Accrued interest receivable</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1,620</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2,748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6,628</w:t>
            </w:r>
          </w:p>
        </w:tc>
      </w:tr>
      <w:tr>
        <w:trPr>
          <w:trHeight w:val="216"/>
        </w:trPr>
        <w:tc>
          <w:tcPr>
            <w:tcW w:w="6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2,551</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(3,787)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2,713</w:t>
            </w:r>
          </w:p>
        </w:tc>
      </w:tr>
      <w:tr>
        <w:trPr>
          <w:trHeight w:val="216"/>
        </w:trPr>
        <w:tc>
          <w:tcPr>
            <w:tcW w:w="6640" w:type="dxa"/>
            <w:vAlign w:val="bottom"/>
          </w:tcPr>
          <w:p>
            <w:pPr>
              <w:ind w:left="54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9,398</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8,937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21,493</w:t>
            </w:r>
          </w:p>
        </w:tc>
      </w:tr>
      <w:tr>
        <w:trPr>
          <w:trHeight w:val="229"/>
        </w:trPr>
        <w:tc>
          <w:tcPr>
            <w:tcW w:w="6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10,364</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7,485</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(4,115)</w:t>
            </w:r>
          </w:p>
        </w:tc>
      </w:tr>
      <w:tr>
        <w:trPr>
          <w:trHeight w:val="210"/>
        </w:trPr>
        <w:tc>
          <w:tcPr>
            <w:tcW w:w="664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215,932</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198,194</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238,767</w:t>
            </w:r>
          </w:p>
        </w:tc>
        <w:tc>
          <w:tcPr>
            <w:tcW w:w="100" w:type="dxa"/>
            <w:vAlign w:val="bottom"/>
            <w:tcBorders>
              <w:bottom w:val="single" w:sz="8" w:color="EEEEEE"/>
            </w:tcBorders>
          </w:tcPr>
          <w:p>
            <w:pPr>
              <w:spacing w:after="0"/>
              <w:rPr>
                <w:sz w:val="18"/>
                <w:szCs w:val="18"/>
                <w:color w:val="auto"/>
              </w:rPr>
            </w:pPr>
          </w:p>
        </w:tc>
      </w:tr>
      <w:tr>
        <w:trPr>
          <w:trHeight w:val="209"/>
        </w:trPr>
        <w:tc>
          <w:tcPr>
            <w:tcW w:w="6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133,733</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249,098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332,296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(1,673,166)</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(1,107,537)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(739,734)</w:t>
            </w: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825,783</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743,728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496,747</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1,899</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3,746</w:t>
            </w:r>
          </w:p>
        </w:tc>
      </w:tr>
      <w:tr>
        <w:trPr>
          <w:trHeight w:val="230"/>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(2,149)</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(1,976)</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664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(713,900</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(115,358</w:t>
            </w:r>
          </w:p>
        </w:tc>
        <w:tc>
          <w:tcPr>
            <w:tcW w:w="140" w:type="dxa"/>
            <w:vAlign w:val="bottom"/>
            <w:tcBorders>
              <w:bottom w:val="single" w:sz="8" w:color="EEEEEE"/>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w:t>
            </w:r>
          </w:p>
        </w:tc>
        <w:tc>
          <w:tcPr>
            <w:tcW w:w="100" w:type="dxa"/>
            <w:vAlign w:val="bottom"/>
            <w:tcBorders>
              <w:bottom w:val="single" w:sz="8" w:color="EEEEEE"/>
            </w:tcBorders>
          </w:tcPr>
          <w:p>
            <w:pPr>
              <w:spacing w:after="0"/>
              <w:rPr>
                <w:sz w:val="18"/>
                <w:szCs w:val="18"/>
                <w:color w:val="auto"/>
              </w:rPr>
            </w:pPr>
          </w:p>
        </w:tc>
      </w:tr>
      <w:tr>
        <w:trPr>
          <w:trHeight w:val="209"/>
        </w:trPr>
        <w:tc>
          <w:tcPr>
            <w:tcW w:w="6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1,411,018</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1,110,747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714,543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4,004</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7,988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6,750</w:t>
            </w: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(5,200)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(2,852)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(2,961)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Net advances (repayments) of warehouse lines of credit</w:t>
            </w:r>
          </w:p>
        </w:tc>
        <w:tc>
          <w:tcPr>
            <w:tcW w:w="30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181,868</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(14,503)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(16,271)</w:t>
            </w: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(repayments) of residual interest financing debt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(4,311)</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28,735</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(14,424)</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(1,060,052)</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(1,153,114)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(1,009,988)</w:t>
            </w: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(12,299)</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(7,813)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(5,861)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(46,096)</w:t>
            </w:r>
          </w:p>
        </w:tc>
        <w:tc>
          <w:tcPr>
            <w:tcW w:w="3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(25,676)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15,277</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6,048</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949</w:t>
            </w:r>
          </w:p>
        </w:tc>
      </w:tr>
      <w:tr>
        <w:trPr>
          <w:trHeight w:val="210"/>
        </w:trPr>
        <w:tc>
          <w:tcPr>
            <w:tcW w:w="664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484,209</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(50,440</w:t>
            </w:r>
          </w:p>
        </w:tc>
        <w:tc>
          <w:tcPr>
            <w:tcW w:w="140" w:type="dxa"/>
            <w:vAlign w:val="bottom"/>
            <w:tcBorders>
              <w:bottom w:val="single" w:sz="8" w:color="EEEEEE"/>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(328,478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(13,759)</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32,396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3,320</w:t>
            </w:r>
          </w:p>
        </w:tc>
      </w:tr>
      <w:tr>
        <w:trPr>
          <w:trHeight w:val="216"/>
        </w:trPr>
        <w:tc>
          <w:tcPr>
            <w:tcW w:w="6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176,548</w:t>
            </w:r>
          </w:p>
        </w:tc>
        <w:tc>
          <w:tcPr>
            <w:tcW w:w="3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144,152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140,832</w:t>
            </w: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162,789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176,548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144,152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76,696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69,476</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93,571</w:t>
            </w:r>
          </w:p>
        </w:tc>
      </w:tr>
      <w:tr>
        <w:trPr>
          <w:trHeight w:val="216"/>
        </w:trPr>
        <w:tc>
          <w:tcPr>
            <w:tcW w:w="6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16,182</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14,253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(23,997)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Customers located in California, Texas, Ohio, Illinois, Florida, Pennsylvania, and Indiana represented 8.2%, 7.8%, 7.6%, 5.7%, 5.1%, 4.6%, and 4.6% respectively, of contracts purchased during 2022 compared with 10.9%, 6.1%, 9.3%, 3.6%, 5.0%, 4.6%, and 5.0% respectively in 2021. No other state had a concentration in excess of 4.6% in 2022. We specialize in contracts with vehicle purchasers who generally would not be expected to qualify for traditional financing provided by commercial banks or automobile manufacturers’ captive finance companies.</w:t>
      </w:r>
    </w:p>
    <w:p>
      <w:pPr>
        <w:spacing w:after="0" w:line="16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2022, our unrestricted cash balance was $13.5 million, which exceeded the minimum amounts required by our financial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For the twelve-month period ended December 31, 2022 include a $15.3 million positive mark to the carrying value of the portion of the receivables portfolio accounted for at fair value. The Company considered the effect of the pandemic on the portfolio of finance receivables carried at fair value and recorded a mark down to that portfolio of $4.4 million for the twelve-month period ended December 31, 2021.</w:t>
      </w:r>
    </w:p>
    <w:p>
      <w:pPr>
        <w:spacing w:after="0" w:line="188"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current expected credit losses that can be reasonably estimated in our portfolio of finance receivable contracts.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Upon purchase of a Contract from a Dealer, we generally either charge or advance the Dealer an acquisition fee. Dealer acquisition fees and deferred origination costs are applied to the recorded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$571,000 and $2.5 million at December 31,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9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i w:val="1"/>
                <w:iCs w:val="1"/>
                <w:color w:val="auto"/>
              </w:rPr>
              <w:t>Other Income</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140"/>
              <w:spacing w:after="0"/>
              <w:rPr>
                <w:sz w:val="20"/>
                <w:szCs w:val="20"/>
                <w:color w:val="auto"/>
              </w:rPr>
            </w:pPr>
            <w:r>
              <w:rPr>
                <w:rFonts w:ascii="Arial" w:cs="Arial" w:eastAsia="Arial" w:hAnsi="Arial"/>
                <w:sz w:val="18"/>
                <w:szCs w:val="18"/>
                <w:color w:val="auto"/>
              </w:rPr>
              <w:t>The following table presents the primary components of Other Income:</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Third-party portfolio</w:t>
            </w:r>
          </w:p>
        </w:tc>
        <w:tc>
          <w:tcPr>
            <w:tcW w:w="1080" w:type="dxa"/>
            <w:vAlign w:val="bottom"/>
            <w:shd w:val="clear" w:color="auto" w:fill="EEEEEE"/>
          </w:tcPr>
          <w:p>
            <w:pPr>
              <w:jc w:val="right"/>
              <w:ind w:right="92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6,814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Direct mail revenues</w:t>
            </w:r>
          </w:p>
        </w:tc>
        <w:tc>
          <w:tcPr>
            <w:tcW w:w="10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3,391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Convenience fee revenue</w:t>
            </w: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Recoveries on previously charged-off contracts</w:t>
            </w:r>
          </w:p>
        </w:tc>
        <w:tc>
          <w:tcPr>
            <w:tcW w:w="10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Sales tax refunds</w:t>
            </w: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580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748</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1,286</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income for the period</w:t>
            </w:r>
          </w:p>
        </w:tc>
        <w:tc>
          <w:tcPr>
            <w:tcW w:w="1080" w:type="dxa"/>
            <w:vAlign w:val="bottom"/>
            <w:tcBorders>
              <w:top w:val="single" w:sz="8" w:color="auto"/>
              <w:bottom w:val="single" w:sz="8" w:color="auto"/>
            </w:tcBorders>
            <w:shd w:val="clear" w:color="auto" w:fill="EEEEEE"/>
          </w:tcPr>
          <w:p>
            <w:pPr>
              <w:jc w:val="right"/>
              <w:ind w:right="92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8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040" w:type="dxa"/>
            <w:vAlign w:val="bottom"/>
          </w:tcPr>
          <w:p>
            <w:pPr>
              <w:spacing w:after="0"/>
              <w:rPr>
                <w:sz w:val="19"/>
                <w:szCs w:val="19"/>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Numerator for basic and diluted earnings per share</w:t>
            </w:r>
          </w:p>
        </w:tc>
        <w:tc>
          <w:tcPr>
            <w:tcW w:w="1040" w:type="dxa"/>
            <w:vAlign w:val="bottom"/>
            <w:shd w:val="clear" w:color="auto" w:fill="EEEEEE"/>
          </w:tcPr>
          <w:p>
            <w:pPr>
              <w:jc w:val="right"/>
              <w:ind w:right="88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85,983</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47,524</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c>
          <w:tcPr>
            <w:tcW w:w="0" w:type="dxa"/>
            <w:vAlign w:val="bottom"/>
          </w:tcPr>
          <w:p>
            <w:pPr>
              <w:spacing w:after="0"/>
              <w:rPr>
                <w:sz w:val="1"/>
                <w:szCs w:val="1"/>
                <w:color w:val="auto"/>
              </w:rPr>
            </w:pPr>
          </w:p>
        </w:tc>
      </w:tr>
      <w:tr>
        <w:trPr>
          <w:trHeight w:val="20"/>
        </w:trPr>
        <w:tc>
          <w:tcPr>
            <w:tcW w:w="59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Denominator:</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Denominator for basic earnings per share - weighted average number of</w:t>
            </w: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shares outstanding during the year</w:t>
            </w:r>
          </w:p>
        </w:tc>
        <w:tc>
          <w:tcPr>
            <w:tcW w:w="1040" w:type="dxa"/>
            <w:vAlign w:val="bottom"/>
            <w:shd w:val="clear" w:color="auto" w:fill="EEEEEE"/>
          </w:tcPr>
          <w:p>
            <w:pPr>
              <w:spacing w:after="0"/>
              <w:rPr>
                <w:sz w:val="20"/>
                <w:szCs w:val="20"/>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20,958</w:t>
            </w:r>
          </w:p>
        </w:tc>
        <w:tc>
          <w:tcPr>
            <w:tcW w:w="36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22,562</w:t>
            </w:r>
          </w:p>
        </w:tc>
        <w:tc>
          <w:tcPr>
            <w:tcW w:w="5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22,611</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4"/>
              </w:rPr>
              <w:t>Incremental common shares attributable to exercise of outstanding options and</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5,631</w:t>
            </w: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3,218</w:t>
            </w:r>
          </w:p>
        </w:tc>
        <w:tc>
          <w:tcPr>
            <w:tcW w:w="5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 for diluted earnings per share</w:t>
            </w:r>
          </w:p>
        </w:tc>
        <w:tc>
          <w:tcPr>
            <w:tcW w:w="1040" w:type="dxa"/>
            <w:vAlign w:val="bottom"/>
            <w:tcBorders>
              <w:top w:val="single" w:sz="8" w:color="auto"/>
              <w:bottom w:val="single" w:sz="8" w:color="auto"/>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26,589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19"/>
                <w:szCs w:val="19"/>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25,780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24,003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EEEEEE"/>
            </w:tcBorders>
            <w:vMerge w:val="continue"/>
          </w:tcPr>
          <w:p>
            <w:pPr>
              <w:spacing w:after="0"/>
              <w:rPr>
                <w:sz w:val="20"/>
                <w:szCs w:val="20"/>
                <w:color w:val="auto"/>
              </w:rPr>
            </w:pPr>
          </w:p>
        </w:tc>
        <w:tc>
          <w:tcPr>
            <w:tcW w:w="104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22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w:t>
            </w:r>
          </w:p>
        </w:tc>
        <w:tc>
          <w:tcPr>
            <w:tcW w:w="220" w:type="dxa"/>
            <w:vAlign w:val="bottom"/>
            <w:tcBorders>
              <w:bottom w:val="single" w:sz="8" w:color="EEEEEE"/>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Diluted earnings per share</w:t>
            </w:r>
          </w:p>
        </w:tc>
        <w:tc>
          <w:tcPr>
            <w:tcW w:w="1040" w:type="dxa"/>
            <w:vAlign w:val="bottom"/>
            <w:tcBorders>
              <w:bottom w:val="single" w:sz="8" w:color="auto"/>
            </w:tcBorders>
            <w:shd w:val="clear" w:color="auto" w:fill="EEEEEE"/>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3.23</w:t>
            </w:r>
          </w:p>
        </w:tc>
        <w:tc>
          <w:tcPr>
            <w:tcW w:w="2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1.84</w:t>
            </w:r>
          </w:p>
        </w:tc>
        <w:tc>
          <w:tcPr>
            <w:tcW w:w="2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auto"/>
            </w:tcBorders>
            <w:shd w:val="clear" w:color="auto" w:fill="EEEEEE"/>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0.90</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460"/>
              <w:spacing w:after="0"/>
              <w:rPr>
                <w:sz w:val="20"/>
                <w:szCs w:val="20"/>
                <w:color w:val="auto"/>
              </w:rPr>
            </w:pPr>
            <w:r>
              <w:rPr>
                <w:rFonts w:ascii="Arial" w:cs="Arial" w:eastAsia="Arial" w:hAnsi="Arial"/>
                <w:sz w:val="18"/>
                <w:szCs w:val="18"/>
                <w:color w:val="auto"/>
              </w:rPr>
              <w:t>F-14</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8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Incremental shares of 1.2 million, 5.7 million and 13.6 million related to stock options and warrants have been excluded from the diluted earnings per share calculation for the years ended December 31, 2022, 2021 and 2020, respectively, because the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accounts for stock-based compensation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that generally requires entities to recognize the cost of employee services received in exchange for awards of stock options, restricted stock or other equity instruments, based on the grant date fair value of those awards. Compensation cost is recognized for awards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the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2022 we were in compliance with all such financial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right="20" w:firstLine="130"/>
        <w:spacing w:after="0" w:line="342" w:lineRule="auto"/>
        <w:rPr>
          <w:sz w:val="20"/>
          <w:szCs w:val="20"/>
          <w:color w:val="auto"/>
        </w:rPr>
      </w:pPr>
      <w:r>
        <w:rPr>
          <w:rFonts w:ascii="Arial" w:cs="Arial" w:eastAsia="Arial" w:hAnsi="Arial"/>
          <w:sz w:val="16"/>
          <w:szCs w:val="16"/>
          <w:color w:val="auto"/>
        </w:rPr>
        <w:t>We have recorded a liability as of December 31, 2022, which represents our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jc w:val="both"/>
        <w:ind w:right="20" w:firstLine="130"/>
        <w:spacing w:after="0" w:line="308" w:lineRule="auto"/>
        <w:rPr>
          <w:sz w:val="20"/>
          <w:szCs w:val="20"/>
          <w:color w:val="auto"/>
        </w:rPr>
      </w:pPr>
      <w:r>
        <w:rPr>
          <w:rFonts w:ascii="Arial" w:cs="Arial" w:eastAsia="Arial" w:hAnsi="Arial"/>
          <w:sz w:val="17"/>
          <w:szCs w:val="17"/>
          <w:color w:val="auto"/>
        </w:rPr>
        <w:t>Restricted cash consists of cash and cash equivalent accounts relating to our outstanding securitization trusts and credit facilities. The amount of restricted cash on our Consolidated Balance Sheets was $149.3 million and $146.6 million as of December 31, 2022 and 2021, respectively.</w:t>
      </w:r>
    </w:p>
    <w:p>
      <w:pPr>
        <w:spacing w:after="0" w:line="14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$56.8 million and $49.0 million as of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firstLine="130"/>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w w:val="96"/>
              </w:rPr>
              <w:t>The following table presents the components of finance receivables, net of unearned interest:</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0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4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500" w:type="dxa"/>
            <w:vAlign w:val="bottom"/>
            <w:gridSpan w:val="2"/>
            <w:shd w:val="clear" w:color="auto" w:fill="EEEEEE"/>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92,304</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232,390</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Arial" w:cs="Arial" w:eastAsia="Arial" w:hAnsi="Arial"/>
                <w:sz w:val="18"/>
                <w:szCs w:val="18"/>
                <w:color w:val="auto"/>
              </w:rPr>
              <w:t>Unearned acquisition fees, discounts and deferred origination costs, net</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w:t>
            </w:r>
          </w:p>
        </w:tc>
        <w:tc>
          <w:tcPr>
            <w:tcW w:w="4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92,304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vMerge w:val="restart"/>
          </w:tcPr>
          <w:p>
            <w:pPr>
              <w:spacing w:after="0"/>
              <w:rPr>
                <w:sz w:val="20"/>
                <w:szCs w:val="20"/>
                <w:color w:val="auto"/>
              </w:rPr>
            </w:pPr>
            <w:r>
              <w:rPr>
                <w:rFonts w:ascii="Arial" w:cs="Arial" w:eastAsia="Arial" w:hAnsi="Arial"/>
                <w:sz w:val="18"/>
                <w:szCs w:val="18"/>
                <w:color w:val="auto"/>
              </w:rPr>
              <w:t>Delinquency Status</w:t>
            </w:r>
          </w:p>
        </w:tc>
        <w:tc>
          <w:tcPr>
            <w:tcW w:w="3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4200" w:type="dxa"/>
            <w:vAlign w:val="bottom"/>
            <w:gridSpan w:val="2"/>
            <w:shd w:val="clear" w:color="auto" w:fill="EEEEEE"/>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65,764</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186,625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31-60 days</w:t>
            </w: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16,796</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30,980</w:t>
            </w: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61-90 days</w:t>
            </w:r>
          </w:p>
        </w:tc>
        <w:tc>
          <w:tcPr>
            <w:tcW w:w="3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7,756</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91 + days</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1,988</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460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92,304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Finance receivables totaling $2.0 million and $2.7 million at December 31, 2022 and 2021, respectively, have been placed on non-accrual status as a result of their delinquency status.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amortized cost basis of our finance receivables by annual vintage as of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5720" w:type="dxa"/>
            <w:vAlign w:val="bottom"/>
            <w:gridSpan w:val="3"/>
            <w:vMerge w:val="restart"/>
          </w:tcPr>
          <w:p>
            <w:pPr>
              <w:jc w:val="right"/>
              <w:ind w:right="4138"/>
              <w:spacing w:after="0"/>
              <w:rPr>
                <w:sz w:val="20"/>
                <w:szCs w:val="20"/>
                <w:color w:val="auto"/>
              </w:rPr>
            </w:pPr>
            <w:r>
              <w:rPr>
                <w:rFonts w:ascii="Arial" w:cs="Arial" w:eastAsia="Arial" w:hAnsi="Arial"/>
                <w:sz w:val="18"/>
                <w:szCs w:val="18"/>
                <w:color w:val="auto"/>
                <w:w w:val="90"/>
              </w:rPr>
              <w:t>Annual Vintage Pool</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572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5720" w:type="dxa"/>
            <w:vAlign w:val="bottom"/>
            <w:gridSpan w:val="3"/>
            <w:shd w:val="clear" w:color="auto" w:fill="EEEEEE"/>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33</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0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1,601</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8,627</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0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28,632</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76,728</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53,180</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117,864</w:t>
            </w:r>
          </w:p>
        </w:tc>
        <w:tc>
          <w:tcPr>
            <w:tcW w:w="0" w:type="dxa"/>
            <w:vAlign w:val="bottom"/>
          </w:tcPr>
          <w:p>
            <w:pPr>
              <w:spacing w:after="0"/>
              <w:rPr>
                <w:sz w:val="1"/>
                <w:szCs w:val="1"/>
                <w:color w:val="auto"/>
              </w:rPr>
            </w:pPr>
          </w:p>
        </w:tc>
      </w:tr>
      <w:tr>
        <w:trPr>
          <w:trHeight w:val="223"/>
        </w:trPr>
        <w:tc>
          <w:tcPr>
            <w:tcW w:w="3080" w:type="dxa"/>
            <w:vAlign w:val="bottom"/>
            <w:tcBorders>
              <w:top w:val="single" w:sz="8" w:color="EEEEEE"/>
              <w:bottom w:val="single" w:sz="8" w:color="EEEEEE"/>
            </w:tcBorders>
            <w:shd w:val="clear" w:color="auto" w:fill="EEEEEE"/>
          </w:tcPr>
          <w:p>
            <w:pPr>
              <w:ind w:left="40"/>
              <w:spacing w:after="0"/>
              <w:rPr>
                <w:sz w:val="20"/>
                <w:szCs w:val="20"/>
                <w:color w:val="auto"/>
              </w:rPr>
            </w:pPr>
            <w:r>
              <w:rPr>
                <w:rFonts w:ascii="Arial" w:cs="Arial" w:eastAsia="Arial" w:hAnsi="Arial"/>
                <w:sz w:val="18"/>
                <w:szCs w:val="18"/>
                <w:color w:val="EEEEEE"/>
              </w:rPr>
              <w:t>Total amortized cost basis</w:t>
            </w: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320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92,304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right"/>
              <w:ind w:right="2918"/>
              <w:spacing w:after="0"/>
              <w:rPr>
                <w:sz w:val="20"/>
                <w:szCs w:val="20"/>
                <w:color w:val="auto"/>
              </w:rPr>
            </w:pPr>
            <w:r>
              <w:rPr>
                <w:rFonts w:ascii="Arial" w:cs="Arial" w:eastAsia="Arial" w:hAnsi="Arial"/>
                <w:sz w:val="18"/>
                <w:szCs w:val="18"/>
                <w:color w:val="auto"/>
              </w:rPr>
              <w:t>F-18</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Company recorded a reduction to provision for credit losses on finance receivables in the amount of $28.1 million and $14.6 million for the years ended December 31, 2022, and 2021, respectively. The reserve decrease was primarily due to a decrease in lifetime expected credit losses resulting from improved credit performance, an improved macroeconomic outlook and higher used car prices. The Company made additional provisions for credit losses of $14.1 million for the year ended December 30, 2020. Those reserve increases were made in consideration for the uncertainty associated with the pandemic.</w:t>
      </w:r>
    </w:p>
    <w:p>
      <w:pPr>
        <w:spacing w:after="0" w:line="18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years ended December 31, 2022,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000" w:type="dxa"/>
            <w:vAlign w:val="bottom"/>
            <w:shd w:val="clear" w:color="auto" w:fill="EEEEEE"/>
          </w:tcPr>
          <w:p>
            <w:pPr>
              <w:jc w:val="right"/>
              <w:ind w:right="84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56,206</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80,790</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11,640</w:t>
            </w:r>
          </w:p>
        </w:tc>
        <w:tc>
          <w:tcPr>
            <w:tcW w:w="8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Impact of adoption ASC 326</w:t>
            </w:r>
          </w:p>
        </w:tc>
        <w:tc>
          <w:tcPr>
            <w:tcW w:w="10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8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(28,100)</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(14,590)</w:t>
            </w:r>
          </w:p>
        </w:tc>
        <w:tc>
          <w:tcPr>
            <w:tcW w:w="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14,113</w:t>
            </w:r>
          </w:p>
        </w:tc>
        <w:tc>
          <w:tcPr>
            <w:tcW w:w="8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Charge-offs</w:t>
            </w:r>
          </w:p>
        </w:tc>
        <w:tc>
          <w:tcPr>
            <w:tcW w:w="10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(18,319)</w:t>
            </w: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(30,940)</w:t>
            </w: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(90,824)</w:t>
            </w:r>
          </w:p>
        </w:tc>
      </w:tr>
      <w:tr>
        <w:trPr>
          <w:trHeight w:val="229"/>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11,966</w:t>
            </w: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20,946</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18,861</w:t>
            </w:r>
          </w:p>
        </w:tc>
        <w:tc>
          <w:tcPr>
            <w:tcW w:w="80" w:type="dxa"/>
            <w:vAlign w:val="bottom"/>
            <w:shd w:val="clear" w:color="auto" w:fill="EEEEEE"/>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56,206</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1,894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4,341</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(1,323)</w:t>
            </w:r>
          </w:p>
        </w:tc>
        <w:tc>
          <w:tcPr>
            <w:tcW w:w="5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(1,871)</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688"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(4) Furniture and Equipment</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80" w:type="dxa"/>
            <w:vAlign w:val="bottom"/>
          </w:tcPr>
          <w:p>
            <w:pPr>
              <w:ind w:left="140"/>
              <w:spacing w:after="0"/>
              <w:rPr>
                <w:sz w:val="20"/>
                <w:szCs w:val="20"/>
                <w:color w:val="auto"/>
              </w:rPr>
            </w:pPr>
            <w:r>
              <w:rPr>
                <w:rFonts w:ascii="Arial" w:cs="Arial" w:eastAsia="Arial" w:hAnsi="Arial"/>
                <w:sz w:val="18"/>
                <w:szCs w:val="18"/>
                <w:color w:val="auto"/>
              </w:rPr>
              <w:t>The following table presents the components of furniture and equipment:</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ind w:left="780"/>
              <w:spacing w:after="0"/>
              <w:rPr>
                <w:sz w:val="20"/>
                <w:szCs w:val="20"/>
                <w:color w:val="auto"/>
              </w:rPr>
            </w:pPr>
            <w:r>
              <w:rPr>
                <w:rFonts w:ascii="Arial" w:cs="Arial" w:eastAsia="Arial" w:hAnsi="Arial"/>
                <w:sz w:val="18"/>
                <w:szCs w:val="18"/>
                <w:b w:val="1"/>
                <w:bCs w:val="1"/>
                <w:color w:val="auto"/>
                <w:w w:val="93"/>
              </w:rPr>
              <w:t>(In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1,936</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EEEEEE"/>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6,349</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r>
      <w:tr>
        <w:trPr>
          <w:trHeight w:val="229"/>
        </w:trPr>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1,570</w:t>
            </w:r>
          </w:p>
        </w:tc>
        <w:tc>
          <w:tcPr>
            <w:tcW w:w="52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EEEEEE"/>
          </w:tcPr>
          <w:p>
            <w:pPr>
              <w:spacing w:after="0"/>
              <w:rPr>
                <w:sz w:val="19"/>
                <w:szCs w:val="19"/>
                <w:color w:val="auto"/>
              </w:rPr>
            </w:pPr>
          </w:p>
        </w:tc>
      </w:tr>
      <w:tr>
        <w:trPr>
          <w:trHeight w:val="210"/>
        </w:trPr>
        <w:tc>
          <w:tcPr>
            <w:tcW w:w="6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4"/>
              </w:rPr>
              <w:t>9,855</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(8,195)</w:t>
            </w:r>
          </w:p>
        </w:tc>
        <w:tc>
          <w:tcPr>
            <w:tcW w:w="5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(7,530)</w:t>
            </w:r>
          </w:p>
        </w:tc>
      </w:tr>
      <w:tr>
        <w:trPr>
          <w:trHeight w:val="223"/>
        </w:trPr>
        <w:tc>
          <w:tcPr>
            <w:tcW w:w="6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4"/>
              </w:rPr>
              <w:t>1,660</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Depreciation expense totaled $1,618,000, $1,675,000, and $1,784,000 for the years ended December 31, 2022, 2021 and 2020,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Debt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Scheduled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 at</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 at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at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Initial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Series</w:t>
            </w:r>
          </w:p>
        </w:tc>
        <w:tc>
          <w:tcPr>
            <w:tcW w:w="1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2022 (2)</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1120"/>
              <w:spacing w:after="0"/>
              <w:rPr>
                <w:sz w:val="20"/>
                <w:szCs w:val="20"/>
                <w:color w:val="auto"/>
              </w:rPr>
            </w:pPr>
            <w:r>
              <w:rPr>
                <w:rFonts w:ascii="Arial" w:cs="Arial" w:eastAsia="Arial" w:hAnsi="Arial"/>
                <w:sz w:val="18"/>
                <w:szCs w:val="18"/>
                <w:b w:val="1"/>
                <w:bCs w:val="1"/>
                <w:color w:val="auto"/>
                <w:w w:val="93"/>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2017-A</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April 2024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206,320</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17,644</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2017-B</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December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12,491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2017-C</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September 2024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224,825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25,846</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2017-D</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June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26,744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2018-A</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March 2025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16,642</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190,000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29,518</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2018-B</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20,897</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36,092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2018-C</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September 2025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24,589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230,275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20,222</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42,765</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2018-D</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June 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30,015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25,563</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49,634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2019-A</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March 2026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38,138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254,400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32,898</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62,667</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2019-B</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June 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39,755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33,897</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61,730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2019-C</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September 2026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46,903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243,513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41,515</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75,065</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2019-D</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December 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60,856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53,625</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98,625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2020-A</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March 2027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56,226</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52,705</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99,485</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2020-B</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June 2027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63,849</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41,736</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87,048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2020-C</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November 2027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86,061</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252,200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72,894</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138,899</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2021-A</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March 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90,801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72,076</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147,516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2021-B</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June 2028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113,723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240,000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101,206</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179,856</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2021-C</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September 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165,102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147,593</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250,003</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2021-D</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December 2028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224,055</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349,202</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209,277</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330,325</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2022-A</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April 2029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243,580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222,613</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2022-B</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October 2029</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355,224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395,600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325,907</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CPS 2022-C</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April 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394,782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346,714</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1460" w:type="dxa"/>
            <w:vAlign w:val="bottom"/>
            <w:shd w:val="clear" w:color="auto" w:fill="EEEEEE"/>
          </w:tcPr>
          <w:p>
            <w:pPr>
              <w:spacing w:after="0"/>
              <w:rPr>
                <w:sz w:val="20"/>
                <w:szCs w:val="20"/>
                <w:color w:val="auto"/>
              </w:rPr>
            </w:pPr>
            <w:r>
              <w:rPr>
                <w:rFonts w:ascii="Arial" w:cs="Arial" w:eastAsia="Arial" w:hAnsi="Arial"/>
                <w:sz w:val="18"/>
                <w:szCs w:val="18"/>
                <w:color w:val="auto"/>
              </w:rPr>
              <w:t>CPS 2022-D</w:t>
            </w:r>
          </w:p>
        </w:tc>
        <w:tc>
          <w:tcPr>
            <w:tcW w:w="19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August 2030</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322,973</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307,018</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292,461</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2,394,171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5,945,252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2,122,919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1,771,953</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hanging="572"/>
        <w:spacing w:after="0" w:line="279" w:lineRule="auto"/>
        <w:tabs>
          <w:tab w:leader="none" w:pos="58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$804.4 million in 2023, $578.9 million in 2024, $339.1 million in 2025, $202.3 million in 2026, $128.1 million in 2027, $55.3 million in 2028, and $0.6 million in 2029.</w:t>
      </w:r>
    </w:p>
    <w:p>
      <w:pPr>
        <w:spacing w:after="0" w:line="171" w:lineRule="exact"/>
        <w:rPr>
          <w:rFonts w:ascii="Arial" w:cs="Arial" w:eastAsia="Arial" w:hAnsi="Arial"/>
          <w:sz w:val="17"/>
          <w:szCs w:val="17"/>
          <w:i w:val="1"/>
          <w:iCs w:val="1"/>
          <w:color w:val="auto"/>
        </w:rPr>
      </w:pPr>
    </w:p>
    <w:p>
      <w:pPr>
        <w:ind w:left="580" w:hanging="559"/>
        <w:spacing w:after="0"/>
        <w:tabs>
          <w:tab w:leader="none" w:pos="580" w:val="left"/>
        </w:tabs>
        <w:numPr>
          <w:ilvl w:val="1"/>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Debt issuance costs of $14.2 million and $12.0 million as of December 31, 2022 and December 31, 2021, respectively, have been excluded from the table above. These debt issuance costs are presented as a direct deduction to the carrying amount of the Securitization trust debt on our Consolidated Balance Sheets.</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2022.</w:t>
      </w:r>
    </w:p>
    <w:p>
      <w:pPr>
        <w:spacing w:after="0" w:line="18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2022, restricted cash under the various agreements totaled approximately $149.3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9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314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terms of our debt outstanding at December 31, 2022 and 2021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6"/>
          </w:tcPr>
          <w:p>
            <w:pPr>
              <w:ind w:left="4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gridSpan w:val="2"/>
            <w:vMerge w:val="restart"/>
          </w:tcPr>
          <w:p>
            <w:pPr>
              <w:ind w:left="720"/>
              <w:spacing w:after="0"/>
              <w:rPr>
                <w:sz w:val="20"/>
                <w:szCs w:val="20"/>
                <w:color w:val="auto"/>
              </w:rPr>
            </w:pPr>
            <w:r>
              <w:rPr>
                <w:rFonts w:ascii="Arial" w:cs="Arial" w:eastAsia="Arial" w:hAnsi="Arial"/>
                <w:sz w:val="18"/>
                <w:szCs w:val="18"/>
                <w:color w:val="auto"/>
              </w:rPr>
              <w:t>Description</w:t>
            </w:r>
          </w:p>
        </w:tc>
        <w:tc>
          <w:tcPr>
            <w:tcW w:w="2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Interest Rate</w:t>
            </w:r>
          </w:p>
        </w:tc>
        <w:tc>
          <w:tcPr>
            <w:tcW w:w="29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Maturity</w:t>
            </w:r>
          </w:p>
        </w:tc>
        <w:tc>
          <w:tcPr>
            <w:tcW w:w="120" w:type="dxa"/>
            <w:vAlign w:val="bottom"/>
          </w:tcPr>
          <w:p>
            <w:pPr>
              <w:spacing w:after="0"/>
              <w:rPr>
                <w:sz w:val="19"/>
                <w:szCs w:val="19"/>
                <w:color w:val="auto"/>
              </w:rPr>
            </w:pPr>
          </w:p>
        </w:tc>
        <w:tc>
          <w:tcPr>
            <w:tcW w:w="27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gridSpan w:val="2"/>
            <w:vMerge w:val="continue"/>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4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3"/>
              </w:rPr>
              <w:t>3.00% over CP yield rate (Minimum</w:t>
            </w:r>
          </w:p>
        </w:tc>
        <w:tc>
          <w:tcPr>
            <w:tcW w:w="2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3.75%) 7.48% and 3.75% at December</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31, 2022 and December 31 2021,</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9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respectively</w:t>
            </w: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July 2024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150,293</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70,590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4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89"/>
              </w:rPr>
              <w:t>4.15% over a commercial paper rate</w:t>
            </w:r>
          </w:p>
        </w:tc>
        <w:tc>
          <w:tcPr>
            <w:tcW w:w="2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3"/>
              </w:rPr>
              <w:t>(Minimum 5.15%) 8.60% and 5.15%</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8"/>
              </w:rPr>
              <w:t>at December 31 2022, and December</w:t>
            </w:r>
          </w:p>
        </w:tc>
        <w:tc>
          <w:tcPr>
            <w:tcW w:w="2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9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31 2021, respectively</w:t>
            </w: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January 2024</w:t>
            </w:r>
          </w:p>
        </w:tc>
        <w:tc>
          <w:tcPr>
            <w:tcW w:w="12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137,585</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35,420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120" w:type="dxa"/>
            <w:vAlign w:val="bottom"/>
            <w:shd w:val="clear" w:color="auto" w:fill="EEEEEE"/>
          </w:tcPr>
          <w:p>
            <w:pPr>
              <w:spacing w:after="0"/>
              <w:rPr>
                <w:sz w:val="18"/>
                <w:szCs w:val="18"/>
                <w:color w:val="auto"/>
              </w:rPr>
            </w:pP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January 2026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7.86%</w:t>
            </w:r>
          </w:p>
        </w:tc>
        <w:tc>
          <w:tcPr>
            <w:tcW w:w="120" w:type="dxa"/>
            <w:vAlign w:val="bottom"/>
            <w:shd w:val="clear" w:color="auto" w:fill="EEEEEE"/>
          </w:tcPr>
          <w:p>
            <w:pPr>
              <w:spacing w:after="0"/>
              <w:rPr>
                <w:sz w:val="18"/>
                <w:szCs w:val="18"/>
                <w:color w:val="auto"/>
              </w:rPr>
            </w:pP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7"/>
              </w:rPr>
              <w:t>June 2026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2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1"/>
              </w:rPr>
              <w:t>Weighted average maturity of October</w:t>
            </w: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Weighted average rate of 7.82% and</w:t>
            </w: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8"/>
              </w:rPr>
              <w:t>2024 and January 2024 at December</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8.93% at December 31, 2022 and</w:t>
            </w:r>
          </w:p>
        </w:tc>
        <w:tc>
          <w:tcPr>
            <w:tcW w:w="292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9"/>
              </w:rPr>
              <w:t>31, 2022 and December 31, 2021,</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Subordinated renewable notes</w:t>
            </w:r>
          </w:p>
        </w:tc>
        <w:tc>
          <w:tcPr>
            <w:tcW w:w="29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December 31, 2021, respectively</w:t>
            </w:r>
          </w:p>
        </w:tc>
        <w:tc>
          <w:tcPr>
            <w:tcW w:w="29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respectively</w:t>
            </w:r>
          </w:p>
        </w:tc>
        <w:tc>
          <w:tcPr>
            <w:tcW w:w="12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25,263</w:t>
            </w:r>
          </w:p>
        </w:tc>
        <w:tc>
          <w:tcPr>
            <w:tcW w:w="1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vMerge w:val="restart"/>
          </w:tcPr>
          <w:p>
            <w:pPr>
              <w:ind w:left="140"/>
              <w:spacing w:after="0"/>
              <w:rPr>
                <w:sz w:val="20"/>
                <w:szCs w:val="20"/>
                <w:color w:val="auto"/>
              </w:rPr>
            </w:pPr>
            <w:r>
              <w:rPr>
                <w:rFonts w:ascii="Arial" w:cs="Arial" w:eastAsia="Arial" w:hAnsi="Arial"/>
                <w:sz w:val="18"/>
                <w:szCs w:val="18"/>
                <w:color w:val="auto"/>
              </w:rPr>
              <w:t>F-23</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Debt issuance costs of $2.6 million and $400,000 as of December 31, 2022 and December 31, 2021, respectively, have been excluded from the table above. These debt issuance costs are presented as a direct deduction to the carrying amount of the Warehouse lines of credit and residual interest financing on our Consolidated Balance Sheets.</w:t>
      </w:r>
    </w:p>
    <w:p>
      <w:pPr>
        <w:spacing w:after="0" w:line="184"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86.0% of eligible finance receivables. The Class A loans under the facility generally accrue interest during the revolving period at a per annum rate equal to one-month SOFR plus 3.00% per annum, with a minimum rate of 3.75% per annum and during the amortization period at a per annum rate equal to one-month SOFR plus 4.00% per annum, with a minimum rate of 4.75% per annum. The Class B loans under the facility generally accrue interest during the revolving period at a per annum rate equal to 8.50% per annum and during the amortization period at a per annum rate equal to 9.50% per annum. In July 2022, we renewed our two-year revolving credit agreement with Citibank, N.A., and doubled the capacity from $100 million to $200 million. This facility was amended to extend the revolving period to July 2024 and to include an amortization period through July 2025 for any receivables pledged to the facility at the end of the revolving period. At December 31, 2022 there was $150.3 million outstanding under this facility.</w:t>
      </w:r>
    </w:p>
    <w:p>
      <w:pPr>
        <w:spacing w:after="0" w:line="194"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On February 2, 2022, we renewed our two-year revolving credit agreement with Ares Agent Services, L.P. The facility is structured to allow us to fund a portion of the purchase price of automobile contracts by borrowing from a credit facility to our consolidated subsidiary Page Nine Funding, LLC. The facility provides for effective advances up to 88.00% of eligible finance receivables. The loans under the facility accrue interest at a commercial paper rate plus 4.15% per annum, with a minimum rate of 5.15% per annum. In June 2022, we increased the capacity of our credit agreement with Ares Agent Services, L.P. from $100 million to $200 million. This facility was amended to extend the revolving period to January 2024 followed by an amortization period through January 2028 for any receivables pledged to the facility at the end of the revolving period. At December 31, 2022 there was $137.6 million outstanding under this facility.</w:t>
      </w:r>
    </w:p>
    <w:p>
      <w:pPr>
        <w:spacing w:after="0" w:line="19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total outstanding debt on our two warehouse lines of credit was $287.9 million as of December 31, 2022, compared to $106.0 million outstanding as of December 31, 2021.</w:t>
      </w:r>
    </w:p>
    <w:p>
      <w:pPr>
        <w:spacing w:after="0" w:line="1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2022 there was $50.0 million outstanding under this facility.</w:t>
      </w:r>
    </w:p>
    <w:p>
      <w:pPr>
        <w:spacing w:after="0" w:line="171"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The agreed valuation of the collateral for the 2018-1 and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2018-1 and 2021-1 Notes are entitled to interest at the coupon rate and, if necessary, a principal payment necessary to maintain a specified minimum collateral ratio.</w:t>
      </w:r>
    </w:p>
    <w:p>
      <w:pPr>
        <w:spacing w:after="0" w:line="15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Unamortized debt issuance costs of $377,000 and $629,000 as of December 31, 2022 and December 31, 2021, respectively, have been excluded from the amount reported above for residual interest financing. These debt issuance costs are presented as a direct deduction to the carrying amount of the debt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table summarizes the contractual and expected maturity amounts of our outstanding subordinated renewable notes as of December 31, 2022:</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Subordinated</w:t>
            </w:r>
          </w:p>
        </w:tc>
      </w:tr>
      <w:tr>
        <w:trPr>
          <w:trHeight w:val="230"/>
        </w:trPr>
        <w:tc>
          <w:tcPr>
            <w:tcW w:w="4860" w:type="dxa"/>
            <w:vAlign w:val="bottom"/>
          </w:tcPr>
          <w:p>
            <w:pPr>
              <w:ind w:left="1600"/>
              <w:spacing w:after="0"/>
              <w:rPr>
                <w:sz w:val="20"/>
                <w:szCs w:val="20"/>
                <w:color w:val="auto"/>
              </w:rPr>
            </w:pPr>
            <w:r>
              <w:rPr>
                <w:rFonts w:ascii="Arial" w:cs="Arial" w:eastAsia="Arial" w:hAnsi="Arial"/>
                <w:sz w:val="18"/>
                <w:szCs w:val="18"/>
                <w:b w:val="1"/>
                <w:bCs w:val="1"/>
                <w:color w:val="auto"/>
              </w:rPr>
              <w:t>Contractual maturity</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renewable</w:t>
            </w:r>
          </w:p>
        </w:tc>
      </w:tr>
      <w:tr>
        <w:trPr>
          <w:trHeight w:val="234"/>
        </w:trPr>
        <w:tc>
          <w:tcPr>
            <w:tcW w:w="4860" w:type="dxa"/>
            <w:vAlign w:val="bottom"/>
          </w:tcPr>
          <w:p>
            <w:pPr>
              <w:ind w:left="2260"/>
              <w:spacing w:after="0"/>
              <w:rPr>
                <w:sz w:val="20"/>
                <w:szCs w:val="20"/>
                <w:color w:val="auto"/>
              </w:rPr>
            </w:pPr>
            <w:r>
              <w:rPr>
                <w:rFonts w:ascii="Arial" w:cs="Arial" w:eastAsia="Arial" w:hAnsi="Arial"/>
                <w:sz w:val="18"/>
                <w:szCs w:val="18"/>
                <w:b w:val="1"/>
                <w:bCs w:val="1"/>
                <w:color w:val="auto"/>
              </w:rPr>
              <w:t>date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notes</w:t>
            </w:r>
          </w:p>
        </w:tc>
      </w:tr>
      <w:tr>
        <w:trPr>
          <w:trHeight w:val="209"/>
        </w:trPr>
        <w:tc>
          <w:tcPr>
            <w:tcW w:w="4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18"/>
                <w:szCs w:val="18"/>
                <w:color w:val="auto"/>
              </w:rPr>
            </w:pPr>
          </w:p>
        </w:tc>
      </w:tr>
      <w:tr>
        <w:trPr>
          <w:trHeight w:val="216"/>
        </w:trPr>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6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13,800</w:t>
            </w:r>
          </w:p>
        </w:tc>
        <w:tc>
          <w:tcPr>
            <w:tcW w:w="60" w:type="dxa"/>
            <w:vAlign w:val="bottom"/>
            <w:shd w:val="clear" w:color="auto" w:fill="EEEEEE"/>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2,798</w:t>
            </w:r>
          </w:p>
        </w:tc>
        <w:tc>
          <w:tcPr>
            <w:tcW w:w="60" w:type="dxa"/>
            <w:vAlign w:val="bottom"/>
          </w:tcPr>
          <w:p>
            <w:pPr>
              <w:spacing w:after="0"/>
              <w:rPr>
                <w:sz w:val="18"/>
                <w:szCs w:val="18"/>
                <w:color w:val="auto"/>
              </w:rPr>
            </w:pPr>
          </w:p>
        </w:tc>
      </w:tr>
      <w:tr>
        <w:trPr>
          <w:trHeight w:val="216"/>
        </w:trPr>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3,146</w:t>
            </w:r>
          </w:p>
        </w:tc>
        <w:tc>
          <w:tcPr>
            <w:tcW w:w="60" w:type="dxa"/>
            <w:vAlign w:val="bottom"/>
            <w:shd w:val="clear" w:color="auto" w:fill="EEEEEE"/>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3,264</w:t>
            </w:r>
          </w:p>
        </w:tc>
        <w:tc>
          <w:tcPr>
            <w:tcW w:w="60" w:type="dxa"/>
            <w:vAlign w:val="bottom"/>
          </w:tcPr>
          <w:p>
            <w:pPr>
              <w:spacing w:after="0"/>
              <w:rPr>
                <w:sz w:val="18"/>
                <w:szCs w:val="18"/>
                <w:color w:val="auto"/>
              </w:rPr>
            </w:pPr>
          </w:p>
        </w:tc>
      </w:tr>
      <w:tr>
        <w:trPr>
          <w:trHeight w:val="216"/>
        </w:trPr>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837</w:t>
            </w:r>
          </w:p>
        </w:tc>
        <w:tc>
          <w:tcPr>
            <w:tcW w:w="60" w:type="dxa"/>
            <w:vAlign w:val="bottom"/>
            <w:shd w:val="clear" w:color="auto" w:fill="EEEEEE"/>
          </w:tcPr>
          <w:p>
            <w:pPr>
              <w:spacing w:after="0"/>
              <w:rPr>
                <w:sz w:val="18"/>
                <w:szCs w:val="18"/>
                <w:color w:val="auto"/>
              </w:rPr>
            </w:pPr>
          </w:p>
        </w:tc>
      </w:tr>
      <w:tr>
        <w:trPr>
          <w:trHeight w:val="229"/>
        </w:trPr>
        <w:tc>
          <w:tcPr>
            <w:tcW w:w="48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60" w:type="dxa"/>
            <w:vAlign w:val="bottom"/>
            <w:tcBorders>
              <w:bottom w:val="single" w:sz="8" w:color="EEEEEE"/>
            </w:tcBorders>
          </w:tcPr>
          <w:p>
            <w:pPr>
              <w:spacing w:after="0"/>
              <w:rPr>
                <w:sz w:val="19"/>
                <w:szCs w:val="19"/>
                <w:color w:val="auto"/>
              </w:rPr>
            </w:pPr>
          </w:p>
        </w:tc>
      </w:tr>
      <w:tr>
        <w:trPr>
          <w:trHeight w:val="223"/>
        </w:trPr>
        <w:tc>
          <w:tcPr>
            <w:tcW w:w="48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60" w:type="dxa"/>
            <w:vAlign w:val="bottom"/>
            <w:tcBorders>
              <w:bottom w:val="single" w:sz="8" w:color="EEEEEE"/>
            </w:tcBorders>
            <w:shd w:val="clear" w:color="auto" w:fill="EEEEEE"/>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 the year ending December 31, 2022, we purchased 4,139,664 shares of our common stock at an average price of $11.11. In January, March, and July 2022 our board of directors authorized the repurchase of up to $35.0 million of our common stock. There is approximately $8.3 million of board authorization remaining under such plans, which have no expiration date. The table below describes the purchase of our common stock for the twelve-month period ended December 31, 2022 and 2021:</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ind w:left="380"/>
              <w:spacing w:after="0"/>
              <w:rPr>
                <w:sz w:val="20"/>
                <w:szCs w:val="20"/>
                <w:color w:val="auto"/>
              </w:rPr>
            </w:pPr>
            <w:r>
              <w:rPr>
                <w:rFonts w:ascii="Arial" w:cs="Arial" w:eastAsia="Arial" w:hAnsi="Arial"/>
                <w:sz w:val="18"/>
                <w:szCs w:val="18"/>
                <w:b w:val="1"/>
                <w:bCs w:val="1"/>
                <w:color w:val="auto"/>
              </w:rPr>
              <w:t>Twelve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160" w:type="dxa"/>
            <w:vAlign w:val="bottom"/>
            <w:gridSpan w:val="5"/>
          </w:tcPr>
          <w:p>
            <w:pPr>
              <w:ind w:left="740"/>
              <w:spacing w:after="0"/>
              <w:rPr>
                <w:sz w:val="20"/>
                <w:szCs w:val="20"/>
                <w:color w:val="auto"/>
              </w:rPr>
            </w:pPr>
            <w:r>
              <w:rPr>
                <w:rFonts w:ascii="Arial" w:cs="Arial" w:eastAsia="Arial" w:hAnsi="Arial"/>
                <w:sz w:val="18"/>
                <w:szCs w:val="18"/>
                <w:b w:val="1"/>
                <w:bCs w:val="1"/>
                <w:color w:val="auto"/>
              </w:rPr>
              <w:t>December 31, 2022</w:t>
            </w:r>
          </w:p>
        </w:tc>
        <w:tc>
          <w:tcPr>
            <w:tcW w:w="2920" w:type="dxa"/>
            <w:vAlign w:val="bottom"/>
            <w:gridSpan w:val="6"/>
          </w:tcPr>
          <w:p>
            <w:pPr>
              <w:ind w:left="72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16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3,246,511</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center"/>
              <w:ind w:left="650"/>
              <w:spacing w:after="0" w:line="195" w:lineRule="exact"/>
              <w:rPr>
                <w:sz w:val="20"/>
                <w:szCs w:val="20"/>
                <w:color w:val="auto"/>
              </w:rPr>
            </w:pPr>
            <w:r>
              <w:rPr>
                <w:rFonts w:ascii="Arial" w:cs="Arial" w:eastAsia="Arial" w:hAnsi="Arial"/>
                <w:sz w:val="18"/>
                <w:szCs w:val="18"/>
                <w:color w:val="auto"/>
                <w:w w:val="88"/>
              </w:rPr>
              <w:t>10.44</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1,639,138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w:t>
            </w:r>
          </w:p>
        </w:tc>
        <w:tc>
          <w:tcPr>
            <w:tcW w:w="20" w:type="dxa"/>
            <w:vAlign w:val="bottom"/>
          </w:tcPr>
          <w:p>
            <w:pPr>
              <w:spacing w:after="0"/>
              <w:rPr>
                <w:sz w:val="16"/>
                <w:szCs w:val="16"/>
                <w:color w:val="auto"/>
              </w:rPr>
            </w:pPr>
          </w:p>
        </w:tc>
      </w:tr>
      <w:tr>
        <w:trPr>
          <w:trHeight w:val="229"/>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893,153</w:t>
            </w:r>
          </w:p>
        </w:tc>
        <w:tc>
          <w:tcPr>
            <w:tcW w:w="180" w:type="dxa"/>
            <w:vAlign w:val="bottom"/>
          </w:tcPr>
          <w:p>
            <w:pPr>
              <w:spacing w:after="0"/>
              <w:rPr>
                <w:sz w:val="19"/>
                <w:szCs w:val="19"/>
                <w:color w:val="auto"/>
              </w:rPr>
            </w:pPr>
          </w:p>
        </w:tc>
        <w:tc>
          <w:tcPr>
            <w:tcW w:w="136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13.56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245,743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6.95</w:t>
            </w:r>
          </w:p>
        </w:tc>
      </w:tr>
      <w:tr>
        <w:trPr>
          <w:trHeight w:val="230"/>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1,999,995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4,139,664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center"/>
              <w:ind w:left="670"/>
              <w:spacing w:after="0"/>
              <w:rPr>
                <w:sz w:val="20"/>
                <w:szCs w:val="20"/>
                <w:color w:val="auto"/>
              </w:rPr>
            </w:pPr>
            <w:r>
              <w:rPr>
                <w:rFonts w:ascii="Arial" w:cs="Arial" w:eastAsia="Arial" w:hAnsi="Arial"/>
                <w:sz w:val="18"/>
                <w:szCs w:val="18"/>
                <w:color w:val="auto"/>
                <w:w w:val="84"/>
              </w:rPr>
              <w:t>11.11</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3,884,876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-607695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-325120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688"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July 2018 and again in November 2021, the shareholders of the Company approved an amendment to the 2006 Plan to increase the maximum number of shares that may be subject to awards under the 2006 Plan to 5,000,000, 7,200,000, 12,200,000, 17,200,000, 19,200,000 and 22,200,000,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78"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2022, 2021 and 2020 was $5.42, $2.65, and $1.33,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75% to 80% for 2022, 79% to 71% for 2021, and 72% to 80% for 2020.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7"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8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04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0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0.49%</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7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72%</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the years ended December 31, 2022, 2021 and 2020, we recorded stock-based compensation costs in the amount of $4.4 million, $2.0 million and $1.9 million, respectively. As of December 31, 2022, the unrecognized stock-based compensation costs to be recognized over future periods was equal to $9.5 million. This amount will be recognized as expense over a weighted-average period of 2.5 years.</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At December 31, 2022 and 2021, options outstanding had intrinsic values of $11.2 million and $13.1 million, respectively. At December 31, 2022 and 2021, options exercisable had intrinsic values of $7.8 million and $9.7 million, respectively. The total intrinsic value of options exercised was $23.4 million and $9.0 million for the years ended December 31, 2022 and 2021, respectively. New shares were issued for all options exercised during the year ended December 2022 and cash of $15.3 million was received. At December 31, 2022, there were a total of 2,661,000 additional shares available for grant under the 2006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activity for the year ended December 31, 2022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9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30"/>
        </w:trPr>
        <w:tc>
          <w:tcPr>
            <w:tcW w:w="598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598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Contractual Term</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13,075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ind w:left="1100"/>
              <w:spacing w:after="0"/>
              <w:rPr>
                <w:sz w:val="20"/>
                <w:szCs w:val="20"/>
                <w:color w:val="auto"/>
              </w:rPr>
            </w:pPr>
            <w:r>
              <w:rPr>
                <w:rFonts w:ascii="Arial" w:cs="Arial" w:eastAsia="Arial" w:hAnsi="Arial"/>
                <w:sz w:val="18"/>
                <w:szCs w:val="18"/>
                <w:color w:val="auto"/>
                <w:w w:val="79"/>
              </w:rPr>
              <w:t>4.54</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1620" w:type="dxa"/>
            <w:vAlign w:val="bottom"/>
            <w:gridSpan w:val="2"/>
          </w:tcPr>
          <w:p>
            <w:pPr>
              <w:ind w:left="1000"/>
              <w:spacing w:after="0"/>
              <w:rPr>
                <w:sz w:val="20"/>
                <w:szCs w:val="20"/>
                <w:color w:val="auto"/>
              </w:rPr>
            </w:pPr>
            <w:r>
              <w:rPr>
                <w:rFonts w:ascii="Arial" w:cs="Arial" w:eastAsia="Arial" w:hAnsi="Arial"/>
                <w:sz w:val="18"/>
                <w:szCs w:val="18"/>
                <w:color w:val="auto"/>
              </w:rPr>
              <w:t>10.28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(3,128)</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ind w:left="1100"/>
              <w:spacing w:after="0"/>
              <w:rPr>
                <w:sz w:val="20"/>
                <w:szCs w:val="20"/>
                <w:color w:val="auto"/>
              </w:rPr>
            </w:pPr>
            <w:r>
              <w:rPr>
                <w:rFonts w:ascii="Arial" w:cs="Arial" w:eastAsia="Arial" w:hAnsi="Arial"/>
                <w:sz w:val="18"/>
                <w:szCs w:val="18"/>
                <w:color w:val="auto"/>
              </w:rPr>
              <w:t>4.89</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N/A</w:t>
            </w: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7.07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ind w:left="1100"/>
              <w:spacing w:after="0"/>
              <w:rPr>
                <w:sz w:val="20"/>
                <w:szCs w:val="20"/>
                <w:color w:val="auto"/>
              </w:rPr>
            </w:pPr>
            <w:r>
              <w:rPr>
                <w:rFonts w:ascii="Arial" w:cs="Arial" w:eastAsia="Arial" w:hAnsi="Arial"/>
                <w:sz w:val="18"/>
                <w:szCs w:val="18"/>
                <w:color w:val="auto"/>
                <w:w w:val="79"/>
              </w:rPr>
              <w:t>5.21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 years</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7,770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ind w:left="1100"/>
              <w:spacing w:after="0"/>
              <w:rPr>
                <w:sz w:val="20"/>
                <w:szCs w:val="20"/>
                <w:color w:val="auto"/>
              </w:rPr>
            </w:pPr>
            <w:r>
              <w:rPr>
                <w:rFonts w:ascii="Arial" w:cs="Arial" w:eastAsia="Arial" w:hAnsi="Arial"/>
                <w:sz w:val="18"/>
                <w:szCs w:val="18"/>
                <w:color w:val="auto"/>
              </w:rPr>
              <w:t>4.56</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 years</w:t>
            </w:r>
          </w:p>
        </w:tc>
      </w:tr>
      <w:tr>
        <w:trPr>
          <w:trHeight w:val="20"/>
        </w:trPr>
        <w:tc>
          <w:tcPr>
            <w:tcW w:w="59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presents the price distribution of stock options outstanding and exercisable for the years ended December 31,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36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Number of shares as of</w:t>
            </w:r>
          </w:p>
        </w:tc>
        <w:tc>
          <w:tcPr>
            <w:tcW w:w="3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36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December 31, 2022</w:t>
            </w:r>
          </w:p>
        </w:tc>
        <w:tc>
          <w:tcPr>
            <w:tcW w:w="3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82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Outstanding</w:t>
            </w:r>
          </w:p>
        </w:tc>
        <w:tc>
          <w:tcPr>
            <w:tcW w:w="1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Exercisable</w:t>
            </w:r>
          </w:p>
        </w:tc>
        <w:tc>
          <w:tcPr>
            <w:tcW w:w="220" w:type="dxa"/>
            <w:vAlign w:val="bottom"/>
          </w:tcPr>
          <w:p>
            <w:pPr>
              <w:spacing w:after="0"/>
              <w:rPr>
                <w:sz w:val="19"/>
                <w:szCs w:val="19"/>
                <w:color w:val="auto"/>
              </w:rPr>
            </w:pPr>
          </w:p>
        </w:tc>
        <w:tc>
          <w:tcPr>
            <w:tcW w:w="17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3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9"/>
                <w:szCs w:val="19"/>
                <w:color w:val="auto"/>
              </w:rPr>
            </w:pPr>
          </w:p>
        </w:tc>
        <w:tc>
          <w:tcPr>
            <w:tcW w:w="3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$2.00 - $2.99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3,785</w:t>
            </w:r>
          </w:p>
        </w:tc>
        <w:tc>
          <w:tcPr>
            <w:tcW w:w="1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3,495</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4,285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$4.00 - $4.99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2,739</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2,870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$6.00 - $6.99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2,651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748</w:t>
            </w:r>
          </w:p>
        </w:tc>
        <w:tc>
          <w:tcPr>
            <w:tcW w:w="1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748</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1,175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$10.00 - $10.99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shares</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7,770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13,075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7"/>
          <w:szCs w:val="17"/>
          <w:b w:val="1"/>
          <w:bCs w:val="1"/>
          <w:color w:val="auto"/>
        </w:rPr>
        <w:t>CONSUMER PORTFOLIO SERVICES, INC. AND SUBSIDIARIES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200"/>
          </w:cols>
          <w:pgMar w:left="320" w:top="688" w:right="3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 at fair value</w:t>
      </w:r>
    </w:p>
    <w:p>
      <w:pPr>
        <w:spacing w:after="0" w:line="9" w:lineRule="exact"/>
        <w:rPr>
          <w:sz w:val="20"/>
          <w:szCs w:val="20"/>
          <w:color w:val="auto"/>
        </w:rPr>
      </w:pPr>
    </w:p>
    <w:p>
      <w:pPr>
        <w:ind w:right="1620"/>
        <w:spacing w:after="0" w:line="250" w:lineRule="auto"/>
        <w:rPr>
          <w:sz w:val="20"/>
          <w:szCs w:val="20"/>
          <w:color w:val="auto"/>
        </w:rPr>
      </w:pPr>
      <w:r>
        <w:rPr>
          <w:rFonts w:ascii="Arial" w:cs="Arial" w:eastAsia="Arial" w:hAnsi="Arial"/>
          <w:sz w:val="18"/>
          <w:szCs w:val="18"/>
          <w:color w:val="auto"/>
        </w:rPr>
        <w:t>Mark to finance receivables measured at fair value Other 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state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5"/>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35,091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69,783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126,043</w:t>
            </w:r>
          </w:p>
        </w:tc>
        <w:tc>
          <w:tcPr>
            <w:tcW w:w="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268,621</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196,461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168,266</w:t>
            </w:r>
          </w:p>
        </w:tc>
        <w:tc>
          <w:tcPr>
            <w:tcW w:w="6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15,283</w:t>
            </w: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(4,417)</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(29,528)</w:t>
            </w:r>
          </w:p>
        </w:tc>
      </w:tr>
      <w:tr>
        <w:trPr>
          <w:trHeight w:val="230"/>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r>
      <w:tr>
        <w:trPr>
          <w:trHeight w:val="223"/>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261,849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265,454</w:t>
            </w:r>
          </w:p>
        </w:tc>
        <w:tc>
          <w:tcPr>
            <w:tcW w:w="60" w:type="dxa"/>
            <w:vAlign w:val="bottom"/>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195"/>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70,627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64,387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88,031</w:t>
            </w:r>
          </w:p>
        </w:tc>
      </w:tr>
      <w:tr>
        <w:trPr>
          <w:trHeight w:val="216"/>
        </w:trPr>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10,310</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4,448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7,678</w:t>
            </w:r>
          </w:p>
        </w:tc>
      </w:tr>
      <w:tr>
        <w:trPr>
          <w:trHeight w:val="230"/>
        </w:trPr>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4,243</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3,763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30"/>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2,344</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2,641</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23"/>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5"/>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16,946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8,992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(23,576)</w:t>
            </w:r>
          </w:p>
        </w:tc>
      </w:tr>
      <w:tr>
        <w:trPr>
          <w:trHeight w:val="216"/>
        </w:trPr>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3,352</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2,845</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r>
        <w:trPr>
          <w:trHeight w:val="230"/>
        </w:trPr>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3,012</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18,937</w:t>
            </w:r>
          </w:p>
        </w:tc>
      </w:tr>
      <w:tr>
        <w:trPr>
          <w:trHeight w:val="230"/>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4,339</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3,373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w:t>
            </w:r>
          </w:p>
        </w:tc>
        <w:tc>
          <w:tcPr>
            <w:tcW w:w="60" w:type="dxa"/>
            <w:vAlign w:val="bottom"/>
          </w:tcPr>
          <w:p>
            <w:pPr>
              <w:spacing w:after="0"/>
              <w:rPr>
                <w:sz w:val="20"/>
                <w:szCs w:val="20"/>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30,210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18,222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(1,557)</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-882015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-607695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-325120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688" w:right="3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Income tax expense for the years ended December 31, 2022, 2021 and 2020 differs from the amount determined by applying the statutory federal rate to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1040" w:type="dxa"/>
            <w:vAlign w:val="bottom"/>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4"/>
              </w:rPr>
              <w:t>24,401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13,807</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4,225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6,462</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3,974</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1,505</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(2,611)</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974</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Net operating loss carryback</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(1,694)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(9,435)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10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Accounting method change</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1,953</w:t>
            </w:r>
          </w:p>
        </w:tc>
        <w:tc>
          <w:tcPr>
            <w:tcW w:w="36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1,139</w:t>
            </w:r>
          </w:p>
        </w:tc>
      </w:tr>
      <w:tr>
        <w:trPr>
          <w:trHeight w:val="223"/>
        </w:trPr>
        <w:tc>
          <w:tcPr>
            <w:tcW w:w="59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30,210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18,222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2022 and 2021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3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Finance receivables</w:t>
            </w:r>
          </w:p>
        </w:tc>
        <w:tc>
          <w:tcPr>
            <w:tcW w:w="482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4,870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10,644</w:t>
            </w: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1,708</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1,694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NOL carryforwards</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2,070</w:t>
            </w: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Built in losses</w:t>
            </w: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2,679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Pension accrual</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2,172</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3,584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Lease liability</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1,711</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2,737</w:t>
            </w:r>
          </w:p>
        </w:tc>
      </w:tr>
      <w:tr>
        <w:trPr>
          <w:trHeight w:val="230"/>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39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assets</w:t>
            </w:r>
          </w:p>
        </w:tc>
        <w:tc>
          <w:tcPr>
            <w:tcW w:w="380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12,935</w:t>
            </w:r>
          </w:p>
        </w:tc>
        <w:tc>
          <w:tcPr>
            <w:tcW w:w="2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23,408</w:t>
            </w:r>
          </w:p>
        </w:tc>
        <w:tc>
          <w:tcPr>
            <w:tcW w:w="100" w:type="dxa"/>
            <w:vAlign w:val="bottom"/>
            <w:tcBorders>
              <w:bottom w:val="single" w:sz="8" w:color="EEEEEE"/>
            </w:tcBorders>
          </w:tcPr>
          <w:p>
            <w:pPr>
              <w:spacing w:after="0"/>
              <w:rPr>
                <w:sz w:val="18"/>
                <w:szCs w:val="18"/>
                <w:color w:val="auto"/>
              </w:rPr>
            </w:pPr>
          </w:p>
        </w:tc>
      </w:tr>
      <w:tr>
        <w:trPr>
          <w:trHeight w:val="210"/>
        </w:trPr>
        <w:tc>
          <w:tcPr>
            <w:tcW w:w="3980" w:type="dxa"/>
            <w:vAlign w:val="bottom"/>
            <w:shd w:val="clear" w:color="auto" w:fill="EEEEEE"/>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4820" w:type="dxa"/>
            <w:vAlign w:val="bottom"/>
            <w:gridSpan w:val="2"/>
            <w:shd w:val="clear" w:color="auto" w:fill="EEEEEE"/>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 loan costs</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(752)</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Lease right-of-use assets</w:t>
            </w:r>
          </w:p>
        </w:tc>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(1,572)</w:t>
            </w:r>
          </w:p>
        </w:tc>
        <w:tc>
          <w:tcPr>
            <w:tcW w:w="5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and other</w:t>
            </w:r>
          </w:p>
        </w:tc>
        <w:tc>
          <w:tcPr>
            <w:tcW w:w="38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(434)</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(320)</w:t>
            </w:r>
          </w:p>
        </w:tc>
      </w:tr>
      <w:tr>
        <w:trPr>
          <w:trHeight w:val="209"/>
        </w:trPr>
        <w:tc>
          <w:tcPr>
            <w:tcW w:w="39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380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220" w:type="dxa"/>
            <w:vAlign w:val="bottom"/>
            <w:tcBorders>
              <w:bottom w:val="single" w:sz="8" w:color="EEEEEE"/>
            </w:tcBorders>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980" w:type="dxa"/>
            <w:vAlign w:val="bottom"/>
            <w:shd w:val="clear" w:color="auto" w:fill="EEEEEE"/>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398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482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10,177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19,575</w:t>
            </w:r>
          </w:p>
        </w:tc>
      </w:tr>
      <w:tr>
        <w:trPr>
          <w:trHeight w:val="20"/>
        </w:trPr>
        <w:tc>
          <w:tcPr>
            <w:tcW w:w="3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3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2918"/>
              <w:spacing w:after="0"/>
              <w:rPr>
                <w:sz w:val="20"/>
                <w:szCs w:val="20"/>
                <w:color w:val="auto"/>
              </w:rPr>
            </w:pPr>
            <w:r>
              <w:rPr>
                <w:rFonts w:ascii="Arial" w:cs="Arial" w:eastAsia="Arial" w:hAnsi="Arial"/>
                <w:sz w:val="18"/>
                <w:szCs w:val="18"/>
                <w:color w:val="auto"/>
              </w:rPr>
              <w:t>F-29</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$10.2 million as of December 31, 2022 is more likely than not based on forecasted future net earnings. Our net deferred tax asset of $10.2 million consists of approximately $7.0 million of net U.S. federal deferred tax assets and $3.2 million of net state deferred tax assets.</w:t>
      </w:r>
    </w:p>
    <w:p>
      <w:pPr>
        <w:spacing w:after="0" w:line="192"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As of December 31, 2022, we had net operating loss carryforwards for state income tax purposes of $42.4 million. These state net operating losses begin to expire in 2023.</w:t>
      </w:r>
    </w:p>
    <w:p>
      <w:pPr>
        <w:spacing w:after="0" w:line="170"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2022, we had no unrecognized tax benefits for uncertain tax positions.</w:t>
      </w:r>
    </w:p>
    <w:p>
      <w:pPr>
        <w:spacing w:after="0" w:line="17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7"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28,397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29"/>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3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(22,613)</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63"/>
        </w:trPr>
        <w:tc>
          <w:tcPr>
            <w:tcW w:w="4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320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EEEEEE"/>
          </w:tcPr>
          <w:p>
            <w:pPr>
              <w:spacing w:after="0"/>
              <w:rPr>
                <w:sz w:val="17"/>
                <w:szCs w:val="17"/>
                <w:color w:val="auto"/>
              </w:rPr>
            </w:pPr>
          </w:p>
        </w:tc>
        <w:tc>
          <w:tcPr>
            <w:tcW w:w="3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(6,234)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336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3,407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(3,301)</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3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336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61"/>
        </w:trPr>
        <w:tc>
          <w:tcPr>
            <w:tcW w:w="458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4"/>
              </w:rPr>
              <w:t>Operating</w:t>
            </w:r>
          </w:p>
        </w:tc>
        <w:tc>
          <w:tcPr>
            <w:tcW w:w="18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Finance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10"/>
        </w:trPr>
        <w:tc>
          <w:tcPr>
            <w:tcW w:w="45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2023</w:t>
            </w:r>
          </w:p>
        </w:tc>
        <w:tc>
          <w:tcPr>
            <w:tcW w:w="3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4,378</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2024</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2026</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3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3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8,376</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3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6,234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067"/>
              <w:spacing w:after="0"/>
              <w:rPr>
                <w:sz w:val="20"/>
                <w:szCs w:val="20"/>
                <w:color w:val="auto"/>
              </w:rPr>
            </w:pPr>
            <w:r>
              <w:rPr>
                <w:rFonts w:ascii="Arial" w:cs="Arial" w:eastAsia="Arial" w:hAnsi="Arial"/>
                <w:sz w:val="18"/>
                <w:szCs w:val="18"/>
                <w:color w:val="auto"/>
              </w:rPr>
              <w:t>F-31</w:t>
            </w: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presents the leases expense included in Occupancy, General and administrative on our Condensed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324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195"/>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9"/>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1000"/>
              <w:spacing w:after="0"/>
              <w:rPr>
                <w:sz w:val="20"/>
                <w:szCs w:val="20"/>
                <w:color w:val="auto"/>
              </w:rPr>
            </w:pPr>
            <w:r>
              <w:rPr>
                <w:rFonts w:ascii="Arial" w:cs="Arial" w:eastAsia="Arial" w:hAnsi="Arial"/>
                <w:sz w:val="18"/>
                <w:szCs w:val="18"/>
                <w:color w:val="auto"/>
              </w:rPr>
              <w:t>7,184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7,523</w:t>
            </w:r>
          </w:p>
        </w:tc>
      </w:tr>
      <w:tr>
        <w:trPr>
          <w:trHeight w:val="230"/>
        </w:trPr>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20"/>
                <w:szCs w:val="20"/>
                <w:color w:val="auto"/>
              </w:rPr>
            </w:pPr>
          </w:p>
        </w:tc>
        <w:tc>
          <w:tcPr>
            <w:tcW w:w="1620" w:type="dxa"/>
            <w:vAlign w:val="bottom"/>
            <w:gridSpan w:val="2"/>
          </w:tcPr>
          <w:p>
            <w:pPr>
              <w:ind w:left="1000"/>
              <w:spacing w:after="0"/>
              <w:rPr>
                <w:sz w:val="20"/>
                <w:szCs w:val="20"/>
                <w:color w:val="auto"/>
              </w:rPr>
            </w:pPr>
            <w:r>
              <w:rPr>
                <w:rFonts w:ascii="Arial" w:cs="Arial" w:eastAsia="Arial" w:hAnsi="Arial"/>
                <w:sz w:val="18"/>
                <w:szCs w:val="18"/>
                <w:color w:val="auto"/>
              </w:rPr>
              <w:t>1,229</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4"/>
              </w:rPr>
              <w:t>8,413</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688"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 liabilities:</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shd w:val="clear" w:color="auto" w:fill="EEEEEE"/>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7,056</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7,474</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1,118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71"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i w:val="1"/>
          <w:iCs w:val="1"/>
          <w:color w:val="auto"/>
        </w:rPr>
        <w:t xml:space="preserve">Wage and Hour Claim. </w:t>
      </w:r>
      <w:r>
        <w:rPr>
          <w:rFonts w:ascii="Arial" w:cs="Arial" w:eastAsia="Arial" w:hAnsi="Arial"/>
          <w:sz w:val="17"/>
          <w:szCs w:val="17"/>
          <w:color w:val="auto"/>
        </w:rPr>
        <w:t>On September 24, 2018, a former employee filed a lawsuit against us in the Superior Court of Orange County, California, alleging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 We believe that our compensation practices with respect to our sales representatives are compliant with applicable law. Accordingly, we have defended and intend to continue to defend this lawsuit.</w:t>
      </w:r>
    </w:p>
    <w:p>
      <w:pPr>
        <w:spacing w:after="0" w:line="17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Massachusetts Civil Investigative Demand</w:t>
      </w:r>
      <w:r>
        <w:rPr>
          <w:rFonts w:ascii="Arial" w:cs="Arial" w:eastAsia="Arial" w:hAnsi="Arial"/>
          <w:sz w:val="18"/>
          <w:szCs w:val="18"/>
          <w:color w:val="auto"/>
        </w:rPr>
        <w:t>. In September 2021, we received a civil investigative demand from the Office of the Attorney General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Commonwealth of Massachusetts relating to the Company’s communications with and repossession notices sent to Massachusetts customers. We are cooperating with the inquiry.</w:t>
      </w:r>
    </w:p>
    <w:p>
      <w:pPr>
        <w:spacing w:after="0" w:line="184"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 of December 31, 2022,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December 31, 2022 is $4.9 million, and that the range of reasonably possible losses for the legal proceedings and contingencies we face, including those described or identified above, as of December 31, 2022 does not exceed $11.2 million.</w:t>
      </w:r>
    </w:p>
    <w:p>
      <w:pPr>
        <w:spacing w:after="0" w:line="16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Employee Benefits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$1.3 million, $1.3 million, and $1.4 million respectively, for the years ended December 31, 2022, 2021 and 2020.</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also sponsor a defined benefit plan, the MFN Financial Corporation Pension Plan (the “Plan”). The Plan benefits were frozen on June 30, 2001.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The following tables represents a reconciliation of the change in the plan’s benefit obligations, fair value of plan assets, and funded status at December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44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4380" w:type="dxa"/>
            <w:vAlign w:val="bottom"/>
            <w:gridSpan w:val="2"/>
          </w:tcPr>
          <w:p>
            <w:pPr>
              <w:jc w:val="right"/>
              <w:ind w:right="86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22,280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24,678</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Assumption changes</w:t>
            </w: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(5,450)</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Actuarial (gain) loss</w:t>
            </w: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Settlements</w:t>
            </w: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(865)</w:t>
            </w:r>
          </w:p>
        </w:tc>
      </w:tr>
      <w:tr>
        <w:trPr>
          <w:trHeight w:val="229"/>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336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(826)</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(790)</w:t>
            </w:r>
          </w:p>
        </w:tc>
      </w:tr>
      <w:tr>
        <w:trPr>
          <w:trHeight w:val="210"/>
        </w:trPr>
        <w:tc>
          <w:tcPr>
            <w:tcW w:w="4420" w:type="dxa"/>
            <w:vAlign w:val="bottom"/>
          </w:tcPr>
          <w:p>
            <w:pPr>
              <w:ind w:left="180"/>
              <w:spacing w:after="0"/>
              <w:rPr>
                <w:sz w:val="20"/>
                <w:szCs w:val="20"/>
                <w:color w:val="auto"/>
              </w:rPr>
            </w:pPr>
            <w:r>
              <w:rPr>
                <w:rFonts w:ascii="Arial" w:cs="Arial" w:eastAsia="Arial" w:hAnsi="Arial"/>
                <w:sz w:val="18"/>
                <w:szCs w:val="18"/>
                <w:color w:val="auto"/>
              </w:rPr>
              <w:t>Projected benefit obligation, end of year</w:t>
            </w:r>
          </w:p>
        </w:tc>
        <w:tc>
          <w:tcPr>
            <w:tcW w:w="3360" w:type="dxa"/>
            <w:vAlign w:val="bottom"/>
          </w:tcPr>
          <w:p>
            <w:pPr>
              <w:spacing w:after="0"/>
              <w:rPr>
                <w:sz w:val="18"/>
                <w:szCs w:val="18"/>
                <w:color w:val="auto"/>
              </w:rPr>
            </w:pPr>
          </w:p>
        </w:tc>
        <w:tc>
          <w:tcPr>
            <w:tcW w:w="1020" w:type="dxa"/>
            <w:vAlign w:val="bottom"/>
            <w:tcBorders>
              <w:top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15,952</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22,280</w:t>
            </w:r>
          </w:p>
        </w:tc>
        <w:tc>
          <w:tcPr>
            <w:tcW w:w="100" w:type="dxa"/>
            <w:vAlign w:val="bottom"/>
          </w:tcPr>
          <w:p>
            <w:pPr>
              <w:spacing w:after="0"/>
              <w:rPr>
                <w:sz w:val="18"/>
                <w:szCs w:val="18"/>
                <w:color w:val="auto"/>
              </w:rPr>
            </w:pPr>
          </w:p>
        </w:tc>
      </w:tr>
      <w:tr>
        <w:trPr>
          <w:trHeight w:val="216"/>
        </w:trPr>
        <w:tc>
          <w:tcPr>
            <w:tcW w:w="4420" w:type="dxa"/>
            <w:vAlign w:val="bottom"/>
            <w:shd w:val="clear" w:color="auto" w:fill="EEEEEE"/>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Fair value of plan assets, beginning of year</w:t>
            </w:r>
          </w:p>
        </w:tc>
        <w:tc>
          <w:tcPr>
            <w:tcW w:w="4380" w:type="dxa"/>
            <w:vAlign w:val="bottom"/>
            <w:gridSpan w:val="2"/>
            <w:shd w:val="clear" w:color="auto" w:fill="EEEEEE"/>
          </w:tcPr>
          <w:p>
            <w:pPr>
              <w:jc w:val="right"/>
              <w:ind w:right="86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26,098</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18,165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Return on assets</w:t>
            </w: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(5,702)</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8,703</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Employer contribution</w:t>
            </w: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Expenses</w:t>
            </w: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33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(716)</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(865)</w:t>
            </w: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Benefits paid</w:t>
            </w:r>
          </w:p>
        </w:tc>
        <w:tc>
          <w:tcPr>
            <w:tcW w:w="3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10"/>
        </w:trPr>
        <w:tc>
          <w:tcPr>
            <w:tcW w:w="44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Fair value of plan assets, end of year</w:t>
            </w:r>
          </w:p>
        </w:tc>
        <w:tc>
          <w:tcPr>
            <w:tcW w:w="33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18,768</w:t>
            </w:r>
          </w:p>
        </w:tc>
        <w:tc>
          <w:tcPr>
            <w:tcW w:w="2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420" w:type="dxa"/>
            <w:vAlign w:val="bottom"/>
            <w:tcBorders>
              <w:bottom w:val="single" w:sz="8" w:color="EEEEEE"/>
            </w:tcBorders>
          </w:tcPr>
          <w:p>
            <w:pPr>
              <w:spacing w:after="0"/>
              <w:rPr>
                <w:sz w:val="19"/>
                <w:szCs w:val="19"/>
                <w:color w:val="auto"/>
              </w:rPr>
            </w:pPr>
          </w:p>
        </w:tc>
        <w:tc>
          <w:tcPr>
            <w:tcW w:w="336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4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Funded Status at end of year</w:t>
            </w:r>
          </w:p>
        </w:tc>
        <w:tc>
          <w:tcPr>
            <w:tcW w:w="336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86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2,816</w:t>
            </w:r>
          </w:p>
        </w:tc>
        <w:tc>
          <w:tcPr>
            <w:tcW w:w="22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4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right"/>
              <w:ind w:right="2923"/>
              <w:spacing w:after="0"/>
              <w:rPr>
                <w:sz w:val="20"/>
                <w:szCs w:val="20"/>
                <w:color w:val="auto"/>
              </w:rPr>
            </w:pPr>
            <w:r>
              <w:rPr>
                <w:rFonts w:ascii="Arial" w:cs="Arial" w:eastAsia="Arial" w:hAnsi="Arial"/>
                <w:sz w:val="18"/>
                <w:szCs w:val="18"/>
                <w:color w:val="auto"/>
              </w:rPr>
              <w:t>F-34</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Weighted average assumptions used to determine benefit obligations and cost at December 31, 2022 and 2021 were as follows:</w:t>
      </w:r>
    </w:p>
    <w:p>
      <w:pPr>
        <w:spacing w:after="0" w:line="23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77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r>
    </w:tbl>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Our overall expected long-term rate of return on assets is 7.25% per annum as of December 31, 2022. The expected long-term rate of return is based on the weighted average of historical returns on individual asset categories, which are described in more detail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01"/>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9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2,816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3,818</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Net amount recognized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6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Amounts recognized in accumulated other comprehensive loss consists of:</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5,716</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3,794</w:t>
            </w:r>
          </w:p>
        </w:tc>
        <w:tc>
          <w:tcPr>
            <w:tcW w:w="3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13,297</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900" w:type="dxa"/>
            <w:vAlign w:val="bottom"/>
          </w:tcPr>
          <w:p>
            <w:pPr>
              <w:spacing w:after="0"/>
              <w:rPr>
                <w:sz w:val="19"/>
                <w:szCs w:val="19"/>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3,794</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9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553</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9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w w:val="91"/>
              </w:rPr>
              <w:t>(1,860)</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9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896</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(1,176)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(865)</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EEEEEE"/>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Loss (Income)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(9,503)</w:t>
            </w:r>
          </w:p>
        </w:tc>
        <w:tc>
          <w:tcPr>
            <w:tcW w:w="3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9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Net amount recognized in other comprehensive loss (income)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460"/>
              <w:spacing w:after="0"/>
              <w:rPr>
                <w:sz w:val="20"/>
                <w:szCs w:val="20"/>
                <w:color w:val="auto"/>
              </w:rPr>
            </w:pPr>
            <w:r>
              <w:rPr>
                <w:rFonts w:ascii="Arial" w:cs="Arial" w:eastAsia="Arial" w:hAnsi="Arial"/>
                <w:sz w:val="18"/>
                <w:szCs w:val="18"/>
                <w:color w:val="auto"/>
              </w:rPr>
              <w:t>F-35</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6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estimated net gain that will be amortized from accumulated other comprehensive income into net periodic benefit cost in 2023 is $169,000.</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weighted average asset allocation of our pension benefits at December 31, 2022 and 2021 were as follows:</w:t>
      </w:r>
    </w:p>
    <w:p>
      <w:pPr>
        <w:spacing w:after="0" w:line="235"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EEEEEE"/>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0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87%</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EEEEEE"/>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29"/>
        </w:trPr>
        <w:tc>
          <w:tcPr>
            <w:tcW w:w="8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5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5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55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5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1,329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5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5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1,392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2027</w:t>
            </w:r>
          </w:p>
        </w:tc>
        <w:tc>
          <w:tcPr>
            <w:tcW w:w="5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1,265</w:t>
            </w:r>
          </w:p>
        </w:tc>
      </w:t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Years 2028 - 2032</w:t>
            </w:r>
          </w:p>
        </w:tc>
        <w:tc>
          <w:tcPr>
            <w:tcW w:w="5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5,954</w:t>
            </w:r>
          </w:p>
        </w:tc>
      </w:tr>
      <w:tr>
        <w:trPr>
          <w:trHeight w:val="216"/>
        </w:trPr>
        <w:tc>
          <w:tcPr>
            <w:tcW w:w="46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Anticipated Contributions in 2023</w:t>
            </w:r>
          </w:p>
        </w:tc>
        <w:tc>
          <w:tcPr>
            <w:tcW w:w="552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r>
      <w:tr>
        <w:trPr>
          <w:trHeight w:val="864"/>
        </w:trPr>
        <w:tc>
          <w:tcPr>
            <w:tcW w:w="46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F-36</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fair value of plan assets at December 31, 2022 and 2021, by asset category,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 (1)</w:t>
            </w: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2 (2)</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400" w:type="dxa"/>
            <w:vAlign w:val="bottom"/>
            <w:gridSpan w:val="2"/>
            <w:shd w:val="clear" w:color="auto" w:fill="EEEEEE"/>
          </w:tcPr>
          <w:p>
            <w:pPr>
              <w:jc w:val="right"/>
              <w:ind w:right="8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7,848</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Cap Value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2,037</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594</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Small Cap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Cap Blend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1,843</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International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2,251</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High Yield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433</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Money Market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3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0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7,848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EEEEEE"/>
          </w:tcPr>
          <w:p>
            <w:pPr>
              <w:ind w:left="1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 (1)</w:t>
            </w: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2 (2)</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400" w:type="dxa"/>
            <w:vAlign w:val="bottom"/>
            <w:gridSpan w:val="2"/>
            <w:shd w:val="clear" w:color="auto" w:fill="EEEEEE"/>
          </w:tcPr>
          <w:p>
            <w:pPr>
              <w:jc w:val="right"/>
              <w:ind w:right="8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10,472</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Cap Value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2,933</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836</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Small Cap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868</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Cap Blend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2,915</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International Growth</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2,316</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High Yield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3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641</w:t>
            </w:r>
          </w:p>
        </w:tc>
        <w:tc>
          <w:tcPr>
            <w:tcW w:w="13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Money Market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3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0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10,472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15,626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EEEEEE"/>
          </w:tcPr>
          <w:p>
            <w:pPr>
              <w:ind w:left="1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________________________</w:t>
      </w:r>
    </w:p>
    <w:p>
      <w:pPr>
        <w:spacing w:after="0" w:line="9"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Fair Value Measurements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4"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Twelve Months Ended</w:t>
            </w:r>
          </w:p>
        </w:tc>
      </w:tr>
      <w:tr>
        <w:trPr>
          <w:trHeight w:val="234"/>
        </w:trPr>
        <w:tc>
          <w:tcPr>
            <w:tcW w:w="4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0"/>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38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1,749,098</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1,673,166</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1,107,537</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(825,783)</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(743,728)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(135,147)</w:t>
            </w: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(134,020)</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0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15,283</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(4,417)</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2,476,617</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1,749,098</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7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2247"/>
              <w:spacing w:after="0"/>
              <w:rPr>
                <w:sz w:val="20"/>
                <w:szCs w:val="20"/>
                <w:color w:val="auto"/>
              </w:rPr>
            </w:pPr>
            <w:r>
              <w:rPr>
                <w:rFonts w:ascii="Arial" w:cs="Arial" w:eastAsia="Arial" w:hAnsi="Arial"/>
                <w:sz w:val="18"/>
                <w:szCs w:val="18"/>
                <w:color w:val="auto"/>
              </w:rPr>
              <w:t>F-38</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2960" w:type="dxa"/>
            <w:vAlign w:val="bottom"/>
            <w:gridSpan w:val="4"/>
          </w:tcPr>
          <w:p>
            <w:pPr>
              <w:ind w:left="60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5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3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28"/>
        </w:trPr>
        <w:tc>
          <w:tcPr>
            <w:tcW w:w="5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2,701,184</w:t>
            </w:r>
          </w:p>
        </w:tc>
        <w:tc>
          <w:tcPr>
            <w:tcW w:w="3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2,476,617</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ind w:left="600"/>
              <w:spacing w:after="0"/>
              <w:rPr>
                <w:sz w:val="20"/>
                <w:szCs w:val="20"/>
                <w:color w:val="auto"/>
              </w:rPr>
            </w:pPr>
            <w:r>
              <w:rPr>
                <w:rFonts w:ascii="Arial" w:cs="Arial" w:eastAsia="Arial" w:hAnsi="Arial"/>
                <w:sz w:val="18"/>
                <w:szCs w:val="18"/>
                <w:color w:val="auto"/>
                <w:w w:val="97"/>
              </w:rPr>
              <w:t>1,972,699</w:t>
            </w:r>
          </w:p>
        </w:tc>
        <w:tc>
          <w:tcPr>
            <w:tcW w:w="3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1,749,098</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80" w:type="dxa"/>
            <w:vAlign w:val="bottom"/>
          </w:tcPr>
          <w:p>
            <w:pPr>
              <w:spacing w:after="0"/>
              <w:rPr>
                <w:sz w:val="21"/>
                <w:szCs w:val="21"/>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Fair Values as of</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Inputs as of</w:t>
            </w:r>
          </w:p>
        </w:tc>
        <w:tc>
          <w:tcPr>
            <w:tcW w:w="0" w:type="dxa"/>
            <w:vAlign w:val="bottom"/>
          </w:tcPr>
          <w:p>
            <w:pPr>
              <w:spacing w:after="0"/>
              <w:rPr>
                <w:sz w:val="1"/>
                <w:szCs w:val="1"/>
                <w:color w:val="auto"/>
              </w:rPr>
            </w:pPr>
          </w:p>
        </w:tc>
      </w:tr>
      <w:tr>
        <w:trPr>
          <w:trHeight w:val="205"/>
        </w:trPr>
        <w:tc>
          <w:tcPr>
            <w:tcW w:w="2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jc w:val="center"/>
              <w:ind w:left="5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4"/>
          </w:tcPr>
          <w:p>
            <w:pPr>
              <w:jc w:val="center"/>
              <w:ind w:right="10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Unobservable Inputs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9"/>
              </w:rPr>
              <w:t>Finance receivables measured at fair</w:t>
            </w:r>
          </w:p>
        </w:tc>
        <w:tc>
          <w:tcPr>
            <w:tcW w:w="2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value</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2,476,617</w:t>
            </w:r>
          </w:p>
        </w:tc>
        <w:tc>
          <w:tcPr>
            <w:tcW w:w="58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1,749,098</w:t>
            </w:r>
          </w:p>
        </w:tc>
        <w:tc>
          <w:tcPr>
            <w:tcW w:w="212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11.0%-11.3%</w:t>
            </w:r>
          </w:p>
        </w:tc>
        <w:tc>
          <w:tcPr>
            <w:tcW w:w="120" w:type="dxa"/>
            <w:vAlign w:val="bottom"/>
            <w:shd w:val="clear" w:color="auto" w:fill="EEEEEE"/>
          </w:tcPr>
          <w:p>
            <w:pPr>
              <w:spacing w:after="0"/>
              <w:rPr>
                <w:sz w:val="20"/>
                <w:szCs w:val="20"/>
                <w:color w:val="auto"/>
              </w:rPr>
            </w:pP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10.6% - 11.3%</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Cumulative net losses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13.4%-19.4%</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10.0% - 18.4%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40" w:firstLine="130"/>
        <w:spacing w:after="0" w:line="277" w:lineRule="auto"/>
        <w:rPr>
          <w:sz w:val="20"/>
          <w:szCs w:val="20"/>
          <w:color w:val="auto"/>
        </w:rPr>
      </w:pPr>
      <w:r>
        <w:rPr>
          <w:rFonts w:ascii="Arial" w:cs="Arial" w:eastAsia="Arial" w:hAnsi="Arial"/>
          <w:sz w:val="18"/>
          <w:szCs w:val="18"/>
          <w:color w:val="auto"/>
        </w:rPr>
        <w:t>The following table summarizes the delinquency status using the contractual balance of these finance receivables measured at fair value as of December 31, 2022 and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4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2,375,271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1,787,641</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3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4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184,968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115,924</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3220" w:type="dxa"/>
            <w:vAlign w:val="bottom"/>
          </w:tcPr>
          <w:p>
            <w:pPr>
              <w:ind w:left="20"/>
              <w:spacing w:after="0"/>
              <w:rPr>
                <w:sz w:val="20"/>
                <w:szCs w:val="20"/>
                <w:color w:val="auto"/>
              </w:rPr>
            </w:pPr>
            <w:r>
              <w:rPr>
                <w:rFonts w:ascii="Arial" w:cs="Arial" w:eastAsia="Arial" w:hAnsi="Arial"/>
                <w:sz w:val="18"/>
                <w:szCs w:val="18"/>
                <w:color w:val="auto"/>
              </w:rPr>
              <w:t>- 90 days</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72,390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38,999</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3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4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29,048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11,564</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Repo</w:t>
            </w: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39,507</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18,571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220" w:type="dxa"/>
            <w:vAlign w:val="bottom"/>
            <w:tcBorders>
              <w:top w:val="single" w:sz="8" w:color="EEEEEE"/>
              <w:bottom w:val="single" w:sz="8" w:color="EEEEEE"/>
            </w:tcBorders>
            <w:shd w:val="clear" w:color="auto" w:fill="EEEEEE"/>
          </w:tcPr>
          <w:p>
            <w:pPr>
              <w:spacing w:after="0"/>
              <w:rPr>
                <w:sz w:val="19"/>
                <w:szCs w:val="19"/>
                <w:color w:val="auto"/>
              </w:rPr>
            </w:pPr>
          </w:p>
        </w:tc>
        <w:tc>
          <w:tcPr>
            <w:tcW w:w="4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2,701,184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1,972,699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jc w:val="right"/>
              <w:ind w:right="2067"/>
              <w:spacing w:after="0"/>
              <w:rPr>
                <w:sz w:val="20"/>
                <w:szCs w:val="20"/>
                <w:color w:val="auto"/>
              </w:rPr>
            </w:pPr>
            <w:r>
              <w:rPr>
                <w:rFonts w:ascii="Arial" w:cs="Arial" w:eastAsia="Arial" w:hAnsi="Arial"/>
                <w:sz w:val="18"/>
                <w:szCs w:val="18"/>
                <w:color w:val="auto"/>
              </w:rPr>
              <w:t>F-39</w:t>
            </w: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Repossessed vehicle inventory, which is included in Other assets on our consolidated balance sheet, is measured at fair value using level 2 assumptions based on our actual loss experience on sale of repossessed vehicles. At December 31, 2022, the finance receivables related to the repossessed vehicles in inventory totaled $1.9 million. We have applied a valuation adjustment, or loss allowance, of $1.3 million, which is based on a recovery rate of approximately 30%, resulting in an estimated fair value and carrying amount of $571,000. The fair value and carrying amount of the repossessed inventory at December 31, 2021 was $2.5 million after applying a valuation adjustment of $1.9 million.</w:t>
      </w:r>
    </w:p>
    <w:p>
      <w:pPr>
        <w:spacing w:after="0" w:line="18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2022 and 2021. We have no level 3 assets or liabilities that are measured at fair value on a non-recurring basis.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estimated fair values of financial assets and liabilities at December 31, 2022 and 2021,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As of December 31, 2022</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1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1"/>
              </w:rPr>
              <w:t>Fair Value Measurements Using:</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13,490</w:t>
            </w:r>
          </w:p>
        </w:tc>
        <w:tc>
          <w:tcPr>
            <w:tcW w:w="46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13,490</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149,299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149,299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149,299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70,551</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60,063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60,063</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285,328</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285,328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285,328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6,190</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2,108,744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1,957,995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1,957,995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25,263</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25,263</w:t>
            </w:r>
          </w:p>
        </w:tc>
        <w:tc>
          <w:tcPr>
            <w:tcW w:w="0" w:type="dxa"/>
            <w:vAlign w:val="bottom"/>
          </w:tcPr>
          <w:p>
            <w:pPr>
              <w:spacing w:after="0"/>
              <w:rPr>
                <w:sz w:val="1"/>
                <w:szCs w:val="1"/>
                <w:color w:val="auto"/>
              </w:rPr>
            </w:pPr>
          </w:p>
        </w:tc>
      </w:tr>
      <w:tr>
        <w:trPr>
          <w:trHeight w:val="661"/>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As of December 31, 2021</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1"/>
              </w:rPr>
              <w:t>Fair Value Measurements Using:</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29,928</w:t>
            </w:r>
          </w:p>
        </w:tc>
        <w:tc>
          <w:tcPr>
            <w:tcW w:w="46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29,928</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146,620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146,620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176,184</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178,795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178,795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105,610</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105,610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105,610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1,759,972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1,740,901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1,740,901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26,459</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864"/>
        </w:trPr>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F-40</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25, 2023 we executed our first securitization of 2023. In the transaction, qualified institutional buyers purchased $324.8 million of asset-backed notes secured by $362.9 million in automobile receivables originated by CPS. The sold notes, issued by CPS Auto Receivables Trust 2023-A,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6.82%.</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2023-A transaction has initial credit enhancement consisting of a cash deposit equal to 1.00% of the original receivable pool balance and overcollateralization of 10.50%. The transaction agreements require accelerated payment of principal on the notes to reach overcollateralization of the lesser of 14.00% of the original receivable pool balance, or 38.00% of the then outstanding pool balance.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7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10"/>
        </w:trPr>
        <w:tc>
          <w:tcPr>
            <w:tcW w:w="4080" w:type="dxa"/>
            <w:vAlign w:val="bottom"/>
            <w:tcBorders>
              <w:left w:val="single" w:sz="8" w:color="auto"/>
              <w:bottom w:val="single" w:sz="8" w:color="auto"/>
              <w:right w:val="single" w:sz="8" w:color="auto"/>
            </w:tcBorders>
          </w:tcPr>
          <w:p>
            <w:pPr>
              <w:spacing w:after="0"/>
              <w:rPr>
                <w:sz w:val="18"/>
                <w:szCs w:val="18"/>
                <w:color w:val="auto"/>
              </w:rPr>
            </w:pPr>
          </w:p>
        </w:tc>
        <w:tc>
          <w:tcPr>
            <w:tcW w:w="716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Eight Funding LLC</w:t>
            </w:r>
          </w:p>
        </w:tc>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LLC</w:t>
            </w:r>
          </w:p>
        </w:tc>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III LLC</w:t>
            </w:r>
          </w:p>
        </w:tc>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333-168976 and 333-190766 on Form S-1, Nos. 333-152969 and 333-204492 on Form S-3, and Nos. 333-58199, 333-35758, 333-75594, 333-115622, 333-135907, 333-161448, 333-166892 and 333-193926 on form S-8 of Consumer Portfolio Services, Inc. and Subsidiaries of our report dated March 15, 2023 relating to the financial statements and effectiveness of internal control over financial reporting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abstractNum>
  <w:abstractNum w:abstractNumId="5">
    <w:nsid w:val="3F2DBA31"/>
    <w:multiLevelType w:val="hybridMultilevel"/>
    <w:lvl w:ilvl="0">
      <w:lvlJc w:val="left"/>
      <w:lvlText w:val="(%1)"/>
      <w:numFmt w:val="decimal"/>
      <w:start w:val="3"/>
    </w:lvl>
    <w:lvl w:ilvl="1">
      <w:lvlJc w:val="left"/>
      <w:lvlText w:val="%2"/>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4"/>
    </w:lvl>
  </w:abstractNum>
  <w:abstractNum w:abstractNumId="23">
    <w:nsid w:val="71F32454"/>
    <w:multiLevelType w:val="hybridMultilevel"/>
    <w:lvl w:ilvl="0">
      <w:lvlJc w:val="left"/>
      <w:lvlText w:val="%1"/>
      <w:numFmt w:val="decimal"/>
      <w:start w:val="14"/>
    </w:lvl>
  </w:abstractNum>
  <w:abstractNum w:abstractNumId="24">
    <w:nsid w:val="2CA88611"/>
    <w:multiLevelType w:val="hybridMultilevel"/>
    <w:lvl w:ilvl="0">
      <w:lvlJc w:val="left"/>
      <w:lvlText w:val="%1"/>
      <w:numFmt w:val="decimal"/>
      <w:start w:val="2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decimal"/>
      <w:start w:val="2"/>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66" Type="http://schemas.openxmlformats.org/officeDocument/2006/relationships/hyperlink" Target="https://www.sec.gov/Archives/edgar/data/889609/000088960909000010/exh3-1.htm" TargetMode="External"/><Relationship Id="rId67" Type="http://schemas.openxmlformats.org/officeDocument/2006/relationships/hyperlink" Target="https://www.sec.gov/Archives/edgar/data/889609/000088960910000073/cpssex313.htm" TargetMode="External"/><Relationship Id="rId68" Type="http://schemas.openxmlformats.org/officeDocument/2006/relationships/hyperlink" Target="https://www.sec.gov/Archives/edgar/data/889609/000168316821006089/cps_ex030302.htm" TargetMode="External"/><Relationship Id="rId69" Type="http://schemas.openxmlformats.org/officeDocument/2006/relationships/hyperlink" Target="https://www.sec.gov/Archives/edgar/data/889609/000088960910000033/cpssexh41.htm" TargetMode="External"/><Relationship Id="rId70" Type="http://schemas.openxmlformats.org/officeDocument/2006/relationships/hyperlink" Target="https://www.sec.gov/Archives/edgar/data/889609/000088960910000033/cpss42.htm" TargetMode="External"/><Relationship Id="rId71" Type="http://schemas.openxmlformats.org/officeDocument/2006/relationships/hyperlink" Target="http://www.sec.gov/Archives/edgar/data/889609/000088960910000059/cpssex43_dtd121207.htm" TargetMode="External"/><Relationship Id="rId72" Type="http://schemas.openxmlformats.org/officeDocument/2006/relationships/hyperlink" Target="https://www.sec.gov/Archives/edgar/data/889609/000101968714000228/cps_s1a1-ex0404.htm" TargetMode="External"/><Relationship Id="rId73" Type="http://schemas.openxmlformats.org/officeDocument/2006/relationships/hyperlink" Target="https://www.sec.gov/Archives/edgar/data/889609/000101968705001015/cps_s2a1ex10-20.txt" TargetMode="External"/><Relationship Id="rId74" Type="http://schemas.openxmlformats.org/officeDocument/2006/relationships/hyperlink" Target="https://www.sec.gov/Archives/edgar/data/889609/000101968706000537/cps_10kex10-0201.txt" TargetMode="External"/><Relationship Id="rId75" Type="http://schemas.openxmlformats.org/officeDocument/2006/relationships/hyperlink" Target="https://www.sec.gov/Archives/edgar/data/889609/000101968715001620/cps_def14a.htm" TargetMode="External"/><Relationship Id="rId76" Type="http://schemas.openxmlformats.org/officeDocument/2006/relationships/hyperlink" Target="https://www.sec.gov/Archives/edgar/data/889609/000101968707000676/cps_10kex14-1.txt" TargetMode="External"/><Relationship Id="rId77" Type="http://schemas.openxmlformats.org/officeDocument/2006/relationships/hyperlink" Target="https://www.sec.gov/Archives/edgar/data/889609/000088960909000053/cpsslongterm2006.htm" TargetMode="External"/><Relationship Id="rId78" Type="http://schemas.openxmlformats.org/officeDocument/2006/relationships/hyperlink" Target="https://www.sec.gov/Archives/edgar/data/889609/000088960909000053/cpsslongterm2006non.htm" TargetMode="External"/><Relationship Id="rId79" Type="http://schemas.openxmlformats.org/officeDocument/2006/relationships/hyperlink" Target="https://www.sec.gov/Archives/edgar/data/889609/000101968706000537/cps_10kex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2023-03-15T19:44:27Z</dcterms:created>
  <dcterms:modified xsi:type="dcterms:W3CDTF">2023-03-15T19:44:27Z</dcterms:modified>
</cp:coreProperties>
</file>