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ind w:left="1840" w:hanging="200"/>
        <w:spacing w:after="0"/>
        <w:tabs>
          <w:tab w:leader="none" w:pos="18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UNDER SECTION 13 OR 15(d) OF THE SECURITIES EXCHANGE ACT OF 1934</w:t>
      </w:r>
    </w:p>
    <w:p>
      <w:pPr>
        <w:spacing w:after="0" w:line="22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29"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4034155</wp:posOffset>
            </wp:positionH>
            <wp:positionV relativeFrom="paragraph">
              <wp:posOffset>-7620</wp:posOffset>
            </wp:positionV>
            <wp:extent cx="342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001-14116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7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33-0459135</w:t>
            </w:r>
          </w:p>
        </w:tc>
      </w:tr>
      <w:tr>
        <w:trPr>
          <w:trHeight w:val="238"/>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56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3800 Howard Hughes Pkwy, Las Vegas, NV</w:t>
            </w:r>
          </w:p>
        </w:tc>
        <w:tc>
          <w:tcPr>
            <w:tcW w:w="37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89169</w:t>
            </w:r>
          </w:p>
        </w:tc>
      </w:tr>
      <w:tr>
        <w:trPr>
          <w:trHeight w:val="238"/>
        </w:trPr>
        <w:tc>
          <w:tcPr>
            <w:tcW w:w="56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1200"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60" w:type="dxa"/>
            <w:vAlign w:val="bottom"/>
          </w:tcPr>
          <w:p>
            <w:pPr>
              <w:spacing w:after="0"/>
              <w:rPr>
                <w:sz w:val="18"/>
                <w:szCs w:val="18"/>
                <w:color w:val="auto"/>
              </w:rPr>
            </w:pPr>
          </w:p>
        </w:tc>
      </w:tr>
      <w:tr>
        <w:trPr>
          <w:trHeight w:val="237"/>
        </w:trPr>
        <w:tc>
          <w:tcPr>
            <w:tcW w:w="29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860" w:type="dxa"/>
            <w:vAlign w:val="bottom"/>
          </w:tcPr>
          <w:p>
            <w:pPr>
              <w:spacing w:after="0"/>
              <w:rPr>
                <w:sz w:val="20"/>
                <w:szCs w:val="20"/>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CPSS</w:t>
            </w:r>
          </w:p>
        </w:tc>
        <w:tc>
          <w:tcPr>
            <w:tcW w:w="4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7,428,256 shares of the registrant’s common stock held by non-affiliates as of the date of June 30, 2023, based upon the closing price of the registrant’s common stock of $11.67 per share reported by Nasdaq as of that date, was approximately $86,687,748. For purposes of this computation, a registrant sponsored pension plan and all directors and executive officers are deemed to be affiliates. Such determination is not an admission that such plan, directors and executive officers are, in fact, affiliates of the registrant.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March 1, 2024 was 21,129,918.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9" w:right="339" w:bottom="75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0" w:type="dxa"/>
            <w:vAlign w:val="bottom"/>
          </w:tcPr>
          <w:p>
            <w:pPr>
              <w:spacing w:after="0"/>
              <w:rPr>
                <w:sz w:val="20"/>
                <w:szCs w:val="20"/>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600" w:type="dxa"/>
            <w:vAlign w:val="bottom"/>
            <w:tcBorders>
              <w:bottom w:val="single" w:sz="8" w:color="0000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540" w:type="dxa"/>
            <w:vAlign w:val="bottom"/>
            <w:tcBorders>
              <w:bottom w:val="single" w:sz="8" w:color="EEEEEE"/>
            </w:tcBorders>
            <w:gridSpan w:val="4"/>
            <w:shd w:val="clear" w:color="auto" w:fill="EEEEEE"/>
          </w:tcPr>
          <w:p>
            <w:pPr>
              <w:spacing w:after="0"/>
              <w:rPr>
                <w:sz w:val="19"/>
                <w:szCs w:val="19"/>
                <w:color w:val="auto"/>
              </w:rPr>
            </w:pPr>
          </w:p>
        </w:tc>
        <w:tc>
          <w:tcPr>
            <w:tcW w:w="6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EEEEEE"/>
            </w:tcBorders>
            <w:shd w:val="clear" w:color="auto" w:fill="EEEEEE"/>
          </w:tcPr>
          <w:p>
            <w:pPr>
              <w:spacing w:after="0"/>
              <w:rPr>
                <w:sz w:val="19"/>
                <w:szCs w:val="19"/>
                <w:color w:val="auto"/>
              </w:rPr>
            </w:pPr>
          </w:p>
        </w:tc>
        <w:tc>
          <w:tcPr>
            <w:tcW w:w="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72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EEEEEE"/>
            </w:tcBorders>
            <w:shd w:val="clear" w:color="auto" w:fill="EEEEEE"/>
          </w:tcPr>
          <w:p>
            <w:pPr>
              <w:spacing w:after="0"/>
              <w:rPr>
                <w:sz w:val="19"/>
                <w:szCs w:val="19"/>
                <w:color w:val="auto"/>
              </w:rPr>
            </w:pPr>
          </w:p>
        </w:tc>
        <w:tc>
          <w:tcPr>
            <w:tcW w:w="78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540" w:type="dxa"/>
            <w:vAlign w:val="bottom"/>
            <w:tcBorders>
              <w:bottom w:val="single" w:sz="8" w:color="EEEEEE"/>
            </w:tcBorders>
            <w:shd w:val="clear" w:color="auto" w:fill="EEEEEE"/>
          </w:tcPr>
          <w:p>
            <w:pPr>
              <w:spacing w:after="0"/>
              <w:rPr>
                <w:sz w:val="19"/>
                <w:szCs w:val="19"/>
                <w:color w:val="auto"/>
              </w:rPr>
            </w:pPr>
          </w:p>
        </w:tc>
        <w:tc>
          <w:tcPr>
            <w:tcW w:w="56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780" w:type="dxa"/>
            <w:vAlign w:val="bottom"/>
            <w:tcBorders>
              <w:bottom w:val="single" w:sz="8" w:color="EEEEEE"/>
            </w:tcBorders>
            <w:shd w:val="clear" w:color="auto" w:fill="EEEEEE"/>
          </w:tcPr>
          <w:p>
            <w:pPr>
              <w:spacing w:after="0"/>
              <w:rPr>
                <w:sz w:val="19"/>
                <w:szCs w:val="19"/>
                <w:color w:val="auto"/>
              </w:rPr>
            </w:pPr>
          </w:p>
        </w:tc>
        <w:tc>
          <w:tcPr>
            <w:tcW w:w="820" w:type="dxa"/>
            <w:vAlign w:val="bottom"/>
            <w:tcBorders>
              <w:bottom w:val="single" w:sz="8" w:color="EEEEEE"/>
            </w:tcBorders>
            <w:shd w:val="clear" w:color="auto" w:fill="EEEEEE"/>
          </w:tcPr>
          <w:p>
            <w:pPr>
              <w:spacing w:after="0"/>
              <w:rPr>
                <w:sz w:val="19"/>
                <w:szCs w:val="19"/>
                <w:color w:val="auto"/>
              </w:rPr>
            </w:pPr>
          </w:p>
        </w:tc>
        <w:tc>
          <w:tcPr>
            <w:tcW w:w="780" w:type="dxa"/>
            <w:vAlign w:val="bottom"/>
            <w:tcBorders>
              <w:bottom w:val="single" w:sz="8" w:color="EEEEEE"/>
            </w:tcBorders>
            <w:shd w:val="clear" w:color="auto" w:fill="EEEEEE"/>
          </w:tcPr>
          <w:p>
            <w:pPr>
              <w:spacing w:after="0"/>
              <w:rPr>
                <w:sz w:val="19"/>
                <w:szCs w:val="19"/>
                <w:color w:val="auto"/>
              </w:rPr>
            </w:pPr>
          </w:p>
        </w:tc>
        <w:tc>
          <w:tcPr>
            <w:tcW w:w="1200" w:type="dxa"/>
            <w:vAlign w:val="bottom"/>
            <w:tcBorders>
              <w:bottom w:val="single" w:sz="8" w:color="EEEEEE"/>
            </w:tcBorders>
            <w:shd w:val="clear" w:color="auto" w:fill="EEEEEE"/>
          </w:tcPr>
          <w:p>
            <w:pPr>
              <w:spacing w:after="0"/>
              <w:rPr>
                <w:sz w:val="19"/>
                <w:szCs w:val="19"/>
                <w:color w:val="auto"/>
              </w:rPr>
            </w:pP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200" w:type="dxa"/>
            <w:vAlign w:val="bottom"/>
          </w:tcPr>
          <w:p>
            <w:pPr>
              <w:jc w:val="center"/>
              <w:ind w:left="5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6"/>
        </w:trPr>
        <w:tc>
          <w:tcPr>
            <w:tcW w:w="1140" w:type="dxa"/>
            <w:vAlign w:val="bottom"/>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0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200" w:type="dxa"/>
            <w:vAlign w:val="bottom"/>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6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200" w:type="dxa"/>
            <w:vAlign w:val="bottom"/>
            <w:tcBorders>
              <w:top w:val="single" w:sz="8" w:color="EEEEEE"/>
            </w:tcBorders>
            <w:shd w:val="clear" w:color="auto" w:fill="EEEEEE"/>
          </w:tcPr>
          <w:p>
            <w:pPr>
              <w:spacing w:after="0" w:line="20" w:lineRule="exact"/>
              <w:rPr>
                <w:sz w:val="1"/>
                <w:szCs w:val="1"/>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tcBorders>
              <w:bottom w:val="single" w:sz="8" w:color="EEEEEE"/>
            </w:tcBorders>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7880" w:type="dxa"/>
            <w:vAlign w:val="bottom"/>
            <w:tcBorders>
              <w:bottom w:val="single" w:sz="8" w:color="EEEEEE"/>
            </w:tcBorders>
            <w:gridSpan w:val="20"/>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tcBorders>
              <w:bottom w:val="single" w:sz="8" w:color="EEEEEE"/>
            </w:tcBorders>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560" w:type="dxa"/>
            <w:vAlign w:val="bottom"/>
            <w:tcBorders>
              <w:bottom w:val="single" w:sz="8" w:color="EEEEEE"/>
            </w:tcBorders>
            <w:gridSpan w:val="18"/>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6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90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Our Executive Officers</w:t>
            </w:r>
          </w:p>
        </w:tc>
        <w:tc>
          <w:tcPr>
            <w:tcW w:w="1200" w:type="dxa"/>
            <w:vAlign w:val="bottom"/>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6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r>
      <w:tr>
        <w:trPr>
          <w:trHeight w:val="175"/>
        </w:trPr>
        <w:tc>
          <w:tcPr>
            <w:tcW w:w="114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7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780" w:type="dxa"/>
            <w:vAlign w:val="bottom"/>
            <w:shd w:val="clear" w:color="auto" w:fill="EEEEEE"/>
          </w:tcPr>
          <w:p>
            <w:pPr>
              <w:spacing w:after="0"/>
              <w:rPr>
                <w:sz w:val="15"/>
                <w:szCs w:val="15"/>
                <w:color w:val="auto"/>
              </w:rPr>
            </w:pPr>
          </w:p>
        </w:tc>
        <w:tc>
          <w:tcPr>
            <w:tcW w:w="820" w:type="dxa"/>
            <w:vAlign w:val="bottom"/>
            <w:shd w:val="clear" w:color="auto" w:fill="EEEEEE"/>
          </w:tcPr>
          <w:p>
            <w:pPr>
              <w:spacing w:after="0"/>
              <w:rPr>
                <w:sz w:val="15"/>
                <w:szCs w:val="15"/>
                <w:color w:val="auto"/>
              </w:rPr>
            </w:pPr>
          </w:p>
        </w:tc>
        <w:tc>
          <w:tcPr>
            <w:tcW w:w="780" w:type="dxa"/>
            <w:vAlign w:val="bottom"/>
            <w:shd w:val="clear" w:color="auto" w:fill="EEEEEE"/>
          </w:tcPr>
          <w:p>
            <w:pPr>
              <w:spacing w:after="0"/>
              <w:rPr>
                <w:sz w:val="15"/>
                <w:szCs w:val="15"/>
                <w:color w:val="auto"/>
              </w:rPr>
            </w:pPr>
          </w:p>
        </w:tc>
        <w:tc>
          <w:tcPr>
            <w:tcW w:w="1200" w:type="dxa"/>
            <w:vAlign w:val="bottom"/>
            <w:shd w:val="clear" w:color="auto" w:fill="EEEEEE"/>
          </w:tcPr>
          <w:p>
            <w:pPr>
              <w:spacing w:after="0"/>
              <w:rPr>
                <w:sz w:val="15"/>
                <w:szCs w:val="15"/>
                <w:color w:val="auto"/>
              </w:rPr>
            </w:pPr>
          </w:p>
        </w:tc>
      </w:tr>
      <w:tr>
        <w:trPr>
          <w:trHeight w:val="48"/>
        </w:trPr>
        <w:tc>
          <w:tcPr>
            <w:tcW w:w="60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0" w:type="dxa"/>
            <w:vAlign w:val="bottom"/>
            <w:tcBorders>
              <w:top w:val="single" w:sz="8" w:color="EEEEEE"/>
            </w:tcBorders>
            <w:shd w:val="clear" w:color="auto" w:fill="EEEEEE"/>
          </w:tcPr>
          <w:p>
            <w:pPr>
              <w:spacing w:after="0"/>
              <w:rPr>
                <w:sz w:val="4"/>
                <w:szCs w:val="4"/>
                <w:color w:val="auto"/>
              </w:rPr>
            </w:pPr>
          </w:p>
        </w:tc>
        <w:tc>
          <w:tcPr>
            <w:tcW w:w="64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30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24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7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30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540" w:type="dxa"/>
            <w:vAlign w:val="bottom"/>
            <w:tcBorders>
              <w:top w:val="single" w:sz="8" w:color="EEEEEE"/>
            </w:tcBorders>
            <w:shd w:val="clear" w:color="auto" w:fill="EEEEEE"/>
          </w:tcPr>
          <w:p>
            <w:pPr>
              <w:spacing w:after="0"/>
              <w:rPr>
                <w:sz w:val="4"/>
                <w:szCs w:val="4"/>
                <w:color w:val="auto"/>
              </w:rPr>
            </w:pPr>
          </w:p>
        </w:tc>
        <w:tc>
          <w:tcPr>
            <w:tcW w:w="560" w:type="dxa"/>
            <w:vAlign w:val="bottom"/>
            <w:tcBorders>
              <w:top w:val="single" w:sz="8" w:color="EEEEEE"/>
            </w:tcBorders>
            <w:shd w:val="clear" w:color="auto" w:fill="EEEEEE"/>
          </w:tcPr>
          <w:p>
            <w:pPr>
              <w:spacing w:after="0"/>
              <w:rPr>
                <w:sz w:val="4"/>
                <w:szCs w:val="4"/>
                <w:color w:val="auto"/>
              </w:rPr>
            </w:pPr>
          </w:p>
        </w:tc>
        <w:tc>
          <w:tcPr>
            <w:tcW w:w="100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82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200" w:type="dxa"/>
            <w:vAlign w:val="bottom"/>
            <w:tcBorders>
              <w:top w:val="single" w:sz="8" w:color="EEEEEE"/>
            </w:tcBorders>
            <w:shd w:val="clear" w:color="auto" w:fill="EEEEEE"/>
          </w:tcPr>
          <w:p>
            <w:pPr>
              <w:spacing w:after="0"/>
              <w:rPr>
                <w:sz w:val="4"/>
                <w:szCs w:val="4"/>
                <w:color w:val="auto"/>
              </w:rPr>
            </w:pP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tcBorders>
              <w:bottom w:val="single" w:sz="8" w:color="EEEEEE"/>
            </w:tcBorders>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8100" w:type="dxa"/>
            <w:vAlign w:val="bottom"/>
            <w:tcBorders>
              <w:bottom w:val="single" w:sz="8" w:color="EEEEEE"/>
            </w:tcBorders>
            <w:gridSpan w:val="22"/>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tcBorders>
              <w:bottom w:val="single" w:sz="8" w:color="EEEEEE"/>
            </w:tcBorders>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540" w:type="dxa"/>
            <w:vAlign w:val="bottom"/>
            <w:tcBorders>
              <w:bottom w:val="single" w:sz="8" w:color="EEEEEE"/>
            </w:tcBorders>
            <w:gridSpan w:val="7"/>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tcBorders>
              <w:bottom w:val="single" w:sz="8" w:color="EEEEEE"/>
            </w:tcBorders>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380" w:type="dxa"/>
            <w:vAlign w:val="bottom"/>
            <w:tcBorders>
              <w:bottom w:val="single" w:sz="8" w:color="EEEEEE"/>
            </w:tcBorders>
            <w:gridSpan w:val="3"/>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tcBorders>
              <w:bottom w:val="single" w:sz="8" w:color="EEEEEE"/>
            </w:tcBorders>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580" w:type="dxa"/>
            <w:vAlign w:val="bottom"/>
            <w:tcBorders>
              <w:bottom w:val="single" w:sz="8" w:color="EEEEEE"/>
            </w:tcBorders>
            <w:gridSpan w:val="19"/>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6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48"/>
        </w:trPr>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196"/>
        </w:trPr>
        <w:tc>
          <w:tcPr>
            <w:tcW w:w="1140" w:type="dxa"/>
            <w:vAlign w:val="bottom"/>
            <w:tcBorders>
              <w:bottom w:val="single" w:sz="8" w:color="EEEEEE"/>
            </w:tcBorders>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800" w:type="dxa"/>
            <w:vAlign w:val="bottom"/>
            <w:tcBorders>
              <w:bottom w:val="single" w:sz="8" w:color="EEEEEE"/>
            </w:tcBorders>
            <w:gridSpan w:val="8"/>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tcBorders>
              <w:bottom w:val="single" w:sz="8" w:color="EEEEEE"/>
            </w:tcBorders>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600" w:type="dxa"/>
            <w:vAlign w:val="bottom"/>
            <w:tcBorders>
              <w:bottom w:val="single" w:sz="8" w:color="EEEEEE"/>
            </w:tcBorders>
            <w:gridSpan w:val="2"/>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90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200" w:type="dxa"/>
            <w:vAlign w:val="bottom"/>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43"/>
        </w:trPr>
        <w:tc>
          <w:tcPr>
            <w:tcW w:w="6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c>
          <w:tcPr>
            <w:tcW w:w="400" w:type="dxa"/>
            <w:vAlign w:val="bottom"/>
            <w:tcBorders>
              <w:top w:val="single" w:sz="8" w:color="EEEE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720" w:type="dxa"/>
            <w:vAlign w:val="bottom"/>
            <w:tcBorders>
              <w:top w:val="single" w:sz="8" w:color="0000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300" w:type="dxa"/>
            <w:vAlign w:val="bottom"/>
            <w:tcBorders>
              <w:top w:val="single" w:sz="8" w:color="EEEEEE"/>
            </w:tcBorders>
          </w:tcPr>
          <w:p>
            <w:pPr>
              <w:spacing w:after="0"/>
              <w:rPr>
                <w:sz w:val="21"/>
                <w:szCs w:val="21"/>
                <w:color w:val="auto"/>
              </w:rPr>
            </w:pPr>
          </w:p>
        </w:tc>
        <w:tc>
          <w:tcPr>
            <w:tcW w:w="78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540" w:type="dxa"/>
            <w:vAlign w:val="bottom"/>
            <w:tcBorders>
              <w:top w:val="single" w:sz="8" w:color="EEEEEE"/>
            </w:tcBorders>
          </w:tcPr>
          <w:p>
            <w:pPr>
              <w:spacing w:after="0"/>
              <w:rPr>
                <w:sz w:val="21"/>
                <w:szCs w:val="21"/>
                <w:color w:val="auto"/>
              </w:rPr>
            </w:pPr>
          </w:p>
        </w:tc>
        <w:tc>
          <w:tcPr>
            <w:tcW w:w="560" w:type="dxa"/>
            <w:vAlign w:val="bottom"/>
            <w:tcBorders>
              <w:top w:val="single" w:sz="8" w:color="EEEEEE"/>
            </w:tcBorders>
          </w:tcPr>
          <w:p>
            <w:pPr>
              <w:spacing w:after="0"/>
              <w:rPr>
                <w:sz w:val="21"/>
                <w:szCs w:val="21"/>
                <w:color w:val="auto"/>
              </w:rPr>
            </w:pPr>
          </w:p>
        </w:tc>
        <w:tc>
          <w:tcPr>
            <w:tcW w:w="10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780" w:type="dxa"/>
            <w:vAlign w:val="bottom"/>
            <w:tcBorders>
              <w:top w:val="single" w:sz="8" w:color="EEEEEE"/>
            </w:tcBorders>
          </w:tcPr>
          <w:p>
            <w:pPr>
              <w:spacing w:after="0"/>
              <w:rPr>
                <w:sz w:val="21"/>
                <w:szCs w:val="21"/>
                <w:color w:val="auto"/>
              </w:rPr>
            </w:pPr>
          </w:p>
        </w:tc>
        <w:tc>
          <w:tcPr>
            <w:tcW w:w="820" w:type="dxa"/>
            <w:vAlign w:val="bottom"/>
            <w:tcBorders>
              <w:top w:val="single" w:sz="8" w:color="EEEEEE"/>
            </w:tcBorders>
          </w:tcPr>
          <w:p>
            <w:pPr>
              <w:spacing w:after="0"/>
              <w:rPr>
                <w:sz w:val="21"/>
                <w:szCs w:val="21"/>
                <w:color w:val="auto"/>
              </w:rPr>
            </w:pPr>
          </w:p>
        </w:tc>
        <w:tc>
          <w:tcPr>
            <w:tcW w:w="780" w:type="dxa"/>
            <w:vAlign w:val="bottom"/>
            <w:tcBorders>
              <w:top w:val="single" w:sz="8" w:color="EEEEEE"/>
            </w:tcBorders>
          </w:tcPr>
          <w:p>
            <w:pPr>
              <w:spacing w:after="0"/>
              <w:rPr>
                <w:sz w:val="21"/>
                <w:szCs w:val="21"/>
                <w:color w:val="auto"/>
              </w:rPr>
            </w:pPr>
          </w:p>
        </w:tc>
        <w:tc>
          <w:tcPr>
            <w:tcW w:w="1200" w:type="dxa"/>
            <w:vAlign w:val="bottom"/>
            <w:tcBorders>
              <w:top w:val="single" w:sz="8" w:color="EEEEEE"/>
            </w:tcBorders>
          </w:tcPr>
          <w:p>
            <w:pPr>
              <w:spacing w:after="0"/>
              <w:rPr>
                <w:sz w:val="21"/>
                <w:szCs w:val="21"/>
                <w:color w:val="auto"/>
              </w:rPr>
            </w:pPr>
          </w:p>
        </w:tc>
      </w:tr>
      <w:tr>
        <w:trPr>
          <w:trHeight w:val="175"/>
        </w:trPr>
        <w:tc>
          <w:tcPr>
            <w:tcW w:w="114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7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780" w:type="dxa"/>
            <w:vAlign w:val="bottom"/>
            <w:shd w:val="clear" w:color="auto" w:fill="EEEEEE"/>
          </w:tcPr>
          <w:p>
            <w:pPr>
              <w:spacing w:after="0"/>
              <w:rPr>
                <w:sz w:val="15"/>
                <w:szCs w:val="15"/>
                <w:color w:val="auto"/>
              </w:rPr>
            </w:pPr>
          </w:p>
        </w:tc>
        <w:tc>
          <w:tcPr>
            <w:tcW w:w="820" w:type="dxa"/>
            <w:vAlign w:val="bottom"/>
            <w:shd w:val="clear" w:color="auto" w:fill="EEEEEE"/>
          </w:tcPr>
          <w:p>
            <w:pPr>
              <w:spacing w:after="0"/>
              <w:rPr>
                <w:sz w:val="15"/>
                <w:szCs w:val="15"/>
                <w:color w:val="auto"/>
              </w:rPr>
            </w:pPr>
          </w:p>
        </w:tc>
        <w:tc>
          <w:tcPr>
            <w:tcW w:w="780" w:type="dxa"/>
            <w:vAlign w:val="bottom"/>
            <w:shd w:val="clear" w:color="auto" w:fill="EEEEEE"/>
          </w:tcPr>
          <w:p>
            <w:pPr>
              <w:spacing w:after="0"/>
              <w:rPr>
                <w:sz w:val="15"/>
                <w:szCs w:val="15"/>
                <w:color w:val="auto"/>
              </w:rPr>
            </w:pPr>
          </w:p>
        </w:tc>
        <w:tc>
          <w:tcPr>
            <w:tcW w:w="1200" w:type="dxa"/>
            <w:vAlign w:val="bottom"/>
            <w:shd w:val="clear" w:color="auto" w:fill="EEEEEE"/>
          </w:tcPr>
          <w:p>
            <w:pPr>
              <w:spacing w:after="0"/>
              <w:rPr>
                <w:sz w:val="15"/>
                <w:szCs w:val="15"/>
                <w:color w:val="auto"/>
              </w:rPr>
            </w:pPr>
          </w:p>
        </w:tc>
      </w:tr>
      <w:tr>
        <w:trPr>
          <w:trHeight w:val="48"/>
        </w:trPr>
        <w:tc>
          <w:tcPr>
            <w:tcW w:w="60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0" w:type="dxa"/>
            <w:vAlign w:val="bottom"/>
            <w:tcBorders>
              <w:top w:val="single" w:sz="8" w:color="EEEEEE"/>
            </w:tcBorders>
            <w:shd w:val="clear" w:color="auto" w:fill="EEEEEE"/>
          </w:tcPr>
          <w:p>
            <w:pPr>
              <w:spacing w:after="0"/>
              <w:rPr>
                <w:sz w:val="4"/>
                <w:szCs w:val="4"/>
                <w:color w:val="auto"/>
              </w:rPr>
            </w:pPr>
          </w:p>
        </w:tc>
        <w:tc>
          <w:tcPr>
            <w:tcW w:w="64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30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24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7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30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540" w:type="dxa"/>
            <w:vAlign w:val="bottom"/>
            <w:tcBorders>
              <w:top w:val="single" w:sz="8" w:color="EEEEEE"/>
            </w:tcBorders>
            <w:shd w:val="clear" w:color="auto" w:fill="EEEEEE"/>
          </w:tcPr>
          <w:p>
            <w:pPr>
              <w:spacing w:after="0"/>
              <w:rPr>
                <w:sz w:val="4"/>
                <w:szCs w:val="4"/>
                <w:color w:val="auto"/>
              </w:rPr>
            </w:pPr>
          </w:p>
        </w:tc>
        <w:tc>
          <w:tcPr>
            <w:tcW w:w="560" w:type="dxa"/>
            <w:vAlign w:val="bottom"/>
            <w:tcBorders>
              <w:top w:val="single" w:sz="8" w:color="EEEEEE"/>
            </w:tcBorders>
            <w:shd w:val="clear" w:color="auto" w:fill="EEEEEE"/>
          </w:tcPr>
          <w:p>
            <w:pPr>
              <w:spacing w:after="0"/>
              <w:rPr>
                <w:sz w:val="4"/>
                <w:szCs w:val="4"/>
                <w:color w:val="auto"/>
              </w:rPr>
            </w:pPr>
          </w:p>
        </w:tc>
        <w:tc>
          <w:tcPr>
            <w:tcW w:w="100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82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200" w:type="dxa"/>
            <w:vAlign w:val="bottom"/>
            <w:tcBorders>
              <w:top w:val="single" w:sz="8" w:color="EEEEEE"/>
            </w:tcBorders>
            <w:shd w:val="clear" w:color="auto" w:fill="EEEEEE"/>
          </w:tcPr>
          <w:p>
            <w:pPr>
              <w:spacing w:after="0"/>
              <w:rPr>
                <w:sz w:val="4"/>
                <w:szCs w:val="4"/>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1200" w:type="dxa"/>
            <w:vAlign w:val="bottom"/>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EEEEEE"/>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90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200" w:type="dxa"/>
            <w:vAlign w:val="bottom"/>
            <w:shd w:val="clear" w:color="auto" w:fill="EEEEEE"/>
          </w:tcPr>
          <w:p>
            <w:pPr>
              <w:jc w:val="center"/>
              <w:ind w:left="57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6"/>
        </w:trPr>
        <w:tc>
          <w:tcPr>
            <w:tcW w:w="6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r>
      <w:tr>
        <w:trPr>
          <w:trHeight w:val="175"/>
        </w:trPr>
        <w:tc>
          <w:tcPr>
            <w:tcW w:w="60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890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200" w:type="dxa"/>
            <w:vAlign w:val="bottom"/>
            <w:shd w:val="clear" w:color="auto" w:fill="EEEEEE"/>
          </w:tcPr>
          <w:p>
            <w:pPr>
              <w:ind w:left="80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6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200" w:type="dxa"/>
            <w:vAlign w:val="bottom"/>
            <w:tcBorders>
              <w:top w:val="single" w:sz="8" w:color="EEEE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“assume,” “plans,” “goals, “strategy,” “future,” “likely,” “should” or other similar expressions.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 and recovery rates;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rights under contracts;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expenses;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credit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industry and general economic trends;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losses for legal contingencies;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deferred tax assets;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taxable income;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repay our debt;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181"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have (i) originated vehicle purchase money loans by lending directly to consumers and have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December 31, 2023, we have purchased a total of approximately $21.3 billion of automobile contracts from dealers. In addition, we acquired a total of approximately $822.3 million of automobile contracts in mergers and acquisitions in 2002, 2003, 2004 and 2011. Contract purchase volumes and managed portfolio levels for the five years ended December 31, 2023 are shown in the table below. Managed portfolio comprises both contracts we owned and those we were servicing for third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41" w:lineRule="exact"/>
        <w:rPr>
          <w:sz w:val="20"/>
          <w:szCs w:val="20"/>
          <w:color w:val="auto"/>
        </w:rPr>
      </w:pPr>
    </w:p>
    <w:tbl>
      <w:tblPr>
        <w:tblLayout w:type="fixed"/>
        <w:tblInd w:w="1420" w:type="dxa"/>
        <w:tblCellMar>
          <w:top w:w="0" w:type="dxa"/>
          <w:left w:w="0" w:type="dxa"/>
          <w:bottom w:w="0" w:type="dxa"/>
          <w:right w:w="0" w:type="dxa"/>
        </w:tblCellMar>
      </w:tblPr>
      <w:tr>
        <w:trPr>
          <w:trHeight w:val="236"/>
        </w:trPr>
        <w:tc>
          <w:tcPr>
            <w:tcW w:w="4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ind w:left="9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Contracts Purchased</w:t>
            </w:r>
          </w:p>
        </w:tc>
        <w:tc>
          <w:tcPr>
            <w:tcW w:w="17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 at</w:t>
            </w:r>
          </w:p>
        </w:tc>
        <w:tc>
          <w:tcPr>
            <w:tcW w:w="80" w:type="dxa"/>
            <w:vAlign w:val="bottom"/>
          </w:tcPr>
          <w:p>
            <w:pPr>
              <w:spacing w:after="0"/>
              <w:rPr>
                <w:sz w:val="16"/>
                <w:szCs w:val="16"/>
                <w:color w:val="auto"/>
              </w:rPr>
            </w:pPr>
          </w:p>
        </w:tc>
      </w:tr>
      <w:tr>
        <w:trPr>
          <w:trHeight w:val="238"/>
        </w:trPr>
        <w:tc>
          <w:tcPr>
            <w:tcW w:w="48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8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in Period</w:t>
            </w:r>
          </w:p>
        </w:tc>
        <w:tc>
          <w:tcPr>
            <w:tcW w:w="26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Period End</w:t>
            </w:r>
          </w:p>
        </w:tc>
      </w:tr>
      <w:tr>
        <w:trPr>
          <w:trHeight w:val="210"/>
        </w:trPr>
        <w:tc>
          <w:tcPr>
            <w:tcW w:w="4720" w:type="dxa"/>
            <w:vAlign w:val="bottom"/>
            <w:tcBorders>
              <w:top w:val="single" w:sz="8" w:color="auto"/>
            </w:tcBorders>
            <w:shd w:val="clear" w:color="auto" w:fill="EEEEEE"/>
          </w:tcPr>
          <w:p>
            <w:pPr>
              <w:ind w:left="218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7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742,584</w:t>
            </w:r>
          </w:p>
        </w:tc>
        <w:tc>
          <w:tcPr>
            <w:tcW w:w="2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2,174,972</w:t>
            </w:r>
          </w:p>
        </w:tc>
      </w:tr>
      <w:tr>
        <w:trPr>
          <w:trHeight w:val="216"/>
        </w:trPr>
        <w:tc>
          <w:tcPr>
            <w:tcW w:w="4720" w:type="dxa"/>
            <w:vAlign w:val="bottom"/>
            <w:shd w:val="clear" w:color="auto" w:fill="EEEEEE"/>
          </w:tcPr>
          <w:p>
            <w:pPr>
              <w:ind w:left="218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1,146,321</w:t>
            </w: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2,249,069</w:t>
            </w:r>
          </w:p>
        </w:tc>
      </w:tr>
      <w:tr>
        <w:trPr>
          <w:trHeight w:val="216"/>
        </w:trPr>
        <w:tc>
          <w:tcPr>
            <w:tcW w:w="47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1,854,385</w:t>
            </w:r>
          </w:p>
        </w:tc>
        <w:tc>
          <w:tcPr>
            <w:tcW w:w="2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3,001,308</w:t>
            </w:r>
          </w:p>
        </w:tc>
      </w:tr>
      <w:tr>
        <w:trPr>
          <w:trHeight w:val="216"/>
        </w:trPr>
        <w:tc>
          <w:tcPr>
            <w:tcW w:w="4720" w:type="dxa"/>
            <w:vAlign w:val="bottom"/>
            <w:shd w:val="clear" w:color="auto" w:fill="EEEEEE"/>
          </w:tcPr>
          <w:p>
            <w:pPr>
              <w:ind w:left="218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1,357,752</w:t>
            </w: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3,194,623</w:t>
            </w:r>
          </w:p>
        </w:tc>
      </w:tr>
    </w:tbl>
    <w:p>
      <w:pPr>
        <w:spacing w:after="0" w:line="198"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Most of our contract acquisitions volume results from our purchases of retail installment sales contracts from franchised or independent automobile dealers. We establish relationships with dealers through our employee sales representatives, who contact prospective dealers to explain our automobile contract purchase programs, and thereafter provide dealer training and support services. Our sales representatives represent us exclusively. They may work from our Irvine branch, our Las Vegas branch, or in the field, in which case they work from their homes and support dealers in their geographic area. Our sales representatives present dealers with a sales package, which includes our promotional material containing the terms offered by us for the purchase of automobile contracts, a copy of our standard-form dealer agreement, and required documentation relating to automobile contracts. As of December 31, 2023, we had 84 sales representatives, and in that month, we received applications from 7,865 dealers in 47 states. As of December 31, 2023, approximately 72% of our active dealers were franchised new car dealers that sell both new and used vehicles, and the remainder were independent used car dealers.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have in the past solicited credit applications directly from prospective automobile consumers through the internet under a program we refer to as our direct lending platform. For qualified applicants we offered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entered into a note and security agreement directly with the consumer. We terminated our direct lending platform in September 2023 and we do not intend to originate any such loans going forward. However, we intend to continue servicing our existing direct loans. For the year ended December 31, 2023 automobile contracts originated under the direct lending platform represented 2.8% of our total acquisitions and represented 2.7% of our outstanding managed portfolio as of December 31, 2023.</w:t>
      </w:r>
    </w:p>
    <w:p>
      <w:pPr>
        <w:spacing w:after="0" w:line="18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approximately 94% of the automobile contracts originated under our programs consisted of financing for used cars and 6% consisted of financing for new cars.</w:t>
      </w:r>
    </w:p>
    <w:p>
      <w:pPr>
        <w:spacing w:after="0" w:line="162"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generally solicit applications with the intent of originating contracts to hold as investments in our own portfolio. However, in May 2021 we began purchasing some contracts for immediate sale to a third-party to whom we refer applications that do not meet our lending criteria. We service all such contracts on behalf of the third-party.</w:t>
      </w:r>
    </w:p>
    <w:p>
      <w:pPr>
        <w:spacing w:after="0" w:line="176"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For contracts we originate for our own portfolio, we generally finance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99 term securitizations of approximately $19.1 billion in automobile contracts. We depend upon the availability of short-term warehouse credit facilities as interim financing for our contract purchases prior to the time we pool those contracts for a securitization. As of December 31, 2023, we had two such short-term warehouse facilities, each with a maximum borrowing amount of $200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Sub-Prime Auto Finance Industry</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Contract Acquisitions</w:t>
      </w:r>
    </w:p>
    <w:p>
      <w:pPr>
        <w:spacing w:after="0" w:line="227" w:lineRule="exact"/>
        <w:rPr>
          <w:sz w:val="20"/>
          <w:szCs w:val="20"/>
          <w:color w:val="auto"/>
        </w:rPr>
      </w:pPr>
    </w:p>
    <w:p>
      <w:pPr>
        <w:jc w:val="both"/>
        <w:ind w:right="20" w:firstLine="130"/>
        <w:spacing w:after="0" w:line="255" w:lineRule="auto"/>
        <w:rPr>
          <w:sz w:val="20"/>
          <w:szCs w:val="20"/>
          <w:color w:val="auto"/>
        </w:rPr>
      </w:pPr>
      <w:r>
        <w:rPr>
          <w:rFonts w:ascii="Times New Roman" w:cs="Times New Roman" w:eastAsia="Times New Roman" w:hAnsi="Times New Roman"/>
          <w:sz w:val="18"/>
          <w:szCs w:val="18"/>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w:t>
      </w:r>
    </w:p>
    <w:p>
      <w:pPr>
        <w:spacing w:after="0" w:line="3" w:lineRule="exact"/>
        <w:rPr>
          <w:sz w:val="20"/>
          <w:szCs w:val="20"/>
          <w:color w:val="auto"/>
        </w:rPr>
      </w:pPr>
    </w:p>
    <w:p>
      <w:pPr>
        <w:jc w:val="both"/>
        <w:ind w:firstLine="8"/>
        <w:spacing w:after="0" w:line="252"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stability of the financing source. Dealers can send credit applications to us by entering the necessary data on our website or through one of two third-party application aggregators. For the year ended December 31, 2023, we received 2.9 million applications. Approximately 63% of all applications came through DealerTrack (the industry leading dealership application aggregator), 37% via another aggregator, Route One. A portion of the DealerTrack and Route One volume are applications from our pass-through arrangements with other lenders who send us applications from their dealers in cases where those lenders choose not to approve those applications. For the year ended December 31, 2023, such pass-through applications represented 37% of our total applications. For the year ended December 31, 2023, our automated application decisioning system produced our initial decision within seconds on approximately 99% of those applications.</w:t>
      </w:r>
    </w:p>
    <w:p>
      <w:pPr>
        <w:spacing w:after="0" w:line="188"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Upon receipt an application, if the application meets certain minimum criteria, we immediately order two credit reports to document the buyer’s credit history and an alternative data credit score provided by a major credit reporting bureau. If, upon review by our proprietary automated decisioning system, or in some cases, one of our credit analysts, we determine that the applicant and structure of the automobile financing contract meets our criteria, we advise the dealer of our decision to approve the contract and the terms under which we will purchase it. For applications that do not meet our criteria, we may forward them to one or more business partners who also invest in subprime automobile contracts. In the case of one third-party partner, as described above, we may purchase contracts they approve, followed by immediate resale to them, after which we retain the servicing. If this third-party declines the application, we advise the dealer that we will not purchase the contract. Other partners to whom we refer applications may or may not choose to purchase such contracts by working directly with the dealers who submitted the applications. Unless otherwise notated, contract origination and managed portfolio data discussed herein includes third-party contracts.</w:t>
      </w:r>
    </w:p>
    <w:p>
      <w:pPr>
        <w:spacing w:after="0" w:line="188" w:lineRule="exact"/>
        <w:rPr>
          <w:sz w:val="20"/>
          <w:szCs w:val="20"/>
          <w:color w:val="auto"/>
        </w:rPr>
      </w:pPr>
    </w:p>
    <w:p>
      <w:pPr>
        <w:jc w:val="both"/>
        <w:ind w:right="20" w:firstLine="130"/>
        <w:spacing w:after="0" w:line="266" w:lineRule="auto"/>
        <w:rPr>
          <w:sz w:val="20"/>
          <w:szCs w:val="20"/>
          <w:color w:val="auto"/>
        </w:rPr>
      </w:pPr>
      <w:r>
        <w:rPr>
          <w:rFonts w:ascii="Times New Roman" w:cs="Times New Roman" w:eastAsia="Times New Roman" w:hAnsi="Times New Roman"/>
          <w:sz w:val="18"/>
          <w:szCs w:val="18"/>
          <w:color w:val="auto"/>
        </w:rPr>
        <w:t>Dealers with which we do business are under no obligation to submit any automobile contracts to us, nor are we obligated to purchase any automobile contracts from them. During the year ended December 31, 2023, no dealer accounted for as much as 2% of the total number of automobile contracts we purchased.</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Under our direct lending platform, the applicant submits a credit application directly to us via our website, or in some cases, through a third-party who accepts such applications and refers them to us for a fee. In either case, we process the application with the same automated application decisioning process as described above for applications from dealers. We then advise the applicant as to whether we would grant them credit and on what terms.</w:t>
      </w:r>
    </w:p>
    <w:p>
      <w:pPr>
        <w:spacing w:after="0" w:line="176"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geographical sources of the automobile contracts we originated (based on the addresses of the customers as stated on our records) during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Contracts Purchased During the Year Ended</w:t>
            </w:r>
          </w:p>
        </w:tc>
        <w:tc>
          <w:tcPr>
            <w:tcW w:w="1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360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36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gridSpan w:val="2"/>
          </w:tcPr>
          <w:p>
            <w:pPr>
              <w:spacing w:after="0"/>
              <w:rPr>
                <w:sz w:val="19"/>
                <w:szCs w:val="19"/>
                <w:color w:val="auto"/>
              </w:rPr>
            </w:pPr>
          </w:p>
        </w:tc>
      </w:tr>
      <w:tr>
        <w:trPr>
          <w:trHeight w:val="223"/>
        </w:trPr>
        <w:tc>
          <w:tcPr>
            <w:tcW w:w="4180" w:type="dxa"/>
            <w:vAlign w:val="bottom"/>
          </w:tcPr>
          <w:p>
            <w:pPr>
              <w:spacing w:after="0"/>
              <w:rPr>
                <w:sz w:val="19"/>
                <w:szCs w:val="19"/>
                <w:color w:val="auto"/>
              </w:rPr>
            </w:pPr>
          </w:p>
        </w:tc>
        <w:tc>
          <w:tcPr>
            <w:tcW w:w="168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220" w:type="dxa"/>
            <w:vAlign w:val="bottom"/>
          </w:tcPr>
          <w:p>
            <w:pPr>
              <w:spacing w:after="0"/>
              <w:rPr>
                <w:sz w:val="19"/>
                <w:szCs w:val="19"/>
                <w:color w:val="auto"/>
              </w:rPr>
            </w:pPr>
          </w:p>
        </w:tc>
        <w:tc>
          <w:tcPr>
            <w:tcW w:w="178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100" w:type="dxa"/>
            <w:vAlign w:val="bottom"/>
            <w:gridSpan w:val="2"/>
          </w:tcPr>
          <w:p>
            <w:pPr>
              <w:spacing w:after="0"/>
              <w:rPr>
                <w:sz w:val="19"/>
                <w:szCs w:val="19"/>
                <w:color w:val="auto"/>
              </w:rPr>
            </w:pPr>
          </w:p>
        </w:tc>
      </w:tr>
      <w:tr>
        <w:trPr>
          <w:trHeight w:val="210"/>
        </w:trPr>
        <w:tc>
          <w:tcPr>
            <w:tcW w:w="41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Texas</w:t>
            </w: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4,482</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r>
      <w:tr>
        <w:trPr>
          <w:trHeight w:val="216"/>
        </w:trPr>
        <w:tc>
          <w:tcPr>
            <w:tcW w:w="4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Ohio</w:t>
            </w:r>
          </w:p>
        </w:tc>
        <w:tc>
          <w:tcPr>
            <w:tcW w:w="16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4,015</w:t>
            </w:r>
          </w:p>
        </w:tc>
        <w:tc>
          <w:tcPr>
            <w:tcW w:w="19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6,247</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EEEEEE"/>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3,911</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r>
      <w:tr>
        <w:trPr>
          <w:trHeight w:val="216"/>
        </w:trPr>
        <w:tc>
          <w:tcPr>
            <w:tcW w:w="4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Florida</w:t>
            </w:r>
          </w:p>
        </w:tc>
        <w:tc>
          <w:tcPr>
            <w:tcW w:w="16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3,489</w:t>
            </w:r>
          </w:p>
        </w:tc>
        <w:tc>
          <w:tcPr>
            <w:tcW w:w="19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4,189</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EEEEEE"/>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3,274</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r>
      <w:tr>
        <w:trPr>
          <w:trHeight w:val="230"/>
        </w:trPr>
        <w:tc>
          <w:tcPr>
            <w:tcW w:w="4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States</w:t>
            </w:r>
          </w:p>
        </w:tc>
        <w:tc>
          <w:tcPr>
            <w:tcW w:w="16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41,346</w:t>
            </w:r>
          </w:p>
        </w:tc>
        <w:tc>
          <w:tcPr>
            <w:tcW w:w="19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49,962</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EEEEEE"/>
          </w:tcPr>
          <w:p>
            <w:pPr>
              <w:spacing w:after="0"/>
              <w:rPr>
                <w:sz w:val="19"/>
                <w:szCs w:val="19"/>
                <w:color w:val="auto"/>
              </w:rPr>
            </w:pPr>
          </w:p>
        </w:tc>
      </w:tr>
      <w:tr>
        <w:trPr>
          <w:trHeight w:val="223"/>
        </w:trPr>
        <w:tc>
          <w:tcPr>
            <w:tcW w:w="41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81,935</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(1)  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 w:name="page7"/>
    <w:bookmarkEnd w:id="6"/>
    <w:p>
      <w:pPr>
        <w:ind w:left="140"/>
        <w:spacing w:after="0"/>
        <w:rPr>
          <w:sz w:val="20"/>
          <w:szCs w:val="20"/>
          <w:color w:val="auto"/>
        </w:rPr>
      </w:pPr>
      <w:r>
        <w:rPr>
          <w:rFonts w:ascii="Times New Roman" w:cs="Times New Roman" w:eastAsia="Times New Roman" w:hAnsi="Times New Roman"/>
          <w:sz w:val="18"/>
          <w:szCs w:val="18"/>
          <w:color w:val="auto"/>
        </w:rPr>
        <w:t>The following table sets forth the geographic concentrations of our outstanding managed portfolio as of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Outstanding Managed Portfolio as of</w:t>
            </w:r>
          </w:p>
        </w:tc>
        <w:tc>
          <w:tcPr>
            <w:tcW w:w="1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20" w:type="dxa"/>
            <w:vAlign w:val="bottom"/>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40" w:type="dxa"/>
            <w:vAlign w:val="bottom"/>
          </w:tcPr>
          <w:p>
            <w:pPr>
              <w:spacing w:after="0"/>
              <w:rPr>
                <w:sz w:val="19"/>
                <w:szCs w:val="19"/>
                <w:color w:val="auto"/>
              </w:rPr>
            </w:pPr>
          </w:p>
        </w:tc>
        <w:tc>
          <w:tcPr>
            <w:tcW w:w="292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gridSpan w:val="2"/>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2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100" w:type="dxa"/>
            <w:vAlign w:val="bottom"/>
            <w:gridSpan w:val="2"/>
          </w:tcPr>
          <w:p>
            <w:pPr>
              <w:spacing w:after="0"/>
              <w:rPr>
                <w:sz w:val="19"/>
                <w:szCs w:val="19"/>
                <w:color w:val="auto"/>
              </w:rPr>
            </w:pPr>
          </w:p>
        </w:tc>
      </w:tr>
      <w:tr>
        <w:trPr>
          <w:trHeight w:val="210"/>
        </w:trPr>
        <w:tc>
          <w:tcPr>
            <w:tcW w:w="3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California</w:t>
            </w:r>
          </w:p>
        </w:tc>
        <w:tc>
          <w:tcPr>
            <w:tcW w:w="126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274.7</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303.8</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EEEEEE"/>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r>
      <w:tr>
        <w:trPr>
          <w:trHeight w:val="216"/>
        </w:trPr>
        <w:tc>
          <w:tcPr>
            <w:tcW w:w="3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Ohio</w:t>
            </w:r>
          </w:p>
        </w:tc>
        <w:tc>
          <w:tcPr>
            <w:tcW w:w="9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232.7</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243.0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EEEEEE"/>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r>
      <w:tr>
        <w:trPr>
          <w:trHeight w:val="216"/>
        </w:trPr>
        <w:tc>
          <w:tcPr>
            <w:tcW w:w="3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Florida</w:t>
            </w:r>
          </w:p>
        </w:tc>
        <w:tc>
          <w:tcPr>
            <w:tcW w:w="9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160.2</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148.0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EEEEEE"/>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152.8</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r>
      <w:tr>
        <w:trPr>
          <w:trHeight w:val="229"/>
        </w:trPr>
        <w:tc>
          <w:tcPr>
            <w:tcW w:w="3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All others</w:t>
            </w:r>
          </w:p>
        </w:tc>
        <w:tc>
          <w:tcPr>
            <w:tcW w:w="9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1,963.3</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4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1,816.8</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EEEEEE"/>
          </w:tcPr>
          <w:p>
            <w:pPr>
              <w:spacing w:after="0"/>
              <w:rPr>
                <w:sz w:val="19"/>
                <w:szCs w:val="19"/>
                <w:color w:val="auto"/>
              </w:rPr>
            </w:pPr>
          </w:p>
        </w:tc>
      </w:tr>
      <w:tr>
        <w:trPr>
          <w:trHeight w:val="223"/>
        </w:trPr>
        <w:tc>
          <w:tcPr>
            <w:tcW w:w="32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(1)  Percentages may not total to 100.0% due to rounding.</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purchase automobile contracts from dealers at a price generally computed as the total amount financed under the automobile contracts, adjusted for an acquisition fee, which may be comprised of multiple components and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contracts purchased for our own portfolio for the periods shown: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EEEEEE"/>
            </w:tcBorders>
          </w:tcPr>
          <w:p>
            <w:pPr>
              <w:spacing w:after="0"/>
              <w:rPr>
                <w:sz w:val="20"/>
                <w:szCs w:val="20"/>
                <w:color w:val="auto"/>
              </w:rPr>
            </w:pPr>
          </w:p>
        </w:tc>
      </w:tr>
      <w:tr>
        <w:trPr>
          <w:trHeight w:val="210"/>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net acquisition fee charged (paid) to dealers (1)</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Average net acquisition fee as % of amount financed (1)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annual percentage interest rate</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bl>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(1)  Not applicable to direct lending platform.</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pricing strategy is driven by our objectives for new contract purchase quantities and maximizing our risk adjusted yield. We believe that levels of acquisition fees are determined primarily by competition in the marketplace, which has been robust over the periods presented, and by our pricing strategy. We make changes to our pricing algorithm based on our volume goals, our own costs for borrowing and periodic recalibration of our risk-based scoring models.</w:t>
      </w:r>
    </w:p>
    <w:p>
      <w:pPr>
        <w:spacing w:after="0" w:line="18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have offered eight different financing programs, and price each program according to the relative credit risk. Our programs cover a wide band of the sub-prime credit spectrum and are labeled as follows:</w:t>
      </w:r>
    </w:p>
    <w:p>
      <w:pPr>
        <w:spacing w:after="0" w:line="162"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First Time Buyer</w:t>
      </w:r>
      <w:r>
        <w:rPr>
          <w:rFonts w:ascii="Times New Roman" w:cs="Times New Roman" w:eastAsia="Times New Roman" w:hAnsi="Times New Roman"/>
          <w:sz w:val="18"/>
          <w:szCs w:val="18"/>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Mercury / Delta</w:t>
      </w:r>
      <w:r>
        <w:rPr>
          <w:rFonts w:ascii="Times New Roman" w:cs="Times New Roman" w:eastAsia="Times New Roman" w:hAnsi="Times New Roman"/>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Standard</w:t>
      </w:r>
      <w:r>
        <w:rPr>
          <w:rFonts w:ascii="Times New Roman" w:cs="Times New Roman" w:eastAsia="Times New Roman" w:hAnsi="Times New Roman"/>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Alpha</w:t>
      </w:r>
      <w:r>
        <w:rPr>
          <w:rFonts w:ascii="Times New Roman" w:cs="Times New Roman" w:eastAsia="Times New Roman" w:hAnsi="Times New Roman"/>
          <w:sz w:val="18"/>
          <w:szCs w:val="18"/>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Alpha Plus</w:t>
      </w:r>
      <w:r>
        <w:rPr>
          <w:rFonts w:ascii="Times New Roman" w:cs="Times New Roman" w:eastAsia="Times New Roman" w:hAnsi="Times New Roman"/>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Super Alpha</w:t>
      </w:r>
      <w:r>
        <w:rPr>
          <w:rFonts w:ascii="Times New Roman" w:cs="Times New Roman" w:eastAsia="Times New Roman" w:hAnsi="Times New Roman"/>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Meta</w:t>
      </w:r>
      <w:r>
        <w:rPr>
          <w:rFonts w:ascii="Times New Roman" w:cs="Times New Roman" w:eastAsia="Times New Roman" w:hAnsi="Times New Roman"/>
          <w:sz w:val="18"/>
          <w:szCs w:val="18"/>
          <w:color w:val="auto"/>
        </w:rPr>
        <w:t xml:space="preserve"> - This program accommodates applicants with past non-performing credit, but who demonstrate a stronger history of recent performing credit than the Preferred program. Contract interest rates and dealer acquisition fees are lower, and the maximum loan amount is somewhat higher than the Preferred program.</w:t>
      </w:r>
    </w:p>
    <w:p>
      <w:pPr>
        <w:spacing w:after="0" w:line="176"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Our upper credit tier products, which are our Meta, Preferred, Super Alpha, Alpha Plus and Alpha programs, accounted for approximately 83% of our new contract acquisitions for our own portfolio in 2023, 80% in 2022, and 75% in 2021, measured by aggregate amount financed.</w:t>
      </w:r>
    </w:p>
    <w:p>
      <w:pPr>
        <w:spacing w:after="0" w:line="162"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identifies the credit program, sorted from highest to lowest credit quality, under which we originated automobile contracts during the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Contracts Purchased During the Year Ended (1)</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1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336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1"/>
        </w:trPr>
        <w:tc>
          <w:tcPr>
            <w:tcW w:w="1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gridSpan w:val="5"/>
          </w:tcPr>
          <w:p>
            <w:pPr>
              <w:jc w:val="right"/>
              <w:ind w:right="1060"/>
              <w:spacing w:after="0" w:line="201"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1460" w:type="dxa"/>
            <w:vAlign w:val="bottom"/>
          </w:tcPr>
          <w:p>
            <w:pPr>
              <w:spacing w:after="0"/>
              <w:rPr>
                <w:sz w:val="20"/>
                <w:szCs w:val="20"/>
                <w:color w:val="auto"/>
              </w:rPr>
            </w:pPr>
          </w:p>
        </w:tc>
        <w:tc>
          <w:tcPr>
            <w:tcW w:w="2820" w:type="dxa"/>
            <w:vAlign w:val="bottom"/>
            <w:gridSpan w:val="3"/>
          </w:tcPr>
          <w:p>
            <w:pPr>
              <w:jc w:val="right"/>
              <w:ind w:right="1816"/>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 Financed</w:t>
            </w:r>
          </w:p>
        </w:tc>
        <w:tc>
          <w:tcPr>
            <w:tcW w:w="200" w:type="dxa"/>
            <w:vAlign w:val="bottom"/>
          </w:tcPr>
          <w:p>
            <w:pPr>
              <w:spacing w:after="0"/>
              <w:rPr>
                <w:sz w:val="20"/>
                <w:szCs w:val="20"/>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10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Amount Financed</w:t>
            </w:r>
          </w:p>
        </w:tc>
        <w:tc>
          <w:tcPr>
            <w:tcW w:w="16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Percent (1)</w:t>
            </w:r>
          </w:p>
        </w:tc>
      </w:tr>
      <w:tr>
        <w:trPr>
          <w:trHeight w:val="210"/>
        </w:trPr>
        <w:tc>
          <w:tcPr>
            <w:tcW w:w="14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Meta</w:t>
            </w:r>
          </w:p>
        </w:tc>
        <w:tc>
          <w:tcPr>
            <w:tcW w:w="26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57,145</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Preferred</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175,122</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219,872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r>
      <w:tr>
        <w:trPr>
          <w:trHeight w:val="216"/>
        </w:trPr>
        <w:tc>
          <w:tcPr>
            <w:tcW w:w="1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Super Alpha</w:t>
            </w:r>
          </w:p>
        </w:tc>
        <w:tc>
          <w:tcPr>
            <w:tcW w:w="2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265,385</w:t>
            </w:r>
          </w:p>
        </w:tc>
        <w:tc>
          <w:tcPr>
            <w:tcW w:w="198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394,743</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EEEEEE"/>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Alpha Plus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179,526</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193,728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r>
      <w:tr>
        <w:trPr>
          <w:trHeight w:val="216"/>
        </w:trPr>
        <w:tc>
          <w:tcPr>
            <w:tcW w:w="1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Alpha</w:t>
            </w:r>
          </w:p>
        </w:tc>
        <w:tc>
          <w:tcPr>
            <w:tcW w:w="2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383,512</w:t>
            </w:r>
          </w:p>
        </w:tc>
        <w:tc>
          <w:tcPr>
            <w:tcW w:w="198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463,466</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EEEEEE"/>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Standard</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103,499</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196,738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r>
      <w:tr>
        <w:trPr>
          <w:trHeight w:val="216"/>
        </w:trPr>
        <w:tc>
          <w:tcPr>
            <w:tcW w:w="1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Mercury / Delta</w:t>
            </w:r>
          </w:p>
        </w:tc>
        <w:tc>
          <w:tcPr>
            <w:tcW w:w="2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52,250</w:t>
            </w:r>
          </w:p>
        </w:tc>
        <w:tc>
          <w:tcPr>
            <w:tcW w:w="198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74,865</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EEEEEE"/>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First Time Buyer</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52,313</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61,742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r>
      <w:tr>
        <w:trPr>
          <w:trHeight w:val="230"/>
        </w:trPr>
        <w:tc>
          <w:tcPr>
            <w:tcW w:w="1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Third Parties</w:t>
            </w:r>
          </w:p>
        </w:tc>
        <w:tc>
          <w:tcPr>
            <w:tcW w:w="26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100,826</w:t>
            </w:r>
          </w:p>
        </w:tc>
        <w:tc>
          <w:tcPr>
            <w:tcW w:w="198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192,086</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EEEEEE"/>
          </w:tcPr>
          <w:p>
            <w:pPr>
              <w:spacing w:after="0"/>
              <w:rPr>
                <w:sz w:val="19"/>
                <w:szCs w:val="19"/>
                <w:color w:val="auto"/>
              </w:rPr>
            </w:pPr>
          </w:p>
        </w:tc>
      </w:tr>
      <w:tr>
        <w:trPr>
          <w:trHeight w:val="223"/>
        </w:trPr>
        <w:tc>
          <w:tcPr>
            <w:tcW w:w="14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if the dealer breaches its representations or warranties. There can be no assurance, however, that any dealer will have the willingness or the financial resources to satisfy their repurchase obligations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Funding</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For automobile contracts that we purchase from dealers, we require that the contract be originated by a dealer that has entered into a dealer agreement with us. Under our direct lending platform, we require the customer to sign a note and security agreement. In each case, the contract is secured by a first priority lien on a new or used automobile, light truck or passenger van and must meet our funding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8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technology and human expertise provides for a 360-degree evaluation of an applicant’s employment and residence stability, income level and affordability, and creditworthiness in relation to the desired collateral securing the automobile contract. This perspective is used to assign application and structure allowances and limits related to price, term, amount of down payment, monthly payment, and interest rate; type of vehicle; and principal amount of the automobile contract in relation to the value of the vehicle.</w:t>
      </w:r>
    </w:p>
    <w:p>
      <w:pPr>
        <w:spacing w:after="0" w:line="180"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Specifically, our funding guidelines generally limit the maximum principal amount of a purchased automobile contract to 125% of wholesale book value in the case of used vehicles or to 125%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12 model years old or have more than 200,000 miles. The maximum term of a purchased contract is 78 months, although we consider the program, amount financed, and mileage as significant factors in determining the maximum term of a contract. Automobile contract purchase criteria are subject to change from time to time as circumstances may warrant. Prior to purchasing an automobile contract, our funding staff verify the customer’s employment, income, residency,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open-ended questions about his application and the contract, which may uncover potential misrepresentations.</w:t>
      </w:r>
    </w:p>
    <w:p>
      <w:pPr>
        <w:spacing w:after="0" w:line="192"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i w:val="1"/>
          <w:iCs w:val="1"/>
          <w:color w:val="auto"/>
        </w:rPr>
        <w:t>Credit Scoring</w:t>
      </w:r>
      <w:r>
        <w:rPr>
          <w:rFonts w:ascii="Times New Roman" w:cs="Times New Roman" w:eastAsia="Times New Roman" w:hAnsi="Times New Roman"/>
          <w:sz w:val="18"/>
          <w:szCs w:val="18"/>
          <w:color w:val="auto"/>
        </w:rPr>
        <w:t>. We use proprietary scoring models to assign two internal “credit scores” at the time the application is received. These proprietary scores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used to help determine whether we want to approve the application and, if so, the program and pricing we will offer either to the dealer, or in the case of our direct lending platform, directly to the customer. Our internal credit scores are based on a variety of parameters including traditional and alternative credit history, data derived from other sources such as house/rental payment, length of employment, residence stability and total income. When the dealer proposes a structure for the contract, our scores consider various deal structure parameters such as down payment amount, loan to value, payment to income, make and model, vehicle class, and mileage.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Characteristics of Contracts. </w:t>
      </w:r>
      <w:r>
        <w:rPr>
          <w:rFonts w:ascii="Times New Roman" w:cs="Times New Roman" w:eastAsia="Times New Roman" w:hAnsi="Times New Roman"/>
          <w:sz w:val="18"/>
          <w:szCs w:val="18"/>
          <w:color w:val="auto"/>
        </w:rPr>
        <w:t>All the automobile contracts we purchase are fully amortizing and provide for level payments over the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automobile contract. All automobile contracts may be prepaid at any time without penalty. The table below compares certain characteristics, at the time of origination, of our contract purchases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Contracts Purchased During the Year</w:t>
            </w:r>
          </w:p>
        </w:tc>
      </w:tr>
      <w:tr>
        <w:trPr>
          <w:trHeight w:val="238"/>
        </w:trPr>
        <w:tc>
          <w:tcPr>
            <w:tcW w:w="5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19"/>
                <w:szCs w:val="19"/>
                <w:color w:val="auto"/>
              </w:rPr>
            </w:pPr>
          </w:p>
        </w:tc>
      </w:tr>
      <w:tr>
        <w:trPr>
          <w:trHeight w:val="210"/>
        </w:trPr>
        <w:tc>
          <w:tcPr>
            <w:tcW w:w="5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Original Amount Financed</w:t>
            </w:r>
          </w:p>
        </w:tc>
        <w:tc>
          <w:tcPr>
            <w:tcW w:w="2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20,845</w:t>
            </w:r>
          </w:p>
        </w:tc>
        <w:tc>
          <w:tcPr>
            <w:tcW w:w="46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22,632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Original Term</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 months</w:t>
            </w: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 months</w:t>
            </w: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Down Payment Percent</w:t>
            </w:r>
          </w:p>
        </w:tc>
        <w:tc>
          <w:tcPr>
            <w:tcW w:w="2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Average Vehicle Purchase Price</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19,651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21,122</w:t>
            </w: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Age of Vehicle</w:t>
            </w:r>
          </w:p>
        </w:tc>
        <w:tc>
          <w:tcPr>
            <w:tcW w:w="2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 years</w:t>
            </w: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Average Age of Customer</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 years</w:t>
            </w: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 years</w:t>
            </w: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Time in Current Job</w:t>
            </w:r>
          </w:p>
        </w:tc>
        <w:tc>
          <w:tcPr>
            <w:tcW w:w="2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 years</w:t>
            </w: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 years</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Average Household Annual Income</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72,930</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69,121</w:t>
            </w:r>
          </w:p>
        </w:tc>
      </w:tr>
    </w:tbl>
    <w:p>
      <w:pPr>
        <w:spacing w:after="0" w:line="177" w:lineRule="exact"/>
        <w:rPr>
          <w:sz w:val="20"/>
          <w:szCs w:val="20"/>
          <w:color w:val="auto"/>
        </w:rPr>
      </w:pPr>
    </w:p>
    <w:p>
      <w:pPr>
        <w:jc w:val="both"/>
        <w:ind w:firstLine="130"/>
        <w:spacing w:after="0" w:line="257" w:lineRule="auto"/>
        <w:rPr>
          <w:sz w:val="20"/>
          <w:szCs w:val="20"/>
          <w:color w:val="auto"/>
        </w:rPr>
      </w:pPr>
      <w:r>
        <w:rPr>
          <w:rFonts w:ascii="Times New Roman" w:cs="Times New Roman" w:eastAsia="Times New Roman" w:hAnsi="Times New Roman"/>
          <w:sz w:val="18"/>
          <w:szCs w:val="18"/>
          <w:i w:val="1"/>
          <w:iCs w:val="1"/>
          <w:color w:val="auto"/>
        </w:rPr>
        <w:t>Dealer Compliance</w:t>
      </w:r>
      <w:r>
        <w:rPr>
          <w:rFonts w:ascii="Times New Roman" w:cs="Times New Roman" w:eastAsia="Times New Roman" w:hAnsi="Times New Roman"/>
          <w:sz w:val="18"/>
          <w:szCs w:val="18"/>
          <w:color w:val="auto"/>
        </w:rPr>
        <w:t>. The dealer agreement and related assignment contain representations and warranties by the dealer that an application for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to rectify the situation. If these efforts are unsuccessful, we generally will require the dealer to repurchase the automobile contract.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and Collections</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currently service all automobile contracts that we own as well as those automobile contracts we service for third parties. We organize our servicing activities based on the tasks performed by our personnel. Our servicing activities consist of mailing monthly billing statements; contacting obligors whose payments are late; accounting for and posting of all payments received; responding to customer inquiries; taking all necessary action to maintain the security interest granted in the financed vehicle or other collateral; skip tracing; repossessing and liquidating the collateral when necessary; collecting deficiency balances; and generally monitoring each automobile contract and the related collateral. For contracts that we securitize, we are typically entitled to receive a base monthly servicing fee equal to 2.5% per annum computed as a percentage of the declining outstanding principal balance of the non-charged-off automobile contracts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servicing fee is included in interest income for contracts that are pledged to a warehouse credit facility or a securitization transaction. For contracts we service for third parties, we receive a base monthly servicing fee equal to 2.5%, and certain other incentive fees tied to credit performance.</w:t>
      </w:r>
    </w:p>
    <w:p>
      <w:pPr>
        <w:spacing w:after="0" w:line="186"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Collection Procedures. </w:t>
      </w:r>
      <w:r>
        <w:rPr>
          <w:rFonts w:ascii="Times New Roman" w:cs="Times New Roman" w:eastAsia="Times New Roman" w:hAnsi="Times New Roman"/>
          <w:sz w:val="18"/>
          <w:szCs w:val="18"/>
          <w:color w:val="auto"/>
        </w:rPr>
        <w:t>We believe that our ability to monitor performance and collect payments owed from sub-prime customers is primarily a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 We engage a nearshore third-party call center to supplement the efforts the collectors in our five branch locations. As of December 31, 2023, our nearshore partner had approximately 47 agents assigned to our portfolio.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0" w:name="page11"/>
    <w:bookmarkEnd w:id="10"/>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attempt to make telephonic contact with delinquent customers from one to 20 days after their monthly payment due date, depending on our risk-based assessment of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customers can contact us via a toll-free number where they may choose to speak with a collector or to use our automated voice response system to access information about their account or to make a payment. They may respond to our collector’s text messages or chat with one of our collectors while logged into our website. Our contact priorities may be based on the customers’ physical location, stage of delinquency, size of balance or other parameters. Our collectors inquire of the customer the reason for the delinquency and when we can expect to receive the payment. The collector attempts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190"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Contracts originated since January 2018 are accounted for at fair value and the economic impact of repossessions is incorporated into the estimated net yield on those contracts. For contracts originated prior to January 2018, which are not accounted for at fair value, we suspend interest accruals on contracts where the vehicle has been repossessed and reclassify the remaining automobile contract balance to other assets. In addition, we apply a specific reserve to such contracts so that the net balance represents the estimated remaining balance after the proceeds of the sale of the vehicle are applied, net of related costs.</w:t>
      </w:r>
    </w:p>
    <w:p>
      <w:pPr>
        <w:spacing w:after="0" w:line="192"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If we elect to repossess the vehicle, we assign the task to an independent national repossession service. Such services are licensed and/or bonded as required by law. Upon repossession it is stored until it is picked up by a wholesale auction that we designate, where it is kept until sold. Prior to sale, the customer has the right to redeem the vehicle by paying the contract in full. In some cases, we may return the vehicle to the customer if they pay all, or what we deem to be a sufficient amount, of the past due amount.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92"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Contracts originated since January 2018 are accounted for at fair value and the economic impact of late payments is incorporated into the estimated net yield on those contracts. For contracts originated prior to January 2018, which are not accounted for at fair value, we suspend interest accruals on contracts once an automobile contract becomes greater than 90 days delinquent. We do not recognize additional interest income until the borrower makes sufficient payments to be less than 90 days delinquent. Any payments received by a borrower, regardless of their stage of delinquency are first applied to outstanding accrued interest and then to principal reduction.</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generally charge off the balance of any contract by the earlier of the end of the month in which the automobile contract becomes five scheduled installments past due or, in the case of repossessions, the month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Credit Experience</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incremental losses gradually increasing to a peak around 18 months, after which they gradually decrease. The weighted average seasoning of our total owned portfolio, represented in the tables below, was 19 months, 17 months, and 21 months as of December 31, 2023, December 31, 2022, and December 31, 2021, respectively. Our financial results are dependent on the performance of the automobile contracts in which we retain an ownership interest. Broad economic factors such as pandemic,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own as of the respective dates shown.</w:t>
      </w:r>
    </w:p>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Delinquency and Extension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3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87"/>
        </w:trPr>
        <w:tc>
          <w:tcPr>
            <w:tcW w:w="46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gridSpan w:val="2"/>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6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179,198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2,970,066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170,658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2,795,383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2,209,430</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31-60 days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13,337</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13,434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201,764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10,895</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146,904</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61-90 days</w:t>
            </w: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104,144</w:t>
            </w: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5,481</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80,146</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3,939</w:t>
            </w:r>
          </w:p>
        </w:tc>
        <w:tc>
          <w:tcPr>
            <w:tcW w:w="1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51,069</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91+ days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50,610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31,036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14,279</w:t>
            </w:r>
          </w:p>
        </w:tc>
      </w:tr>
      <w:tr>
        <w:trPr>
          <w:trHeight w:val="210"/>
        </w:trPr>
        <w:tc>
          <w:tcPr>
            <w:tcW w:w="4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9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364,954</w:t>
            </w:r>
          </w:p>
        </w:tc>
        <w:tc>
          <w:tcPr>
            <w:tcW w:w="2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312,946</w:t>
            </w:r>
          </w:p>
        </w:tc>
        <w:tc>
          <w:tcPr>
            <w:tcW w:w="22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212,252</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67,182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41,401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22,912</w:t>
            </w: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delinquencies and amount in repossession (2)</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27,959</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432,136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354,347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235,164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9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Delinquencies as a percentage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Delinquencies as a percentage of gross servicing portfolio</w:t>
      </w:r>
    </w:p>
    <w:p>
      <w:pPr>
        <w:spacing w:after="0" w:line="220" w:lineRule="exact"/>
        <w:rPr>
          <w:sz w:val="20"/>
          <w:szCs w:val="20"/>
          <w:color w:val="auto"/>
        </w:rPr>
      </w:pPr>
    </w:p>
    <w:p>
      <w:pPr>
        <w:ind w:left="180" w:right="420" w:hanging="179"/>
        <w:spacing w:after="0" w:line="282" w:lineRule="auto"/>
        <w:rPr>
          <w:sz w:val="20"/>
          <w:szCs w:val="20"/>
          <w:color w:val="auto"/>
        </w:rPr>
      </w:pPr>
      <w:r>
        <w:rPr>
          <w:rFonts w:ascii="Times New Roman" w:cs="Times New Roman" w:eastAsia="Times New Roman" w:hAnsi="Times New Roman"/>
          <w:sz w:val="18"/>
          <w:szCs w:val="18"/>
          <w:color w:val="auto"/>
        </w:rPr>
        <w:t>Total delinquencies and amount in repossession as a percentage of gross servicing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p>
      <w:pPr>
        <w:spacing w:after="0" w:line="3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Contracts with one extension, accruing Contracts with two or more extensions, accruing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one extension, non-accrual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661"/>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r>
      <w:tr>
        <w:trPr>
          <w:trHeight w:val="643"/>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610,617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464,323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23,740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328,128</w:t>
            </w:r>
          </w:p>
        </w:tc>
        <w:tc>
          <w:tcPr>
            <w:tcW w:w="20" w:type="dxa"/>
            <w:vAlign w:val="bottom"/>
          </w:tcPr>
          <w:p>
            <w:pPr>
              <w:spacing w:after="0"/>
              <w:rPr>
                <w:sz w:val="24"/>
                <w:szCs w:val="24"/>
                <w:color w:val="auto"/>
              </w:rPr>
            </w:pPr>
          </w:p>
        </w:tc>
      </w:tr>
      <w:tr>
        <w:trPr>
          <w:trHeight w:val="234"/>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42,462</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563,308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38,714</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417,682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46,541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513,183</w:t>
            </w:r>
          </w:p>
        </w:tc>
        <w:tc>
          <w:tcPr>
            <w:tcW w:w="20" w:type="dxa"/>
            <w:vAlign w:val="bottom"/>
          </w:tcPr>
          <w:p>
            <w:pPr>
              <w:spacing w:after="0"/>
              <w:rPr>
                <w:sz w:val="20"/>
                <w:szCs w:val="20"/>
                <w:color w:val="auto"/>
              </w:rPr>
            </w:pPr>
          </w:p>
        </w:tc>
      </w:tr>
      <w:tr>
        <w:trPr>
          <w:trHeight w:val="228"/>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1,173,926</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882,005</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70,281</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841,311</w:t>
            </w:r>
          </w:p>
        </w:tc>
        <w:tc>
          <w:tcPr>
            <w:tcW w:w="20" w:type="dxa"/>
            <w:vAlign w:val="bottom"/>
          </w:tcPr>
          <w:p>
            <w:pPr>
              <w:spacing w:after="0"/>
              <w:rPr>
                <w:sz w:val="19"/>
                <w:szCs w:val="19"/>
                <w:color w:val="auto"/>
              </w:rPr>
            </w:pPr>
          </w:p>
        </w:tc>
      </w:tr>
      <w:tr>
        <w:trPr>
          <w:trHeight w:val="422"/>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2,367</w:t>
            </w: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38,933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0" w:type="dxa"/>
            <w:vAlign w:val="bottom"/>
          </w:tcPr>
          <w:p>
            <w:pPr>
              <w:spacing w:after="0"/>
              <w:rPr>
                <w:sz w:val="24"/>
                <w:szCs w:val="24"/>
                <w:color w:val="auto"/>
              </w:rPr>
            </w:pPr>
          </w:p>
        </w:tc>
      </w:tr>
      <w:tr>
        <w:trPr>
          <w:trHeight w:val="232"/>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27,497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w:t>
            </w: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-1832610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-1549400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-1129665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-855345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-572135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-289560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180" w:space="440"/>
            <w:col w:w="6620"/>
          </w:cols>
          <w:pgMar w:left="320" w:top="794"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20" w:type="dxa"/>
            <w:vAlign w:val="bottom"/>
            <w:shd w:val="clear" w:color="auto" w:fill="EEEEEE"/>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EEEEEE"/>
            </w:tcBorders>
            <w:shd w:val="clear" w:color="auto" w:fill="000000"/>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r>
      <w:tr>
        <w:trPr>
          <w:trHeight w:val="192"/>
        </w:trPr>
        <w:tc>
          <w:tcPr>
            <w:tcW w:w="4620" w:type="dxa"/>
            <w:vAlign w:val="bottom"/>
            <w:shd w:val="clear" w:color="auto" w:fill="EEEEEE"/>
          </w:tcPr>
          <w:p>
            <w:pPr>
              <w:spacing w:after="0"/>
              <w:rPr>
                <w:sz w:val="16"/>
                <w:szCs w:val="16"/>
                <w:color w:val="auto"/>
              </w:rPr>
            </w:pPr>
          </w:p>
        </w:tc>
        <w:tc>
          <w:tcPr>
            <w:tcW w:w="1160" w:type="dxa"/>
            <w:vAlign w:val="bottom"/>
            <w:gridSpan w:val="2"/>
            <w:shd w:val="clear" w:color="auto" w:fill="EEEEEE"/>
          </w:tcPr>
          <w:p>
            <w:pPr>
              <w:jc w:val="right"/>
              <w:ind w:right="240"/>
              <w:spacing w:after="0" w:line="192" w:lineRule="exact"/>
              <w:rPr>
                <w:sz w:val="20"/>
                <w:szCs w:val="20"/>
                <w:color w:val="auto"/>
              </w:rPr>
            </w:pPr>
            <w:r>
              <w:rPr>
                <w:rFonts w:ascii="Times New Roman" w:cs="Times New Roman" w:eastAsia="Times New Roman" w:hAnsi="Times New Roman"/>
                <w:sz w:val="18"/>
                <w:szCs w:val="18"/>
                <w:color w:val="auto"/>
              </w:rPr>
              <w:t>4,448</w:t>
            </w:r>
          </w:p>
        </w:tc>
        <w:tc>
          <w:tcPr>
            <w:tcW w:w="1140" w:type="dxa"/>
            <w:vAlign w:val="bottom"/>
            <w:gridSpan w:val="2"/>
            <w:shd w:val="clear" w:color="auto" w:fill="EEEEEE"/>
          </w:tcPr>
          <w:p>
            <w:pPr>
              <w:jc w:val="right"/>
              <w:ind w:right="220"/>
              <w:spacing w:after="0" w:line="192" w:lineRule="exact"/>
              <w:rPr>
                <w:sz w:val="20"/>
                <w:szCs w:val="20"/>
                <w:color w:val="auto"/>
              </w:rPr>
            </w:pPr>
            <w:r>
              <w:rPr>
                <w:rFonts w:ascii="Times New Roman" w:cs="Times New Roman" w:eastAsia="Times New Roman" w:hAnsi="Times New Roman"/>
                <w:sz w:val="18"/>
                <w:szCs w:val="18"/>
                <w:color w:val="auto"/>
              </w:rPr>
              <w:t>66,430</w:t>
            </w:r>
          </w:p>
        </w:tc>
        <w:tc>
          <w:tcPr>
            <w:tcW w:w="1100" w:type="dxa"/>
            <w:vAlign w:val="bottom"/>
            <w:gridSpan w:val="2"/>
            <w:shd w:val="clear" w:color="auto" w:fill="EEEEEE"/>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2,466</w:t>
            </w:r>
          </w:p>
        </w:tc>
        <w:tc>
          <w:tcPr>
            <w:tcW w:w="20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220"/>
              <w:spacing w:after="0" w:line="192" w:lineRule="exact"/>
              <w:rPr>
                <w:sz w:val="20"/>
                <w:szCs w:val="20"/>
                <w:color w:val="auto"/>
              </w:rPr>
            </w:pPr>
            <w:r>
              <w:rPr>
                <w:rFonts w:ascii="Times New Roman" w:cs="Times New Roman" w:eastAsia="Times New Roman" w:hAnsi="Times New Roman"/>
                <w:sz w:val="18"/>
                <w:szCs w:val="18"/>
                <w:color w:val="auto"/>
              </w:rPr>
              <w:t>30,187</w:t>
            </w:r>
          </w:p>
        </w:tc>
        <w:tc>
          <w:tcPr>
            <w:tcW w:w="1100" w:type="dxa"/>
            <w:vAlign w:val="bottom"/>
            <w:gridSpan w:val="2"/>
            <w:shd w:val="clear" w:color="auto" w:fill="EEEEEE"/>
          </w:tcPr>
          <w:p>
            <w:pPr>
              <w:jc w:val="right"/>
              <w:ind w:right="220"/>
              <w:spacing w:after="0" w:line="192" w:lineRule="exact"/>
              <w:rPr>
                <w:sz w:val="20"/>
                <w:szCs w:val="20"/>
                <w:color w:val="auto"/>
              </w:rPr>
            </w:pPr>
            <w:r>
              <w:rPr>
                <w:rFonts w:ascii="Times New Roman" w:cs="Times New Roman" w:eastAsia="Times New Roman" w:hAnsi="Times New Roman"/>
                <w:sz w:val="18"/>
                <w:szCs w:val="18"/>
                <w:color w:val="auto"/>
              </w:rPr>
              <w:t>2,011</w:t>
            </w:r>
          </w:p>
        </w:tc>
        <w:tc>
          <w:tcPr>
            <w:tcW w:w="200" w:type="dxa"/>
            <w:vAlign w:val="bottom"/>
            <w:shd w:val="clear" w:color="auto" w:fill="EEEEEE"/>
          </w:tcPr>
          <w:p>
            <w:pPr>
              <w:spacing w:after="0"/>
              <w:rPr>
                <w:sz w:val="16"/>
                <w:szCs w:val="16"/>
                <w:color w:val="auto"/>
              </w:rPr>
            </w:pPr>
          </w:p>
        </w:tc>
        <w:tc>
          <w:tcPr>
            <w:tcW w:w="800" w:type="dxa"/>
            <w:vAlign w:val="bottom"/>
            <w:gridSpan w:val="2"/>
            <w:shd w:val="clear" w:color="auto" w:fill="EEEEEE"/>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22,864</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with extensions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80,830</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$ 1,240,355</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912,192</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380" w:hanging="332"/>
        <w:spacing w:after="0" w:line="268" w:lineRule="auto"/>
        <w:tabs>
          <w:tab w:leader="none" w:pos="38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 parties on which we earn servicing fees only, and have no credit risk.</w:t>
      </w:r>
    </w:p>
    <w:p>
      <w:pPr>
        <w:jc w:val="both"/>
        <w:ind w:left="380" w:hanging="332"/>
        <w:spacing w:after="0" w:line="264" w:lineRule="auto"/>
        <w:tabs>
          <w:tab w:leader="none" w:pos="38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ind w:left="380" w:hanging="332"/>
        <w:spacing w:after="0"/>
        <w:tabs>
          <w:tab w:leader="none" w:pos="38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 in repossession represents the contract balance on financed vehicles that have been repossessed but not yet liquidated.</w:t>
      </w:r>
    </w:p>
    <w:p>
      <w:pPr>
        <w:spacing w:after="0" w:line="18" w:lineRule="exact"/>
        <w:rPr>
          <w:rFonts w:ascii="Times New Roman" w:cs="Times New Roman" w:eastAsia="Times New Roman" w:hAnsi="Times New Roman"/>
          <w:sz w:val="16"/>
          <w:szCs w:val="16"/>
          <w:i w:val="1"/>
          <w:iCs w:val="1"/>
          <w:color w:val="auto"/>
        </w:rPr>
      </w:pPr>
    </w:p>
    <w:p>
      <w:pPr>
        <w:ind w:left="380" w:hanging="332"/>
        <w:spacing w:after="0"/>
        <w:tabs>
          <w:tab w:leader="none" w:pos="38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do not recognize interest income on accounts past due more than 90 days.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Net Credit Loss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32"/>
        </w:trPr>
        <w:tc>
          <w:tcPr>
            <w:tcW w:w="5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portfolio outstanding</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2,913,571</w:t>
            </w:r>
          </w:p>
        </w:tc>
        <w:tc>
          <w:tcPr>
            <w:tcW w:w="50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2,539,110</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2,147,611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as a percentage of average portfolio (2)</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7" w:lineRule="exact"/>
        <w:rPr>
          <w:sz w:val="20"/>
          <w:szCs w:val="20"/>
          <w:color w:val="auto"/>
        </w:rPr>
      </w:pPr>
    </w:p>
    <w:p>
      <w:pPr>
        <w:jc w:val="both"/>
        <w:ind w:left="340" w:right="20" w:hanging="332"/>
        <w:spacing w:after="0" w:line="258"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 parties on which we earn servicing fees only, and have no credit risk.</w:t>
      </w:r>
    </w:p>
    <w:p>
      <w:pPr>
        <w:jc w:val="both"/>
        <w:ind w:left="340" w:hanging="332"/>
        <w:spacing w:after="0" w:line="255"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after the date of charge-off, including some recoveries which have been classified as other income in the accompanying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Extensions</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an obligor will not be permitted more than two such extensions in any 12-month period and no more than eight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jc w:val="both"/>
        <w:ind w:firstLine="8"/>
        <w:spacing w:after="0" w:line="252" w:lineRule="auto"/>
        <w:tabs>
          <w:tab w:leader="none" w:pos="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During 2020 we incorporated an algorithmic extension score card which provides our staff with an objective and quantitative assessment of whether or not a obligor is a good candidate for an extension, based on the current circumstances of the account. The extension score card was developed by our internal risk management team and is derived from the post-extension performance of accounts in our managed portfolio.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December 31, 2023, for accounts that received extensions from 2012 through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Active or Paid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Active or Paid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Charged Off &gt; 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 Charged Off &gt;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Charged Off &lt;=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Charged Off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Avg Months to</w:t>
            </w:r>
          </w:p>
        </w:tc>
      </w:tr>
      <w:tr>
        <w:trPr>
          <w:trHeight w:val="203"/>
        </w:trPr>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Period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of Extensions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Off at December</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Off at December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Months After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6 Months After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6 Months After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&lt;= 6 Months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Charge Off Post</w:t>
            </w:r>
          </w:p>
        </w:tc>
      </w:tr>
      <w:tr>
        <w:trPr>
          <w:trHeight w:val="21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Extension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31, 2023</w:t>
            </w:r>
          </w:p>
        </w:tc>
        <w:tc>
          <w:tcPr>
            <w:tcW w:w="12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31, 2023</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Extension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Extension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Extension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After Extension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Extension</w:t>
            </w:r>
          </w:p>
        </w:tc>
      </w:tr>
      <w:tr>
        <w:trPr>
          <w:trHeight w:val="199"/>
        </w:trPr>
        <w:tc>
          <w:tcPr>
            <w:tcW w:w="11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18,783</w:t>
            </w:r>
          </w:p>
        </w:tc>
        <w:tc>
          <w:tcPr>
            <w:tcW w:w="12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11,320</w:t>
            </w:r>
          </w:p>
        </w:tc>
        <w:tc>
          <w:tcPr>
            <w:tcW w:w="12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2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6"/>
                <w:szCs w:val="16"/>
                <w:color w:val="auto"/>
                <w:w w:val="89"/>
              </w:rPr>
              <w:t>4.2%</w:t>
            </w:r>
          </w:p>
        </w:tc>
        <w:tc>
          <w:tcPr>
            <w:tcW w:w="14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top w:val="single" w:sz="8" w:color="EEEEEE"/>
            </w:tcBorders>
            <w:shd w:val="clear" w:color="auto" w:fill="EEEEEE"/>
          </w:tcPr>
          <w:p>
            <w:pPr>
              <w:spacing w:after="0"/>
              <w:rPr>
                <w:sz w:val="17"/>
                <w:szCs w:val="17"/>
                <w:color w:val="auto"/>
              </w:rPr>
            </w:pPr>
          </w:p>
        </w:tc>
      </w:tr>
      <w:tr>
        <w:trPr>
          <w:trHeight w:val="203"/>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23,398</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11,143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11,277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976</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4.2%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25,773</w:t>
            </w:r>
          </w:p>
        </w:tc>
        <w:tc>
          <w:tcPr>
            <w:tcW w:w="120" w:type="dxa"/>
            <w:vAlign w:val="bottom"/>
            <w:shd w:val="clear" w:color="auto" w:fill="EEEEEE"/>
          </w:tcPr>
          <w:p>
            <w:pPr>
              <w:spacing w:after="0"/>
              <w:rPr>
                <w:sz w:val="17"/>
                <w:szCs w:val="17"/>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10,475</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40.6%</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56.2%</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826</w:t>
            </w:r>
          </w:p>
        </w:tc>
        <w:tc>
          <w:tcPr>
            <w:tcW w:w="126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6"/>
                <w:szCs w:val="16"/>
                <w:color w:val="auto"/>
              </w:rPr>
              <w:t>3.2%</w:t>
            </w:r>
          </w:p>
        </w:tc>
        <w:tc>
          <w:tcPr>
            <w:tcW w:w="12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53,319</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22,279</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30,014</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1,082</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80,897</w:t>
            </w:r>
          </w:p>
        </w:tc>
        <w:tc>
          <w:tcPr>
            <w:tcW w:w="120" w:type="dxa"/>
            <w:vAlign w:val="bottom"/>
            <w:shd w:val="clear" w:color="auto" w:fill="EEEEEE"/>
          </w:tcPr>
          <w:p>
            <w:pPr>
              <w:spacing w:after="0"/>
              <w:rPr>
                <w:sz w:val="17"/>
                <w:szCs w:val="17"/>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36,449</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45.1%</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42,740</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52.8%</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1,933</w:t>
            </w:r>
          </w:p>
        </w:tc>
        <w:tc>
          <w:tcPr>
            <w:tcW w:w="126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6"/>
                <w:szCs w:val="16"/>
                <w:color w:val="auto"/>
              </w:rPr>
              <w:t>2.4%</w:t>
            </w:r>
          </w:p>
        </w:tc>
        <w:tc>
          <w:tcPr>
            <w:tcW w:w="12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133,847</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59,643</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67,278</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6,926</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5.2%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121,531</w:t>
            </w:r>
          </w:p>
        </w:tc>
        <w:tc>
          <w:tcPr>
            <w:tcW w:w="120" w:type="dxa"/>
            <w:vAlign w:val="bottom"/>
            <w:shd w:val="clear" w:color="auto" w:fill="EEEEEE"/>
          </w:tcPr>
          <w:p>
            <w:pPr>
              <w:spacing w:after="0"/>
              <w:rPr>
                <w:sz w:val="17"/>
                <w:szCs w:val="17"/>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64,608</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53.2%</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51,961</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42.8%</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6,007</w:t>
            </w:r>
          </w:p>
        </w:tc>
        <w:tc>
          <w:tcPr>
            <w:tcW w:w="126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6"/>
                <w:szCs w:val="16"/>
                <w:color w:val="auto"/>
              </w:rPr>
              <w:t>4.9%</w:t>
            </w:r>
          </w:p>
        </w:tc>
        <w:tc>
          <w:tcPr>
            <w:tcW w:w="12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71,548</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49,448</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1,942</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2.7%</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83,170</w:t>
            </w:r>
          </w:p>
        </w:tc>
        <w:tc>
          <w:tcPr>
            <w:tcW w:w="120" w:type="dxa"/>
            <w:vAlign w:val="bottom"/>
            <w:shd w:val="clear" w:color="auto" w:fill="EEEEEE"/>
          </w:tcPr>
          <w:p>
            <w:pPr>
              <w:spacing w:after="0"/>
              <w:rPr>
                <w:sz w:val="17"/>
                <w:szCs w:val="17"/>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62,685</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75.4%</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24.8%</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2,099</w:t>
            </w:r>
          </w:p>
        </w:tc>
        <w:tc>
          <w:tcPr>
            <w:tcW w:w="126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6"/>
                <w:szCs w:val="16"/>
                <w:color w:val="auto"/>
              </w:rPr>
              <w:t>2.5%</w:t>
            </w:r>
          </w:p>
        </w:tc>
        <w:tc>
          <w:tcPr>
            <w:tcW w:w="12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47,010</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38,072</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9,560</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1,236</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2.5%</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56,142</w:t>
            </w:r>
          </w:p>
        </w:tc>
        <w:tc>
          <w:tcPr>
            <w:tcW w:w="120" w:type="dxa"/>
            <w:vAlign w:val="bottom"/>
            <w:shd w:val="clear" w:color="auto" w:fill="EEEEEE"/>
          </w:tcPr>
          <w:p>
            <w:pPr>
              <w:spacing w:after="0"/>
              <w:rPr>
                <w:sz w:val="17"/>
                <w:szCs w:val="17"/>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49,176</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87.6%</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1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1,954</w:t>
            </w:r>
          </w:p>
        </w:tc>
        <w:tc>
          <w:tcPr>
            <w:tcW w:w="126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6"/>
                <w:szCs w:val="16"/>
                <w:color w:val="auto"/>
              </w:rPr>
              <w:t>3.5%</w:t>
            </w:r>
          </w:p>
        </w:tc>
        <w:tc>
          <w:tcPr>
            <w:tcW w:w="12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r>
    </w:tbl>
    <w:p>
      <w:pPr>
        <w:spacing w:after="0" w:line="198"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We consider accounts that have had extensions and were active or paid off as of December 31, 2023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180"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For extension accounts that ultimately charged off, we consider accounts that charged off more than six months after the extension to be at least partially successful. In such cases, despite the ultimate loss, we received additional payments of principal and interest that otherwise we would not have received.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For the Year Ended</w:t>
            </w: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December 31, 2023</w:t>
            </w: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6,926</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4,689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3,918</w:t>
            </w:r>
          </w:p>
        </w:tc>
      </w:tr>
      <w:tr>
        <w:trPr>
          <w:trHeight w:val="216"/>
        </w:trPr>
        <w:tc>
          <w:tcPr>
            <w:tcW w:w="5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176,438</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162,264</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157,076</w:t>
            </w:r>
          </w:p>
        </w:tc>
      </w:tr>
      <w:tr>
        <w:trPr>
          <w:trHeight w:val="216"/>
        </w:trPr>
        <w:tc>
          <w:tcPr>
            <w:tcW w:w="5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December 31, 2023</w:t>
            </w: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December 31, 2022</w:t>
            </w:r>
          </w:p>
        </w:tc>
        <w:tc>
          <w:tcPr>
            <w:tcW w:w="21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91"/>
        </w:trPr>
        <w:tc>
          <w:tcPr>
            <w:tcW w:w="46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gridSpan w:val="2"/>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Contracts</w:t>
            </w: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Contracts</w:t>
            </w:r>
          </w:p>
        </w:tc>
        <w:tc>
          <w:tcPr>
            <w:tcW w:w="12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4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(Dollars in thousands)</w:t>
            </w: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36,287</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649,551</w:t>
            </w: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28,565</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479,114</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24,337</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335,864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19,335</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326,552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13,730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180,547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200,705</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10,109</w:t>
            </w:r>
          </w:p>
        </w:tc>
        <w:tc>
          <w:tcPr>
            <w:tcW w:w="1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133,207</w:t>
            </w: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9,837</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108,986</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11,755</w:t>
            </w:r>
          </w:p>
        </w:tc>
        <w:tc>
          <w:tcPr>
            <w:tcW w:w="1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136,970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6,784</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67,735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7,938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76,220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9,272</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95,182</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5,197</w:t>
            </w:r>
          </w:p>
        </w:tc>
        <w:tc>
          <w:tcPr>
            <w:tcW w:w="1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42,734</w:t>
            </w: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45,519</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59,651</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3,118</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20,576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21,806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35,803</w:t>
            </w:r>
          </w:p>
        </w:tc>
      </w:tr>
      <w:tr>
        <w:trPr>
          <w:trHeight w:val="210"/>
        </w:trPr>
        <w:tc>
          <w:tcPr>
            <w:tcW w:w="462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80,830</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1,240,355</w:t>
            </w:r>
          </w:p>
        </w:tc>
        <w:tc>
          <w:tcPr>
            <w:tcW w:w="2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68,764</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912,192</w:t>
            </w:r>
          </w:p>
        </w:tc>
        <w:tc>
          <w:tcPr>
            <w:tcW w:w="22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72,292</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servicing portfolio (Excludes Third Party Portfolio)</w:t>
            </w: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179,198</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2,970,066</w:t>
            </w: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170,658</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2,795,383</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154,151</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2,209,430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Receivables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to avoid losing their vehicle to repossession. Through our experience, we have learned that once a contract becomes greater than 90 days past due, it is more likely than not that the delinquency will not be resolved and will ultimately result in a charge-off. As a result, for contracts originated prior to January 2018 that are not accounted for under the fair value method, we do not recognize any interest income for contracts that are greater than 90 days past due.</w:t>
      </w:r>
    </w:p>
    <w:p>
      <w:pPr>
        <w:spacing w:after="0" w:line="18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of Automobile Contracts</w:t>
      </w:r>
    </w:p>
    <w:p>
      <w:pPr>
        <w:spacing w:after="0" w:line="22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5" w:name="page16"/>
    <w:bookmarkEnd w:id="15"/>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 Effective January 1, 2018, we adopted the fair value method of accounting for finance receivables acquired on or after that date. For these receivables, we recognize interest income on a level yield basis using that internal rate of return as the applicable interest rate. We do not record an expense for provision for credit losses on these receivables because such credit losses are included in our computation of the appropriate level yield.</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Since 1994 we have conducted 99 term securitizations of automobile contracts that we originated under our regular programs. As of December 31, 2023, 18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p>
      <w:pPr>
        <w:spacing w:after="0" w:line="225" w:lineRule="exact"/>
        <w:rPr>
          <w:sz w:val="20"/>
          <w:szCs w:val="20"/>
          <w:color w:val="auto"/>
        </w:rPr>
      </w:pPr>
    </w:p>
    <w:tbl>
      <w:tblPr>
        <w:tblLayout w:type="fixed"/>
        <w:tblInd w:w="1980" w:type="dxa"/>
        <w:tblCellMar>
          <w:top w:w="0" w:type="dxa"/>
          <w:left w:w="0" w:type="dxa"/>
          <w:bottom w:w="0" w:type="dxa"/>
          <w:right w:w="0" w:type="dxa"/>
        </w:tblCellMar>
      </w:tblPr>
      <w:tr>
        <w:trPr>
          <w:trHeight w:val="214"/>
        </w:trPr>
        <w:tc>
          <w:tcPr>
            <w:tcW w:w="5680" w:type="dxa"/>
            <w:vAlign w:val="bottom"/>
            <w:gridSpan w:val="4"/>
          </w:tcPr>
          <w:p>
            <w:pPr>
              <w:jc w:val="center"/>
              <w:ind w:left="1530"/>
              <w:spacing w:after="0"/>
              <w:rPr>
                <w:sz w:val="20"/>
                <w:szCs w:val="20"/>
                <w:color w:val="auto"/>
              </w:rPr>
            </w:pPr>
            <w:r>
              <w:rPr>
                <w:rFonts w:ascii="Times New Roman" w:cs="Times New Roman" w:eastAsia="Times New Roman" w:hAnsi="Times New Roman"/>
                <w:sz w:val="18"/>
                <w:szCs w:val="18"/>
                <w:color w:val="auto"/>
                <w:w w:val="99"/>
              </w:rPr>
              <w:t>Recent Asset-Backed Securitizations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2740" w:type="dxa"/>
            <w:vAlign w:val="bottom"/>
          </w:tcPr>
          <w:p>
            <w:pPr>
              <w:spacing w:after="0"/>
              <w:rPr>
                <w:sz w:val="18"/>
                <w:szCs w:val="18"/>
                <w:color w:val="auto"/>
              </w:rPr>
            </w:pPr>
          </w:p>
        </w:tc>
        <w:tc>
          <w:tcPr>
            <w:tcW w:w="2940" w:type="dxa"/>
            <w:vAlign w:val="bottom"/>
            <w:gridSpan w:val="3"/>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8"/>
              </w:rPr>
              <w:t>$ in thousands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 of Term</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Amount of</w:t>
            </w:r>
          </w:p>
        </w:tc>
      </w:tr>
      <w:tr>
        <w:trPr>
          <w:trHeight w:val="234"/>
        </w:trPr>
        <w:tc>
          <w:tcPr>
            <w:tcW w:w="27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Period</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Securitizations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2740" w:type="dxa"/>
            <w:vAlign w:val="bottom"/>
            <w:tcBorders>
              <w:top w:val="single" w:sz="8" w:color="auto"/>
            </w:tcBorders>
            <w:shd w:val="clear" w:color="auto" w:fill="EEEEEE"/>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2017</w:t>
            </w:r>
          </w:p>
        </w:tc>
        <w:tc>
          <w:tcPr>
            <w:tcW w:w="1500" w:type="dxa"/>
            <w:vAlign w:val="bottom"/>
            <w:tcBorders>
              <w:top w:val="single" w:sz="8" w:color="auto"/>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870,000</w:t>
            </w: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27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2018</w:t>
            </w:r>
          </w:p>
        </w:tc>
        <w:tc>
          <w:tcPr>
            <w:tcW w:w="294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883,452</w:t>
            </w:r>
          </w:p>
        </w:tc>
      </w:tr>
      <w:tr>
        <w:trPr>
          <w:trHeight w:val="216"/>
        </w:trPr>
        <w:tc>
          <w:tcPr>
            <w:tcW w:w="2740" w:type="dxa"/>
            <w:vAlign w:val="bottom"/>
            <w:shd w:val="clear" w:color="auto" w:fill="EEEEEE"/>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2019</w:t>
            </w:r>
          </w:p>
        </w:tc>
        <w:tc>
          <w:tcPr>
            <w:tcW w:w="2940" w:type="dxa"/>
            <w:vAlign w:val="bottom"/>
            <w:gridSpan w:val="3"/>
            <w:shd w:val="clear" w:color="auto" w:fill="EEEEEE"/>
          </w:tcPr>
          <w:p>
            <w:pPr>
              <w:jc w:val="center"/>
              <w:ind w:left="14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1,014,124</w:t>
            </w:r>
          </w:p>
        </w:tc>
      </w:tr>
      <w:tr>
        <w:trPr>
          <w:trHeight w:val="216"/>
        </w:trPr>
        <w:tc>
          <w:tcPr>
            <w:tcW w:w="27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2020</w:t>
            </w:r>
          </w:p>
        </w:tc>
        <w:tc>
          <w:tcPr>
            <w:tcW w:w="294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741,867</w:t>
            </w:r>
          </w:p>
        </w:tc>
      </w:tr>
      <w:tr>
        <w:trPr>
          <w:trHeight w:val="216"/>
        </w:trPr>
        <w:tc>
          <w:tcPr>
            <w:tcW w:w="2740" w:type="dxa"/>
            <w:vAlign w:val="bottom"/>
            <w:shd w:val="clear" w:color="auto" w:fill="EEEEEE"/>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2021</w:t>
            </w:r>
          </w:p>
        </w:tc>
        <w:tc>
          <w:tcPr>
            <w:tcW w:w="2940" w:type="dxa"/>
            <w:vAlign w:val="bottom"/>
            <w:gridSpan w:val="3"/>
            <w:shd w:val="clear" w:color="auto" w:fill="EEEEEE"/>
          </w:tcPr>
          <w:p>
            <w:pPr>
              <w:jc w:val="center"/>
              <w:ind w:left="14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1,145,002</w:t>
            </w:r>
          </w:p>
        </w:tc>
      </w:tr>
      <w:tr>
        <w:trPr>
          <w:trHeight w:val="216"/>
        </w:trPr>
        <w:tc>
          <w:tcPr>
            <w:tcW w:w="27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2022</w:t>
            </w:r>
          </w:p>
        </w:tc>
        <w:tc>
          <w:tcPr>
            <w:tcW w:w="294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1,537,383</w:t>
            </w:r>
          </w:p>
        </w:tc>
      </w:tr>
      <w:tr>
        <w:trPr>
          <w:trHeight w:val="216"/>
        </w:trPr>
        <w:tc>
          <w:tcPr>
            <w:tcW w:w="2740" w:type="dxa"/>
            <w:vAlign w:val="bottom"/>
            <w:shd w:val="clear" w:color="auto" w:fill="EEEEEE"/>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2023</w:t>
            </w:r>
          </w:p>
        </w:tc>
        <w:tc>
          <w:tcPr>
            <w:tcW w:w="2940" w:type="dxa"/>
            <w:vAlign w:val="bottom"/>
            <w:gridSpan w:val="3"/>
            <w:shd w:val="clear" w:color="auto" w:fill="EEEEEE"/>
          </w:tcPr>
          <w:p>
            <w:pPr>
              <w:jc w:val="center"/>
              <w:ind w:left="14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1,352,114</w:t>
            </w:r>
          </w:p>
        </w:tc>
      </w:tr>
    </w:tbl>
    <w:p>
      <w:pPr>
        <w:spacing w:after="0" w:line="198"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From time to time we have also completed financings of our residual interests in other securitizations that we and our affiliates previously sponsored. On June 30, 2021, we completed a $50.0 million securitization of residual interests from previously issued securitizations. In this residual interest financing transaction, qualified institutional buyers purchased $50.0 million of asset-backed notes secured by residual interests in three CPS securitizations consecutively conducted from January 2018 through July 2018, and an 80% interest in a CPS affiliate that owns the residual interests in the eight CPS securitizations conducted from December 2018 through September 2020. The sold notes (“2021-1 Notes”), issued by CPS Auto Securitization Trust 2021-1, consist of a single class with a coupon of 7.86%. As of December 31, 2023, the notes had a principal balance of $50.0 million.</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acquisitions primarily with proceeds from warehouse credit facilities. Our current short-term funding capacity is $400 million, comprising two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This facility was most recently renewed in February 2022, extending the revolving period to January 2024, followed by an amortization period to January 2026. In June 2022, we doubled the capacity for this facility from $100 million to $200 million. Prior to the expiration of the revolving period in January 2024, the revolving period was extended to March 31,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2023, we were in compliance with all such covenants.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The automobile financing business is highly competitive. We compete with several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sales,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8"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Regulation</w:t>
      </w:r>
    </w:p>
    <w:p>
      <w:pPr>
        <w:spacing w:after="0" w:line="227"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9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are subject to supervision and examination by the Consumer Financial Protection Bureau (the “CFPB”), a federal agency created by the Dodd-Frank Wall Street Reform and Consumer Protection Act (the “Dodd-Frank Act”).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us.</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0"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2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rely on our employees for everything we do. To make our business work, we seek to supply employees with the tools and knowledge they need to succeed. In addition to new hire training, we provide mentor programs and management workshops. We offer an education costs assistance program to help with college tuition and costs incurred to obtain job related certifications and licenses.</w:t>
      </w:r>
    </w:p>
    <w:p>
      <w:pPr>
        <w:spacing w:after="0" w:line="174"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Allocation and Diversity </w:t>
      </w:r>
      <w:r>
        <w:rPr>
          <w:rFonts w:ascii="Times New Roman" w:cs="Times New Roman" w:eastAsia="Times New Roman" w:hAnsi="Times New Roman"/>
          <w:sz w:val="18"/>
          <w:szCs w:val="18"/>
          <w:color w:val="auto"/>
        </w:rPr>
        <w:t>We had 890 employees as of December 31, 2023. Our employee population was 67% female, and 71% self-identified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ethnically diverse (defined as all EEOC classifications other than white). Broken out by function, our human capital was allocated thus: 15 were senior management personnel; 529 were servicing personnel; 185 were automobile contract origination personnel; 105 were sales personnel (67 of whom were sales representatives); 56 were various administrative personnel including human resources, legal, accounting and systems.</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offer a total rewards package, which includes competitive compensation, incentives, and comprehensive benefits that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retain, and motivate talent within our organization. Our compensation and benefits package includes competitive pay, healthcare, mental health, retirement benefits, as well as paid time off and holidays, disability benefits, and volunteer time off, along with other benefits and employee resources. We offer performance pay to help enhance career development.</w:t>
      </w:r>
    </w:p>
    <w:p>
      <w:pPr>
        <w:spacing w:after="0" w:line="180"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Employee Engagement </w:t>
      </w:r>
      <w:r>
        <w:rPr>
          <w:rFonts w:ascii="Times New Roman" w:cs="Times New Roman" w:eastAsia="Times New Roman" w:hAnsi="Times New Roman"/>
          <w:sz w:val="18"/>
          <w:szCs w:val="18"/>
          <w:color w:val="auto"/>
        </w:rPr>
        <w:t>Our means of evaluating our human capital resources include, on an individual basis, annual performance reviews and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with senior management on or close to the employee’s anniversary date. Most departments meet one-on-one with employees monthly to discuss performance, suggestions, and concerns. On an aggregate basis, we distribute new hire surveys and host department round table meetings. The feedback from the meetings and survey results are reviewed by senior management and used to assist in reviewing our human capital strategies, programs, and practices. Our COO holds town hall meetings in every branch and virtual sessions to provide company-wide updates and conduct open Q&amp;A for all employees. We foster collaboration through charity committees which plan events to raise funds and/or provide resources to various 501(c)(3) organizations in our communities. We also offer paid community service time. Metrics used in human capital management include average employee tenure and annual turnover rate. We believe that our relations with our employees are good. We are not a party to any collective bargaining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Information</w:t>
      </w:r>
    </w:p>
    <w:p>
      <w:pPr>
        <w:spacing w:after="0" w:line="22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www.consumerportfolio.com</w:t>
      </w:r>
      <w:r>
        <w:rPr>
          <w:rFonts w:ascii="Times New Roman" w:cs="Times New Roman" w:eastAsia="Times New Roman" w:hAnsi="Times New Roman"/>
          <w:sz w:val="18"/>
          <w:szCs w:val="18"/>
          <w:color w:val="auto"/>
        </w:rPr>
        <w:t>. We make available free of charge on our internet web site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various risks that may materially harm our business, prospects, financial condition and results of operations. An investment in our common stock is speculative and involves risk. In evaluating an investment in shares of our common stock, you should carefully consider the risks described below, together with the other information included in this Annual Report on Form 10-K.</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are not the only risks we face. If any of the events described in the following risk factors actually occurs, or if additional risks and uncertainties later materialize that are not presently known to us or that we currently deem immaterial, then our business, prospects, results of operations and financial condition could be materially adversely affected. In that event, the trading price of our common stock could decline, and you may lose all or part of your investment in our shares. The risks discussed below include forward-looking statements, and our actual results may differ substantially from those discussed in these forward-looking statements. See “</w:t>
      </w:r>
      <w:r>
        <w:rPr>
          <w:rFonts w:ascii="Times New Roman" w:cs="Times New Roman" w:eastAsia="Times New Roman" w:hAnsi="Times New Roman"/>
          <w:sz w:val="18"/>
          <w:szCs w:val="18"/>
          <w:i w:val="1"/>
          <w:iCs w:val="1"/>
          <w:u w:val="single" w:color="auto"/>
          <w:color w:val="0000EE"/>
        </w:rPr>
        <w:t>Cautionary Note Regarding Forward-Looking Statements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competitive conditions in the asset-backed securities market;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current and future automobile contracts;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residual interests from our securitizations and warehouse credit facilities;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operating difficulties or pricing pressures we may experience;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credit enhancement for our securitizations;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dealer relationships;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laws or regulations that affect us adversely;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finance automobile contracts.</w:t>
      </w:r>
    </w:p>
    <w:p>
      <w:pPr>
        <w:spacing w:after="0" w:line="20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Need Substantial Liquidity to Operate Our Business.</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2024. While our access to such funding has improved since then, our results of operations, financial condition and cash flows have been from time to time in the past and may in the future be materially and adversely affected. We require a substantial amount of cash liquidity to operate our business. Among other things, we use such cash liquidity to:</w:t>
      </w:r>
    </w:p>
    <w:p>
      <w:pPr>
        <w:spacing w:after="0" w:line="192"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automobile contracts;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overcollateralization in warehouse credit facilities and securitizations;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securitization fees and expenses;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spread accounts in connection with securitizations;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working capital requirements and pay operating expenses;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taxes;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interest expense.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Periods of Significant Losses.</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expect to earn quarterly profits during 2024; however, there can be no assurance as to that expectation. Our expectation of profitability is a forward-looking statement. We discuss the assumptions underlying that expectation under the caption “Cautionary Note Regarding Forward-Looking Statements” in this report. We identify important factors that could cause actual results to differ, generally in the “Risk Factors” section of this report, and also under the caption “Cautionary Note Regarding Forward-Looking Statements.” One reason for our expectation is that we have had positive net income in each of the twelve fiscal years ended December 31, 2023, although not in every quarter within that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Our Ability to Secure and Maintain Adequate Credit and Warehouse Financing on Favorable Terms.</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depend on various financing sources, including credit facilities, our securitization program and other secured and unsecured debt issuances, to finance our business operations. 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$400 million, comprising two credit facilities, each with a maximum credit limit of $200 million. Both warehouse credit facilities have a revolving period during which we may receive advances secured by contributed automobile contracts, followed by an amortization period during which no further advances may be made, but prior to which outstanding advances are due and payable. See “</w:t>
      </w:r>
      <w:r>
        <w:rPr>
          <w:rFonts w:ascii="Times New Roman" w:cs="Times New Roman" w:eastAsia="Times New Roman" w:hAnsi="Times New Roman"/>
          <w:sz w:val="18"/>
          <w:szCs w:val="18"/>
          <w:u w:val="single" w:color="auto"/>
          <w:color w:val="0000EE"/>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Discussion and Analysis of Financial Condition and Results of Operations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Liquidity and Capital Resources – Liquidity”.</w:t>
      </w:r>
    </w:p>
    <w:p>
      <w:pPr>
        <w:spacing w:after="0" w:line="192"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access to financing sources depends upon our financial position, general market conditions, availability of bank liquidity, the bank regulatory environment, our compliance with covenants imposed under our financing agreements, the credit quality of the collateral we can pledge to support secured financings, and other factors beyond our control. If we are unable to maintain warehouse or securitization financing on acceptable terms, we might curtail or cease our purchases of new automobile contracts, which could lead to a material adverse effect on our results of operations, financial condition and liquidity.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Indebtedness Could Adversely Affect Our Financial Health and Prevent Us From Fulfilling Our Obligations Under Our Existing Indebtedness</w:t>
      </w:r>
    </w:p>
    <w:p>
      <w:pPr>
        <w:spacing w:after="0" w:line="15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currently have and will continue to have a substantial amount of outstanding indebtedness. At December 31, 2023, we had approximately $2,566.5 million of debt outstanding. Such debt consisted primarily of $2,265.4 million of securitization trust debt, and also included $234.0 million of warehouse lines of credit, $49.9 million of residual interest financing debt and $17.2 million in subordinated renewable notes. Our ability to make payments of principal or interest on, or to refinance, our indebtedness will depend on our future operating performance, and our ability to enter into additional credit facilities and securitization transactions as well as other debt financings, which, to a certain extent, are subject to economic, financial, competitive, regulatory, capital markets and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flows in the future to service our debt, we may be required to refinance all or a portion of our existing debt or to obtain additional financing. There can be no assurance that any refinancing will be possible or that any additional financing could be obtained on acceptable terms. The inability to service or refinance our existing debt or to obtain additional financing would have a material adverse effect on our financial position, liquidity and results of operations.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degree to which we are leveraged creates risks, including:</w:t>
      </w:r>
    </w:p>
    <w:p>
      <w:pPr>
        <w:spacing w:after="0" w:line="22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satisfy our obligations under our outstanding indebtedness;</w:t>
      </w:r>
    </w:p>
    <w:p>
      <w:pPr>
        <w:spacing w:after="0" w:line="27"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more difficult to fund future credit enhancement requirements, operating costs, tax payments, capital expenditures or general corporate expenditures;</w:t>
      </w:r>
    </w:p>
    <w:p>
      <w:pPr>
        <w:ind w:left="1300" w:right="20" w:hanging="644"/>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dedicate a substantial portion of our cash resources to payments on our outstanding indebtedness, thereby reducing the funds available for operations and future business opportunities; and</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industry and capital markets conditions.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0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all parties of the terms of the securitization;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 sufficient number of automobile contracts for securitization.</w:t>
      </w:r>
    </w:p>
    <w:p>
      <w:pPr>
        <w:spacing w:after="0" w:line="20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We experienced improvements in the capital markets from 2010 through 2019, during which time we completed 36 securitizations.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2024. However, if the market conditions for asset-backed securitizations should reverse, we would expect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Will Depend on Cash Flows from Our Residual Interests in Our Securitization Program and Our Warehouse Credit Facilities.</w:t>
      </w:r>
    </w:p>
    <w:p>
      <w:pPr>
        <w:spacing w:after="0" w:line="15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8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80" w:lineRule="exact"/>
        <w:rPr>
          <w:sz w:val="20"/>
          <w:szCs w:val="20"/>
          <w:color w:val="auto"/>
        </w:rPr>
      </w:pPr>
    </w:p>
    <w:p>
      <w:pPr>
        <w:ind w:left="1300" w:right="2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increased credit enhancement, including an increase in the amount required to be on deposit in the spread account to be accumulated for the particular pool;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may permit affected parties to require the transfer of servicing on some or all of the securitized or warehoused contracts from us to an unaffiliated servicer.</w:t>
      </w:r>
    </w:p>
    <w:p>
      <w:pPr>
        <w:spacing w:after="0" w:line="16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a reduction, if it should occur, could have material adverse effects on our future results of operations, financial condition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Affected by Changing Economic Conditions</w:t>
      </w:r>
    </w:p>
    <w:p>
      <w:pPr>
        <w:spacing w:after="0" w:line="229"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are subject to changes in general economic conditions that are beyond our control. During periods of economic slowdown or recession, delinquencies, defaults, repossessions and losses generally increase. These periods also may be accompanied by increased unemployment rates, inflation, decreased demand for automobiles and declining values of automobiles securing outstanding receivables, which weakens collateral values and increases the amount of a loss in the event of default. Additionally, higher gasoline prices, declining stock market values, unstable real estate values, increasing unemployment levels, general availability of consumer credit, changes in vehicle ownership trends and other factors that impact consumer confidence or disposable income could increase loss frequency and decrease demand for automobiles as well as weaken collateral values on certain types of automobiles. In addition, during an economic slowdown or recession, our servicing costs may increase without a corresponding increase in our revenue. No assurance can be given that the underwriting criteria and collection methods we employ will afford adequate protection against these risks. Any sustained period of increased delinquencies, defaults, repossessions or losses or increased servicing costs could adversely affect our financial position, liquidity, results of operation and our ability to enter into future financing transactions.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sell repossessed automobiles at wholesale auction markets located throughout the United States. Depressed wholesale prices for used automobiles may result in, or increase, a loss upon our disposition of repossessed vehicles and we may be unable to collect the resulting deficiency balances. Depressed wholesale prices for used automobiles may result from manufacturer incentives or discounts on new vehicles, financial difficulties of new vehicle manufacturers, discontinuance of vehicle brands and models, increased used vehicle inventory resulting from significant liquidations of rental or fleet inventories and increased trade-ins due to promotional programs offered by new vehicle manufacturers. Additionally, higher gasoline prices may decrease the wholesale auction values of certain types of vehicles. Decreased auction proceeds resulting from the depressed prices at which used automobiles may be sold during periods of economic slowdown or low retail demand could result in higher losses for us. Further, we are dependent on the efficient operation of the wholesale auction markets. If the operations of the wholesale auction markets are disrupted, we may be unable to sell our used vehicles at sufficient volume and/or pricing.</w:t>
      </w:r>
    </w:p>
    <w:p>
      <w:pPr>
        <w:spacing w:after="0" w:line="188"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number of delinquencies, defaults, losses and repossessions on sub-prime automobile receivables has historically been significantly influenced by the employment status of obligors on automobile loan contracts. Any general weakness in the economy may affect sub-prime obligors more strongly than the population as a whole.</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Furthermore, the global financial markets have at times experienced increased volatility due to uncertainty surrounding the level and sustainability of the sovereign debt of various countries. Concerns regarding sovereign debt may spread to other countries at any time. There can be no assurance that this uncertainty relating to the sovereign debt of various countries will not lead to further disruption of the financial and credit markets in the United States, which could adversely affect our financial position, liquidity, results of operation and our ability to enter into future financing transactions.</w:t>
      </w:r>
    </w:p>
    <w:p>
      <w:pPr>
        <w:spacing w:after="0" w:line="180"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A deterioration in economic conditions and certain economic factors, such as reduced business activity, high unemployment, interest rates, housing prices, energy prices (including the price of gasoline), increased consumer indebtedness (including of obligors on the receivables), lack of available credit, the rate of inflation (such as the recent increase in inflation) and consumer perceptions of the economy, as well as other factors, such as terrorist events, civil unrest, cyber-attacks, public health emergencies, extreme weather conditions or significant changes in the geopolitical environment (such as the ongoing military conflict between Ukraine and Russia and the conflict in Israel) and/or public policy, including increased state, local or federal taxation, could adversely affect the ability and willingness of obligors to meet their payment obligations under the receivables we originate. Our operating results could be adversely affected if obligors are unable to make timely payments on their receivables.</w:t>
      </w:r>
    </w:p>
    <w:p>
      <w:pPr>
        <w:spacing w:after="0" w:line="18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above described negative economic factors, as well as others, have also historically resulted in decreased consumer demand for motor vehicles, which may result in an increase in the inventory of used motor vehicles and depress the price at which repossessed motor vehicles may be sold or delay the timing of those sales. If the default rate on our receivables increases and the price at which the vehicles may be sold at auction declines, our financial position, liquidity, results of operation and our ability to enter into future financing transactions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Interest Rates Rise, Our Results of Operations May Be Impaired.</w:t>
      </w:r>
    </w:p>
    <w:p>
      <w:pPr>
        <w:spacing w:after="0" w:line="229"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Our principal means of financing our portfolio of automobile contracts is to issue asset-backed notes in securitizations. The interest payable on such notes is our largest expense. Although such expense is fixed with respect to issued securitization trust debt, the terms of future securitizations may vary.</w:t>
      </w:r>
    </w:p>
    <w:p>
      <w:pPr>
        <w:spacing w:after="0" w:line="162"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credit spread between the interest rates payable on our securitization trust debt and the rates payable on risk-free investments has varied. The Federal Reserve increased interest rates multiple times in 2022 and 2023. As a result, we have experienced increased interest expense in 2023. If interest rates on risk-free debt continue to increase, or if our spread above risk-free rates continue to increase, or both, we would expect a continued increase in interest expense. If interest rates in general should continue to rise, our expenses would likewise continue rise, which could have a material adverse effect on our financial position, liquidity, results of operation and our ability to enter into future financing transactions.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If Our Dealers Do Not Submit a Sufficient Number of Suitable Automobile Contracts to Us for Purchase, Our Results of Operations May Be Impaired.</w:t>
      </w:r>
    </w:p>
    <w:p>
      <w:pPr>
        <w:spacing w:after="0" w:line="15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are dependent upon establishing and maintaining relationships with a large number of unaffiliated automobile dealers to supply us with automobile contracts. During the years ended December 31, 2023 and 2022, no single dealer accounted for as much as 2%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For our receivables originated prior to January 2018, we maintain an allowance for credit losses on automobile contracts held on our balance sheet, which reflects our estimates of probable credit losses that can be reasonably estimated.. If the allowance is inadequate, then we would recognize the losses in excess of the allowance as an expense and our results of operations could be adversely affected.</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Receivables originated since January 2018 are recorded at fair value and incorporate estimates include the timing and severity of future credit losses. If actual credit losses were to exceed our estimates, we might be required to change our estimates, which could result in a fair value adjustment to those receivables or reduced interest income for those receivables in subsequent periods.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62"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generally to observe and perform our responsibilities and other covenants;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bankruptcy events;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of default under the documents governing the facilities.</w:t>
      </w:r>
    </w:p>
    <w:p>
      <w:pPr>
        <w:spacing w:after="0" w:line="20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Personnel, Our Results of Operations May Be Impaired.</w:t>
      </w:r>
    </w:p>
    <w:p>
      <w:pPr>
        <w:spacing w:after="0" w:line="22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Our senior management team averages over 20 years of service with us.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Comply with Regulations, Our Results of Operations May Be Impaired.</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62"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obtain and maintain certain licenses and qualifications;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interest rates, fees and other charges we are allowed to charge;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prescribe certain other terms of our automobile contracts;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specific disclosures to our customers;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our rights to repossess and sell collateral;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safeguards designed to protect the security and confidentiality of customer information.</w:t>
      </w:r>
    </w:p>
    <w:p>
      <w:pPr>
        <w:spacing w:after="0" w:line="207"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Our industry is also at times investigated by regulators and offices of state attorneys general, which could lead to enforcement actions, fines and penalties, or the assertion of private claims and lawsuits against us. The Consumer Financial Protection Bureau (“CFPB”) and the Federal Trade Commission (“FTC”) have the authority to investigate consumer complaints against us, to conduct inquiries at their own instance, and to recommend enforcement actions and seek monetary penalties. The FTC has conducted and concluded an inquiry into our practices, and proposed remedial action against us in 2014, to which we consented. The CFPB has adopted regulations that place us and other companies similar to us under its supervision. A host of state and local governmental agencies have jurisdiction over material portions of our business, and might take action adverse to us. No assurance can be given as to whether any of such hypothetical proceedings might materially and adversely affect us.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62"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regulations;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interpretation of existing laws or regulations;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laws or regulations that may be enacted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 and Regulations May Have an Adverse Effect on Our Business.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Existing law, regulations and interpretations may change in ways that increase our costs of compliance.</w:t>
      </w:r>
    </w:p>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to direct costs, such compliance requires forms, processes, procedures, controls and in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 For example, as governments, investors and other stakeholders face pressures to accelerate actions to address climate change and other environmental, governance and social topics, governments may implement regulations or investors and other stakeholders may adopt new investment policies or otherwise impose new expectations that cause significant shifts in disclosure, commerce and consumption behaviors, any or all of which may have negative effects on our business and/or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Retention Rules May Limit Our Liquidity and Increase Our Capital Requirements.</w:t>
      </w:r>
    </w:p>
    <w:p>
      <w:pPr>
        <w:spacing w:after="0" w:line="22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Securitizations of automobile receivables executed after December 2016 have been and will be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Similar but not identical risk retention requirements are applicable after December 2018 to securitization transactions where purchasers of the ABS have sufficient contacts with the European Union. Because the rules place an upper limit on the degree to which we may use financial leverage, our securitization structures may require more capital of us, or may release less cash to us, than might be the case in the absence of such rules.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jc w:val="both"/>
        <w:ind w:firstLine="130"/>
        <w:spacing w:after="0" w:line="252" w:lineRule="auto"/>
        <w:rPr>
          <w:sz w:val="20"/>
          <w:szCs w:val="20"/>
          <w:color w:val="auto"/>
        </w:rPr>
      </w:pPr>
      <w:r>
        <w:rPr>
          <w:rFonts w:ascii="Times New Roman" w:cs="Times New Roman" w:eastAsia="Times New Roman" w:hAnsi="Times New Roman"/>
          <w:sz w:val="18"/>
          <w:szCs w:val="18"/>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FTC, the CFPB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93"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Negative Publicity Associated with Litigation, Governmental Investigations, Regulatory Actions, and other Public Statements Could Damage Our Reputation.</w:t>
      </w:r>
    </w:p>
    <w:p>
      <w:pPr>
        <w:spacing w:after="0" w:line="15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 which could in turn negatively affect our results of operations or cashflows.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Breach in the Security of Our Systems Could Result in the Disclosure of Confidential Information, Subject us to Liability.</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Such persons may also attempt to fraudulently induce employees or other users of our systems to disclose sensitive information in order to gain access to our data or that of our customers.</w:t>
      </w:r>
    </w:p>
    <w:p>
      <w:pPr>
        <w:spacing w:after="0" w:line="162"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These risks may increase in the future as we continue to increase our mobile-payment and other internet-based product offerings and expands our use of web or cloud-based products and applications.</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5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80"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or guaranteeing additional indebtedness;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expenditures in excess of agreed upon amounts;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dividends or other distributions to our shareholders or redeeming, repurchasing or retiring our capital stock or subordinated obligations;</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permitting liens on our assets or the assets of our subsidiaries;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capital stock of our subsidiaries;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or selling our assets;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mergers or consolidations;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 change of control of our company;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winding up or dissolving our company;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our name or the nature of our business, or the names or nature of the business of our subsidiaries;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transactions with our affiliates outside the normal course of business.</w:t>
      </w:r>
    </w:p>
    <w:p>
      <w:pPr>
        <w:spacing w:after="0" w:line="207"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Fair Value Accounting</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Receivables we’ve acquired since January 1, 2018 are accounted for based on the fair value method of accounting. The risks described below are risks related to fair value accounting.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5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Actual Results for Our Receivables Materially Deviate from Our Estimates, We May Be Required to Reduce the Recorded Value for Some or All of the Receivables Measured at Fair Value.</w:t>
      </w:r>
    </w:p>
    <w:p>
      <w:pPr>
        <w:spacing w:after="0" w:line="15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re-evaluate the recorded value of receivables measured at fair value at the close of each quarter. If the re-evaluation were to yield a value materially different from the previous recorded value, an adjustment would be required. If actual credit losses were to exceed our estimates, or if the actual amortization and prepayments of the receivables were to be materially different from our estimates, we might be required to adjust the recorded value of such receivables. A downward readjustment in recorded value would correspondingly reduce our income and book value for and as of the end of the related quarter.</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5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recorded value, we might be required to adjust the recorded value of our receivables. A downward readjustment in recorded value would correspondingly reduce our income and book value.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We May Have Rescission Liability in Connection With Sales of Our Subordinated Renewable Notes to Certain Purchasers.</w:t>
      </w:r>
    </w:p>
    <w:p>
      <w:pPr>
        <w:spacing w:after="0" w:line="229"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filed a registration statement on Form S-3 with respect to various securities, including our renewable unsecured subordinated notes, on May 28, 2015, and filed amendments to the registration statement on June 26, 2015, and July 27, 2015 (such registration statement, as so amended, the “Former Registration Statement”). The Former Registration Statement was declared effective on August 26, 2015 (the “Former Registration Statement Effective Date”). Rule 415(a)(5) under the Securities Act of 1933, as amended (the “Securities Act”), provides that a shelf registration statement such as the Former Registration Statement expires three years after the official effective date. The Former Registration Statement expired on August 26, 2018; however, the Company continued to conduct offers and sales and renewals after that date. Additionally, with respect to the Former Registration Statement, the Company failed to file certain prospectus supplements relating to certain sales. Lastly, offers and sales of Renewable Notes and renewals of outstanding notes were made for amounts beyond the amount of securities covered by the registration statement. These activities may result in certain of these purchasers having a statutory right to rescind their purchases. As a result, we could be required to repurchase some or all of such notes at the original sale price plus statutory interest, less the amount of any income received by the purchasers. As of March 1, 2024, there were approximately $3 million of such notes outstanding and sold within the preceding twelve months. That figure includes renewals of previously sold notes, but excludes notes that we have repaid, and excludes notes that we sold or renewed pursuant to the registration statement filed in on June 15, 2023, subsequently amended on August 7, 2023 and November 20, 2023, and declared effective on November 30, 2023.</w:t>
      </w:r>
    </w:p>
    <w:p>
      <w:pPr>
        <w:spacing w:after="0" w:line="18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results of operations, financial condition and cash flows could be materially and adversely affected if a substantial number of purchasers of such notes were to successfully assert rescission rights or if we were to be assessed substantial penalties by regulatory authorities. If holders of sufficient amounts of such notes were to demand rescission and to prevail in that demand, the adverse effect on our liquidity could be material, which could in turn impair our ability to conduct our business as otherwise planned.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Illinois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Pandemic or Other Public Health Emergency Could Have Adverse Effects</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extent to which obligors on our automobile contracts may be adversely affected by a pandemic or other public health emergency, by loss of employment, and by related efforts of governments to slow the spread of a disease outbreak throughout the nation and world cannot be predicted. These occurrences could have a material adverse effect on the ability of obligors to make timely payments to us.</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Finally, and depending on the extent to which a pandemic or other public health emergency adversely affects the United States economy, it may also have the effect of heightening many of the other risks described in this “Risk Factors” section, such as those related to our business or operations, the ability or willingness of our customers to make timely payments, and risks of geographic concentrations.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Impaired as a Result of Natural Disasters.</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Social, Economic and Other Factors on Losses.</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The ability of our customers to make payments on automobile contracts will be affected by a variety of social and economic factors, most notably the extent to which our customers remain gainfully employed. Other economic factors include interest rates, general unemployment levels, the rate of inflation, adjustments in monthly mortgage payments and consumer perceptions of economic conditions generally and the effect of any government stimulus programs and consumer protection/payment relief efforts. Social factors include changes in consumer confidence levels, consumer attitudes toward bankruptcy and the repayment of indebtedness and consumer perceptions of political events and shifts, which may be affected by the pandemic. We are generally unable to determine whether or to what extent economic or social factors will affect the performance of our portfolio of automobile contracts, but caution that a recession or depression in local, regional or national economies would be expected to increase delinquencies and losses, which would adversely affect our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Increase in Interest Rates Results in a Decrease in Our Cash Flows from Excess Spread, Our Results of Operations May Be Impaired.</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w:t>
      </w:r>
      <w:r>
        <w:rPr>
          <w:rFonts w:ascii="Times New Roman" w:cs="Times New Roman" w:eastAsia="Times New Roman" w:hAnsi="Times New Roman"/>
          <w:sz w:val="18"/>
          <w:szCs w:val="18"/>
          <w:u w:val="single" w:color="auto"/>
          <w:color w:val="0000EE"/>
        </w:rPr>
        <w:t>Quantitative and Qualitative Disclosures About Market Risk</w:t>
      </w:r>
      <w:r>
        <w:rPr>
          <w:rFonts w:ascii="Times New Roman" w:cs="Times New Roman" w:eastAsia="Times New Roman" w:hAnsi="Times New Roman"/>
          <w:sz w:val="18"/>
          <w:szCs w:val="18"/>
          <w:color w:val="auto"/>
        </w:rPr>
        <w:t xml:space="preserve"> - Interest Rate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Is Thinly-Traded.</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2023, our directors and executive officers collectively owned 13.2 million shares of our common stock, or approximately 62%.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any future earnings and do not expect to pay any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information security policies and processes are designed to assess, identify, and manage material risks from cybersecurity threats, including protecting the security and confidentiality of consumer information. We use various tools and strategies to identify and assess material risks from cybersecurity threats. We conduct ongoing cybersecurity gap analysis and risks assessments, vulnerability testing, and penetration testing. The cybersecurity risk assessments, vulnerability testing, and penetration testing are designed to identify internal and external risks to the security of our information systems.</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also actively monitor our systems and connections for abnormal activity, including malicious phishing attempts. This includes the use of intrusion detection systems, log analysis, and real-time monitoring of critical systems. We have an incident reporting portal available to all employees to submit any issues they suspect may pose a risk to our information technology (“IT”) systems and security.</w:t>
      </w:r>
    </w:p>
    <w:p>
      <w:pPr>
        <w:spacing w:after="0" w:line="176"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use the results of the above-described tools and strategies to assess the sufficiency of the safeguards in place to manage material risks from cybersecurity threats, to enhance such safeguards, or implement new safeguards, as necessary. We have several safeguards in place to manage material risks from cybersecurity threats. We have security awareness training for our employees, including ongoing simulated phishing email campaigns. We utilize firewalls, anti-virus software, encryption on stored data and communication channels, secure web portals for remote access to our systems, password security, and two-factor authentication. We continuously update our software and security patches. We restrict inbound email attachments, certain websites, and cloud-based drives. We monitor and restrict information transfers to and from unauthorized IP addresses. We also have physical security safeguards for our locations and data centers. We back up our systems and data regularly. In addition, we have a disaster recovery program designed to help us quickly respond to and recover from an interruption of critical IT services.</w:t>
      </w:r>
    </w:p>
    <w:p>
      <w:pPr>
        <w:spacing w:after="0" w:line="19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As part of our overall risk management processes, we engage in a multi-departmental strategy to assess and incorporate the above processes and involve other departments as needed, including IT, Systems, Risk Management, and Legal. We engage assessors, consultants, auditors, or other third parties to assist with some of the processes above, including conducting risk and gap assessments, IT audits and consulting, system monitoring, vulnerability testing, and penetration testing. To oversee and identify material cybersecurity risks associated with our use of third-party service providers, we limit data access for third-party service providers to only the data that is necessary for the given function and conduct due diligence on our service providers including their information security practices. We require our service providers to maintain appropriate safeguards for the security of consumer information.</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cannot assure that our information security policies and processes will be effective in protecting us from cybersecurity threats. Risks from cybersecurity threats have not materially affected us. However, if we experience a material cybersecurity incident it is reasonably likely to materially affect us, including our business strategy, results of operations, or financial condition. For more information, please see Item 1A. Risk Factors of this Report, including the risk factors titled “If We Experience Problems with Our Originations, Accounting or Collection Systems, Our Results of Operations May Be Impaired” and “A Breach in the Security of Our Systems Could Result in the Disclosure of Confidential Information, or Subject us to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Senior Vice President of Systems and the Vice President of IT are responsible for assessing and managing material risks from cybersecurity threats through the implementation of the Company’s information security policies and processes. The Senior Vice President of Systems has over 20 years in IT and cybersecurity experience with the Company. The Vice of President IT has over 15 years in IT and cybersecurity experience with the Company and has earned industry certifications in IT. The Senior Vice President of Systems and the Vice President of IT report to the Executive Vice President of Risk, Systems, and IT.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Senior Vice President of Systems and the Vice President of IT work directly with the internal and external IT personnel to implement our information security policies and processes, including those described in the “Risk Management and Strategy” above. They are informed about and monitor the prevention, detection, mitigation, and remediation or prevention of cybersecurity incidents through those processes. They regularly report on the status of these matters to the Executive Vice President of Risk, Systems, and IT.</w:t>
      </w:r>
    </w:p>
    <w:p>
      <w:pPr>
        <w:spacing w:after="0" w:line="18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Board, as a whole, is responsible for risk oversight, including cybersecurity risk. As part of this oversight, the Executive Vice President of Risk, Systems, and IT reports to the Board annually on the status of and developments in the Company’s information security policies and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Las Vegas, Nevada, where we currently lease approximately 45,000 square feet of general office space from an unaffiliated lessor. The annual base rent is approximately $1.8 million through 2023.</w:t>
      </w:r>
    </w:p>
    <w:p>
      <w:pPr>
        <w:spacing w:after="0" w:line="162"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Our operating headquarters are located in Irvine, California, where we currently lease approximately 69,000 square feet of general office space from an unaffiliated lessor. The annual base rent is approximately $2.5 million through 2024.</w:t>
      </w:r>
    </w:p>
    <w:p>
      <w:pPr>
        <w:spacing w:after="0" w:line="162"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remaining three regional servicing centers occupy a total of approximately 65,000 square feet of leased space in Chesapeake, Virginia; Maitland, Florida; and Oak Brook, Illinois. The termination dates of such leases range from 2025 to 2031. The annual base rent for these facilities total approximately $1.4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185" w:lineRule="exact"/>
        <w:rPr>
          <w:sz w:val="20"/>
          <w:szCs w:val="20"/>
          <w:color w:val="auto"/>
        </w:rPr>
      </w:pPr>
    </w:p>
    <w:p>
      <w:pPr>
        <w:jc w:val="both"/>
        <w:ind w:firstLine="13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Wage and Hour Claim. </w:t>
      </w:r>
      <w:r>
        <w:rPr>
          <w:rFonts w:ascii="Times New Roman" w:cs="Times New Roman" w:eastAsia="Times New Roman" w:hAnsi="Times New Roman"/>
          <w:sz w:val="18"/>
          <w:szCs w:val="18"/>
          <w:color w:val="auto"/>
        </w:rPr>
        <w:t>On September 24, 2018, a former employee filed a lawsuit against us in the Superior Court of Orange County, California,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We believe that our compensation practices with respect to our sales representatives are compliant with applicable law. In August 2023, the parties settled by agreement the claims of the plaintiff and a California settlement class for $1.1 million and the settlement remains subject to final court approval.</w:t>
      </w:r>
    </w:p>
    <w:p>
      <w:pPr>
        <w:spacing w:after="0" w:line="18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i w:val="1"/>
          <w:iCs w:val="1"/>
          <w:color w:val="auto"/>
        </w:rPr>
        <w:t>Massachusetts Civil Investigative Demand</w:t>
      </w:r>
      <w:r>
        <w:rPr>
          <w:rFonts w:ascii="Times New Roman" w:cs="Times New Roman" w:eastAsia="Times New Roman" w:hAnsi="Times New Roman"/>
          <w:sz w:val="18"/>
          <w:szCs w:val="18"/>
          <w:color w:val="auto"/>
        </w:rPr>
        <w:t>. In September 2021, we received a civil investigative demand from the Office of the Attorney General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Commonwealth of Massachusetts relating to the Company’s communications with and repossession notices sent to Massachusetts customers. On December 28, 2023 and without admitting any wrongdoing, the Company entered into an assurance of discontinuance with the Office of the Attorney General of the Commonwealth of Massachusetts, reflecting the parties’ agreements to settle and fully resolve allegations of the Company’s noncompliance with Massachusetts law. The Company agreed to make a payment in the total amount of $1.24 million to an independent trust for the purposes of making payments to eligible consumers, paying costs of implementation, and paying the Attorney General’s costs of investigation. In addition, the Company agreed to pay $75,000 for the fees and costs of a trustee to oversee the trust.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as of December 31, 2023,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December 31, 2023 is $3.6 million, and that the range of reasonably possible losses for the legal proceedings and contingencies we face, including those described or identified above, as of December 31, 2023 does not exceed $5.6 million.</w:t>
      </w:r>
    </w:p>
    <w:p>
      <w:pPr>
        <w:spacing w:after="0" w:line="18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Set forth below are the names, ages, offices held, tenure, and certain biographical information of each of our executive officers as of the filing of this report:</w:t>
      </w:r>
    </w:p>
    <w:p>
      <w:pPr>
        <w:spacing w:after="0" w:line="16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Charles E. Bradley, Jr</w:t>
      </w:r>
      <w:r>
        <w:rPr>
          <w:rFonts w:ascii="Times New Roman" w:cs="Times New Roman" w:eastAsia="Times New Roman" w:hAnsi="Times New Roman"/>
          <w:sz w:val="18"/>
          <w:szCs w:val="18"/>
          <w:color w:val="auto"/>
        </w:rPr>
        <w:t>., 64, has been our Chief Executive Officer since January 1992, a director since our formation in March 1991, and was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of Directors in July 2001. Prior to that he was our President from March 1991 to December 2022. From April 1989 to November 1990, he served as Chief Operating Officer of Barnard and Company, a private investment firm. From September 1987 to March 1989, Mr. Bradley, Jr. was an associate of The Harding Group, a private investment banking firm. Mr. Bradley does not currently serve on the board of directors of any other publicly-traded companies.</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Michael T. Lavin, </w:t>
      </w:r>
      <w:r>
        <w:rPr>
          <w:rFonts w:ascii="Times New Roman" w:cs="Times New Roman" w:eastAsia="Times New Roman" w:hAnsi="Times New Roman"/>
          <w:sz w:val="18"/>
          <w:szCs w:val="18"/>
          <w:color w:val="auto"/>
        </w:rPr>
        <w:t>51, has been President since December 2022, Chief Operating Officer since February 2019, and our Chief Legal Officer since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Prior to that, he was our Executive Vice President since March 2014, Senior Vice President – General Counsel since March 2013, Senior Vice President and Corporate Counsel since May 2009 and our Vice President- Legal since joining the Company in November of 2001. Mr. Lavin was previously engaged as an associate at a large law firm and a spin off start up law firm.</w:t>
      </w:r>
    </w:p>
    <w:p>
      <w:pPr>
        <w:spacing w:after="0" w:line="180"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Danny Bharwani</w:t>
      </w:r>
      <w:r>
        <w:rPr>
          <w:rFonts w:ascii="Times New Roman" w:cs="Times New Roman" w:eastAsia="Times New Roman" w:hAnsi="Times New Roman"/>
          <w:sz w:val="18"/>
          <w:szCs w:val="18"/>
          <w:color w:val="auto"/>
        </w:rPr>
        <w:t>, 56, has been Chief Financial Officer since September 2022 and Executive Vice President – Finance since December 2022.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was our Senior Vice President – Finance from April 2016 to December 2022 and Vice President – Finance from June 2002 to April 2016. He joined us as Assistant Controller in August 1997. Mr. Bharwani was previously employed as Assistant Controller at The Todd-AO Corporation, from 1989 to 1997.</w:t>
      </w:r>
    </w:p>
    <w:p>
      <w:pPr>
        <w:spacing w:after="0" w:line="173" w:lineRule="exact"/>
        <w:rPr>
          <w:sz w:val="20"/>
          <w:szCs w:val="20"/>
          <w:color w:val="auto"/>
        </w:rPr>
      </w:pPr>
    </w:p>
    <w:p>
      <w:pPr>
        <w:jc w:val="both"/>
        <w:ind w:firstLine="13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Christopher Terry, </w:t>
      </w:r>
      <w:r>
        <w:rPr>
          <w:rFonts w:ascii="Times New Roman" w:cs="Times New Roman" w:eastAsia="Times New Roman" w:hAnsi="Times New Roman"/>
          <w:sz w:val="18"/>
          <w:szCs w:val="18"/>
          <w:color w:val="auto"/>
        </w:rPr>
        <w:t>56, has been Executive Vice President of Risk Management, Systems, and IT since December 2022. Prior to that he was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Risk Management, Systems, and IT from October 2018 to December 2022, and Senior Vice President of Risk Management from May 2017 to October 2018. Prior to that, he was our Senior Vice President of Servicing 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8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Teri L. Robinson, </w:t>
      </w:r>
      <w:r>
        <w:rPr>
          <w:rFonts w:ascii="Times New Roman" w:cs="Times New Roman" w:eastAsia="Times New Roman" w:hAnsi="Times New Roman"/>
          <w:sz w:val="18"/>
          <w:szCs w:val="18"/>
          <w:color w:val="auto"/>
        </w:rPr>
        <w:t>61, has been Executive Vice President of Sales and Originations since December 2022. Prior to that she was Senior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Originations from June 2020 to December 2022 and Senior Vice President of Originations from April 2007 to June 2020. Prior to that, she held the position of Vice President of Originations since August 1998. She joined the Company in June 1991 as an Operations Specialist, and held a series of successively more responsible positions. Previously, Ms. Robinson held an administrative position at Greco &amp; Associates.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5" w:name="page36"/>
    <w:bookmarkEnd w:id="35"/>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Laurie A. Straten, </w:t>
      </w:r>
      <w:r>
        <w:rPr>
          <w:rFonts w:ascii="Times New Roman" w:cs="Times New Roman" w:eastAsia="Times New Roman" w:hAnsi="Times New Roman"/>
          <w:sz w:val="18"/>
          <w:szCs w:val="18"/>
          <w:color w:val="auto"/>
        </w:rPr>
        <w:t>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Executive Vice President of Servicing since December 2022. Prior to that, she was our Senior Vice President of Servicing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2013 to December 2022 and Senior Vice President of Asset Recovery from April 2013 to August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0"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Michele Baumeister</w:t>
      </w:r>
      <w:r>
        <w:rPr>
          <w:rFonts w:ascii="Times New Roman" w:cs="Times New Roman" w:eastAsia="Times New Roman" w:hAnsi="Times New Roman"/>
          <w:sz w:val="18"/>
          <w:szCs w:val="18"/>
          <w:color w:val="auto"/>
        </w:rPr>
        <w:t>, 57, has been Senior Vice President of Originations since June 2023. Prior to that she was the Vice President of Originations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2017 to June 2023. She started with the Company in March 1997 as a Loan Processor and held a series of more senior positions within the Originations Department. Ms. Baumeister was previously a personal banker with Western Financial.</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April Crisp</w:t>
      </w:r>
      <w:r>
        <w:rPr>
          <w:rFonts w:ascii="Times New Roman" w:cs="Times New Roman" w:eastAsia="Times New Roman" w:hAnsi="Times New Roman"/>
          <w:sz w:val="18"/>
          <w:szCs w:val="18"/>
          <w:color w:val="auto"/>
        </w:rPr>
        <w:t>, 37, has been the Senior Vice President of Compliance and Regulatory Affairs since June 2023. Prior to that, she was the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from August 2016 to June 2023, and the Assistant Vice President of Legal from November 2013 to August 2016. Ms. Crisp is a California barred attorney.</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Charles Gonel</w:t>
      </w:r>
      <w:r>
        <w:rPr>
          <w:rFonts w:ascii="Times New Roman" w:cs="Times New Roman" w:eastAsia="Times New Roman" w:hAnsi="Times New Roman"/>
          <w:sz w:val="18"/>
          <w:szCs w:val="18"/>
          <w:color w:val="auto"/>
        </w:rPr>
        <w:t>, 43, has been Senior Vice President of Servicing since June 2023. Prior to that he was the Vice President of Collections from March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June 2023. He joined the Company in March 2008 as a Collections Analyst and transferred into the Risk Management Department in 2010 where he held a sequence of increasingly more responsible positions. Prior to joining CPS, he was a Quality Assurance Analyst with AT&amp;T Wireless.</w:t>
      </w:r>
    </w:p>
    <w:p>
      <w:pPr>
        <w:spacing w:after="0" w:line="17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John P. Harton</w:t>
      </w:r>
      <w:r>
        <w:rPr>
          <w:rFonts w:ascii="Times New Roman" w:cs="Times New Roman" w:eastAsia="Times New Roman" w:hAnsi="Times New Roman"/>
          <w:sz w:val="18"/>
          <w:szCs w:val="18"/>
          <w:color w:val="auto"/>
        </w:rPr>
        <w:t>, 59, has been Senior Vice President – Business Development since June 2020. Prior to that he was Senior Vice President –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from March 2019 to June 2020, Senior Vice President – Marketing from March 2014 to March 2019 , and Vice President – Marketing from April 2010 to March 2014.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Catrina Ralston</w:t>
      </w:r>
      <w:r>
        <w:rPr>
          <w:rFonts w:ascii="Times New Roman" w:cs="Times New Roman" w:eastAsia="Times New Roman" w:hAnsi="Times New Roman"/>
          <w:sz w:val="18"/>
          <w:szCs w:val="18"/>
          <w:color w:val="auto"/>
        </w:rPr>
        <w:t>, 48, has been Senior Vice President of Human Resources since December 2022. Prior to that, she was Vice President -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March 2016. She joined the Company in 1997 as an Operations Clerk and transferred into the Human Resources Department in 2001 where she held a series of successively more responsible positions. Prior to joining CPS, Ms. Ralston worked as a customer service representative for the City of Virginia Beach Parks &amp; Recreation Department.</w:t>
      </w:r>
    </w:p>
    <w:p>
      <w:pPr>
        <w:spacing w:after="0" w:line="180"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Lisette Reynoso</w:t>
      </w:r>
      <w:r>
        <w:rPr>
          <w:rFonts w:ascii="Times New Roman" w:cs="Times New Roman" w:eastAsia="Times New Roman" w:hAnsi="Times New Roman"/>
          <w:sz w:val="18"/>
          <w:szCs w:val="18"/>
          <w:color w:val="auto"/>
        </w:rPr>
        <w:t>, 36, has been Senior Vice President and General Counsel since June 2023. Prior to that she was the Vice President of Legal from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to June 2023, the Assistant Vice President of Legal/Corporate Counsel from December 2018 to January 2020, and Corporate Counsel from December 2015 to December 2018. Ms. Reynoso is a California barred attorney.</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Susan Ryan</w:t>
      </w:r>
      <w:r>
        <w:rPr>
          <w:rFonts w:ascii="Times New Roman" w:cs="Times New Roman" w:eastAsia="Times New Roman" w:hAnsi="Times New Roman"/>
          <w:sz w:val="18"/>
          <w:szCs w:val="18"/>
          <w:color w:val="auto"/>
        </w:rPr>
        <w:t>, 52, has been Senior Vice President of Servicing since June 2023. Prior to that she was the Vice President of Collections from March 2015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2023. She started with the Company in 2003 as a Deficiency Supervisor where she took on more responsibility over time. Prior to joining CPS, she was a Deficiency Supervisor with The Finance Company.</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Steve Schween</w:t>
      </w:r>
      <w:r>
        <w:rPr>
          <w:rFonts w:ascii="Times New Roman" w:cs="Times New Roman" w:eastAsia="Times New Roman" w:hAnsi="Times New Roman"/>
          <w:sz w:val="18"/>
          <w:szCs w:val="18"/>
          <w:color w:val="auto"/>
        </w:rPr>
        <w:t>, 61, has been Senior Vice President of Systems since December 2022. Previously, he was Vice President of Systems from February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joined in the Company in 2000 as a Systems Analyst and took on more responsibility over time. Mr. Schween was previously a Systems Analyst with Jeunique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Nasdaq Global Market, under the symbol “CPSS.” As of January 1, 2024, there were 28 holders of record of the Company’s Common Stock.</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in the Fourth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40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6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Programs(2)</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209"/>
        </w:trPr>
        <w:tc>
          <w:tcPr>
            <w:tcW w:w="4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39,221</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39,221</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1,554,030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1,554,030</w:t>
            </w:r>
          </w:p>
        </w:tc>
      </w:tr>
      <w:tr>
        <w:trPr>
          <w:trHeight w:val="229"/>
        </w:trPr>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5,860</w:t>
            </w:r>
          </w:p>
        </w:tc>
        <w:tc>
          <w:tcPr>
            <w:tcW w:w="2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1,500,334</w:t>
            </w: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45,081</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45,081</w:t>
            </w:r>
          </w:p>
        </w:tc>
        <w:tc>
          <w:tcPr>
            <w:tcW w:w="100" w:type="dxa"/>
            <w:vAlign w:val="bottom"/>
            <w:shd w:val="clear" w:color="auto" w:fill="EEEEEE"/>
          </w:tcPr>
          <w:p>
            <w:pPr>
              <w:spacing w:after="0"/>
              <w:rPr>
                <w:sz w:val="21"/>
                <w:szCs w:val="21"/>
                <w:color w:val="auto"/>
              </w:rPr>
            </w:pPr>
          </w:p>
        </w:tc>
        <w:tc>
          <w:tcPr>
            <w:tcW w:w="14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0"/>
        </w:trPr>
        <w:tc>
          <w:tcPr>
            <w:tcW w:w="40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29" w:lineRule="exact"/>
        <w:rPr>
          <w:rFonts w:ascii="Times New Roman" w:cs="Times New Roman" w:eastAsia="Times New Roman" w:hAnsi="Times New Roman"/>
          <w:sz w:val="18"/>
          <w:szCs w:val="18"/>
          <w:i w:val="1"/>
          <w:iCs w:val="1"/>
          <w:color w:val="auto"/>
        </w:rPr>
      </w:pPr>
    </w:p>
    <w:p>
      <w:pPr>
        <w:jc w:val="both"/>
        <w:ind w:left="260" w:hanging="252"/>
        <w:spacing w:after="0" w:line="253" w:lineRule="auto"/>
        <w:tabs>
          <w:tab w:leader="none" w:pos="2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December 31, 2023, our board of directors had authorized the purchase of up to $123.2 million of our outstanding securities, which program was first announced in our annual report for the year 2002, filed on March 26, 2003. All purchases described in the table above were under the plan announced in March 2003, which has no fixed expiration date. As of December 31, 2023, we have purchased $157.7 million of our common stock representing 24,245,802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13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for the years ended December 31, 2023 and 2022 should be read in conjunction with our consolidated financial statements and the notes to those statements that are included elsewhere in this Annual Report on Form 10-K.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See “</w:t>
      </w:r>
      <w:r>
        <w:rPr>
          <w:rFonts w:ascii="Times New Roman" w:cs="Times New Roman" w:eastAsia="Times New Roman" w:hAnsi="Times New Roman"/>
          <w:sz w:val="18"/>
          <w:szCs w:val="18"/>
          <w:i w:val="1"/>
          <w:iCs w:val="1"/>
          <w:u w:val="single" w:color="auto"/>
          <w:color w:val="0000EE"/>
        </w:rPr>
        <w:t>Cautionary Note Regarding Forward-Looking Statements</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have (i) originated vehicle purchase money loans by lending directly to consumers and have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December 31, 2023, we have purchased a total of approximately $21.3 billion of automobile contracts from dealers. In addition, we acquired a total of approximately $822.3 million of automobile contracts in mergers and acquisitions in 2002, 2003, 2004 and 2011. Contract purchase volumes and managed portfolio levels for the five years ended December 31, 2023 are shown in the table below. Managed portfolio comprises both contracts we owned and those we were servicing for third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41" w:lineRule="exact"/>
        <w:rPr>
          <w:sz w:val="20"/>
          <w:szCs w:val="20"/>
          <w:color w:val="auto"/>
        </w:rPr>
      </w:pPr>
    </w:p>
    <w:tbl>
      <w:tblPr>
        <w:tblLayout w:type="fixed"/>
        <w:tblInd w:w="1420" w:type="dxa"/>
        <w:tblCellMar>
          <w:top w:w="0" w:type="dxa"/>
          <w:left w:w="0" w:type="dxa"/>
          <w:bottom w:w="0" w:type="dxa"/>
          <w:right w:w="0" w:type="dxa"/>
        </w:tblCellMar>
      </w:tblPr>
      <w:tr>
        <w:trPr>
          <w:trHeight w:val="236"/>
        </w:trPr>
        <w:tc>
          <w:tcPr>
            <w:tcW w:w="4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ind w:left="9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Contracts Purchased</w:t>
            </w:r>
          </w:p>
        </w:tc>
        <w:tc>
          <w:tcPr>
            <w:tcW w:w="17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 at</w:t>
            </w:r>
          </w:p>
        </w:tc>
        <w:tc>
          <w:tcPr>
            <w:tcW w:w="80" w:type="dxa"/>
            <w:vAlign w:val="bottom"/>
          </w:tcPr>
          <w:p>
            <w:pPr>
              <w:spacing w:after="0"/>
              <w:rPr>
                <w:sz w:val="16"/>
                <w:szCs w:val="16"/>
                <w:color w:val="auto"/>
              </w:rPr>
            </w:pPr>
          </w:p>
        </w:tc>
      </w:tr>
      <w:tr>
        <w:trPr>
          <w:trHeight w:val="238"/>
        </w:trPr>
        <w:tc>
          <w:tcPr>
            <w:tcW w:w="48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8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in Period</w:t>
            </w:r>
          </w:p>
        </w:tc>
        <w:tc>
          <w:tcPr>
            <w:tcW w:w="26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Period End</w:t>
            </w:r>
          </w:p>
        </w:tc>
      </w:tr>
      <w:tr>
        <w:trPr>
          <w:trHeight w:val="210"/>
        </w:trPr>
        <w:tc>
          <w:tcPr>
            <w:tcW w:w="4720" w:type="dxa"/>
            <w:vAlign w:val="bottom"/>
            <w:tcBorders>
              <w:top w:val="single" w:sz="8" w:color="auto"/>
            </w:tcBorders>
            <w:shd w:val="clear" w:color="auto" w:fill="EEEEEE"/>
          </w:tcPr>
          <w:p>
            <w:pPr>
              <w:ind w:left="218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7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742,584</w:t>
            </w:r>
          </w:p>
        </w:tc>
        <w:tc>
          <w:tcPr>
            <w:tcW w:w="2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2,174,972</w:t>
            </w:r>
          </w:p>
        </w:tc>
      </w:tr>
      <w:tr>
        <w:trPr>
          <w:trHeight w:val="216"/>
        </w:trPr>
        <w:tc>
          <w:tcPr>
            <w:tcW w:w="4720" w:type="dxa"/>
            <w:vAlign w:val="bottom"/>
            <w:shd w:val="clear" w:color="auto" w:fill="EEEEEE"/>
          </w:tcPr>
          <w:p>
            <w:pPr>
              <w:ind w:left="218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1,146,321</w:t>
            </w: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2,249,069</w:t>
            </w:r>
          </w:p>
        </w:tc>
      </w:tr>
      <w:tr>
        <w:trPr>
          <w:trHeight w:val="216"/>
        </w:trPr>
        <w:tc>
          <w:tcPr>
            <w:tcW w:w="47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1,854,385</w:t>
            </w:r>
          </w:p>
        </w:tc>
        <w:tc>
          <w:tcPr>
            <w:tcW w:w="2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3,001,308</w:t>
            </w:r>
          </w:p>
        </w:tc>
      </w:tr>
      <w:tr>
        <w:trPr>
          <w:trHeight w:val="216"/>
        </w:trPr>
        <w:tc>
          <w:tcPr>
            <w:tcW w:w="4720" w:type="dxa"/>
            <w:vAlign w:val="bottom"/>
            <w:shd w:val="clear" w:color="auto" w:fill="EEEEEE"/>
          </w:tcPr>
          <w:p>
            <w:pPr>
              <w:ind w:left="218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1,357,752</w:t>
            </w: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3,194,623</w:t>
            </w:r>
          </w:p>
        </w:tc>
      </w:tr>
    </w:tbl>
    <w:p>
      <w:pPr>
        <w:spacing w:after="0" w:line="198"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Since 1994 we have conducted 99 term securitizations of automobile contracts that we originated under our regular programs. As of December 31, 2023, 18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14"/>
        </w:trPr>
        <w:tc>
          <w:tcPr>
            <w:tcW w:w="4320" w:type="dxa"/>
            <w:vAlign w:val="bottom"/>
            <w:gridSpan w:val="6"/>
          </w:tcPr>
          <w:p>
            <w:pPr>
              <w:jc w:val="center"/>
              <w:ind w:left="1210"/>
              <w:spacing w:after="0"/>
              <w:rPr>
                <w:sz w:val="20"/>
                <w:szCs w:val="20"/>
                <w:color w:val="auto"/>
              </w:rPr>
            </w:pPr>
            <w:r>
              <w:rPr>
                <w:rFonts w:ascii="Times New Roman" w:cs="Times New Roman" w:eastAsia="Times New Roman" w:hAnsi="Times New Roman"/>
                <w:sz w:val="18"/>
                <w:szCs w:val="18"/>
                <w:color w:val="auto"/>
                <w:w w:val="99"/>
              </w:rPr>
              <w:t>Recent Asset-Backed Securitizations</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1900" w:type="dxa"/>
            <w:vAlign w:val="bottom"/>
          </w:tcPr>
          <w:p>
            <w:pPr>
              <w:spacing w:after="0"/>
              <w:rPr>
                <w:sz w:val="18"/>
                <w:szCs w:val="18"/>
                <w:color w:val="auto"/>
              </w:rPr>
            </w:pPr>
          </w:p>
        </w:tc>
        <w:tc>
          <w:tcPr>
            <w:tcW w:w="22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8"/>
              </w:rPr>
              <w:t>$ in thousands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Number of Term</w:t>
            </w:r>
          </w:p>
        </w:tc>
        <w:tc>
          <w:tcPr>
            <w:tcW w:w="2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34"/>
        </w:trPr>
        <w:tc>
          <w:tcPr>
            <w:tcW w:w="19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Period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Securitizations</w:t>
            </w:r>
          </w:p>
        </w:tc>
        <w:tc>
          <w:tcPr>
            <w:tcW w:w="2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Receivables</w:t>
            </w:r>
          </w:p>
        </w:tc>
      </w:tr>
      <w:tr>
        <w:trPr>
          <w:trHeight w:val="210"/>
        </w:trPr>
        <w:tc>
          <w:tcPr>
            <w:tcW w:w="1900" w:type="dxa"/>
            <w:vAlign w:val="bottom"/>
            <w:tcBorders>
              <w:top w:val="single" w:sz="8" w:color="auto"/>
            </w:tcBorders>
            <w:shd w:val="clear" w:color="auto" w:fill="EEEEEE"/>
          </w:tcPr>
          <w:p>
            <w:pPr>
              <w:jc w:val="center"/>
              <w:ind w:left="610"/>
              <w:spacing w:after="0"/>
              <w:rPr>
                <w:sz w:val="20"/>
                <w:szCs w:val="20"/>
                <w:color w:val="auto"/>
              </w:rPr>
            </w:pPr>
            <w:r>
              <w:rPr>
                <w:rFonts w:ascii="Times New Roman" w:cs="Times New Roman" w:eastAsia="Times New Roman" w:hAnsi="Times New Roman"/>
                <w:sz w:val="18"/>
                <w:szCs w:val="18"/>
                <w:color w:val="auto"/>
                <w:w w:val="99"/>
              </w:rPr>
              <w:t>2017</w:t>
            </w:r>
          </w:p>
        </w:tc>
        <w:tc>
          <w:tcPr>
            <w:tcW w:w="7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870,000</w:t>
            </w: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19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2018</w:t>
            </w:r>
          </w:p>
        </w:tc>
        <w:tc>
          <w:tcPr>
            <w:tcW w:w="21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883,452</w:t>
            </w:r>
          </w:p>
        </w:tc>
      </w:tr>
      <w:tr>
        <w:trPr>
          <w:trHeight w:val="216"/>
        </w:trPr>
        <w:tc>
          <w:tcPr>
            <w:tcW w:w="1900" w:type="dxa"/>
            <w:vAlign w:val="bottom"/>
            <w:shd w:val="clear" w:color="auto" w:fill="EEEEEE"/>
          </w:tcPr>
          <w:p>
            <w:pPr>
              <w:jc w:val="center"/>
              <w:ind w:left="610"/>
              <w:spacing w:after="0"/>
              <w:rPr>
                <w:sz w:val="20"/>
                <w:szCs w:val="20"/>
                <w:color w:val="auto"/>
              </w:rPr>
            </w:pPr>
            <w:r>
              <w:rPr>
                <w:rFonts w:ascii="Times New Roman" w:cs="Times New Roman" w:eastAsia="Times New Roman" w:hAnsi="Times New Roman"/>
                <w:sz w:val="18"/>
                <w:szCs w:val="18"/>
                <w:color w:val="auto"/>
                <w:w w:val="99"/>
              </w:rPr>
              <w:t>2019</w:t>
            </w:r>
          </w:p>
        </w:tc>
        <w:tc>
          <w:tcPr>
            <w:tcW w:w="2180" w:type="dxa"/>
            <w:vAlign w:val="bottom"/>
            <w:gridSpan w:val="3"/>
            <w:shd w:val="clear" w:color="auto" w:fill="EEEEEE"/>
          </w:tcPr>
          <w:p>
            <w:pPr>
              <w:jc w:val="center"/>
              <w:ind w:left="67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1,014,124</w:t>
            </w:r>
          </w:p>
        </w:tc>
      </w:tr>
      <w:tr>
        <w:trPr>
          <w:trHeight w:val="216"/>
        </w:trPr>
        <w:tc>
          <w:tcPr>
            <w:tcW w:w="19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2020</w:t>
            </w:r>
          </w:p>
        </w:tc>
        <w:tc>
          <w:tcPr>
            <w:tcW w:w="21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741,867</w:t>
            </w:r>
          </w:p>
        </w:tc>
      </w:tr>
      <w:tr>
        <w:trPr>
          <w:trHeight w:val="216"/>
        </w:trPr>
        <w:tc>
          <w:tcPr>
            <w:tcW w:w="1900" w:type="dxa"/>
            <w:vAlign w:val="bottom"/>
            <w:shd w:val="clear" w:color="auto" w:fill="EEEEEE"/>
          </w:tcPr>
          <w:p>
            <w:pPr>
              <w:jc w:val="center"/>
              <w:ind w:left="610"/>
              <w:spacing w:after="0"/>
              <w:rPr>
                <w:sz w:val="20"/>
                <w:szCs w:val="20"/>
                <w:color w:val="auto"/>
              </w:rPr>
            </w:pPr>
            <w:r>
              <w:rPr>
                <w:rFonts w:ascii="Times New Roman" w:cs="Times New Roman" w:eastAsia="Times New Roman" w:hAnsi="Times New Roman"/>
                <w:sz w:val="18"/>
                <w:szCs w:val="18"/>
                <w:color w:val="auto"/>
                <w:w w:val="99"/>
              </w:rPr>
              <w:t>2021</w:t>
            </w:r>
          </w:p>
        </w:tc>
        <w:tc>
          <w:tcPr>
            <w:tcW w:w="2180" w:type="dxa"/>
            <w:vAlign w:val="bottom"/>
            <w:gridSpan w:val="3"/>
            <w:shd w:val="clear" w:color="auto" w:fill="EEEEEE"/>
          </w:tcPr>
          <w:p>
            <w:pPr>
              <w:jc w:val="center"/>
              <w:ind w:left="67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1,145,002</w:t>
            </w:r>
          </w:p>
        </w:tc>
      </w:tr>
      <w:tr>
        <w:trPr>
          <w:trHeight w:val="216"/>
        </w:trPr>
        <w:tc>
          <w:tcPr>
            <w:tcW w:w="19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2022</w:t>
            </w:r>
          </w:p>
        </w:tc>
        <w:tc>
          <w:tcPr>
            <w:tcW w:w="21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1,537,383</w:t>
            </w:r>
          </w:p>
        </w:tc>
      </w:tr>
      <w:tr>
        <w:trPr>
          <w:trHeight w:val="216"/>
        </w:trPr>
        <w:tc>
          <w:tcPr>
            <w:tcW w:w="1900" w:type="dxa"/>
            <w:vAlign w:val="bottom"/>
            <w:shd w:val="clear" w:color="auto" w:fill="EEEEEE"/>
          </w:tcPr>
          <w:p>
            <w:pPr>
              <w:jc w:val="center"/>
              <w:ind w:left="610"/>
              <w:spacing w:after="0"/>
              <w:rPr>
                <w:sz w:val="20"/>
                <w:szCs w:val="20"/>
                <w:color w:val="auto"/>
              </w:rPr>
            </w:pPr>
            <w:r>
              <w:rPr>
                <w:rFonts w:ascii="Times New Roman" w:cs="Times New Roman" w:eastAsia="Times New Roman" w:hAnsi="Times New Roman"/>
                <w:sz w:val="18"/>
                <w:szCs w:val="18"/>
                <w:color w:val="auto"/>
                <w:w w:val="99"/>
              </w:rPr>
              <w:t>2023</w:t>
            </w:r>
          </w:p>
        </w:tc>
        <w:tc>
          <w:tcPr>
            <w:tcW w:w="2180" w:type="dxa"/>
            <w:vAlign w:val="bottom"/>
            <w:gridSpan w:val="3"/>
            <w:shd w:val="clear" w:color="auto" w:fill="EEEEEE"/>
          </w:tcPr>
          <w:p>
            <w:pPr>
              <w:jc w:val="center"/>
              <w:ind w:left="67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1,352,114</w:t>
            </w: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acquisitions primarily with proceeds from warehouse credit facilities. Our current short-term funding capacity is $400 million, comprising two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0"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This facility was most recently renewed in February 2022, extending the revolving period to January 2024, followed by an amortization period to January 2026. In June 2022, we doubled the capacity for this facility from $100 million to $200 million. Prior to the expiration of the revolving period in January 2024, the revolving period was extended to March 31, 2024.</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previously had a third facility. This $100 million facility was established in April 2015 and was renewed in April 2017 and again in February 2019, extending the revolving period to February 2021. We repaid this facility in full at its maturity in February 2021 and elected not to renew it.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believe that our accounting policies related to (a) Finance Receivables at Fair Value, (b) Allowance for Finance Credit Losses, (c) Term Securitizations, (d) Accrual for Contingent Liabilities and (e) Income Taxes are the most critical to understanding and evaluating our reported financial results. Such policies are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 Measured at Fair Value</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which we also refer to as a mark, would be required. Results for the years ended December 31, 2023 and 2022 include marks of $12.0 and $15.3 million, respectively, to the carrying value of the portion of the receivables portfolio accounted for at fair value. The marks are estimates based on our evaluation of the appropriate fair value and future earnings rate of existing receivables compared to recently acquired receivables and increases or decreases in our estimates of future net losses.</w:t>
      </w:r>
    </w:p>
    <w:p>
      <w:pPr>
        <w:spacing w:after="0" w:line="183"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Term Securitizations</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189"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9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Upon each transfer of automobile contracts in a transaction structured as a secured financing for financial accounting purposes, we retain on our consolidated balance sheet the related automobile contracts as assets and record the asset-backed notes or loans issued in the transaction as indebtedness.</w:t>
      </w:r>
    </w:p>
    <w:p>
      <w:pPr>
        <w:spacing w:after="0" w:line="162"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92"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1" w:name="page42"/>
    <w:bookmarkEnd w:id="41"/>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 for Contingent Liabilities</w:t>
      </w:r>
    </w:p>
    <w:p>
      <w:pPr>
        <w:spacing w:after="0" w:line="22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have recorded a liability as of December 31, 2023,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2023, and in excess of the liability we have recorded, does not exceed $5.6 million.</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176"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under the heading “Cautionary Note Regarding Forward-Looking Statements.” may affect whether such projections prove to be correct.</w:t>
      </w:r>
    </w:p>
    <w:p>
      <w:pPr>
        <w:spacing w:after="0" w:line="18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depend upon the availability of warehouse credit facilities and access to long-term financing through the issuance of asset-backed securities collateralized by our automobile contracts. Since 1994, we have completed 99 term securitizations of approximately $19.1 billion in contracts.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2023 we were in compliance with all such financial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year ended December 31, 2023 with the year ended December 31, 2022</w:t>
      </w:r>
    </w:p>
    <w:p>
      <w:pPr>
        <w:spacing w:after="0" w:line="225"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year ended December 31, 2023, our revenues were $352.0 million, an increase of $22.3 million, or 6.8%,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of $329.7 million. The primary reason for the increase in revenues is the increase in interest income resulting from the increase in the average outstanding balance of finance receivables measured at fair value. Revenues for the years ended December 31, 2023 and 2022 include fair value marks of $12.0 and $15.3 million, respectively, to the carrying value of the portion of the receivables portfolio accounted for at fair value. The marks are estimates based on our evaluation of the appropriate fair value and future earnings rate of existing receivables compared to recently acquired receivables and increases or decreases in our estimates of future net losses. For the year ended December 31, 2023,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$12.0 million.</w:t>
      </w:r>
    </w:p>
    <w:p>
      <w:pPr>
        <w:spacing w:after="0" w:line="18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Interest income for the year ended December 31, 2023 increased $24.0 million, or 7.9%, to $329.2 million from $305.2 million in the prior year. The primary reason for the increase in interest income is the 14.7% increase in the average balance of our loan portfolio over the prior year period. The interest yield on our total loan portfolio decreased from 12.0% in the prior year period to 11.3% in the current year period. The primary reason for the decrease in total interest yield is that the receivables measured at fair value makes up a larger portion of our total loan portfolio in the current year period. The interest yield on receivables measured at fair value is calculated taking into account expected losses and is therefore less than the yield on other finance receivables. The table below shows the average balance and interest yield of our loan portfolio for the years ended December 31,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394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3940" w:type="dxa"/>
            <w:vAlign w:val="bottom"/>
            <w:gridSpan w:val="3"/>
            <w:vMerge w:val="continue"/>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2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   2,913,571</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329,219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  2,539,110</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305,237</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Other income was $10.8 million for the year ended December 31, 2023 compared to $9.2 million for the year ended December 31, 2022. This 17.5% increase was primarily driven by the increase in origination and servicing fees we earned from third party receivables that we began originating in May 2021. These fees were $9.3 million for the year ended December 31, 2023 and $6.8 million in the prior year period.</w:t>
      </w:r>
    </w:p>
    <w:p>
      <w:pPr>
        <w:spacing w:after="0" w:line="174"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Total operating expenses were $290.9 million for the year ended December 31, 2023, compared to $213.5 million for the prior year, an increase of $77.4 million, or 36.3%. The increase is primarily due to increases in interest expense and general and administrative expenses.</w:t>
      </w:r>
    </w:p>
    <w:p>
      <w:pPr>
        <w:spacing w:after="0" w:line="162"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Employee costs increased by $3.9 million or 4.6%, to $88.1 million during the year ended December 31, 2023, representing 30.3% of total operating expenses. Employee costs were $84.3 million in the prior year, or 39.5% of total operating expenses.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summarizes our employees by category as well as contract purchases and units in our managed portfolio as of,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9"/>
        </w:trPr>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72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1,357.8</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1,854.4</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65,137</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81,935</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72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2,970.1</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2,795.4</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179,198</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170,658</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18"/>
                <w:szCs w:val="18"/>
                <w:color w:val="auto"/>
              </w:rPr>
            </w:pPr>
          </w:p>
        </w:tc>
        <w:tc>
          <w:tcPr>
            <w:tcW w:w="2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8"/>
                <w:szCs w:val="18"/>
                <w:color w:val="auto"/>
              </w:rPr>
            </w:pPr>
          </w:p>
        </w:tc>
      </w:tr>
      <w:tr>
        <w:trPr>
          <w:trHeight w:val="230"/>
        </w:trPr>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4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EEEEEE"/>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$50.0 million, an increase of $12.4 million, or 32.9%, compared to the previous year and represented 17.2% of total operating expenses.</w:t>
      </w:r>
    </w:p>
    <w:p>
      <w:pPr>
        <w:spacing w:after="0" w:line="176"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Interest expense for the year ended December 31, 2023 increased by $59.1 million to $146.6 million, or 67.5%, compared to $87.5 million in the previous year. Interest expense represented 50.4% of total operating expenses in 2023.</w:t>
      </w:r>
    </w:p>
    <w:p>
      <w:pPr>
        <w:spacing w:after="0" w:line="162"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$50.8 million, or 71.9%, for the year ended December 31, 2023 compared to the prior year. The average balance of securitization trust debt increased 15.5% to $2,333.5 million for the year ended December 31, 2023 compared to $2,020.0 million for the year ended December 31, 2022. The annualized average rate on our securitization trust debt was 5.2% for the year ended December 31, 2023 compared to 3.5%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09"/>
        </w:trPr>
        <w:tc>
          <w:tcPr>
            <w:tcW w:w="38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480" w:type="dxa"/>
            <w:vAlign w:val="bottom"/>
            <w:tcBorders>
              <w:top w:val="single" w:sz="8" w:color="EEEEEE"/>
            </w:tcBorders>
            <w:shd w:val="clear" w:color="auto" w:fill="EEEEEE"/>
          </w:tcPr>
          <w:p>
            <w:pPr>
              <w:spacing w:after="0"/>
              <w:rPr>
                <w:sz w:val="18"/>
                <w:szCs w:val="18"/>
                <w:color w:val="auto"/>
              </w:rPr>
            </w:pPr>
          </w:p>
        </w:tc>
        <w:tc>
          <w:tcPr>
            <w:tcW w:w="24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3.08%</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June 2020</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4.09%</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w w:val="98"/>
              </w:rPr>
              <w:t>September 2020</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January 2021</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April 2021</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1.65%</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July 2021</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October 2021</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January 2022</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April 2022</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July 2022</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October 2022</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8.48%</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January 2023</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April 2023</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July 2023</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October 2023</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Interest expense on warehouse lines of credit was $19.2 million for the year ended December 31, 2023 compared to $10.3 million in the prior year. The increase was due to higher rates and the higher utilization of our credit lines during 2023 compared to 2022. The average balance of our warehouse debt was $181.7 million during 2023 compared to $130.1 million in 2022.</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on residual interest financing was $4.2 million for each of the years ended December 31, 2023 and 2022.</w:t>
      </w:r>
    </w:p>
    <w:p>
      <w:pPr>
        <w:spacing w:after="0" w:line="22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Interest expense on our subordinated renewable notes was $1.8 million in 2023 compared to $2.3 million in the prior year. The average balance of the notes decreased from $26.8 million in the prior year to $20.9 million for the year ended December 31, 2023. The average interest rate on our subordinated notes was 8.7% for the both years.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right="376"/>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jc w:val="center"/>
              <w:ind w:right="356"/>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9"/>
                <w:szCs w:val="19"/>
                <w:color w:val="auto"/>
              </w:rPr>
            </w:pPr>
          </w:p>
        </w:tc>
        <w:tc>
          <w:tcPr>
            <w:tcW w:w="1220" w:type="dxa"/>
            <w:vAlign w:val="bottom"/>
            <w:gridSpan w:val="3"/>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360" w:type="dxa"/>
            <w:vAlign w:val="bottom"/>
            <w:gridSpan w:val="4"/>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0" w:type="dxa"/>
            <w:vAlign w:val="bottom"/>
          </w:tcPr>
          <w:p>
            <w:pPr>
              <w:spacing w:after="0"/>
              <w:rPr>
                <w:sz w:val="1"/>
                <w:szCs w:val="1"/>
                <w:color w:val="auto"/>
              </w:rPr>
            </w:pPr>
          </w:p>
        </w:tc>
      </w:tr>
      <w:tr>
        <w:trPr>
          <w:trHeight w:val="189"/>
        </w:trPr>
        <w:tc>
          <w:tcPr>
            <w:tcW w:w="88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12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88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2,913,571</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329,219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2,539,110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305,237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4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181,742</w:t>
            </w:r>
          </w:p>
        </w:tc>
        <w:tc>
          <w:tcPr>
            <w:tcW w:w="1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19,192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130,122</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10,310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50,488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2,333,472</w:t>
            </w:r>
          </w:p>
        </w:tc>
        <w:tc>
          <w:tcPr>
            <w:tcW w:w="1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121,408</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2,020,036</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70,627</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26,806</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8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237"/>
        </w:trPr>
        <w:tc>
          <w:tcPr>
            <w:tcW w:w="8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2,586,150</w:t>
            </w:r>
          </w:p>
        </w:tc>
        <w:tc>
          <w:tcPr>
            <w:tcW w:w="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146,631</w:t>
            </w:r>
          </w:p>
        </w:tc>
        <w:tc>
          <w:tcPr>
            <w:tcW w:w="240" w:type="dxa"/>
            <w:vAlign w:val="bottom"/>
            <w:vMerge w:val="continue"/>
            <w:shd w:val="clear" w:color="auto" w:fill="EEEEEE"/>
          </w:tcPr>
          <w:p>
            <w:pPr>
              <w:spacing w:after="0"/>
              <w:rPr>
                <w:sz w:val="20"/>
                <w:szCs w:val="20"/>
                <w:color w:val="auto"/>
              </w:rPr>
            </w:pPr>
          </w:p>
        </w:tc>
        <w:tc>
          <w:tcPr>
            <w:tcW w:w="1220" w:type="dxa"/>
            <w:vAlign w:val="bottom"/>
            <w:gridSpan w:val="2"/>
            <w:vMerge w:val="continue"/>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2,227,452</w:t>
            </w: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87,524</w:t>
            </w:r>
          </w:p>
        </w:tc>
        <w:tc>
          <w:tcPr>
            <w:tcW w:w="220" w:type="dxa"/>
            <w:vAlign w:val="bottom"/>
            <w:vMerge w:val="continue"/>
            <w:shd w:val="clear" w:color="auto" w:fill="EEEEEE"/>
          </w:tcPr>
          <w:p>
            <w:pPr>
              <w:spacing w:after="0"/>
              <w:rPr>
                <w:sz w:val="20"/>
                <w:szCs w:val="20"/>
                <w:color w:val="auto"/>
              </w:rPr>
            </w:pPr>
          </w:p>
        </w:tc>
        <w:tc>
          <w:tcPr>
            <w:tcW w:w="110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60" w:type="dxa"/>
            <w:vAlign w:val="bottom"/>
            <w:tcBorders>
              <w:bottom w:val="single" w:sz="8" w:color="EEEEEE"/>
            </w:tcBorders>
            <w:shd w:val="clear" w:color="auto" w:fill="EEEEEE"/>
          </w:tcPr>
          <w:p>
            <w:pPr>
              <w:spacing w:after="0"/>
              <w:rPr>
                <w:sz w:val="19"/>
                <w:szCs w:val="19"/>
                <w:color w:val="auto"/>
              </w:rPr>
            </w:pPr>
          </w:p>
        </w:tc>
        <w:tc>
          <w:tcPr>
            <w:tcW w:w="8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182,588</w:t>
            </w:r>
          </w:p>
        </w:tc>
        <w:tc>
          <w:tcPr>
            <w:tcW w:w="24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86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217,713</w:t>
            </w:r>
          </w:p>
        </w:tc>
        <w:tc>
          <w:tcPr>
            <w:tcW w:w="22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interest margin (3)</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line="20" w:lineRule="exact"/>
              <w:rPr>
                <w:sz w:val="1"/>
                <w:szCs w:val="1"/>
                <w:color w:val="auto"/>
              </w:rPr>
            </w:pPr>
          </w:p>
        </w:tc>
      </w:tr>
      <w:tr>
        <w:trPr>
          <w:trHeight w:val="197"/>
        </w:trPr>
        <w:tc>
          <w:tcPr>
            <w:tcW w:w="39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40" w:type="dxa"/>
            <w:vAlign w:val="bottom"/>
            <w:gridSpan w:val="5"/>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 assets to average</w:t>
            </w: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hanging="287"/>
        <w:spacing w:after="0"/>
        <w:tabs>
          <w:tab w:leader="none" w:pos="5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balances are based on month end balances except for warehouse lines of credit, which are based on daily balances.</w:t>
      </w:r>
    </w:p>
    <w:p>
      <w:pPr>
        <w:spacing w:after="0" w:line="29" w:lineRule="exact"/>
        <w:rPr>
          <w:rFonts w:ascii="Times New Roman" w:cs="Times New Roman" w:eastAsia="Times New Roman" w:hAnsi="Times New Roman"/>
          <w:sz w:val="18"/>
          <w:szCs w:val="18"/>
          <w:i w:val="1"/>
          <w:iCs w:val="1"/>
          <w:color w:val="auto"/>
        </w:rPr>
      </w:pPr>
    </w:p>
    <w:p>
      <w:pPr>
        <w:ind w:left="540" w:hanging="307"/>
        <w:spacing w:after="0"/>
        <w:tabs>
          <w:tab w:leader="none" w:pos="5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deferred fees and direct costs.</w:t>
      </w:r>
    </w:p>
    <w:p>
      <w:pPr>
        <w:spacing w:after="0" w:line="9" w:lineRule="exact"/>
        <w:rPr>
          <w:rFonts w:ascii="Times New Roman" w:cs="Times New Roman" w:eastAsia="Times New Roman" w:hAnsi="Times New Roman"/>
          <w:sz w:val="18"/>
          <w:szCs w:val="18"/>
          <w:i w:val="1"/>
          <w:iCs w:val="1"/>
          <w:color w:val="auto"/>
        </w:rPr>
      </w:pPr>
    </w:p>
    <w:p>
      <w:pPr>
        <w:ind w:left="540" w:hanging="307"/>
        <w:spacing w:after="0"/>
        <w:tabs>
          <w:tab w:leader="none" w:pos="5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interest income divided by average interest earning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Compared to December 31, 2022</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82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7"/>
                <w:szCs w:val="17"/>
                <w:color w:val="auto"/>
              </w:rPr>
            </w:pPr>
          </w:p>
        </w:tc>
        <w:tc>
          <w:tcPr>
            <w:tcW w:w="162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280" w:type="dxa"/>
            <w:vAlign w:val="bottom"/>
          </w:tcPr>
          <w:p>
            <w:pPr>
              <w:spacing w:after="0"/>
              <w:rPr>
                <w:sz w:val="17"/>
                <w:szCs w:val="17"/>
                <w:color w:val="auto"/>
              </w:rPr>
            </w:pPr>
          </w:p>
        </w:tc>
        <w:tc>
          <w:tcPr>
            <w:tcW w:w="130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28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2720" w:type="dxa"/>
            <w:vAlign w:val="bottom"/>
            <w:gridSpan w:val="3"/>
            <w:shd w:val="clear" w:color="auto" w:fill="EEEEEE"/>
          </w:tcPr>
          <w:p>
            <w:pPr>
              <w:jc w:val="center"/>
              <w:ind w:right="9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12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3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780" w:type="dxa"/>
            <w:vAlign w:val="bottom"/>
            <w:tcBorders>
              <w:top w:val="single" w:sz="8" w:color="auto"/>
            </w:tcBorders>
          </w:tcPr>
          <w:p>
            <w:pPr>
              <w:spacing w:after="0"/>
              <w:rPr>
                <w:sz w:val="18"/>
                <w:szCs w:val="18"/>
                <w:color w:val="auto"/>
              </w:rPr>
            </w:pPr>
          </w:p>
        </w:tc>
        <w:tc>
          <w:tcPr>
            <w:tcW w:w="940" w:type="dxa"/>
            <w:vAlign w:val="bottom"/>
            <w:tcBorders>
              <w:top w:val="single" w:sz="8" w:color="EEEEEE"/>
            </w:tcBorders>
            <w:gridSpan w:val="2"/>
          </w:tcPr>
          <w:p>
            <w:pPr>
              <w:spacing w:after="0"/>
              <w:rPr>
                <w:sz w:val="18"/>
                <w:szCs w:val="18"/>
                <w:color w:val="auto"/>
              </w:rPr>
            </w:pPr>
          </w:p>
        </w:tc>
        <w:tc>
          <w:tcPr>
            <w:tcW w:w="1520" w:type="dxa"/>
            <w:vAlign w:val="bottom"/>
            <w:tcBorders>
              <w:top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23,982</w:t>
            </w:r>
          </w:p>
        </w:tc>
        <w:tc>
          <w:tcPr>
            <w:tcW w:w="16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EEEEEE"/>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29,404</w:t>
            </w:r>
          </w:p>
        </w:tc>
        <w:tc>
          <w:tcPr>
            <w:tcW w:w="280" w:type="dxa"/>
            <w:vAlign w:val="bottom"/>
            <w:tcBorders>
              <w:top w:val="single" w:sz="8" w:color="EEEEEE"/>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16"/>
        </w:trPr>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2860" w:type="dxa"/>
            <w:vAlign w:val="bottom"/>
            <w:gridSpan w:val="4"/>
          </w:tcPr>
          <w:p>
            <w:pPr>
              <w:jc w:val="center"/>
              <w:ind w:right="8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8,883</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4,090</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216"/>
        </w:trPr>
        <w:tc>
          <w:tcPr>
            <w:tcW w:w="4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50,781</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10,959</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39,822</w:t>
            </w:r>
          </w:p>
        </w:tc>
        <w:tc>
          <w:tcPr>
            <w:tcW w:w="0" w:type="dxa"/>
            <w:vAlign w:val="bottom"/>
          </w:tcPr>
          <w:p>
            <w:pPr>
              <w:spacing w:after="0"/>
              <w:rPr>
                <w:sz w:val="1"/>
                <w:szCs w:val="1"/>
                <w:color w:val="auto"/>
              </w:rPr>
            </w:pPr>
          </w:p>
        </w:tc>
      </w:tr>
      <w:tr>
        <w:trPr>
          <w:trHeight w:val="230"/>
        </w:trPr>
        <w:tc>
          <w:tcPr>
            <w:tcW w:w="4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9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59,108</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44,613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(35,126)</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14,909</w:t>
            </w: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(50,035)</w:t>
            </w:r>
          </w:p>
        </w:tc>
        <w:tc>
          <w:tcPr>
            <w:tcW w:w="0" w:type="dxa"/>
            <w:vAlign w:val="bottom"/>
          </w:tcPr>
          <w:p>
            <w:pPr>
              <w:spacing w:after="0"/>
              <w:rPr>
                <w:sz w:val="1"/>
                <w:szCs w:val="1"/>
                <w:color w:val="auto"/>
              </w:rPr>
            </w:pPr>
          </w:p>
        </w:tc>
      </w:tr>
      <w:tr>
        <w:trPr>
          <w:trHeight w:val="20"/>
        </w:trPr>
        <w:tc>
          <w:tcPr>
            <w:tcW w:w="19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bottom w:val="single" w:sz="8" w:color="EEEEEE"/>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46" w:name="page47"/>
    <w:bookmarkEnd w:id="46"/>
    <w:p>
      <w:pPr>
        <w:jc w:val="both"/>
        <w:ind w:firstLine="162"/>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2020, the Company adopted </w:t>
      </w:r>
      <w:r>
        <w:rPr>
          <w:rFonts w:ascii="Times New Roman" w:cs="Times New Roman" w:eastAsia="Times New Roman" w:hAnsi="Times New Roman"/>
          <w:sz w:val="18"/>
          <w:szCs w:val="18"/>
          <w:i w:val="1"/>
          <w:iCs w:val="1"/>
          <w:color w:val="auto"/>
        </w:rPr>
        <w:t>Accounting Standards Codification Topic 326 - Financial Instruments - Credit Losses: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The amendment introduces a new credit reserving model known as the Current Expected Credit Loss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2020. In accordance with the rules for adopting CECL, the offset to the addition to the allowance for finance credit losses was a tax affected reduction to retained earnings using the modified retrospective method.</w:t>
      </w:r>
    </w:p>
    <w:p>
      <w:pPr>
        <w:spacing w:after="0" w:line="18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we recorded a reduction to provision for credit losses on finance receivables in the amount of $22.3 million. In the prior year period, we recorded similar reductions to provision for credit losses in the amount of $28.1 million. The reserve decreases were primarily due to better than expected credit performance for these receivables. 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Sales expense decreased by $1.8 million to $21.2 million during the year ended December 31, 2023 and represented 7.3% of total operating expenses. We purchased $1,357.8 million of new contracts during the year ended December 31, 2023 compared to $1,854.4 million in the prior year period.</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Occupancy expenses were $6.4 million in 2023 which is down from $7.5 million in 2022.</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 decreased to $847,000 compared to $1.6 million in the prior year.</w:t>
      </w:r>
    </w:p>
    <w:p>
      <w:pPr>
        <w:spacing w:after="0" w:line="22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recorded income tax expense of $15.6 million, representing a 26% effective tax rate. In the prior period, our income tax expense was $30.2 million, also representing a 26% effective tax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year ended December 31, 2022 with the year ended December 31, 2021</w:t>
      </w:r>
    </w:p>
    <w:p>
      <w:pPr>
        <w:spacing w:after="0" w:line="225"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year ended December 31, 2022, our revenues were $329.7 million, an increase of $61.9 million, or 23.1%,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of $267.8 million. The primary reason for the increase in revenues is the increase in interest income resulting from the increase in the average outstanding balance of finance receivables measured at fair value. In addition, mark ups to the finance receivables measured at fair value also contributed to the increase in revenues during the year. Revenues for the year ended December 31, 2022 include a $15.3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w:t>
      </w:r>
    </w:p>
    <w:p>
      <w:pPr>
        <w:spacing w:after="0" w:line="18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Results for the nine-month period ended September 30, 2022 included the $15.3 million mark to the carrying value of the portion of the receivables portfolio accounted for at fair value. The mark-up was the result of lower than expected losses during the period as our previous estimates for higher losses due to the pandemic had not materialized. In the fourth quarter of 2022, our re-evaluation of the fair values of these receivables resulted in a positive mark for certain older receivables and a negative mark to the fair values of newer receivables that largely offset each other. As a result, on a net basis, no mark was taken in the fourth quarter of 2022. Revenues for the prior year period include a $4.4 million mark down to the fair value portfolio.</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Revenues for the year ended December 31, 2021 include a $4.4 million mark down to the fair value portfolio.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7" w:name="page48"/>
    <w:bookmarkEnd w:id="47"/>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Interest income for the year ended December 31, 2022 increased $39.0 million, or 14.6%, to $305.2 million from $266.2 million in the prior year. The primary reason for the increase in interest income is the 32.5% increase in the average balance of finance receivables measured at fair value over the prior year period. The table below shows the outstanding and average balances of our portfolio held by consolidated subsidiaries for the years ended December 31, 2022 and 2021:</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0" w:firstLine="1012"/>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Interest Earning Assets </w:t>
      </w:r>
      <w:r>
        <w:rPr>
          <w:rFonts w:ascii="Times New Roman" w:cs="Times New Roman" w:eastAsia="Times New Roman" w:hAnsi="Times New Roman"/>
          <w:sz w:val="18"/>
          <w:szCs w:val="18"/>
          <w:color w:val="auto"/>
        </w:rPr>
        <w:t>Finance receivables</w:t>
      </w:r>
    </w:p>
    <w:p>
      <w:pPr>
        <w:spacing w:after="0" w:line="1"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Finance receivables measured at fair value Total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r>
      <w:tr>
        <w:trPr>
          <w:trHeight w:val="187"/>
        </w:trPr>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38"/>
        </w:trPr>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4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Yield</w:t>
            </w:r>
          </w:p>
        </w:tc>
      </w:tr>
      <w:tr>
        <w:trPr>
          <w:trHeight w:val="421"/>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150,919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36,616</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345,021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69,805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2,388,191</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268,621</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1,802,590</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196,461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2,539,110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305,237</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4"/>
              </w:rPr>
              <w:t>12.0%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2,147,611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266,266</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-462280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-179070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220" w:space="720"/>
            <w:col w:w="7300"/>
          </w:cols>
          <w:pgMar w:left="320" w:top="796" w:right="339" w:bottom="1440" w:gutter="0" w:footer="0" w:header="0"/>
          <w:type w:val="continuous"/>
        </w:sect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Other income was $9.2 million for the year ended December 31, 2022 compared to $6.0 million for the year ended December 31, 2021. This 54.1% increase was primarily driven by the increase in origination and servicing fees we earned from third party receivables that we began originating in May 2021. These fees were $6.8 million for the year ended December 31, 2022 and $1.3 million in the prior year period.</w:t>
      </w:r>
    </w:p>
    <w:p>
      <w:pPr>
        <w:spacing w:after="0" w:line="17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Total operating expenses were $213.5 million for the year ended December 31, 2021, compared to $202.1 million for the prior year, an increase of $11.5 million, or 5.7%. The increase is primarily due to increases in interest expense, sales expense, employee costs and general and administrative expenses. Reductions in provisions for credit losses offset some of the increase in operating expenses.</w:t>
      </w:r>
    </w:p>
    <w:p>
      <w:pPr>
        <w:spacing w:after="0" w:line="176"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Employee costs increased by $3.7 million or 4.7%, to $84.3 million during the year ended December 31, 2022, representing 39.5% of total operating expenses. Employee costs were $80.5 million in the prior year, or 39.9%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48" w:name="page49"/>
    <w:bookmarkEnd w:id="48"/>
    <w:p>
      <w:pPr>
        <w:ind w:left="180"/>
        <w:spacing w:after="0"/>
        <w:rPr>
          <w:sz w:val="20"/>
          <w:szCs w:val="20"/>
          <w:color w:val="auto"/>
        </w:rPr>
      </w:pPr>
      <w:r>
        <w:rPr>
          <w:rFonts w:ascii="Times New Roman" w:cs="Times New Roman" w:eastAsia="Times New Roman" w:hAnsi="Times New Roman"/>
          <w:sz w:val="18"/>
          <w:szCs w:val="18"/>
          <w:color w:val="auto"/>
        </w:rPr>
        <w:t>The table below summarizes our employees by category as well as contract purchases and units in our managed portfolio as of,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18"/>
                <w:szCs w:val="18"/>
                <w:color w:val="auto"/>
              </w:rPr>
            </w:pPr>
          </w:p>
        </w:tc>
      </w:tr>
      <w:tr>
        <w:trPr>
          <w:trHeight w:val="209"/>
        </w:trPr>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72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1,854.4</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1,146.3</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81,935</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54,317</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72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2,795.4</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2,249.1</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180,795</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156,280</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18"/>
                <w:szCs w:val="18"/>
                <w:color w:val="auto"/>
              </w:rPr>
            </w:pPr>
          </w:p>
        </w:tc>
        <w:tc>
          <w:tcPr>
            <w:tcW w:w="2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r>
      <w:tr>
        <w:trPr>
          <w:trHeight w:val="229"/>
        </w:trPr>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4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EEEEEE"/>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$37.6 million, an increase of $3.0 million, or 8.7%, compared to the previous year and represented 17.6% of total operating expenses.</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Interest expense for the year ended December 31, 2022 increased by $12.3 million to $87.5 million, or 16.3%, compared to $75.2 million in the previous year. Interest expense represented 41.0% of total operating expenses in 2022. The primary reason for the increase in interest expense is the increase in interest expense on our warehouse lines of credit and securitization trust debt.</w:t>
      </w:r>
    </w:p>
    <w:p>
      <w:pPr>
        <w:spacing w:after="0" w:line="176"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Interest on securitization trust debt increased by $6.2 million, or 9.7%, for the year ended December 31, 2022 compared to the prior year. The average balance of securitization trust debt increased 11.0% to $2,020.0 million for the year ended December 31, 2022 compared to $1,819.9 million for the year ended December 31, 2021. The blended interest rates on new term securitizations have increased in 2022 after decreasing in 2021.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09"/>
        </w:trPr>
        <w:tc>
          <w:tcPr>
            <w:tcW w:w="38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2019</w:t>
            </w:r>
          </w:p>
        </w:tc>
        <w:tc>
          <w:tcPr>
            <w:tcW w:w="480" w:type="dxa"/>
            <w:vAlign w:val="bottom"/>
            <w:tcBorders>
              <w:top w:val="single" w:sz="8" w:color="EEEEEE"/>
            </w:tcBorders>
            <w:shd w:val="clear" w:color="auto" w:fill="EEEEEE"/>
          </w:tcPr>
          <w:p>
            <w:pPr>
              <w:spacing w:after="0"/>
              <w:rPr>
                <w:sz w:val="18"/>
                <w:szCs w:val="18"/>
                <w:color w:val="auto"/>
              </w:rPr>
            </w:pPr>
          </w:p>
        </w:tc>
        <w:tc>
          <w:tcPr>
            <w:tcW w:w="24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4.22%</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April 2019</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3.95%</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July 2019</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3.36%</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October 2019</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w w:val="99"/>
              </w:rPr>
              <w:t>January 2020</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3.08%</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June 2020</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4.09%</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w w:val="98"/>
              </w:rPr>
              <w:t>September 2020</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January 2021</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April 2021</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1.65%</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July 2021</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October 2021</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January 2022</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April 2022</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16"/>
        </w:trPr>
        <w:tc>
          <w:tcPr>
            <w:tcW w:w="4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July 2022</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16"/>
        </w:trPr>
        <w:tc>
          <w:tcPr>
            <w:tcW w:w="4320" w:type="dxa"/>
            <w:vAlign w:val="bottom"/>
            <w:gridSpan w:val="2"/>
            <w:shd w:val="clear" w:color="auto" w:fill="EEEEEE"/>
          </w:tcPr>
          <w:p>
            <w:pPr>
              <w:jc w:val="center"/>
              <w:ind w:right="480"/>
              <w:spacing w:after="0"/>
              <w:rPr>
                <w:sz w:val="20"/>
                <w:szCs w:val="20"/>
                <w:color w:val="auto"/>
              </w:rPr>
            </w:pPr>
            <w:r>
              <w:rPr>
                <w:rFonts w:ascii="Times New Roman" w:cs="Times New Roman" w:eastAsia="Times New Roman" w:hAnsi="Times New Roman"/>
                <w:sz w:val="18"/>
                <w:szCs w:val="18"/>
                <w:color w:val="auto"/>
              </w:rPr>
              <w:t>October 2022</w:t>
            </w:r>
          </w:p>
        </w:tc>
        <w:tc>
          <w:tcPr>
            <w:tcW w:w="2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8.48%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annualized average rate on our securitization trust debt was 3.5% for the years ended December 31, 2022 and 2021.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Interest expense on warehouse lines of credit was $10.3 million for the year ended December 31, 2022 compared to $4.4 million in the prior year. Lower rates were offset by higher utilization of our credit lines during the year compared to last year. The average balance of our warehouse debt was $130.1 million during 2022 compared to $51.3 million in 2021.</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Interest expense on residual interest financing was $4.2 million in the year ended December 31, 2022 compared to $3.8 million in the prior year as the average balance has increased.</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Interest expense on our subordinated renewable notes decreased by $297,000, or 11.3%, for the year ended December 31, 2022 compared to the prior year. The average balance of the notes increased from $25.3 million in the prior year to $26.8 million for the year ended December 31, 2022. The average interest rate on our subordinated notes decreased to 8.7% for the year ended December 31, 2022 from 10.5% for the year ended December 31, 2021.</w:t>
      </w:r>
    </w:p>
    <w:p>
      <w:pPr>
        <w:spacing w:after="0" w:line="17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years ended December 31,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right="376"/>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jc w:val="center"/>
              <w:ind w:right="356"/>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9"/>
                <w:szCs w:val="19"/>
                <w:color w:val="auto"/>
              </w:rPr>
            </w:pPr>
          </w:p>
        </w:tc>
        <w:tc>
          <w:tcPr>
            <w:tcW w:w="1220" w:type="dxa"/>
            <w:vAlign w:val="bottom"/>
            <w:gridSpan w:val="3"/>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360" w:type="dxa"/>
            <w:vAlign w:val="bottom"/>
            <w:gridSpan w:val="4"/>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0" w:type="dxa"/>
            <w:vAlign w:val="bottom"/>
          </w:tcPr>
          <w:p>
            <w:pPr>
              <w:spacing w:after="0"/>
              <w:rPr>
                <w:sz w:val="1"/>
                <w:szCs w:val="1"/>
                <w:color w:val="auto"/>
              </w:rPr>
            </w:pPr>
          </w:p>
        </w:tc>
      </w:tr>
      <w:tr>
        <w:trPr>
          <w:trHeight w:val="189"/>
        </w:trPr>
        <w:tc>
          <w:tcPr>
            <w:tcW w:w="88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12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88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2,539,110</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305,237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2,147,611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266,266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4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130,122</w:t>
            </w:r>
          </w:p>
        </w:tc>
        <w:tc>
          <w:tcPr>
            <w:tcW w:w="1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10,311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51,313</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4,448</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50,488</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42,692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2,020,036</w:t>
            </w:r>
          </w:p>
        </w:tc>
        <w:tc>
          <w:tcPr>
            <w:tcW w:w="1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70,626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1,819,914</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64,387</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25,270</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8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237"/>
        </w:trPr>
        <w:tc>
          <w:tcPr>
            <w:tcW w:w="8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2,227,452</w:t>
            </w:r>
          </w:p>
        </w:tc>
        <w:tc>
          <w:tcPr>
            <w:tcW w:w="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87,524</w:t>
            </w:r>
          </w:p>
        </w:tc>
        <w:tc>
          <w:tcPr>
            <w:tcW w:w="240" w:type="dxa"/>
            <w:vAlign w:val="bottom"/>
            <w:vMerge w:val="continue"/>
            <w:shd w:val="clear" w:color="auto" w:fill="EEEEEE"/>
          </w:tcPr>
          <w:p>
            <w:pPr>
              <w:spacing w:after="0"/>
              <w:rPr>
                <w:sz w:val="20"/>
                <w:szCs w:val="20"/>
                <w:color w:val="auto"/>
              </w:rPr>
            </w:pPr>
          </w:p>
        </w:tc>
        <w:tc>
          <w:tcPr>
            <w:tcW w:w="1220" w:type="dxa"/>
            <w:vAlign w:val="bottom"/>
            <w:gridSpan w:val="2"/>
            <w:vMerge w:val="continue"/>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1,939,189</w:t>
            </w: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75,239</w:t>
            </w:r>
          </w:p>
        </w:tc>
        <w:tc>
          <w:tcPr>
            <w:tcW w:w="220" w:type="dxa"/>
            <w:vAlign w:val="bottom"/>
            <w:vMerge w:val="continue"/>
            <w:shd w:val="clear" w:color="auto" w:fill="EEEEEE"/>
          </w:tcPr>
          <w:p>
            <w:pPr>
              <w:spacing w:after="0"/>
              <w:rPr>
                <w:sz w:val="20"/>
                <w:szCs w:val="20"/>
                <w:color w:val="auto"/>
              </w:rPr>
            </w:pPr>
          </w:p>
        </w:tc>
        <w:tc>
          <w:tcPr>
            <w:tcW w:w="110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60" w:type="dxa"/>
            <w:vAlign w:val="bottom"/>
            <w:tcBorders>
              <w:bottom w:val="single" w:sz="8" w:color="EEEEEE"/>
            </w:tcBorders>
            <w:shd w:val="clear" w:color="auto" w:fill="EEEEEE"/>
          </w:tcPr>
          <w:p>
            <w:pPr>
              <w:spacing w:after="0"/>
              <w:rPr>
                <w:sz w:val="19"/>
                <w:szCs w:val="19"/>
                <w:color w:val="auto"/>
              </w:rPr>
            </w:pPr>
          </w:p>
        </w:tc>
        <w:tc>
          <w:tcPr>
            <w:tcW w:w="8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217,713</w:t>
            </w:r>
          </w:p>
        </w:tc>
        <w:tc>
          <w:tcPr>
            <w:tcW w:w="24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86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191,027</w:t>
            </w:r>
          </w:p>
        </w:tc>
        <w:tc>
          <w:tcPr>
            <w:tcW w:w="22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interest margin (3)</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line="20" w:lineRule="exact"/>
              <w:rPr>
                <w:sz w:val="1"/>
                <w:szCs w:val="1"/>
                <w:color w:val="auto"/>
              </w:rPr>
            </w:pPr>
          </w:p>
        </w:tc>
      </w:tr>
      <w:tr>
        <w:trPr>
          <w:trHeight w:val="197"/>
        </w:trPr>
        <w:tc>
          <w:tcPr>
            <w:tcW w:w="39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40" w:type="dxa"/>
            <w:vAlign w:val="bottom"/>
            <w:gridSpan w:val="5"/>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 assets to average</w:t>
            </w: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hanging="287"/>
        <w:spacing w:after="0"/>
        <w:tabs>
          <w:tab w:leader="none" w:pos="5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balances are based on month end balances except for warehouse lines of credit, which are based on daily balances.</w:t>
      </w:r>
    </w:p>
    <w:p>
      <w:pPr>
        <w:spacing w:after="0" w:line="29" w:lineRule="exact"/>
        <w:rPr>
          <w:rFonts w:ascii="Times New Roman" w:cs="Times New Roman" w:eastAsia="Times New Roman" w:hAnsi="Times New Roman"/>
          <w:sz w:val="18"/>
          <w:szCs w:val="18"/>
          <w:i w:val="1"/>
          <w:iCs w:val="1"/>
          <w:color w:val="auto"/>
        </w:rPr>
      </w:pPr>
    </w:p>
    <w:p>
      <w:pPr>
        <w:ind w:left="540" w:hanging="307"/>
        <w:spacing w:after="0"/>
        <w:tabs>
          <w:tab w:leader="none" w:pos="5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deferred fees and direct costs.</w:t>
      </w:r>
    </w:p>
    <w:p>
      <w:pPr>
        <w:spacing w:after="0" w:line="9" w:lineRule="exact"/>
        <w:rPr>
          <w:rFonts w:ascii="Times New Roman" w:cs="Times New Roman" w:eastAsia="Times New Roman" w:hAnsi="Times New Roman"/>
          <w:sz w:val="18"/>
          <w:szCs w:val="18"/>
          <w:i w:val="1"/>
          <w:iCs w:val="1"/>
          <w:color w:val="auto"/>
        </w:rPr>
      </w:pPr>
    </w:p>
    <w:p>
      <w:pPr>
        <w:ind w:left="540" w:hanging="307"/>
        <w:spacing w:after="0"/>
        <w:tabs>
          <w:tab w:leader="none" w:pos="5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gridSpan w:val="6"/>
          </w:tcPr>
          <w:p>
            <w:pPr>
              <w:jc w:val="center"/>
              <w:ind w:left="910"/>
              <w:spacing w:after="0"/>
              <w:rPr>
                <w:sz w:val="20"/>
                <w:szCs w:val="20"/>
                <w:color w:val="auto"/>
              </w:rPr>
            </w:pPr>
            <w:r>
              <w:rPr>
                <w:rFonts w:ascii="Times New Roman" w:cs="Times New Roman" w:eastAsia="Times New Roman" w:hAnsi="Times New Roman"/>
                <w:sz w:val="18"/>
                <w:szCs w:val="18"/>
                <w:color w:val="auto"/>
                <w:w w:val="99"/>
              </w:rPr>
              <w:t>Year Ended December 31, 2022</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center"/>
              <w:ind w:left="930"/>
              <w:spacing w:after="0"/>
              <w:rPr>
                <w:sz w:val="20"/>
                <w:szCs w:val="20"/>
                <w:color w:val="auto"/>
              </w:rPr>
            </w:pPr>
            <w:r>
              <w:rPr>
                <w:rFonts w:ascii="Times New Roman" w:cs="Times New Roman" w:eastAsia="Times New Roman" w:hAnsi="Times New Roman"/>
                <w:sz w:val="18"/>
                <w:szCs w:val="18"/>
                <w:color w:val="auto"/>
              </w:rPr>
              <w:t>Compared to December 31, 2021</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82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7"/>
                <w:szCs w:val="17"/>
                <w:color w:val="auto"/>
              </w:rPr>
            </w:pPr>
          </w:p>
        </w:tc>
        <w:tc>
          <w:tcPr>
            <w:tcW w:w="162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260" w:type="dxa"/>
            <w:vAlign w:val="bottom"/>
          </w:tcPr>
          <w:p>
            <w:pPr>
              <w:spacing w:after="0"/>
              <w:rPr>
                <w:sz w:val="17"/>
                <w:szCs w:val="17"/>
                <w:color w:val="auto"/>
              </w:rPr>
            </w:pPr>
          </w:p>
        </w:tc>
        <w:tc>
          <w:tcPr>
            <w:tcW w:w="132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r>
      <w:tr>
        <w:trPr>
          <w:trHeight w:val="238"/>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260" w:type="dxa"/>
            <w:vAlign w:val="bottom"/>
          </w:tcPr>
          <w:p>
            <w:pPr>
              <w:spacing w:after="0"/>
              <w:rPr>
                <w:sz w:val="20"/>
                <w:szCs w:val="20"/>
                <w:color w:val="auto"/>
              </w:rPr>
            </w:pPr>
          </w:p>
        </w:tc>
        <w:tc>
          <w:tcPr>
            <w:tcW w:w="142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to Rate</w:t>
            </w:r>
          </w:p>
        </w:tc>
      </w:tr>
      <w:tr>
        <w:trPr>
          <w:trHeight w:val="209"/>
        </w:trPr>
        <w:tc>
          <w:tcPr>
            <w:tcW w:w="19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0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190"/>
        </w:trPr>
        <w:tc>
          <w:tcPr>
            <w:tcW w:w="19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3940" w:type="dxa"/>
            <w:vAlign w:val="bottom"/>
            <w:gridSpan w:val="3"/>
            <w:shd w:val="clear" w:color="auto" w:fill="EEEEEE"/>
          </w:tcPr>
          <w:p>
            <w:pPr>
              <w:jc w:val="center"/>
              <w:ind w:right="21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3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6"/>
        </w:trPr>
        <w:tc>
          <w:tcPr>
            <w:tcW w:w="2040" w:type="dxa"/>
            <w:vAlign w:val="bottom"/>
            <w:tcBorders>
              <w:top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780" w:type="dxa"/>
            <w:vAlign w:val="bottom"/>
            <w:tcBorders>
              <w:top w:val="single" w:sz="8" w:color="auto"/>
            </w:tcBorders>
          </w:tcPr>
          <w:p>
            <w:pPr>
              <w:spacing w:after="0"/>
              <w:rPr>
                <w:sz w:val="18"/>
                <w:szCs w:val="18"/>
                <w:color w:val="auto"/>
              </w:rPr>
            </w:pPr>
          </w:p>
        </w:tc>
        <w:tc>
          <w:tcPr>
            <w:tcW w:w="2160" w:type="dxa"/>
            <w:vAlign w:val="bottom"/>
            <w:tcBorders>
              <w:top w:val="single" w:sz="8" w:color="EEEEEE"/>
            </w:tcBorders>
            <w:gridSpan w:val="2"/>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38,971</w:t>
            </w:r>
          </w:p>
        </w:tc>
        <w:tc>
          <w:tcPr>
            <w:tcW w:w="160" w:type="dxa"/>
            <w:vAlign w:val="bottom"/>
            <w:tcBorders>
              <w:top w:val="single" w:sz="8" w:color="EEEEEE"/>
            </w:tcBorders>
          </w:tcPr>
          <w:p>
            <w:pPr>
              <w:spacing w:after="0"/>
              <w:rPr>
                <w:sz w:val="18"/>
                <w:szCs w:val="18"/>
                <w:color w:val="auto"/>
              </w:rPr>
            </w:pPr>
          </w:p>
        </w:tc>
        <w:tc>
          <w:tcPr>
            <w:tcW w:w="1620" w:type="dxa"/>
            <w:vAlign w:val="bottom"/>
            <w:tcBorders>
              <w:top w:val="single" w:sz="8" w:color="EEEEEE"/>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24,553</w:t>
            </w:r>
          </w:p>
        </w:tc>
        <w:tc>
          <w:tcPr>
            <w:tcW w:w="260" w:type="dxa"/>
            <w:vAlign w:val="bottom"/>
            <w:tcBorders>
              <w:top w:val="single" w:sz="8" w:color="EEEEEE"/>
            </w:tcBorders>
          </w:tcPr>
          <w:p>
            <w:pPr>
              <w:spacing w:after="0"/>
              <w:rPr>
                <w:sz w:val="18"/>
                <w:szCs w:val="18"/>
                <w:color w:val="auto"/>
              </w:rPr>
            </w:pPr>
          </w:p>
        </w:tc>
        <w:tc>
          <w:tcPr>
            <w:tcW w:w="1420" w:type="dxa"/>
            <w:vAlign w:val="bottom"/>
            <w:tcBorders>
              <w:top w:val="single" w:sz="8" w:color="EEEEEE"/>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14,418</w:t>
            </w:r>
          </w:p>
        </w:tc>
      </w:tr>
      <w:tr>
        <w:trPr>
          <w:trHeight w:val="216"/>
        </w:trPr>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75"/>
        </w:trPr>
        <w:tc>
          <w:tcPr>
            <w:tcW w:w="1900" w:type="dxa"/>
            <w:vAlign w:val="bottom"/>
          </w:tcPr>
          <w:p>
            <w:pPr>
              <w:spacing w:after="0"/>
              <w:rPr>
                <w:sz w:val="15"/>
                <w:szCs w:val="15"/>
                <w:color w:val="auto"/>
              </w:rPr>
            </w:pPr>
          </w:p>
        </w:tc>
        <w:tc>
          <w:tcPr>
            <w:tcW w:w="4080" w:type="dxa"/>
            <w:vAlign w:val="bottom"/>
            <w:gridSpan w:val="4"/>
          </w:tcPr>
          <w:p>
            <w:pPr>
              <w:jc w:val="center"/>
              <w:ind w:right="20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5,863</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6,831</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3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687</w:t>
            </w:r>
          </w:p>
        </w:tc>
        <w:tc>
          <w:tcPr>
            <w:tcW w:w="2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59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6,239</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7,080</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9"/>
        </w:trPr>
        <w:tc>
          <w:tcPr>
            <w:tcW w:w="19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300" w:type="dxa"/>
            <w:vAlign w:val="bottom"/>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26,686</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9,794</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16,892</w:t>
            </w:r>
          </w:p>
        </w:tc>
      </w:tr>
      <w:tr>
        <w:trPr>
          <w:trHeight w:val="20"/>
        </w:trPr>
        <w:tc>
          <w:tcPr>
            <w:tcW w:w="19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The annualized yield on our finance receivables was 12.0% for 2022 compared to 12.4% in 2021. The interest yield on receivables measured at fair value is reduced to take account of expected losses and is therefore less than the yield on other finance receivables. The average balance of these fair value receivables was $2,388.2 million for the year ended December 31, 2022 compared to $1,802.6 million in the prior year period.</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2020, the Company adopted </w:t>
      </w:r>
      <w:r>
        <w:rPr>
          <w:rFonts w:ascii="Times New Roman" w:cs="Times New Roman" w:eastAsia="Times New Roman" w:hAnsi="Times New Roman"/>
          <w:sz w:val="18"/>
          <w:szCs w:val="18"/>
          <w:i w:val="1"/>
          <w:iCs w:val="1"/>
          <w:color w:val="auto"/>
        </w:rPr>
        <w:t>Accounting Standards Codification Topic 326 - Financial Instruments - Credit Losses: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Credit Losses on Financial Instruments. </w:t>
      </w:r>
      <w:r>
        <w:rPr>
          <w:rFonts w:ascii="Times New Roman" w:cs="Times New Roman" w:eastAsia="Times New Roman" w:hAnsi="Times New Roman"/>
          <w:sz w:val="18"/>
          <w:szCs w:val="18"/>
          <w:color w:val="auto"/>
        </w:rPr>
        <w:t>The amendment introduces a new credit reserving model known as the Current Expected Credit Loss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we recorded a reduction to provision for credit losses on finance receivables in the amount of $28.1 million compared to $14.6 million in 2021. The reserve decreases were primarily due to improved credit performance for these receivables. 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83"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Sales expense increased by $6.2 million to $23.0 million during the year ended December 31, 2022 and represented 10.8% of total operating expenses. We purchased $1,854.4 million of new contracts during the year ended December 31, 2022 compared to $1,146.3 million in the prior year period.</w:t>
      </w:r>
    </w:p>
    <w:p>
      <w:pPr>
        <w:spacing w:after="0" w:line="180"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Occupancy expenses decreased by $180,000 or 2.3%, to $7.5 million compared to $7.7 million in the previous year and represented 3.5%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ind w:firstLine="16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decreased by $57,000 or 3.4%, to $1.6 million compared to $1.7 million in the previous year and represented 0.8% of total operating expenses.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we recorded income tax expense of $30.2 million, representing a 26% effective tax rate. In the prior period, our income tax expense was $18.2 million, representing a 28%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years ended December 31, 2023, 2022 and 2021 was $238.0 million, $215.9 million and $198.2 million, respectively. Net cash from operating activities is generally provided by net income from operations adjusted for significant non-cash items such as our provision for credit losses and interest accretion on fair value receivables.</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2022 and 2021 was $359.5 million, $713.9 million and $115.4 million, respectively. Cash used in investing activities generally relates to purchases of automobile contracts. Purchases of finance receivables were $1,251.0 million (includes acquisition fees paid), $1,673.2 million and $1,107.5 million in 2023, 2022 and 2021, respectively. Cash provided by investing activities primarily results from principal payments and other proceeds received on finance receivables.</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were $84.2 million and $484.2 million in 2023 and 2022, respectively. Net cash used in financing activities for the year ended December 31, 2021 was $50.4 million. Cash used or provided by financing activities is primarily related to the issuance of securitization trust debt, reduced by the amount of repayment of securitization trust debt and net proceeds or repayments on our warehouse lines of credit and other debt. We issued $1,235.5 million in new securitization trust debt in 2023 compared to $1,411.0 million in 2022 and $1,110.7 million in 2021. Repayments of securitization debt were $1,078.4 million, $1,060.1 million and $1,153.1 million in 2023, 2022 and 2021, respectively.</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December 31, 2023, we had unrestricted cash of $6.2 million and $166.0 million aggregate available borrowings under our two warehouse credit facilities (assuming the availability of sufficient eligible collateral). As of December 31, 2023, we had approximately $21.9 million of such eligible collateral. During 2023, we completed four securitizations aggregating $1,235.5 million of notes sold. In January 2024, we completed another securitization with $280.9 million of notes sold. Cash proceeds from this securitization were used to pay down the outstanding balance on our two warehouse credit facilities thus increasing the amounts available for borrowing under these facilities.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9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December 31, 2023, we were in compliance with all such financial covenants.</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currently have and will continue to have a substantial amount of outstanding indebtedness. At December 31, 2023, we had approximately $2,566.5 million of debt outstanding. Such debt consisted primarily of $2,265.4 million of securitization trust debt, and also included $234.0 million of warehouse lines of credit, $49.9 million of residual interest financing debt and $17.2 million in subordinated renewable notes.</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2023 (dollars in thousands):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Payment Due by Period (1)</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7"/>
                <w:szCs w:val="17"/>
                <w:color w:val="auto"/>
              </w:rPr>
            </w:pPr>
          </w:p>
        </w:tc>
        <w:tc>
          <w:tcPr>
            <w:tcW w:w="1100" w:type="dxa"/>
            <w:vAlign w:val="bottom"/>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2 to 3</w:t>
            </w:r>
          </w:p>
        </w:tc>
        <w:tc>
          <w:tcPr>
            <w:tcW w:w="280" w:type="dxa"/>
            <w:vAlign w:val="bottom"/>
          </w:tcPr>
          <w:p>
            <w:pPr>
              <w:spacing w:after="0"/>
              <w:rPr>
                <w:sz w:val="17"/>
                <w:szCs w:val="17"/>
                <w:color w:val="auto"/>
              </w:rPr>
            </w:pPr>
          </w:p>
        </w:tc>
        <w:tc>
          <w:tcPr>
            <w:tcW w:w="104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4 to 5</w:t>
            </w:r>
          </w:p>
        </w:tc>
        <w:tc>
          <w:tcPr>
            <w:tcW w:w="12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7"/>
                <w:szCs w:val="17"/>
                <w:color w:val="auto"/>
              </w:rPr>
            </w:pPr>
          </w:p>
        </w:tc>
      </w:tr>
      <w:tr>
        <w:trPr>
          <w:trHeight w:val="238"/>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5 Years</w:t>
            </w:r>
          </w:p>
        </w:tc>
      </w:tr>
      <w:tr>
        <w:trPr>
          <w:trHeight w:val="210"/>
        </w:trPr>
        <w:tc>
          <w:tcPr>
            <w:tcW w:w="4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 Term Debt (2)</w:t>
            </w: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Finance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r>
    </w:tbl>
    <w:p>
      <w:pPr>
        <w:spacing w:after="0" w:line="177" w:lineRule="exact"/>
        <w:rPr>
          <w:sz w:val="20"/>
          <w:szCs w:val="20"/>
          <w:color w:val="auto"/>
        </w:rPr>
      </w:pPr>
    </w:p>
    <w:p>
      <w:pPr>
        <w:jc w:val="both"/>
        <w:ind w:left="920" w:hanging="453"/>
        <w:spacing w:after="0" w:line="256" w:lineRule="auto"/>
        <w:tabs>
          <w:tab w:leader="none" w:pos="92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Securitization trust debt, in the aggregate amount of $2,265.4 million as of December 31, 2023, is omitted from this table because it becomes due as and when the related receivables balance is reduced by payments and charge-offs. Expected payments, which will depend on the performance of such receivables, as to which there can be no assurance, are $826.3 million in 2024, $618.4 million in 2025, $386.5 million in 2026, $242.8 million in 2027, $152.6 million in 2028, and $38.8 million in 2029.</w:t>
      </w:r>
    </w:p>
    <w:p>
      <w:pPr>
        <w:spacing w:after="0" w:line="1" w:lineRule="exact"/>
        <w:rPr>
          <w:rFonts w:ascii="Times New Roman" w:cs="Times New Roman" w:eastAsia="Times New Roman" w:hAnsi="Times New Roman"/>
          <w:sz w:val="18"/>
          <w:szCs w:val="18"/>
          <w:i w:val="1"/>
          <w:iCs w:val="1"/>
          <w:color w:val="auto"/>
        </w:rPr>
      </w:pPr>
    </w:p>
    <w:p>
      <w:pPr>
        <w:ind w:left="920" w:hanging="453"/>
        <w:spacing w:after="0"/>
        <w:tabs>
          <w:tab w:leader="none" w:pos="92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Long-term debt represents subordinated renewable notes.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anticipate repaying debt due in 2024 with a combination of cash flows from operations and the potential issuance of new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22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terms on which credit has been available to us for purchase of automobile contracts have varied in recent years, as shown in the following summary of our warehouse credit facilities:</w:t>
      </w:r>
    </w:p>
    <w:p>
      <w:pPr>
        <w:spacing w:after="0" w:line="160"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Facility Established in May 2012. </w:t>
      </w:r>
      <w:r>
        <w:rPr>
          <w:rFonts w:ascii="Times New Roman" w:cs="Times New Roman" w:eastAsia="Times New Roman" w:hAnsi="Times New Roman"/>
          <w:sz w:val="18"/>
          <w:szCs w:val="18"/>
          <w:color w:val="auto"/>
        </w:rPr>
        <w:t>On May 11, 2012, we entered into a $100 million one-year warehouse credit line with Citibank, N.A. The facility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to allow us to fund a portion of the purchase price of automobile contracts by borrowing from a credit facility to our consolidated subsidiary Page Eight Funding, LLC. The facility provides for effective advances up to 82.0% of eligible finance receivables. The Class A loans under the facility generally accrue interest during the revolving period at a per annum rate equal to one-month SOFR plus 3.00% per annum, with a minimum rate of 3.75% per annum and during the amortization period at a per annum rate equal to one-month SOFR plus 4.00% per annum, with a minimum rate of 4.75% per annum. The Class B loans under the facility generally accrue interest during the revolving period at a per annum rate equal to 8.50% per annum and during the amortization period at a per annum rate equal to 9.50% per annum. In July 2022, we renewed our two-year revolving credit agreement with Citibank, N.A., and doubled the capacity from $100 million to $200 million. This facility was amended to extend the revolving period to July 2024 and to include an amortization period through July 2025 for any receivables pledged to the facility at the end of the revolving period. At December 31, 2023 there was $165.6 million outstanding under this facility.</w:t>
      </w:r>
    </w:p>
    <w:p>
      <w:pPr>
        <w:spacing w:after="0" w:line="185"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Facility Established in November 2015. </w:t>
      </w:r>
      <w:r>
        <w:rPr>
          <w:rFonts w:ascii="Times New Roman" w:cs="Times New Roman" w:eastAsia="Times New Roman" w:hAnsi="Times New Roman"/>
          <w:sz w:val="18"/>
          <w:szCs w:val="18"/>
          <w:color w:val="auto"/>
        </w:rPr>
        <w:t>On November 24, 2015, we entered into an additional $100 million one-year warehouse credit line with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85.25% of eligible finance receivables. The loans under the facility accrue interest at a commercial paper rate plus 4.15% per annum, with a minimum rate of 5.15% per annum. On February 2, 2022, we renewed our two-year revolving credit agreement with Ares Agent Services, L.P. In June 2022, we increased the capacity of our credit agreement with Ares Agent Services, L.P. from $100 million to $200 million. This facility was amended to extend the revolving period to January 2024 followed by an amortization period through January 2028 for any receivables pledged to the facility at the end of the revolving period. At December 31, 2023 there was $69.0 million outstanding under this facility. Prior to the expiration of the revolving period in January 2024, the revolving period was extended to March 31, 2024.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22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Over the period from January 1, 2021 through December 31, 2023 we have managed our capitalization by issuing and refinancing debt as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RESIDUAL INTEREST FINANCING:</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49,623</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53,682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25,426</w:t>
            </w:r>
          </w:p>
        </w:tc>
      </w:tr>
      <w:tr>
        <w:trPr>
          <w:trHeight w:val="216"/>
        </w:trPr>
        <w:tc>
          <w:tcPr>
            <w:tcW w:w="5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Issuances</w:t>
            </w:r>
          </w:p>
        </w:tc>
        <w:tc>
          <w:tcPr>
            <w:tcW w:w="3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(4,311)</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(21,265)</w:t>
            </w:r>
          </w:p>
        </w:tc>
      </w:tr>
      <w:tr>
        <w:trPr>
          <w:trHeight w:val="216"/>
        </w:trPr>
        <w:tc>
          <w:tcPr>
            <w:tcW w:w="5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Capitalization of deferred financing costs</w:t>
            </w:r>
          </w:p>
        </w:tc>
        <w:tc>
          <w:tcPr>
            <w:tcW w:w="3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49,875</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49,623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53,682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SECURITIZATION TRUST DEBT:</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2,108,744</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1,759,972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1,803,673</w:t>
            </w:r>
          </w:p>
        </w:tc>
      </w:tr>
      <w:tr>
        <w:trPr>
          <w:trHeight w:val="216"/>
        </w:trPr>
        <w:tc>
          <w:tcPr>
            <w:tcW w:w="5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Issuances</w:t>
            </w:r>
          </w:p>
        </w:tc>
        <w:tc>
          <w:tcPr>
            <w:tcW w:w="3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1,235,534</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1,411,018</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1,110,747</w:t>
            </w:r>
          </w:p>
        </w:tc>
      </w:tr>
      <w:tr>
        <w:trPr>
          <w:trHeight w:val="216"/>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(1,078,432)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(1,060,052)</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(1,153,114)</w:t>
            </w:r>
          </w:p>
        </w:tc>
      </w:tr>
      <w:tr>
        <w:trPr>
          <w:trHeight w:val="216"/>
        </w:trPr>
        <w:tc>
          <w:tcPr>
            <w:tcW w:w="5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Capitalization of deferred financing costs</w:t>
            </w:r>
          </w:p>
        </w:tc>
        <w:tc>
          <w:tcPr>
            <w:tcW w:w="3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(7,888)</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(8,681)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(7,058)</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6,487</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5,724</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2,265,446</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2,108,744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1,759,972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SUBORDINATED RENEWABLE NOTES:</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25,263</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26,459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21,323</w:t>
            </w:r>
          </w:p>
        </w:tc>
      </w:tr>
      <w:tr>
        <w:trPr>
          <w:trHeight w:val="216"/>
        </w:trPr>
        <w:tc>
          <w:tcPr>
            <w:tcW w:w="5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Issuances</w:t>
            </w:r>
          </w:p>
        </w:tc>
        <w:tc>
          <w:tcPr>
            <w:tcW w:w="3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4,004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12,298</w:t>
            </w: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(5,200)</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(7,162)</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5" w:name="page56"/>
    <w:bookmarkEnd w:id="55"/>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Residual Interest Financing. </w:t>
      </w:r>
      <w:r>
        <w:rPr>
          <w:rFonts w:ascii="Times New Roman" w:cs="Times New Roman" w:eastAsia="Times New Roman" w:hAnsi="Times New Roman"/>
          <w:sz w:val="18"/>
          <w:szCs w:val="18"/>
          <w:color w:val="auto"/>
        </w:rPr>
        <w:t>On May 16, 2018, we completed a $40.0 million securitization of residual interests from previously issued securitizations.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The notes were paid off in February 2022.</w:t>
      </w:r>
    </w:p>
    <w:p>
      <w:pPr>
        <w:spacing w:after="0" w:line="18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On June 30, 2021, we completed a $50 million securitization of residual interests from other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December 31, 2023 there was $50.0 million outstanding under this facility.</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agreed valuation of the collateral for the 2021-1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On each monthly payment date, the 2021-1 Notes are entitled to interest at the coupon rate and, if necessary, a principal payment necessary to maintain a specified minimum collateral ratio.</w:t>
      </w:r>
    </w:p>
    <w:p>
      <w:pPr>
        <w:spacing w:after="0" w:line="178" w:lineRule="exact"/>
        <w:rPr>
          <w:sz w:val="20"/>
          <w:szCs w:val="20"/>
          <w:color w:val="auto"/>
        </w:rPr>
      </w:pPr>
    </w:p>
    <w:p>
      <w:pPr>
        <w:jc w:val="both"/>
        <w:ind w:right="20"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Securitization Trust Debt. </w:t>
      </w:r>
      <w:r>
        <w:rPr>
          <w:rFonts w:ascii="Times New Roman" w:cs="Times New Roman" w:eastAsia="Times New Roman" w:hAnsi="Times New Roman"/>
          <w:sz w:val="18"/>
          <w:szCs w:val="18"/>
          <w:color w:val="auto"/>
        </w:rPr>
        <w:t>Since 2011, we treated all 49 of our securitizations of automobile contracts as secured financings for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and the asset-backed securities issued in such securitizations remain on our consolidated balance sheet as securitization trust debt. We had $2,265.4 million of securitization trust debt outstanding at December 31, 2023.</w:t>
      </w:r>
    </w:p>
    <w:p>
      <w:pPr>
        <w:spacing w:after="0" w:line="17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Subordinated Renewable Notes Debt. </w:t>
      </w:r>
      <w:r>
        <w:rPr>
          <w:rFonts w:ascii="Times New Roman" w:cs="Times New Roman" w:eastAsia="Times New Roman" w:hAnsi="Times New Roman"/>
          <w:sz w:val="18"/>
          <w:szCs w:val="18"/>
          <w:color w:val="auto"/>
        </w:rPr>
        <w:t>In June 2005, we began issuing registered subordinated renewable notes in an ongoing offering to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2023 there were $17.2 million of such notes outstanding.</w:t>
      </w:r>
    </w:p>
    <w:p>
      <w:pPr>
        <w:spacing w:after="0" w:line="18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2023, we were in compliance with all such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6" w:name="page57"/>
    <w:bookmarkEnd w:id="56"/>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usually structured our term securitization transactions to include pre-funding structures, whereby the amount of notes issued exceeds the amount of contracts initially sold to the trusts. We may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This report includes Consolidated Financial Statements, notes thereto and an Independent Auditors’ Report, at the pages indicated below, in the “Index to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Under the supervision and with the participation of the Company’s Chief Executive Officer and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management of the Company has evaluated the effectiveness of the design and operation of the Company’s disclosure controls and procedures, as defined in Rules 13a-15(e) and 15d-15(e) under the Securities Exchange Act of 1934 (the “Exchange Act”) as of December 31, 2023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85"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 Control. </w:t>
      </w:r>
      <w:r>
        <w:rPr>
          <w:rFonts w:ascii="Times New Roman" w:cs="Times New Roman" w:eastAsia="Times New Roman" w:hAnsi="Times New Roman"/>
          <w:sz w:val="18"/>
          <w:szCs w:val="18"/>
          <w:color w:val="auto"/>
        </w:rPr>
        <w:t>Management’s Report on Internal Control over Financial Reporting is included in this Annual Report, immediately below.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quarter ended December 31, 2023, there were no changes in our internal control over financial reporting that have materially affected, or are reasonably likely to materially affect, our internal control over financial reporting.</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We are responsible for establishing and maintaining adequate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75"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Management, with the participation of the Chief Executive and Chief Financial Officers, assessed the effectiveness of our internal control over financial reporting as of December 31, 2023.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2023, our internal control over financial reporting is effective based on those criteria.</w:t>
      </w:r>
    </w:p>
    <w:p>
      <w:pPr>
        <w:spacing w:after="0" w:line="183"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December 31, 2023, has been audited by Crowe LLP, an independent registered public accounting firm, as stated in their report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no director or officer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the Company’s directors, their principal occupations, and certain other information regarding them are set forth below.</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Charles E. Bradley, Jr</w:t>
      </w:r>
      <w:r>
        <w:rPr>
          <w:rFonts w:ascii="Times New Roman" w:cs="Times New Roman" w:eastAsia="Times New Roman" w:hAnsi="Times New Roman"/>
          <w:sz w:val="18"/>
          <w:szCs w:val="18"/>
          <w:color w:val="auto"/>
        </w:rPr>
        <w:t>., 64, has been the Company’s Chief Executive Officer since January 1992, a director since the Company’s formation in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1991, and was elected Chairman of the Board of Directors in July 2001. Prior to that he was President of the Company from March 1991 to December 2022. From April 1989 to November 1990, he served as Chief Operating Officer of Barnard and Company, a private investment firm. From September 1987 to March 1989, Mr. Bradley, Jr. was an associate of The Harding Group, a private investment banking firm. Having been with the Company since its inception, Mr. Bradley brings comprehensive knowledge of the Company’s business, structure, history and culture to the Board and the Chairman position.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Stephen H. Deckoff</w:t>
      </w:r>
      <w:r>
        <w:rPr>
          <w:rFonts w:ascii="Times New Roman" w:cs="Times New Roman" w:eastAsia="Times New Roman" w:hAnsi="Times New Roman"/>
          <w:sz w:val="18"/>
          <w:szCs w:val="18"/>
          <w:color w:val="auto"/>
        </w:rPr>
        <w:t>, 58, has been a director of the Company since August 2022. Mr. Deckoff has been the Managing Principal of Black Diamond,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L.L.C., (“Black Diamond”), a privately held alternative asset management firm, since its founding in 1995. Prior to 1995, Mr. Deckoff was a Senior Vice President of Kidder, Peabody &amp; Co. Inc. (“Kidder”) and head of its Structured Finance Group. Prior to joining Kidder, Mr. Deckoff was a Managing Director in the Structured Finance Group at Bear Stearns &amp; Co., Inc. (“Bear Stearns”) Before joining Bear Stearns, Mr. Deckoff worked in the Structured Finance Department of Chemical Securities, Inc. and the Fixed Income Research Department at Drexel Burnham Lambert. In June 2023, Mr. Deckoff joined the Board of KVH Industries, Inc., a publicly traded company providing connectivity solutions to primarily maritime customers globally. Mr. Deckoff brings to the Board his extensive financial experience and expertise.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Louis M. Grasso</w:t>
      </w:r>
      <w:r>
        <w:rPr>
          <w:rFonts w:ascii="Times New Roman" w:cs="Times New Roman" w:eastAsia="Times New Roman" w:hAnsi="Times New Roman"/>
          <w:sz w:val="18"/>
          <w:szCs w:val="18"/>
          <w:color w:val="auto"/>
        </w:rPr>
        <w:t>, 77, has been a director of the Company since October 2019. Mr. Grasso was the founder and majority owner of PFC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(“PFC”) until his retirement in November 2011, upon sale of PFC’s portfolio of assets to Capstone Realty Advisors. Over a period of 35 years, PFC Corporation originated over $1.8 billion of mortgage loans, and issued $1.8 billion of mortgage-backed securities. He brings to the Board knowledge and experience bearing in particular on the Company’s strategies for meeting its capital requirements, and broad organizational and management skills.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William W. Grounds</w:t>
      </w:r>
      <w:r>
        <w:rPr>
          <w:rFonts w:ascii="Times New Roman" w:cs="Times New Roman" w:eastAsia="Times New Roman" w:hAnsi="Times New Roman"/>
          <w:sz w:val="18"/>
          <w:szCs w:val="18"/>
          <w:color w:val="auto"/>
        </w:rPr>
        <w:t>, 68, has been a director of the Company since December 2021. From 2008 to 2021, he was the President and COO of Infinity World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Corp, the principal business of which was a was a $5 billion investment in the CityCenter mixed use integrated resort property located in Las Vegas, Nevada. Mr. Grounds served on the board of MGM Resorts International, a hospitality and entertainment company, from 2013 to 2021 and of Remark Holdings Inc., a technology company, from 2013 to 2019. Mr. Grounds joined the Board of PointsBet Holdings Limited, an Australian sports wagering operator and iGaming provider, in December 2022. During his career he has held senior executive positions in major real estate private equity investment, development and construction entities. Mr. Grounds brings to the Board experience as a director of publicly-traded companies, and skills in investment and general management.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Brian J. Rayhill</w:t>
      </w:r>
      <w:r>
        <w:rPr>
          <w:rFonts w:ascii="Times New Roman" w:cs="Times New Roman" w:eastAsia="Times New Roman" w:hAnsi="Times New Roman"/>
          <w:sz w:val="18"/>
          <w:szCs w:val="18"/>
          <w:color w:val="auto"/>
        </w:rPr>
        <w:t>, 61, has been a director of the Company since August 2006. Mr. Rayhill has been a practicing attorney in New York State since 1988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managing attorney of the Law Office of Bian Rayhill for the past five years. As an experienced advocate, counselor and litigator, Mr. Rayhill brings legal knowledge and perspective to the Company’s Board.</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William B. Roberts</w:t>
      </w:r>
      <w:r>
        <w:rPr>
          <w:rFonts w:ascii="Times New Roman" w:cs="Times New Roman" w:eastAsia="Times New Roman" w:hAnsi="Times New Roman"/>
          <w:sz w:val="18"/>
          <w:szCs w:val="18"/>
          <w:color w:val="auto"/>
        </w:rPr>
        <w:t>, 86, has been a director of the Company since its formation in March 1991. From 1981 until his retirement at the end of 2020,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of Monmouth Capital Corp., an investment firm that specializes in management buyouts. Having spent decades in the business of finance, Mr. Roberts brings to the Company’s Board his perspective and judgment regarding means of financing its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James E. Walker III</w:t>
      </w:r>
      <w:r>
        <w:rPr>
          <w:rFonts w:ascii="Times New Roman" w:cs="Times New Roman" w:eastAsia="Times New Roman" w:hAnsi="Times New Roman"/>
          <w:sz w:val="18"/>
          <w:szCs w:val="18"/>
          <w:color w:val="auto"/>
        </w:rPr>
        <w:t>, 61, has been a director of the Company since August 2022. Mr. Walker is Managing Partner and Founder of Vinson Ventures,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(“Vinson Ventures”), a boutique investment firm focused on building and growing early-stage companies, and the Executive Chairman of IntellPro, a SaaS based investment management software product for the asset management industry. Prior to starting Vinson Ventures, from June 2020 to August 2021, Mr. Walker served as CEO and Partner at Palm Ventures, LLC, a private investment firm in Greenwich, CT. From November 2017 to present, Mr. Walker has been a member of the board of directors of Starwood Real Estate Trust, a private real estate investment firm, and has served as the lead independent director. From 2018 to present, Mr. Walker has also served as a senior partner at Jadian Capital, an alternative investment firm. From 2008 through 2017, Mr. Walker was a Managing Partner of Fir Tree Partners (“Fir Tree”), a global alternative asset management firm. Prior to joining Fir Tree, Mr. Walker was a co-founder and Managing Partner of Black Diamond, a privately held alternative asset management firm. Mr. Walker began his career in investment banking at Kidder and Bear Stearns. In June 2023, Mr. Walker joined the board of Emeco, an Australian mining equipment rental business. Mr. Walker has served as a director of Clarus Corporation, a publicly traded company focused on the outdoor and consumer enthusiast markets, since February 2022. Mr. Walker also became a member of the advisory board for certain funds managed by Black Diamond in January 2022. Mr. Walker brings to the Board his extensive investment management experience.</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Gregory S. Washer</w:t>
      </w:r>
      <w:r>
        <w:rPr>
          <w:rFonts w:ascii="Times New Roman" w:cs="Times New Roman" w:eastAsia="Times New Roman" w:hAnsi="Times New Roman"/>
          <w:sz w:val="18"/>
          <w:szCs w:val="18"/>
          <w:color w:val="auto"/>
        </w:rPr>
        <w:t>, 62, has been a director of the Company since June 2007. He was the President and owner of Clean Fun Promotional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(“Clean Fun”), a promotional marketing company, from its founding in 1986 through its sale in September 2014. He continued to act as a consultant to Clean Fun through August 2017, and is now retired. Mr. Washer contributes to the Board significant organizational and operational management skills, combined with a wealth of experience in promotion and marketing of services.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Daniel S. Wood</w:t>
      </w:r>
      <w:r>
        <w:rPr>
          <w:rFonts w:ascii="Times New Roman" w:cs="Times New Roman" w:eastAsia="Times New Roman" w:hAnsi="Times New Roman"/>
          <w:sz w:val="18"/>
          <w:szCs w:val="18"/>
          <w:color w:val="auto"/>
        </w:rPr>
        <w:t>, 65, has been a director of the Company since July 2001. Mr. Wood was President of Carclo Technical Plastics (“Carclo”), a manufacturer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custom injection moldings, from September 2000 until his retirement in April 2007. Previously, from 1988 to September 2000, he was the Chief Operating Officer and co-owner of Carrera Corporation, the predecessor to the business of Carclo Technical Plastics. As President of Carclo, Mr. Wood was responsible for the overall operation of that company and for the quality and integrity of its financial statements. He brings to the Board the knowledge and perspective useful in evaluating the Company’s financial statements, and broad organizational and management skills.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regarding the Company’s executive officers set forth in Part I of this report under the caption “Information about Our Executive Officers”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Ethics for Senior Financial Officers, which applies to the Company’s chief executive officer, chief financial officer, controller and others. A copy of the Code of Ethics may be obtained at no charge by written request to the Corporate Secretary at the Company’s principal executive offices.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and Other Committees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(the “Board”) has established an Audit Committee, a Compensation Committee, and a Nominating Committee. Each of these three committees operates under a written charter, adopted by the Board of Directors. The charters are available on the Company’s website, https://ir.consumerportfolio.com/corporate-governance. The Board of Directors has concluded that each member of these three committees (every director other than Mr. Bradley, the Company’s chief executive officer), is independent in accordance with the director independence standards prescribed by Nasdaq, and has determined that none of them have a material relationship with the Company that would impair their independence from management or otherwise compromise the ability to act as an independent director.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The members of the Audit Committee are Mr. Rayhill (chairman), Mr. Grasso, Mr. Washer, and Mr. Wood. The Board has determined that each Audit Committee member is independent as defined under Nasdaq Listing Rules and Rule 10A-3(b)(1) of the Exchange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empowered by the Board of Directors to review the financial books and records of the Company in consultation with the Company’s accounting and auditing staff and its independent auditors and to review with the accounting staff and independent auditors any questions that may arise with respect to accounting and auditing policy and procedure.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further determined that Mr. Wood has the qualifications and experience necessary to serve as an “audit committee financial expert” as such term is defined in Item 407 of Regulation S-K promulgated by the SEC. Mr. Wood, as president of Carclo, was responsible for the preparation and evaluation of the audited financial statements of that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Compensation Committee are Mr. Wood (chairman), Mr. Grounds, and Mr. Roberts.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the Company’s management the Compensation Discussion and Analysis contained in this report. Based on such review and discussions and relying thereon, the Compensation Committee has recommended to the Company’s Board of Directors that the Compensation Discussion and Analysis set forth below be included in the Company’s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ind w:left="2340"/>
        <w:spacing w:after="0"/>
        <w:tabs>
          <w:tab w:leader="none" w:pos="5100" w:val="left"/>
          <w:tab w:leader="none" w:pos="7480" w:val="left"/>
        </w:tabs>
        <w:rPr>
          <w:sz w:val="20"/>
          <w:szCs w:val="20"/>
          <w:color w:val="auto"/>
        </w:rPr>
      </w:pPr>
      <w:r>
        <w:rPr>
          <w:rFonts w:ascii="Times New Roman" w:cs="Times New Roman" w:eastAsia="Times New Roman" w:hAnsi="Times New Roman"/>
          <w:sz w:val="18"/>
          <w:szCs w:val="18"/>
          <w:color w:val="auto"/>
        </w:rPr>
        <w:t>Daniel S. Wood (chairman)</w:t>
      </w:r>
      <w:r>
        <w:rPr>
          <w:sz w:val="20"/>
          <w:szCs w:val="20"/>
          <w:color w:val="auto"/>
        </w:rPr>
        <w:tab/>
      </w:r>
      <w:r>
        <w:rPr>
          <w:rFonts w:ascii="Times New Roman" w:cs="Times New Roman" w:eastAsia="Times New Roman" w:hAnsi="Times New Roman"/>
          <w:sz w:val="18"/>
          <w:szCs w:val="18"/>
          <w:color w:val="auto"/>
        </w:rPr>
        <w:t>William W. Grounds</w:t>
      </w:r>
      <w:r>
        <w:rPr>
          <w:sz w:val="20"/>
          <w:szCs w:val="20"/>
          <w:color w:val="auto"/>
        </w:rPr>
        <w:tab/>
      </w:r>
      <w:r>
        <w:rPr>
          <w:rFonts w:ascii="Times New Roman" w:cs="Times New Roman" w:eastAsia="Times New Roman" w:hAnsi="Times New Roman"/>
          <w:sz w:val="17"/>
          <w:szCs w:val="17"/>
          <w:color w:val="auto"/>
        </w:rPr>
        <w:t>William B. Roberts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Say-on-Pay Advisory Vote Outcome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annually considers the results of the most recent advisory vote by shareholders to approve executive officer compensation. In the 2023 advisory vote, a majority of the voted shares (71%) approved of the compensation of our named executive officers. The Compensation Committee interprets that vote as a reason to retain the existing design, purposes and structure of our executive compensation programs. The Compensation Committee will continue to consider the results from future shareholder advisory votes regarding executive officer compensation in its future administration of executive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Objectives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objectives with respect to compensation are several. The significant objectives are to cause compensation (i) to be sufficient in total amount to provide reasonable assurance of retaining key executives, (ii) to include a significant contingent component, so as to provide strong incentives to meet designated Company objectives, and (iii) to include a significant component tied to the price of the Common Stock, so as to align management’s incentives with shareholder interests. The Compensation Committee (“Committee”) of the Company’s Board of Directors is charged with administering the Company’s compensation plans to meet those objectives. To the extent that elements of compensation would not advance such objectives, or would do so less effectively than would other elements, the Committee seeks to avoid paying compensation in those forms.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 and the chief executive officer</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authorized the Compensation Committee, which is composed solely of independent directors, to make all decisions regarding executive compensation, including administration of our compensation plans. In that regard, the Compensation Committee:</w:t>
      </w:r>
    </w:p>
    <w:p>
      <w:pPr>
        <w:spacing w:after="0" w:line="162" w:lineRule="exact"/>
        <w:rPr>
          <w:sz w:val="20"/>
          <w:szCs w:val="20"/>
          <w:color w:val="auto"/>
        </w:rPr>
      </w:pPr>
    </w:p>
    <w:p>
      <w:pPr>
        <w:ind w:left="98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factors underlying our compensation policies and decisions, including overall compensation objectives;</w:t>
      </w:r>
    </w:p>
    <w:p>
      <w:pPr>
        <w:ind w:left="98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company goals and objectives (both financial and non-financial) relevant to the compensation of the chief executive officer;</w:t>
      </w:r>
    </w:p>
    <w:p>
      <w:pPr>
        <w:ind w:left="98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together with the other independent directors, the performance of the chief executive officer in light of these goals and objectives and that individual’s overall effectiveness;</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Fixes and approves each element of the compensation of the chief executive officer;</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performance evaluations of all other members of executive management (the chief executive officer prepares and presents to the Compensation Committee the performance evaluations of the other executive officers);</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each element of compensation, as well as the terms and conditions of employment, of those other executive officers;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awards under our equity compensation plans and oversees the administration of those plans;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costs and structure of our key employee benefit and fringe-benefit plans and programs.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authorized to form subcommittee(s) and to retain experts and consultants to assist in the discharge of its responsibilities.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it has not done so.</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chief executive officer, who attends meetings of the Compensation Committee by invitation of the Committee’s chairman, assists the Committee in determining the compensation of our other executive officers by, among other things:</w:t>
      </w:r>
    </w:p>
    <w:p>
      <w:pPr>
        <w:spacing w:after="0" w:line="16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annual merit increases to the base salaries of the other executive officers;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annual individual performance objectives for the other executive officers and evaluating their performance against such objectives (the Committee reviews these performance evaluations); and</w:t>
      </w:r>
    </w:p>
    <w:p>
      <w:pPr>
        <w:ind w:left="980" w:hanging="324"/>
        <w:spacing w:after="0" w:line="26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from time to time, for special stock option and restricted stock grants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for motivational or retention purposes) to other executive officers.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other executive officers do not have a role in determining their own compensation, other than to discuss their annual individual performance objectives and results achieved with the chief executive officer.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Overall Approach</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has put into place a compensation system consisting of three key components: base salary, an annual cash bonus pursuant to an incentive plan, and long-term equity incentives in the form of stock options.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comparative information regarding the components of our year 2023 executive compensation program. We are applying the same elements in our executive compensation program for the year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Element</w:t>
            </w:r>
          </w:p>
        </w:tc>
        <w:tc>
          <w:tcPr>
            <w:tcW w:w="1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i w:val="1"/>
                <w:iCs w:val="1"/>
                <w:color w:val="auto"/>
              </w:rPr>
              <w:t>Form</w:t>
            </w:r>
          </w:p>
        </w:tc>
        <w:tc>
          <w:tcPr>
            <w:tcW w:w="7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Objectives and Basis</w:t>
            </w:r>
          </w:p>
        </w:tc>
      </w:tr>
      <w:tr>
        <w:trPr>
          <w:trHeight w:val="209"/>
        </w:trPr>
        <w:tc>
          <w:tcPr>
            <w:tcW w:w="2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70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Cash</w:t>
            </w:r>
          </w:p>
        </w:tc>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 Attract and retain high quality personnel</w:t>
            </w:r>
          </w:p>
        </w:tc>
      </w:tr>
      <w:tr>
        <w:trPr>
          <w:trHeight w:val="216"/>
        </w:trPr>
        <w:tc>
          <w:tcPr>
            <w:tcW w:w="23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 Targeted to be superior to compensation offered by our competitors</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 Incentive Bonus</w:t>
            </w:r>
          </w:p>
        </w:tc>
        <w:tc>
          <w:tcPr>
            <w:tcW w:w="170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Cash</w:t>
            </w:r>
          </w:p>
        </w:tc>
        <w:tc>
          <w:tcPr>
            <w:tcW w:w="7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 Achieve objectives set annually</w:t>
            </w:r>
          </w:p>
        </w:tc>
      </w:tr>
      <w:tr>
        <w:trPr>
          <w:trHeight w:val="216"/>
        </w:trPr>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Annual bonus amount is set and computed as a percentage of base salary</w:t>
            </w:r>
          </w:p>
        </w:tc>
      </w:tr>
      <w:tr>
        <w:trPr>
          <w:trHeight w:val="216"/>
        </w:trPr>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Actual payout determined by Company and individual performance</w:t>
            </w:r>
          </w:p>
        </w:tc>
      </w:tr>
      <w:tr>
        <w:trPr>
          <w:trHeight w:val="216"/>
        </w:trPr>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 Target total cash (base salary + target bonus) designed to be superior to compensation offered by</w:t>
            </w:r>
          </w:p>
        </w:tc>
      </w:tr>
      <w:tr>
        <w:trPr>
          <w:trHeight w:val="234"/>
        </w:trPr>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our competitors</w:t>
            </w:r>
          </w:p>
        </w:tc>
      </w:tr>
      <w:tr>
        <w:trPr>
          <w:trHeight w:val="216"/>
        </w:trPr>
        <w:tc>
          <w:tcPr>
            <w:tcW w:w="2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Incentive</w:t>
            </w:r>
          </w:p>
        </w:tc>
        <w:tc>
          <w:tcPr>
            <w:tcW w:w="170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Stock options</w:t>
            </w:r>
          </w:p>
        </w:tc>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 Align interests of executives with those of shareholders;</w:t>
            </w:r>
          </w:p>
        </w:tc>
      </w:tr>
      <w:tr>
        <w:trPr>
          <w:trHeight w:val="198"/>
        </w:trPr>
        <w:tc>
          <w:tcPr>
            <w:tcW w:w="23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Compensation</w:t>
            </w:r>
          </w:p>
        </w:tc>
        <w:tc>
          <w:tcPr>
            <w:tcW w:w="1700" w:type="dxa"/>
            <w:vAlign w:val="bottom"/>
            <w:shd w:val="clear" w:color="auto" w:fill="EEEEEE"/>
          </w:tcPr>
          <w:p>
            <w:pPr>
              <w:spacing w:after="0"/>
              <w:rPr>
                <w:sz w:val="17"/>
                <w:szCs w:val="17"/>
                <w:color w:val="auto"/>
              </w:rPr>
            </w:pPr>
          </w:p>
        </w:tc>
        <w:tc>
          <w:tcPr>
            <w:tcW w:w="724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 Target long-term incentive award size designed to retain executives through long-term vesting</w:t>
            </w:r>
          </w:p>
        </w:tc>
      </w:tr>
      <w:tr>
        <w:trPr>
          <w:trHeight w:val="234"/>
        </w:trPr>
        <w:tc>
          <w:tcPr>
            <w:tcW w:w="230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72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and the potential for wealth accumulation, contingent on benefit to the shareholders</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 has from time to time considered providing additional elements of executive compensation. It has considered elements such as restricted stock awards, restricted stock units, compensation contingent on a change in control, defined benefit pension plans, deferred cash compensation, and supplemental retirement plans (supplemental in the sense that they exceed the limits for tax advantaged treatment). To date, the Committee has elected not to pay compensation in such forms, having determined that the Company’s objectives are better met by one or more of the elements of compensation that it does pay.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Regarding restricted stock and restricted stock units, the Committee has noted that any form of equity equivalent to or closely tied to common stock does serve to meet the objective of aligning officers’ personal interest with that of the shareholders generally. The Committee believes, however, that the objective is better met by grants of stock options than by grants of share equivalents, because recipients of the grants will face the same degree of variance in results at a lesser cost to the Company, when option grants are compared to grants of restricted stock units. Further, unlike restricted stock, option grants will not provide a reward to the holder absent an improvement over time in the Company’s stock price. The Committee has elected not to provide material perquisites as compensation, having determined that cash is a better medium of exchange.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Regarding compensation that would be payable contingent on a change in control of the Company, the Committee believes that there are certain legitimate objectives to be met by such contingent compensation. As of the date of this report, however, no such contingent compensation plans are in place. Regarding defined benefit pension plans, deferred cash compensation and supplemental retirement plans, the Committee believes that the Company’s retention objective is better met by straight cash payments, whether in the form of base salary or in the form of bonus compensation. In particular with respect to plans for deferred compensation, the Committee believes those make sense for the Company and for the recipient only on the basis of assumptions regarding future tax rates payable by each. Having no assurance that such assumptions would be correct, the Committee has chosen not to put into place any special deferred compensation programs for the company’s executive officers. Those officers do participate in a company-sponsored tax-deferred savings plan, commonly known as a 401(k) plan, on the same terms available to company employees generally.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may in the future revisit its conclusions as to any of the components discussed above, or may consider other forms of compensation.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The Base Salary Element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retention objective, the Committee considers an executive’s base salary to be the most critical component. Acting primarily on the basis of recommendations of the chief executive officer, the Committee adjusts other officers’ base salaries annually, with the adjustment generally consisting of a 2% to 10% increase from the prior year’s rate. Where exceptional circumstances apply, such as recruitment of a new executive officer, a promotion to executive officer status or a special need to retain an individual officer, the chief executive officer may recommend, and the Committee may approve, a larger increase.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general approach in setting the annual compensation of its named executive officers is to set those officers’ base compensation by reference to their base rates for the preceding year. During the year ended December 2023 the Company’s chief executive officer, Charles E. Bradley, Jr., received $995,000 in base salary. In setting that rate in the first quarter of 2023, the Committee considered the base salary rate that the Company had paid in the prior year ($995,000), the desirability of providing an annual increase, the desirability of ensuring retention of the services of the Company’s incumbent chief executive officer, the Company’s financial performance, and the levels of chief executive officer compensation prevailing among other financial services companies. The Committee considered whether to adjust officers’ base compensation for 2023, and determined not to increase the base rate for the chief executive officer. The Committee increased the base rate for each of the other named executive officers in conjunction with each of their respective promotions in late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Annual Incentive Bonus (Executive Management Bonus Plan) Element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encourage executive officers and key management personnel to exercise their best efforts and management skills toward causing the Company to meet its overall objective, and toward achieving designated specific individual objectives, the Company has implemented an Executive Management Bonus Plan, with annual payouts. Under the Company’s bonus plan as applied to the year ended December 2023 the Company’s president is eligible to receive a cash bonus of up to 160% of his base salary and the executive vice presidents are eligible to receive a cash bonus of up to 140% of their base salaries. The chief executive officer is eligible to receive a cash bonus of up to 600% of his base salary. The Committee is expected to evaluate each named executive officer’s performance and determine the amount of the Executive Management Bonus Plan award earned by the end of June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Long-Term Incentive Compensation Element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also awards incentive and non-qualified stock options under the Company’s stock option plans. Such awards are designed to assist in the retention of key executives and management personnel and to create an incentive to create shareholder value over a sustained period of time. The Company believes that stock options are a valuable tool in compensating and retaining employees. Because the exercise price of all options granted is equal to or above the fair market value of the Company’s common stock on the date of grant, the option holders may realize value only if the stock price appreciates from the price on the date the options were granted. This design is intended to focus executives on the enhancement of shareholder value over the long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Committee did not grant stock options to the Company’s executive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Elements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maintains certain broad-based employee benefit plans, such as medical and dental insurance, and a qualified defined contribution retirement savings plan (401(k) plan), in which executive officers are permitted to participate. Such officers participate on the same terms as non-executive personnel who meet applicable eligibility criteria, and are subject to any legal limitations on the amounts that may be contributed or the benefits that may be payable under the plans. The Company does not maintain any form of defined benefit pension or retirement plan in which executive officers may participate, nor does it maintain any form of supplemental retirement savings or supplemental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Exercise of Discretion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exercising its discretion as to the level of executive compensation and its components, the Committee considers a number of factors. Members of the Committee conduct informal surveys of compensation paid to comparable executives within and without the consumer finance industry. The Committee finds these data useful primarily in evaluating the overall level of compensation paid or to be paid to the Company’s executive officers. Financial factors considered include earnings, revenue, originations, and budget attainment. Operational factors considered include individual and group management goals; indicators of the performance and credit quality of the Company’s servicing portfolio, including levels of delinquencies and charge-offs; and indicators of successful management of personnel, including employee stability. All of such factors are assessed with reference to the judgment of the Committee as to the degree of difficulty of achieving desired outcomes. With respect to payment of annual bonuses and grants of stock options, the Committee also takes note of factors relating to the degree of the Company’s success over the most recent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Specific Objectives and Evaluation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2023 the Compensation Committee designated specific objectives with respect to the chief executive officer to be accomplished within the year 2023, and fixed weights to be associated with each such objective. The chief executive officer proposed to the Compensation Committee specific annual objectives with respect to each other executive officer of the company, which the Committee approved. The Compensation Committee anticipates evaluating the named executive officers’ performance in comparison to the goals, determining whether each of these objectives were met, and determining the amount of the Executive Management Bonus Plan award earned by each named executive officer by the end of June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Options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did not award of stock options to the Company’s officers in 2023. In determining not to make such grant, the Committee considered the various factors noted above with respect to option grants generally.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Hedging and Pledging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and Compensation Committee have considered whether to establish a minimum stock ownership goal for members of our senior management. We have elected not to do so, considering that such a policy would either be strict and mandatory, in which case it would undermine the compensatory objectives of our equity compensation plans, or would be merely hortatory, in which case it could be expected to have little effect. We’ve also noted that the multiyear vesting terms of the equity incentives granted under our plans have the effect of aligning our executives’ individual personal financial incentives with the future price performance of the Company’s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comprehensive compliance policy, we remind all company executive officers of the mandatory legal prohibition on selling short company shares. We also prohibit company executive officers from entering into transactions that would have the effect of causing those individuals to benefit from a decline in the price of the company stock, such as the purchase of “put” options. We prohibit such “hedging” transactions but we do not find it appropriate to prohibit our executive officers from pledging their shares of company stock as security for a loan. We believe that the beneficial incentives of owning company stock remain substantially the same with or without such a pledge.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all compensation earned during the three fiscal years ended December 31, 2023 by the Company’s chief executive officer, its chief financial officer, and the other three most highly compensated individuals (such five individuals, the “named executive officers”) who were serving in such position or as executive officers at any time in 2023. It lists their names, their principal positions in which they served in those years, and each component of compensation paid with respect to those years.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8"/>
              </w:rPr>
              <w:t>Non-Equity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9"/>
              </w:rPr>
              <w:t>Incentive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9"/>
              </w:rPr>
              <w:t>Plan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All Other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Compensation</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Option</w:t>
            </w: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Compensation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 and Principal Position (1)</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Year</w:t>
            </w:r>
          </w:p>
        </w:tc>
        <w:tc>
          <w:tcPr>
            <w:tcW w:w="16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Salary</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w w:val="96"/>
              </w:rPr>
              <w:t>Awards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210"/>
        </w:trPr>
        <w:tc>
          <w:tcPr>
            <w:tcW w:w="40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Charles E. Bradley, Jr.</w:t>
            </w:r>
          </w:p>
        </w:tc>
        <w:tc>
          <w:tcPr>
            <w:tcW w:w="1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995,342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995,000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3,980,000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5,885,850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10,861,201</w:t>
            </w:r>
          </w:p>
        </w:tc>
      </w:tr>
      <w:tr>
        <w:trPr>
          <w:trHeight w:val="216"/>
        </w:trPr>
        <w:tc>
          <w:tcPr>
            <w:tcW w:w="4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995,000</w:t>
            </w: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2,900,000</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795,300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4,690,660</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Michael T. Lavin</w:t>
            </w:r>
          </w:p>
        </w:tc>
        <w:tc>
          <w:tcPr>
            <w:tcW w:w="9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452,000</w:t>
            </w: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452,342</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411,000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1,434,551</w:t>
            </w:r>
          </w:p>
        </w:tc>
      </w:tr>
      <w:tr>
        <w:trPr>
          <w:trHeight w:val="216"/>
        </w:trPr>
        <w:tc>
          <w:tcPr>
            <w:tcW w:w="418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&amp; Chief Operating Officer</w:t>
            </w:r>
          </w:p>
        </w:tc>
        <w:tc>
          <w:tcPr>
            <w:tcW w:w="9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411,000</w:t>
            </w: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238,590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1,224,950</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Danny Bharwani</w:t>
            </w:r>
          </w:p>
        </w:tc>
        <w:tc>
          <w:tcPr>
            <w:tcW w:w="9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371,000</w:t>
            </w: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371,342</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331,000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954,151</w:t>
            </w:r>
          </w:p>
        </w:tc>
      </w:tr>
      <w:tr>
        <w:trPr>
          <w:trHeight w:val="216"/>
        </w:trPr>
        <w:tc>
          <w:tcPr>
            <w:tcW w:w="418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&amp; Chief Financial Officer</w:t>
            </w: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Teri L. Robinson</w:t>
            </w:r>
          </w:p>
        </w:tc>
        <w:tc>
          <w:tcPr>
            <w:tcW w:w="9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386,000</w:t>
            </w: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386,342</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368,000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1,068,151</w:t>
            </w:r>
          </w:p>
        </w:tc>
      </w:tr>
      <w:tr>
        <w:trPr>
          <w:trHeight w:val="216"/>
        </w:trPr>
        <w:tc>
          <w:tcPr>
            <w:tcW w:w="418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 Sales &amp; Originations</w:t>
            </w:r>
          </w:p>
        </w:tc>
        <w:tc>
          <w:tcPr>
            <w:tcW w:w="9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368,000</w:t>
            </w: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403,000</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159,060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930,420</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Laurie A. Straten</w:t>
            </w:r>
          </w:p>
        </w:tc>
        <w:tc>
          <w:tcPr>
            <w:tcW w:w="9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386,000</w:t>
            </w: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386,342</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368,000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1,028,151</w:t>
            </w:r>
          </w:p>
        </w:tc>
      </w:tr>
      <w:tr>
        <w:trPr>
          <w:trHeight w:val="216"/>
        </w:trPr>
        <w:tc>
          <w:tcPr>
            <w:tcW w:w="418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 Servicing</w:t>
            </w:r>
          </w:p>
        </w:tc>
        <w:tc>
          <w:tcPr>
            <w:tcW w:w="9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368,000</w:t>
            </w: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359,000</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159,060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886,420</w:t>
            </w:r>
          </w:p>
        </w:tc>
      </w:tr>
    </w:tbl>
    <w:p>
      <w:pPr>
        <w:spacing w:after="0" w:line="196" w:lineRule="exact"/>
        <w:rPr>
          <w:sz w:val="20"/>
          <w:szCs w:val="20"/>
          <w:color w:val="auto"/>
        </w:rPr>
      </w:pPr>
    </w:p>
    <w:p>
      <w:pPr>
        <w:ind w:left="920" w:hanging="453"/>
        <w:spacing w:after="0"/>
        <w:tabs>
          <w:tab w:leader="none" w:pos="9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Bharwani was appointed chief financial officer of the Company in September 2022.</w:t>
      </w:r>
    </w:p>
    <w:p>
      <w:pPr>
        <w:spacing w:after="0" w:line="29" w:lineRule="exact"/>
        <w:rPr>
          <w:rFonts w:ascii="Times New Roman" w:cs="Times New Roman" w:eastAsia="Times New Roman" w:hAnsi="Times New Roman"/>
          <w:sz w:val="18"/>
          <w:szCs w:val="18"/>
          <w:i w:val="1"/>
          <w:iCs w:val="1"/>
          <w:color w:val="auto"/>
        </w:rPr>
      </w:pPr>
    </w:p>
    <w:p>
      <w:pPr>
        <w:jc w:val="both"/>
        <w:ind w:left="920" w:hanging="453"/>
        <w:spacing w:after="0" w:line="250" w:lineRule="auto"/>
        <w:tabs>
          <w:tab w:leader="none" w:pos="9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 of the Non-Equity Incentive Plan Compensation award for 2023 is not calculable through the latest practicable date and this amount is expected to be determined by the end of June 2024. Such amount, when finally determined, will be disclosed in a filing under Item 5.02(f) of Form 8-K.</w:t>
      </w:r>
    </w:p>
    <w:p>
      <w:pPr>
        <w:spacing w:after="0" w:line="1" w:lineRule="exact"/>
        <w:rPr>
          <w:rFonts w:ascii="Times New Roman" w:cs="Times New Roman" w:eastAsia="Times New Roman" w:hAnsi="Times New Roman"/>
          <w:sz w:val="18"/>
          <w:szCs w:val="18"/>
          <w:i w:val="1"/>
          <w:iCs w:val="1"/>
          <w:color w:val="auto"/>
        </w:rPr>
      </w:pPr>
    </w:p>
    <w:p>
      <w:pPr>
        <w:jc w:val="both"/>
        <w:ind w:left="920" w:hanging="453"/>
        <w:spacing w:after="0" w:line="250" w:lineRule="auto"/>
        <w:tabs>
          <w:tab w:leader="none" w:pos="9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the dollar value accrued for financial accounting purposes in connection with the grant of such options, computed in accordance with Financial Accounting Standards Board Accounting Standards Codification Topic 718 and SFAS 123R. Value was estimated using a Black-Scholes model for 2021 and 2022. For the options granted on January 24, 2022, the weighted average fair value per option was $5.8558, based on assumptions of 4.11 years expected life, expected volatility of 75.26%, and a risk-free rate of 1.43%. For the options granted on June 24, 2022, the weighted average fair value per option was $4.98, based on assumptions of 4.11 years expected life, expected volatility of 75.15%, and a risk-free rate of 3.13%. For the year 2021 the weighted average fair value per option was $2.6510, based on assumptions of 4.11 years expected life, expected volatility of 71.38%, and a risk-free rate of 0.51%. No option awards were granted in 2023.</w:t>
      </w:r>
    </w:p>
    <w:p>
      <w:pPr>
        <w:spacing w:after="0" w:line="2" w:lineRule="exact"/>
        <w:rPr>
          <w:rFonts w:ascii="Times New Roman" w:cs="Times New Roman" w:eastAsia="Times New Roman" w:hAnsi="Times New Roman"/>
          <w:sz w:val="18"/>
          <w:szCs w:val="18"/>
          <w:i w:val="1"/>
          <w:iCs w:val="1"/>
          <w:color w:val="auto"/>
        </w:rPr>
      </w:pPr>
    </w:p>
    <w:p>
      <w:pPr>
        <w:ind w:left="920" w:hanging="453"/>
        <w:spacing w:after="0"/>
        <w:tabs>
          <w:tab w:leader="none" w:pos="9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Amounts in this column represent premiums paid by the Company for group life insurance.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Last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 ended December 31, 2023, we did not grant any options, stock awards, or stock appreciation rights to any of our named executive officers.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for awards under our Executive Management Bonus Plan, which are expected to be determined by the end of June 2024. The table below provides information regarding the awards for which the named executive officers are eligible for the year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8"/>
          </w:tcPr>
          <w:p>
            <w:pPr>
              <w:ind w:left="60"/>
              <w:spacing w:after="0"/>
              <w:rPr>
                <w:sz w:val="20"/>
                <w:szCs w:val="20"/>
                <w:color w:val="auto"/>
              </w:rPr>
            </w:pPr>
            <w:r>
              <w:rPr>
                <w:rFonts w:ascii="Times New Roman" w:cs="Times New Roman" w:eastAsia="Times New Roman" w:hAnsi="Times New Roman"/>
                <w:sz w:val="18"/>
                <w:szCs w:val="18"/>
                <w:i w:val="1"/>
                <w:iCs w:val="1"/>
                <w:color w:val="auto"/>
              </w:rPr>
              <w:t>Estimated future payouts under non-equity incentive plan awards</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w:t>
            </w:r>
          </w:p>
        </w:tc>
        <w:tc>
          <w:tcPr>
            <w:tcW w:w="16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i w:val="1"/>
                <w:iCs w:val="1"/>
                <w:color w:val="auto"/>
              </w:rPr>
              <w:t>Threshold</w:t>
            </w:r>
          </w:p>
        </w:tc>
        <w:tc>
          <w:tcPr>
            <w:tcW w:w="1460" w:type="dxa"/>
            <w:vAlign w:val="bottom"/>
            <w:tcBorders>
              <w:top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i w:val="1"/>
                <w:iCs w:val="1"/>
                <w:color w:val="auto"/>
              </w:rPr>
              <w:t>Target</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Maximum</w:t>
            </w:r>
          </w:p>
        </w:tc>
        <w:tc>
          <w:tcPr>
            <w:tcW w:w="100" w:type="dxa"/>
            <w:vAlign w:val="bottom"/>
          </w:tcPr>
          <w:p>
            <w:pPr>
              <w:spacing w:after="0"/>
              <w:rPr>
                <w:sz w:val="19"/>
                <w:szCs w:val="19"/>
                <w:color w:val="auto"/>
              </w:rPr>
            </w:pPr>
          </w:p>
        </w:tc>
      </w:tr>
      <w:tr>
        <w:trPr>
          <w:trHeight w:val="209"/>
        </w:trPr>
        <w:tc>
          <w:tcPr>
            <w:tcW w:w="58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EEEEEE"/>
          </w:tcPr>
          <w:p>
            <w:pPr>
              <w:ind w:left="13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5,970,000</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5,970,000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Lavin</w:t>
            </w:r>
          </w:p>
        </w:tc>
        <w:tc>
          <w:tcPr>
            <w:tcW w:w="160" w:type="dxa"/>
            <w:vAlign w:val="bottom"/>
          </w:tcPr>
          <w:p>
            <w:pPr>
              <w:spacing w:after="0"/>
              <w:rPr>
                <w:sz w:val="18"/>
                <w:szCs w:val="18"/>
                <w:color w:val="auto"/>
              </w:rPr>
            </w:pPr>
          </w:p>
        </w:tc>
        <w:tc>
          <w:tcPr>
            <w:tcW w:w="19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723,200</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723,200</w:t>
            </w:r>
          </w:p>
        </w:tc>
      </w:tr>
      <w:tr>
        <w:trPr>
          <w:trHeight w:val="216"/>
        </w:trPr>
        <w:tc>
          <w:tcPr>
            <w:tcW w:w="59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160" w:type="dxa"/>
            <w:vAlign w:val="bottom"/>
            <w:shd w:val="clear" w:color="auto" w:fill="EEEEEE"/>
          </w:tcPr>
          <w:p>
            <w:pPr>
              <w:spacing w:after="0"/>
              <w:rPr>
                <w:sz w:val="18"/>
                <w:szCs w:val="18"/>
                <w:color w:val="auto"/>
              </w:rPr>
            </w:pPr>
          </w:p>
        </w:tc>
        <w:tc>
          <w:tcPr>
            <w:tcW w:w="1960" w:type="dxa"/>
            <w:vAlign w:val="bottom"/>
            <w:gridSpan w:val="3"/>
            <w:shd w:val="clear" w:color="auto" w:fill="EEEEEE"/>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519,400</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519,400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Robinson</w:t>
            </w:r>
          </w:p>
        </w:tc>
        <w:tc>
          <w:tcPr>
            <w:tcW w:w="160" w:type="dxa"/>
            <w:vAlign w:val="bottom"/>
          </w:tcPr>
          <w:p>
            <w:pPr>
              <w:spacing w:after="0"/>
              <w:rPr>
                <w:sz w:val="18"/>
                <w:szCs w:val="18"/>
                <w:color w:val="auto"/>
              </w:rPr>
            </w:pPr>
          </w:p>
        </w:tc>
        <w:tc>
          <w:tcPr>
            <w:tcW w:w="19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540,400</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540,400</w:t>
            </w:r>
          </w:p>
        </w:tc>
      </w:tr>
      <w:tr>
        <w:trPr>
          <w:trHeight w:val="216"/>
        </w:trPr>
        <w:tc>
          <w:tcPr>
            <w:tcW w:w="59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Ms. Straten</w:t>
            </w:r>
          </w:p>
        </w:tc>
        <w:tc>
          <w:tcPr>
            <w:tcW w:w="160" w:type="dxa"/>
            <w:vAlign w:val="bottom"/>
            <w:shd w:val="clear" w:color="auto" w:fill="EEEEEE"/>
          </w:tcPr>
          <w:p>
            <w:pPr>
              <w:spacing w:after="0"/>
              <w:rPr>
                <w:sz w:val="18"/>
                <w:szCs w:val="18"/>
                <w:color w:val="auto"/>
              </w:rPr>
            </w:pPr>
          </w:p>
        </w:tc>
        <w:tc>
          <w:tcPr>
            <w:tcW w:w="1960" w:type="dxa"/>
            <w:vAlign w:val="bottom"/>
            <w:gridSpan w:val="3"/>
            <w:shd w:val="clear" w:color="auto" w:fill="EEEEEE"/>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540,400</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540,400</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“target” and “maximum” figures appearing in the table above represent the </w:t>
      </w:r>
      <w:r>
        <w:rPr>
          <w:rFonts w:ascii="Times New Roman" w:cs="Times New Roman" w:eastAsia="Times New Roman" w:hAnsi="Times New Roman"/>
          <w:sz w:val="18"/>
          <w:szCs w:val="18"/>
          <w:i w:val="1"/>
          <w:iCs w:val="1"/>
          <w:color w:val="auto"/>
        </w:rPr>
        <w:t>maximum</w:t>
      </w:r>
      <w:r>
        <w:rPr>
          <w:rFonts w:ascii="Times New Roman" w:cs="Times New Roman" w:eastAsia="Times New Roman" w:hAnsi="Times New Roman"/>
          <w:sz w:val="18"/>
          <w:szCs w:val="18"/>
          <w:color w:val="auto"/>
        </w:rPr>
        <w:t xml:space="preserve"> cash payout under the individual executives’ Executive Management Bonus Plan awards as of the date the incentive was fixed. The chief executive officer, Mr. Bradley, is eligible to receive a cash bonus of up to 600% of his base salary. The Company’s president, Mr. Lavin, is eligible to receive a cash bonus of up to 160% of his base salary. The other named executive officers, as executive vice presidents, are eligible to receive a cash bonus of up to 140% of their base salaries. The actual payout to each individual named in the table above has not been determined as of the date of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December 31, 2023 the number of unexercised options held by each of the named executive officers, the number of shares subject to then exercisable and unexercisable options held by such persons and the exercise price and expiration date of each such option. Each option referred to in the table was granted at an option price per share no less than the fair market value per share on the date of grant. None of such individuals holds a stock award; accordingly, only information concerning option awards is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Number of securities</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Number of securities</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underlying</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underlying</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8"/>
              </w:rPr>
              <w:t>unexercised options</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unexercised options</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(exercisable)</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(unexercisable)</w:t>
            </w:r>
          </w:p>
        </w:tc>
        <w:tc>
          <w:tcPr>
            <w:tcW w:w="40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Option exercise price</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Option expiration date</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w:t>
            </w:r>
          </w:p>
        </w:tc>
        <w:tc>
          <w:tcPr>
            <w:tcW w:w="1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187,500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562,500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T. Lavin</w:t>
            </w: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112,500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Danny Bharwani</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Teri L. Robinson</w:t>
            </w: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Laurie A. Straten</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80" w:hanging="392"/>
        <w:spacing w:after="0"/>
        <w:tabs>
          <w:tab w:leader="none" w:pos="58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Becomes exercisable as to the unexercisable portion on June 01, 2024.</w:t>
      </w:r>
    </w:p>
    <w:p>
      <w:pPr>
        <w:spacing w:after="0" w:line="29" w:lineRule="exact"/>
        <w:rPr>
          <w:rFonts w:ascii="Times New Roman" w:cs="Times New Roman" w:eastAsia="Times New Roman" w:hAnsi="Times New Roman"/>
          <w:sz w:val="18"/>
          <w:szCs w:val="18"/>
          <w:i w:val="1"/>
          <w:iCs w:val="1"/>
          <w:color w:val="auto"/>
        </w:rPr>
      </w:pPr>
    </w:p>
    <w:p>
      <w:pPr>
        <w:ind w:left="580" w:hanging="392"/>
        <w:spacing w:after="0"/>
        <w:tabs>
          <w:tab w:leader="none" w:pos="58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Becomes exercisable as to cumulative increments of one-half of the unexercisable portion on August 3, 2024 and 2025.</w:t>
      </w:r>
    </w:p>
    <w:p>
      <w:pPr>
        <w:spacing w:after="0" w:line="9" w:lineRule="exact"/>
        <w:rPr>
          <w:rFonts w:ascii="Times New Roman" w:cs="Times New Roman" w:eastAsia="Times New Roman" w:hAnsi="Times New Roman"/>
          <w:sz w:val="18"/>
          <w:szCs w:val="18"/>
          <w:i w:val="1"/>
          <w:iCs w:val="1"/>
          <w:color w:val="auto"/>
        </w:rPr>
      </w:pPr>
    </w:p>
    <w:p>
      <w:pPr>
        <w:ind w:left="580" w:hanging="392"/>
        <w:spacing w:after="0"/>
        <w:tabs>
          <w:tab w:leader="none" w:pos="58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Becomes exercisable as to cumulative increments of one-half of the unexercisable portion on January 24, 2025 and 2026.</w:t>
      </w:r>
    </w:p>
    <w:p>
      <w:pPr>
        <w:spacing w:after="0" w:line="9" w:lineRule="exact"/>
        <w:rPr>
          <w:rFonts w:ascii="Times New Roman" w:cs="Times New Roman" w:eastAsia="Times New Roman" w:hAnsi="Times New Roman"/>
          <w:sz w:val="18"/>
          <w:szCs w:val="18"/>
          <w:i w:val="1"/>
          <w:iCs w:val="1"/>
          <w:color w:val="auto"/>
        </w:rPr>
      </w:pPr>
    </w:p>
    <w:p>
      <w:pPr>
        <w:ind w:left="580" w:hanging="392"/>
        <w:spacing w:after="0"/>
        <w:tabs>
          <w:tab w:leader="none" w:pos="58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Becomes exercisable as to cumulative increments of one-third of the unexercisable portion on June 24, 2024, 2025 and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Option Exercises in Last Fiscal Year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five named executive officers exercised stock options during 2023. The table below shows the realized value and the number of options exercised for those individuals. None of our officers hold stock awards; accordingly, no stock awards vested during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w w:val="99"/>
              </w:rPr>
              <w:t>Value realized on</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Number of shares</w:t>
            </w:r>
          </w:p>
        </w:tc>
      </w:tr>
      <w:tr>
        <w:trPr>
          <w:trHeight w:val="236"/>
        </w:trPr>
        <w:tc>
          <w:tcPr>
            <w:tcW w:w="7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i w:val="1"/>
                <w:iCs w:val="1"/>
                <w:color w:val="auto"/>
              </w:rPr>
              <w:t>exercise (1)</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acquired on exercise</w:t>
            </w:r>
          </w:p>
        </w:tc>
      </w:tr>
      <w:tr>
        <w:trPr>
          <w:trHeight w:val="209"/>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2,505,504</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370,001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Mr. Lavin</w:t>
            </w: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956,700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1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975,100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Ms. Robinson</w:t>
            </w: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778,800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180,000</w:t>
            </w: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Ms. Straten</w:t>
            </w:r>
          </w:p>
        </w:tc>
        <w:tc>
          <w:tcPr>
            <w:tcW w:w="1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663,900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bl>
    <w:p>
      <w:pPr>
        <w:spacing w:after="0" w:line="196" w:lineRule="exact"/>
        <w:rPr>
          <w:sz w:val="20"/>
          <w:szCs w:val="20"/>
          <w:color w:val="auto"/>
        </w:rPr>
      </w:pPr>
    </w:p>
    <w:p>
      <w:pPr>
        <w:ind w:left="920" w:hanging="453"/>
        <w:spacing w:after="0" w:line="284" w:lineRule="auto"/>
        <w:tabs>
          <w:tab w:leader="none" w:pos="92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value realized is the difference between the fair market value of the Company’s common stock on the date of exercise (the closing price reported by Nasdaq) and the exercise price of the option.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Management Bonus Plan (Non-equity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salary and cash bonus of the named executive officers are determined by the Compensation Committee. The compensation appearing in the Summary Compensation Table above under the caption “Non-Equity Incentive Plan Compensation” is paid pursuant to an Executive Management Bonus Plan (the “EMB Plan”). The EMB Plan is administered by the Compensation Committee. Among other things, the Compensation Committee selects participants in the EMB Plan from among the Company’s executive officers and determines the performance goals, target amounts and other terms and conditions of awards under the EMB Plan. With respect to officers other than the chief executive officer, determinations of base salary and of criteria relating to the EMB Plan are based in part on evaluations of such officers prepared by the chief executive officer, which are furnished to and discussed with the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Throughout 2023, we paid our non-employee directors a retainer of $6,000 per month, with an additional fee of $700 per month for service on a board committee ($1,200 for a committee chairman). Non-employee directors also received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fees of $1,000 for attendance in person at meetings of the board of directors, or $500 for attendance by telephone. No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fees are paid for attendance at committee meetings.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i w:val="1"/>
                <w:iCs w:val="1"/>
                <w:color w:val="auto"/>
              </w:rPr>
              <w:t>Fees Earned or Paid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 of Director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i w:val="1"/>
                <w:iCs w:val="1"/>
                <w:color w:val="auto"/>
                <w:w w:val="98"/>
              </w:rPr>
              <w:t>in Cash (1)</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210"/>
        </w:trPr>
        <w:tc>
          <w:tcPr>
            <w:tcW w:w="76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 (2)</w:t>
            </w: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EEEEEE"/>
          </w:tcPr>
          <w:p>
            <w:pPr>
              <w:ind w:left="126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Stephen H. Deckoff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74,000</w:t>
            </w: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Louis M. Grasso</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83,400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83,400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William W. Grounds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91,800</w:t>
            </w: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Brian J. Rayhill</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106,200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William B. Roberts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82,400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82,400</w:t>
            </w: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E. Walker III</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75,000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Gregory S. Washer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97,800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97,800</w:t>
            </w: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Daniel S. Wood</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106,200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bl>
    <w:p>
      <w:pPr>
        <w:spacing w:after="0" w:line="196" w:lineRule="exact"/>
        <w:rPr>
          <w:sz w:val="20"/>
          <w:szCs w:val="20"/>
          <w:color w:val="auto"/>
        </w:rPr>
      </w:pPr>
    </w:p>
    <w:p>
      <w:pPr>
        <w:ind w:left="920" w:hanging="453"/>
        <w:spacing w:after="0"/>
        <w:tabs>
          <w:tab w:leader="none" w:pos="9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column reports cash compensation earned in 2023 for Board and committee service.</w:t>
      </w:r>
    </w:p>
    <w:p>
      <w:pPr>
        <w:spacing w:after="0" w:line="29" w:lineRule="exact"/>
        <w:rPr>
          <w:rFonts w:ascii="Times New Roman" w:cs="Times New Roman" w:eastAsia="Times New Roman" w:hAnsi="Times New Roman"/>
          <w:sz w:val="18"/>
          <w:szCs w:val="18"/>
          <w:i w:val="1"/>
          <w:iCs w:val="1"/>
          <w:color w:val="auto"/>
        </w:rPr>
      </w:pPr>
    </w:p>
    <w:p>
      <w:pPr>
        <w:ind w:left="920" w:hanging="453"/>
        <w:spacing w:after="0" w:line="260" w:lineRule="auto"/>
        <w:tabs>
          <w:tab w:leader="none" w:pos="9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Bradley’s compensation as chief executive officer of the Company is described elsewhere in this report. He received no additional compensation for service on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officers do not participate in any pension or retirement plan, other than a tax-qualified defined contribution plan (commonly known as a 401(k)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This section provides information regarding payments and benefits to the named executive officers that would be triggered by termination of the officer’s employment (including resignation, or voluntary termination; severance, or involuntary termination; and retirement) or a change of control of the Company.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named executive officers is an at-will employee and, as such, does not have an employment contract. In addition, if the officer’s employment terminates for any reason other than a change of control of the Company, any unvested stock options are terminated, and vested options become subject to accelerated expiration: ordinarily three months following separation from service, or twelve months in the case of disability, retirement or death. Accordingly, there are no payments or benefits that are triggered by any termination event (including resignation and severance) other than in connection with a change of control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Triggered by Change of Control or Termination after Change of Control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 option plans provide that each employee of ours who holds outstanding unexpired options under our stock option may have the right to exercise such options following a change of control of the Company, without regard to the date such option would first be exercisable. Each of the named executive officers holds such options. The “acceleration” of options is mandatory following certain changes of control, and subject to the discretion of the Compensation Committee following certain others. Acceleration is mandatory in the event of (i) the sale, or other disposition of substantially all of the Company’s assets, or (ii) a merger or similar transaction in which shareholders of the Company hold less than 50% of the shares of the surviving entity; provided, however, that acceleration following a merger or similar transaction is mandatory only if the holder suffers a Qualifying Termination (defined below) within one year following the transaction, or if the surviving entity does not provide the holder with an equivalent award. Acceleration is also mandatory if a holder suffers a Qualifying Termination within one year following (iii) a change within a three-year period in the membership of a majority of the board of directors (excluding changes recommended by the board), or (iv) a person’s acquisition of outstanding voting securities of the Company, other than directly from the Company and without approval of the board, resulting in that person’s having beneficial ownership of greater than 25% of the Company.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our stock option plans, the Compensation Committee may exercise its discretion to provide for acceleration under other circumstances than those described above with respect to any particular stock option or class of stock options. The committee would expect to exercise its discretion with the intention of preserving the value of the stock option award. To date, such discretion has not been exercised. A “Qualifying Termination” is a termination of the holder’s employment by the Company other than for cause, disability or death, or by the holder for “good reason” (principally relating to a material diminution in the holder’s authority, compensation or responsibilities, or a relocation of greater than 50 miles). The preceding description applies to options held by officers and employees. Options issued to non-employee directors accelerate without the exercise of discretion upon any of the four categories of change of control described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each of the named executive officers would realize a benefit if unvested stock options were to become immediately exercisable upon a change in control, based on the value of the shares underlying such options at the closing market price on December 30, 2023, which was $9.37 per share. The respective amounts of such possible benefit are set forth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Potential Value Upon</w:t>
            </w:r>
          </w:p>
        </w:tc>
      </w:tr>
      <w:tr>
        <w:trPr>
          <w:trHeight w:val="236"/>
        </w:trPr>
        <w:tc>
          <w:tcPr>
            <w:tcW w:w="9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Acceleration</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2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1,077,000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Mr. Lavin</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457,650</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236,100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Ms. Robinson</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270,600</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Ms. Straten</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270,600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Management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is responsible for overseeing the management of the Company. Its oversight is aimed at seeing to it that the Company’s business is managed to meet our goals, and that the interests of the shareholders are served.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Charles E. Bradley, Jr. currently serves as both the chairman of the board and our chief executive officer, and is the only member of our board who is not independent of the Company. The Nominating Committee has determined that the remaining directors and director nominees are “independent” under applicable independence standards of the Nasdaq Stock Market. Our board has chosen not to designate any individual formally as the lead independent director. Each director retains his full oversight responsibility.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structure supports the independence of our non-management directors. Our Audit Committee, Compensation Committee and Nominating Committee are each composed solely of independent directors. Our bylaws provide that any two directors have the authority to call meetings of the board of directors, as do specified officers, including the president and the secretary. To enhance the possible use of that authority by independent directors, the corporate secretary is under standing instructions to call a meeting at the instance of any one director.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believes that combining the chairman and chief executive officer positions is currently the most effective leadership structure given Mr. Bradley’s in-depth knowledge of our business and industry and his demonstrated ability to formulate and implement strategic initiatives. Mr. Bradley is continuously involved in developing and implementing our strategies, working closely with the company’s other senior executives to seek continued disciplined growth and excellence in operations. His close involvement in management places Mr. Bradley in the best position to decide which business issues require consideration by the independent directors of the board. In addition, having a combined chairman and chief executive officer enables us to speak with a unified voice to shareholders, customers and others concerned with our company. The board believes that combining the chief executive and chairman roles, as part of a governance structure that includes oversight of management responsibilities by independent directors, provides the preferred system for meeting the requirement that the Company be managed in the best interest of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board’s overall responsibility for directing the management of the Company includes risk oversight. The risk oversight function is performed at the board level, and by the Audit and Compensation Committees.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as a whole in its regular meetings discusses and considers the risk inherent in the existing business of the Company and in proposed initiatives. Because the Company’s business consists of extending consumer credit to individuals believed to be of higher risk than others (sub-prime credit), the assessment of the risk assumed in such extensions of credit is a primary consideration on the part of the board. Risk oversight is also a key function of the Audit Committee and Compensation Committee.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risk management function performed by the Audit Committee is the ongoing assessment of the credit estimates and allowances periodically recorded in the Company’s books. The committee reviews that assessment regularly. Other risk assessments performed by the Audit Committee include assessments of contingent liabilities, and of other reserves and allowances.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risk management functions performed by the Compensation Committee are its setting and evaluation of objectives for the chief executive officer, in connection with its administration of the Executive Management Bonus Plan. The committee recognizes that the company’s business of extending subprime credit inherently includes a conflict between growing the business and managing the risk of credit losses: one means to increase the company’s business is to offer credit on terms that are priced too low for the risk assumed. The Compensation Committee manages that risk by insisting that objectives to grow the business are qualified by a mandate that credit quality be maintained at appropriate levels. To some extent, such risk management is shared with the Audit Committee, which performs the primary oversight of whether credit risk assumed is reflected with adequate allowances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Chief Executive Officer Pay Ratio</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Reform and Consumer Protection Act includes a mandate that public companies disclose the ratio of the compensation of their chief executive office to their median employee (“CEO Pay Ratio”). The CEO Pay Ratio for 2023 is not calculable at this time because Mr. Bradley’s 2023 Non-Equity Incentive Plan Compensation award has not yet been determined. The 2023 Non-Equity Incentive Plan Compensation award is expected to be determined by the end of June 2024. Such amount, when finally determined, and the CEO Pay Ratio for 2023, will be disclosed in a filing under Item 5.02(f) of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sets forth the number and percentage of shares of our Common Stock (our only class of voting securities) owned beneficially as of March 1, 2024 (the latest practicable date) by (i) each person known to us to own beneficially more than 5% of the outstanding Common Stock, (ii) each director and each named executive officer, and (iii) all of our directors and executive officers, as a group. Except as otherwise indicated, and subject to applicable community property and similar laws, each of the persons named has sole voting and investment power with respect to the shares shown as beneficially owned by such persons. Percent of class is calculated by reference to 21,129,918 shares outstanding on March 1, 2024. Except as otherwise noted, each person named in the table has a mailing address at 3800 Howard Hughes Parkway, Suite 1400, Las Vegas, Nevada 89169.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Amount and Nature</w:t>
            </w: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of Beneficial</w:t>
            </w: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 and Address of Beneficial Owner</w:t>
            </w:r>
          </w:p>
        </w:tc>
        <w:tc>
          <w:tcPr>
            <w:tcW w:w="1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Ownership (1)</w:t>
            </w:r>
          </w:p>
        </w:tc>
        <w:tc>
          <w:tcPr>
            <w:tcW w:w="40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Class</w:t>
            </w:r>
          </w:p>
        </w:tc>
      </w:tr>
      <w:tr>
        <w:trPr>
          <w:trHeight w:val="209"/>
        </w:trPr>
        <w:tc>
          <w:tcPr>
            <w:tcW w:w="7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w:t>
            </w:r>
          </w:p>
        </w:tc>
        <w:tc>
          <w:tcPr>
            <w:tcW w:w="1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5,585,801</w:t>
            </w:r>
          </w:p>
        </w:tc>
        <w:tc>
          <w:tcPr>
            <w:tcW w:w="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H. Deckoff</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5,127,165</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Louis M. Grasso</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100,300</w:t>
            </w:r>
          </w:p>
        </w:tc>
        <w:tc>
          <w:tcPr>
            <w:tcW w:w="4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W. Grounds</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34,600</w:t>
            </w:r>
          </w:p>
        </w:tc>
        <w:tc>
          <w:tcPr>
            <w:tcW w:w="4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Brian J. Rayhill</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383,411</w:t>
            </w:r>
          </w:p>
        </w:tc>
        <w:tc>
          <w:tcPr>
            <w:tcW w:w="4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 Roberts</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960,078</w:t>
            </w:r>
          </w:p>
        </w:tc>
        <w:tc>
          <w:tcPr>
            <w:tcW w:w="4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E. Walker III</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 Washer</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572,784</w:t>
            </w:r>
          </w:p>
        </w:tc>
        <w:tc>
          <w:tcPr>
            <w:tcW w:w="4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Daniel S. Wood</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415,067</w:t>
            </w:r>
          </w:p>
        </w:tc>
        <w:tc>
          <w:tcPr>
            <w:tcW w:w="4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Danny Bharwani</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637,639</w:t>
            </w:r>
          </w:p>
        </w:tc>
        <w:tc>
          <w:tcPr>
            <w:tcW w:w="4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T. Lavin</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794,161</w:t>
            </w:r>
          </w:p>
        </w:tc>
        <w:tc>
          <w:tcPr>
            <w:tcW w:w="4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Teri L. Robinson</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714,421</w:t>
            </w:r>
          </w:p>
        </w:tc>
        <w:tc>
          <w:tcPr>
            <w:tcW w:w="4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Laurie A. Straten</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465,872</w:t>
            </w:r>
          </w:p>
        </w:tc>
        <w:tc>
          <w:tcPr>
            <w:tcW w:w="4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combined (22 persons)</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17,701,448</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r>
      <w:tr>
        <w:trPr>
          <w:trHeight w:val="257"/>
        </w:trPr>
        <w:tc>
          <w:tcPr>
            <w:tcW w:w="7560" w:type="dxa"/>
            <w:vAlign w:val="bottom"/>
            <w:gridSpan w:val="2"/>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Black Diamond Capital Management, L.L.C. 2187 Atlantic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Stamford, CT 06902</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5,127,165</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Dimensional Fund Advisors LP, Building One, 6300 Bee Cave Road, Austin, Texas, 78746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1,623,488</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*Less than 1%</w:t>
      </w:r>
    </w:p>
    <w:p>
      <w:pPr>
        <w:spacing w:after="0" w:line="228" w:lineRule="exact"/>
        <w:rPr>
          <w:sz w:val="20"/>
          <w:szCs w:val="20"/>
          <w:color w:val="auto"/>
        </w:rPr>
      </w:pPr>
    </w:p>
    <w:p>
      <w:pPr>
        <w:jc w:val="both"/>
        <w:ind w:left="340" w:hanging="332"/>
        <w:spacing w:after="0" w:line="265" w:lineRule="auto"/>
        <w:tabs>
          <w:tab w:leader="none" w:pos="34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certain shares that may be acquired within 60 days after March 1, 2024 from the Company upon exercise of options, as follows: Mr. Bradley, 1,680,000 shares; Mr. Grasso, 90,000 shares; Mr. Grounds, 30,000 shares; Mr. Rayhill, 195,000 shares; Mr. Roberts, 60,000 shares; Mr. Washer, 180,000 shares; Mr. Wood, 195,000 shares; Mr. Bharwani, 270,000 shares; Mr. Lavin, 450,000 shares; Ms. Robinson, 285,000 shares; and Ms. Straten, 285,000 shares. Of Mr. Bradley’s shares, 1,685,878 are pledged to secure loan(s) to him. The calculation of beneficial ownership also includes, in the case of the executive officers, an approximate number of shares each executive officer could be deemed to hold through contributions made to the Company’s Employee 401(k) Plan (the “401(k) Plan”). The 401(k) Plan provides an option for all participating employees to purchase stock in the Company indirectly by buying units in a mutual fund. Each “unit” in the mutual fund represents an interest in Company stock, cash and cash equivalents.</w:t>
      </w:r>
    </w:p>
    <w:p>
      <w:pPr>
        <w:spacing w:after="0" w:line="5" w:lineRule="exact"/>
        <w:rPr>
          <w:rFonts w:ascii="Times New Roman" w:cs="Times New Roman" w:eastAsia="Times New Roman" w:hAnsi="Times New Roman"/>
          <w:sz w:val="16"/>
          <w:szCs w:val="16"/>
          <w:i w:val="1"/>
          <w:iCs w:val="1"/>
          <w:color w:val="auto"/>
        </w:rPr>
      </w:pPr>
    </w:p>
    <w:p>
      <w:pPr>
        <w:jc w:val="both"/>
        <w:ind w:left="340" w:hanging="332"/>
        <w:spacing w:after="0" w:line="264" w:lineRule="auto"/>
        <w:tabs>
          <w:tab w:leader="none" w:pos="34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shares are held directly by certain Black Diamond investment vehicles (“Black Diamond vehicles”). Black Diamond Capital Management, L.L.C. (“Black Diamond”) exercises investment discretion on behalf of investment advisory affiliates that serve as investment advisers to the Black Diamond vehicles. Mr. Deckoff is the Managing Principal of Black Diamond. Mr. Deckoff disclaims beneficial ownership over the shares, except to the extent of his pecuniary interest therein.</w:t>
      </w:r>
    </w:p>
    <w:p>
      <w:pPr>
        <w:ind w:left="340" w:right="20" w:hanging="332"/>
        <w:spacing w:after="0" w:line="264" w:lineRule="auto"/>
        <w:tabs>
          <w:tab w:leader="none" w:pos="34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4,982,440 shares that are not outstanding as of the date of this report, but which may be acquired within 60 days after March 1, 2024 upon exercise of options.</w:t>
      </w:r>
    </w:p>
    <w:p>
      <w:pPr>
        <w:spacing w:after="0" w:line="202"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Based on a report on Schedule 13G/A filed by the named person on February 9, 2024.</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table below presents inform</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tion regarding securities authorized for issuance under equity compensation plans, including the CPS 2006 Long-Term Equity Incentive Plan, as of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remaining</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available for future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under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compensation plans</w:t>
            </w:r>
          </w:p>
        </w:tc>
      </w:tr>
      <w:tr>
        <w:trPr>
          <w:trHeight w:val="210"/>
        </w:trPr>
        <w:tc>
          <w:tcPr>
            <w:tcW w:w="58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Plans approved by shareholders</w:t>
            </w:r>
          </w:p>
        </w:tc>
        <w:tc>
          <w:tcPr>
            <w:tcW w:w="1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ind w:left="860"/>
              <w:spacing w:after="0"/>
              <w:rPr>
                <w:sz w:val="20"/>
                <w:szCs w:val="20"/>
                <w:color w:val="auto"/>
              </w:rPr>
            </w:pPr>
            <w:r>
              <w:rPr>
                <w:rFonts w:ascii="Times New Roman" w:cs="Times New Roman" w:eastAsia="Times New Roman" w:hAnsi="Times New Roman"/>
                <w:sz w:val="18"/>
                <w:szCs w:val="18"/>
                <w:color w:val="auto"/>
                <w:w w:val="97"/>
              </w:rPr>
              <w:t>8,124,940</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w w:val="88"/>
              </w:rPr>
              <w:t>5.11</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2,683,830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 not approved by shareholders</w:t>
            </w:r>
          </w:p>
        </w:tc>
        <w:tc>
          <w:tcPr>
            <w:tcW w:w="1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8"/>
                <w:szCs w:val="18"/>
                <w:color w:val="auto"/>
              </w:rPr>
            </w:pPr>
          </w:p>
        </w:tc>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shd w:val="clear" w:color="auto" w:fill="EEEEEE"/>
          </w:tcPr>
          <w:p>
            <w:pPr>
              <w:ind w:left="860"/>
              <w:spacing w:after="0"/>
              <w:rPr>
                <w:sz w:val="20"/>
                <w:szCs w:val="20"/>
                <w:color w:val="auto"/>
              </w:rPr>
            </w:pPr>
            <w:r>
              <w:rPr>
                <w:rFonts w:ascii="Times New Roman" w:cs="Times New Roman" w:eastAsia="Times New Roman" w:hAnsi="Times New Roman"/>
                <w:sz w:val="18"/>
                <w:szCs w:val="18"/>
                <w:color w:val="auto"/>
              </w:rPr>
              <w:t>8,124,940</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rPr>
              <w:t>5.11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2,683,830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Subordinated Notes. </w:t>
      </w:r>
      <w:r>
        <w:rPr>
          <w:rFonts w:ascii="Times New Roman" w:cs="Times New Roman" w:eastAsia="Times New Roman" w:hAnsi="Times New Roman"/>
          <w:sz w:val="18"/>
          <w:szCs w:val="18"/>
          <w:color w:val="auto"/>
        </w:rPr>
        <w:t>The Company has offered and sold its subordinated notes in a continuous public offering. Executive officer Teri L. Robinson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such notes directly from the Company in the offering, in each case on the same terms then offered to the public generally. The largest aggregate amount of principal outstanding on Ms. Robinson’s notes in 2023 was $540,578. The amount of principal outstanding as of March 1, 2024 was $330,548. In 2023, the Company paid $950,548 of principal on such notes, which includes principal paid more than once due to the renewal of matured notes during the year. That same year, the Company paid $25,293 of interest at rates fixed at the time of purchase of each note. The interest rate on such notes ranges from 4.9% to 7.15%.</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Executive officer Steve Schween purchased such subordinated notes from the Company before he became an executive officer. The largest aggregate amount of principal outstanding on Mr. Schween’s note in 2023 was $665,460. The amount of principal outstanding as of March 1, 2024 was $665,460. In 2023, the Company paid $130,570 in interest at a rate fixed at the time of purchase of the note. The interest rate on the note is 12.25%.</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Ms. Noel Jackson, the Company’s Vice President of Servicing, is the sister of Mr. Bradley, the Company’s chief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For fiscal year 2023, Ms. Jackson received annual compensation of a base salary of $181,000 and is also eligible for an award of up to 78% of her base salary under the Executive Management Bonus Plan described above. Ms. Jackson’s employment with the Company was authorized by the Board of Directors and her base salary and Executive Management Bonus Plan award is reviewed and approved by the Compensation Committee on an annual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Transactions</w:t>
      </w:r>
      <w:r>
        <w:rPr>
          <w:rFonts w:ascii="Times New Roman" w:cs="Times New Roman" w:eastAsia="Times New Roman" w:hAnsi="Times New Roman"/>
          <w:sz w:val="18"/>
          <w:szCs w:val="18"/>
          <w:color w:val="auto"/>
        </w:rPr>
        <w:t>. In October 2022, before Mr. Schween became an executive officer, the Limited Liability Company of which Mr. Schween is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one-year contract with the Company to provide vehicle data services to the Company. The initial approximate dollar amount involved in the transaction and Mr. Schween’s interest in the transaction was $130,000. The contract was terminated in May 2023 and the actual dollar amount involved in the transaction and Mr. Schween’ s interest in the transaction was $80,000.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Policy on Related Party Transactions and Director Independence. </w:t>
      </w:r>
      <w:r>
        <w:rPr>
          <w:rFonts w:ascii="Times New Roman" w:cs="Times New Roman" w:eastAsia="Times New Roman" w:hAnsi="Times New Roman"/>
          <w:sz w:val="18"/>
          <w:szCs w:val="18"/>
          <w:color w:val="auto"/>
        </w:rPr>
        <w:t>It is the Company’s policy that transactions with related parties having a control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relationship with the Company who personally benefit from such transactions may take place only if approved by the Audit Committee or by the members of the Company’s Board of Directors who are disinterested with respect to the transaction, and independent in accordance with the standards for director independence prescribed by Nasdaq. Such policy is maintained in writing in the charter of the Audit Committee. The Audit Committee has given general approval to executive officer purchases of subordinated notes that are on terms and rates then available to the public, including the purchases by Ms. Robinson The transactions with Mr. Schween described above were not subject to approval because they were entered into before Mr. Schween was an executive officer.</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nine directors of the Company are Charles E. Bradley, Jr., Stephen H. Deckoff, Louis M. Grasso, William W. Grounds, Brian J. Rayhill, William B. Roberts, James E. Walker III, Gregory S. Washer, and Daniel S. Wood, of whom Messrs. Rayhill, Grasso, Washer, and Wood compose the Audit Committee. The Board of Directors has concluded that other than Mr. Bradley (who is the Company’s chief executive officer), each of the other eight directors is independent in accordance with the director independence standards prescribed by Nasdaq, and has determined that none of them has a material relationship with the Company that would impair his independence from management or otherwise compromise his ability to act as an independent director.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Auditors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public accounting firms for the years ended December 31, 2023 and 2022. Crowe LLP has served as the Company’s independent registered public accounting firm since February 2009, and has reported on the Company’s financial statements for the years ended December 31, 2008 through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tc>
        <w:tc>
          <w:tcPr>
            <w:tcW w:w="140" w:type="dxa"/>
            <w:vAlign w:val="bottom"/>
            <w:tcBorders>
              <w:bottom w:val="single" w:sz="8" w:color="EEEEE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2022</w:t>
            </w:r>
          </w:p>
        </w:tc>
        <w:tc>
          <w:tcPr>
            <w:tcW w:w="22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Borders>
              <w:bottom w:val="single" w:sz="8" w:color="EEEEEE"/>
            </w:tcBorders>
          </w:tcPr>
          <w:p>
            <w:pPr>
              <w:spacing w:after="0"/>
              <w:rPr>
                <w:sz w:val="20"/>
                <w:szCs w:val="20"/>
                <w:color w:val="auto"/>
              </w:rPr>
            </w:pPr>
          </w:p>
        </w:tc>
      </w:tr>
      <w:tr>
        <w:trPr>
          <w:trHeight w:val="209"/>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920,000</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100" w:type="dxa"/>
            <w:vAlign w:val="bottom"/>
            <w:shd w:val="clear" w:color="auto" w:fill="EEEEEE"/>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190,850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240,850</w:t>
            </w: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Fees (3)</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265,795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296,000</w:t>
            </w: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1,376,645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1,496,850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460" w:hanging="452"/>
        <w:spacing w:after="0" w:line="267" w:lineRule="auto"/>
        <w:tabs>
          <w:tab w:leader="none" w:pos="4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Audit fees relate to professional services rendered in connection with the audit of the Company’s annual financial statements and internal control over financial reporting, quarterly review of financial statements included in the Company’s Quarterly Reports on Form 10-Q, and audit services provided in connection with other statutory and regulatory filings.</w:t>
      </w:r>
    </w:p>
    <w:p>
      <w:pPr>
        <w:spacing w:after="0" w:line="173" w:lineRule="exact"/>
        <w:rPr>
          <w:rFonts w:ascii="Times New Roman" w:cs="Times New Roman" w:eastAsia="Times New Roman" w:hAnsi="Times New Roman"/>
          <w:sz w:val="18"/>
          <w:szCs w:val="18"/>
          <w:i w:val="1"/>
          <w:iCs w:val="1"/>
          <w:color w:val="auto"/>
        </w:rPr>
      </w:pPr>
    </w:p>
    <w:p>
      <w:pPr>
        <w:ind w:left="460" w:right="20" w:hanging="452"/>
        <w:spacing w:after="0" w:line="284" w:lineRule="auto"/>
        <w:tabs>
          <w:tab w:leader="none" w:pos="4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Audit-related fees comprise fees for professional services that are reasonably related to the performance of the audit or review of the Company’s financial statements.</w:t>
      </w:r>
    </w:p>
    <w:p>
      <w:pPr>
        <w:spacing w:after="0" w:line="158" w:lineRule="exact"/>
        <w:rPr>
          <w:rFonts w:ascii="Times New Roman" w:cs="Times New Roman" w:eastAsia="Times New Roman" w:hAnsi="Times New Roman"/>
          <w:sz w:val="18"/>
          <w:szCs w:val="18"/>
          <w:i w:val="1"/>
          <w:iCs w:val="1"/>
          <w:color w:val="auto"/>
        </w:rPr>
      </w:pPr>
    </w:p>
    <w:p>
      <w:pPr>
        <w:ind w:left="460" w:hanging="452"/>
        <w:spacing w:after="0" w:line="284" w:lineRule="auto"/>
        <w:tabs>
          <w:tab w:leader="none" w:pos="4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2022 and 2023 tax fees represent services rendered in connection with preparation of state and federal tax returns for the Company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Supervision of Principal Accountant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acts pursuant to a written charter adopted by the Board of Directors. Pursuant to the charter, the Audit Committee pre-approves the audit and permitted non-audit fees to be paid to the independent auditor, and authorizes on behalf of the Company the payment of such fees, or refuses such authorization. The Audit Committee is also empowered to delegate such authority to one or more of its members. The Audit Committee has delegated to its chairman the authority to approve performance of services on an interim basis. In the fiscal years ended December 31, 2023 and December 31, 2022, all services for which audit fees or audit related fees were paid were preapproved by the Audit Committee as a whole, or pursuant to such delegated authority.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course of its meetings, the Audit Committee has considered whether the provision of the non-audit fees outlined above is compatible with maintaining the independence of the audit firm, and has concluded that such independence is not and was not impaired.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Description  </w:t>
            </w:r>
            <w:r>
              <w:rPr>
                <w:rFonts w:ascii="Times New Roman" w:cs="Times New Roman" w:eastAsia="Times New Roman" w:hAnsi="Times New Roman"/>
                <w:sz w:val="18"/>
                <w:szCs w:val="18"/>
                <w:i w:val="1"/>
                <w:iCs w:val="1"/>
                <w:color w:val="auto"/>
              </w:rPr>
              <w:t>(“**” indicates compensatory plan or agreement.)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vMerge w:val="continue"/>
          </w:tcPr>
          <w:p>
            <w:pPr>
              <w:spacing w:after="0"/>
              <w:rPr>
                <w:sz w:val="14"/>
                <w:szCs w:val="14"/>
                <w:color w:val="auto"/>
              </w:rPr>
            </w:pPr>
          </w:p>
        </w:tc>
        <w:tc>
          <w:tcPr>
            <w:tcW w:w="10100" w:type="dxa"/>
            <w:vAlign w:val="bottom"/>
            <w:gridSpan w:val="4"/>
          </w:tcPr>
          <w:p>
            <w:pPr>
              <w:spacing w:after="0" w:line="169"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 xml:space="preserve">Restated Articles of Incorporation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3.1 to Form 10-K filed March 31, 2009)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 xml:space="preserve">Certificate of Designation re Series B Preferred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3.1.1 to Form 8-K filed by the registrant on December 30, 2010)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 xml:space="preserve">Amended and Restated Bylaws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3.2 to Form 8-K filed December 3,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140" w:hanging="1132"/>
        <w:spacing w:after="0" w:line="26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 the exclusion set forth in subdivisions (b)(iv)(iii)(A) and (b)(v) of Item 601 of Regulation S-K (17 CFR 229.601). The registrant agrees to</w:t>
      </w:r>
    </w:p>
    <w:tbl>
      <w:tblPr>
        <w:tblLayout w:type="fixed"/>
        <w:tblInd w:w="0" w:type="dxa"/>
        <w:tblCellMar>
          <w:top w:w="0" w:type="dxa"/>
          <w:left w:w="0" w:type="dxa"/>
          <w:bottom w:w="0" w:type="dxa"/>
          <w:right w:w="0" w:type="dxa"/>
        </w:tblCellMar>
      </w:tblPr>
      <w:tr>
        <w:trPr>
          <w:trHeight w:val="198"/>
        </w:trPr>
        <w:tc>
          <w:tcPr>
            <w:tcW w:w="1140" w:type="dxa"/>
            <w:vAlign w:val="bottom"/>
          </w:tcPr>
          <w:p>
            <w:pPr>
              <w:spacing w:after="0"/>
              <w:rPr>
                <w:sz w:val="17"/>
                <w:szCs w:val="17"/>
                <w:color w:val="auto"/>
              </w:rPr>
            </w:pPr>
          </w:p>
        </w:tc>
        <w:tc>
          <w:tcPr>
            <w:tcW w:w="10100" w:type="dxa"/>
            <w:vAlign w:val="bottom"/>
            <w:gridSpan w:val="11"/>
          </w:tcPr>
          <w:p>
            <w:pPr>
              <w:spacing w:after="0" w:line="198" w:lineRule="exact"/>
              <w:rPr>
                <w:sz w:val="20"/>
                <w:szCs w:val="20"/>
                <w:color w:val="auto"/>
              </w:rPr>
            </w:pPr>
            <w:r>
              <w:rPr>
                <w:rFonts w:ascii="Times New Roman" w:cs="Times New Roman" w:eastAsia="Times New Roman" w:hAnsi="Times New Roman"/>
                <w:sz w:val="18"/>
                <w:szCs w:val="18"/>
                <w:color w:val="auto"/>
              </w:rPr>
              <w:t>provide copies of such instruments to the United States Securities and Exchange Commission upon request.</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gridSpan w:val="11"/>
          </w:tcPr>
          <w:p>
            <w:pPr>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 xml:space="preserve">Form of Indenture re Renewable Unsecured Subordinated Notes </w:t>
              </w:r>
            </w:hyperlink>
            <w:r>
              <w:rPr>
                <w:rFonts w:ascii="Times New Roman" w:cs="Times New Roman" w:eastAsia="Times New Roman" w:hAnsi="Times New Roman"/>
                <w:sz w:val="18"/>
                <w:szCs w:val="18"/>
                <w:color w:val="000000"/>
              </w:rPr>
              <w:t>(“RUS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Notes”). (Exhibit 4.1 to Form S-1, no. 333-168976)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6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 xml:space="preserve">Form of RUS Notes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4.2 to Form S-1, no. 333-168976)</w:t>
            </w:r>
          </w:p>
        </w:tc>
        <w:tc>
          <w:tcPr>
            <w:tcW w:w="546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 xml:space="preserve">Supplement No. 1 dated December 7, 2010 to Indenture re RUS Notes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4.3 to Form S-1, no. 333-168976)</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 xml:space="preserve">Supplement No. 2 dated January 22, 2014 to Indenture re RUS Notes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4.4 to Form S-1, no. 333-190766)</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 xml:space="preserve">Supplement No. 3 dated June 14, 2023 to Indenture re RUS Notes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4.5 to Form S-3, no. 333-272653)</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 xml:space="preserve">1997 Long-Term Incentive Stock Plan </w:t>
              </w:r>
            </w:hyperlink>
            <w:r>
              <w:rPr>
                <w:rFonts w:ascii="Times New Roman" w:cs="Times New Roman" w:eastAsia="Times New Roman" w:hAnsi="Times New Roman"/>
                <w:sz w:val="18"/>
                <w:szCs w:val="18"/>
                <w:color w:val="000000"/>
              </w:rPr>
              <w:t>(“1997</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Plan”) (Exhibit 10.20 to Form S-2, no. 333-121913) **</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 xml:space="preserve">Form of Option Agreement under 1997 Plan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10.2.1 to Form 10-K filed March 13, 2006) **</w:t>
            </w:r>
          </w:p>
        </w:tc>
      </w:tr>
      <w:tr>
        <w:trPr>
          <w:trHeight w:val="20"/>
        </w:trPr>
        <w:tc>
          <w:tcPr>
            <w:tcW w:w="114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 xml:space="preserve">2006 Long-Term Equity Incentive Plan as amended May 18, 2015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pages A-1 through A-10 of the definitive</w:t>
            </w:r>
          </w:p>
        </w:tc>
      </w:tr>
      <w:tr>
        <w:trPr>
          <w:trHeight w:val="218"/>
        </w:trPr>
        <w:tc>
          <w:tcPr>
            <w:tcW w:w="1140" w:type="dxa"/>
            <w:vAlign w:val="bottom"/>
          </w:tcPr>
          <w:p>
            <w:pPr>
              <w:spacing w:after="0"/>
              <w:rPr>
                <w:sz w:val="18"/>
                <w:szCs w:val="18"/>
                <w:color w:val="auto"/>
              </w:rPr>
            </w:pPr>
          </w:p>
        </w:tc>
        <w:tc>
          <w:tcPr>
            <w:tcW w:w="48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proxy statement filed by the registrant on April 27, 2015)**</w:t>
            </w:r>
          </w:p>
        </w:tc>
        <w:tc>
          <w:tcPr>
            <w:tcW w:w="5260" w:type="dxa"/>
            <w:vAlign w:val="bottom"/>
            <w:gridSpan w:val="5"/>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10.14.1</w:t>
            </w:r>
          </w:p>
        </w:tc>
        <w:tc>
          <w:tcPr>
            <w:tcW w:w="10100" w:type="dxa"/>
            <w:vAlign w:val="bottom"/>
            <w:gridSpan w:val="11"/>
          </w:tcPr>
          <w:p>
            <w:pPr>
              <w:spacing w:after="0" w:line="194"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 xml:space="preserve">Form of Option Agreement under the 2006 Long-Term Equity Incentive Plan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10.14.1 to registrant's Form 10-K filed March 9,</w:t>
            </w:r>
          </w:p>
        </w:tc>
      </w:tr>
      <w:tr>
        <w:trPr>
          <w:trHeight w:val="218"/>
        </w:trPr>
        <w:tc>
          <w:tcPr>
            <w:tcW w:w="1140" w:type="dxa"/>
            <w:vAlign w:val="bottom"/>
          </w:tcPr>
          <w:p>
            <w:pPr>
              <w:spacing w:after="0"/>
              <w:rPr>
                <w:sz w:val="18"/>
                <w:szCs w:val="18"/>
                <w:color w:val="auto"/>
              </w:rPr>
            </w:pPr>
          </w:p>
        </w:tc>
        <w:tc>
          <w:tcPr>
            <w:tcW w:w="14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2007)**</w:t>
            </w:r>
          </w:p>
        </w:tc>
        <w:tc>
          <w:tcPr>
            <w:tcW w:w="1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10.14.2</w:t>
            </w:r>
          </w:p>
        </w:tc>
        <w:tc>
          <w:tcPr>
            <w:tcW w:w="10100" w:type="dxa"/>
            <w:vAlign w:val="bottom"/>
            <w:gridSpan w:val="11"/>
          </w:tcPr>
          <w:p>
            <w:pPr>
              <w:spacing w:after="0" w:line="19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 xml:space="preserve">Form of Option Agreement under the 2006 Long-Term Equity Incentive Plan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99.(D)(2) to registrant's Schedule TO filed</w:t>
            </w:r>
          </w:p>
        </w:tc>
      </w:tr>
      <w:tr>
        <w:trPr>
          <w:trHeight w:val="218"/>
        </w:trPr>
        <w:tc>
          <w:tcPr>
            <w:tcW w:w="1140" w:type="dxa"/>
            <w:vAlign w:val="bottom"/>
          </w:tcPr>
          <w:p>
            <w:pPr>
              <w:spacing w:after="0"/>
              <w:rPr>
                <w:sz w:val="18"/>
                <w:szCs w:val="18"/>
                <w:color w:val="auto"/>
              </w:rPr>
            </w:pPr>
          </w:p>
        </w:tc>
        <w:tc>
          <w:tcPr>
            <w:tcW w:w="60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November 12, 2009)**</w:t>
            </w:r>
          </w:p>
        </w:tc>
        <w:tc>
          <w:tcPr>
            <w:tcW w:w="408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10.14.3</w:t>
            </w:r>
          </w:p>
        </w:tc>
        <w:tc>
          <w:tcPr>
            <w:tcW w:w="10100" w:type="dxa"/>
            <w:vAlign w:val="bottom"/>
            <w:gridSpan w:val="11"/>
          </w:tcPr>
          <w:p>
            <w:pPr>
              <w:spacing w:after="0" w:line="194"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 xml:space="preserve">Form of Option Agreement under the 2006 Long-Term Equity Incentive Plan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99.(D)(3) to registrant's Schedule TO filed</w:t>
            </w:r>
          </w:p>
        </w:tc>
      </w:tr>
      <w:tr>
        <w:trPr>
          <w:trHeight w:val="237"/>
        </w:trPr>
        <w:tc>
          <w:tcPr>
            <w:tcW w:w="1140" w:type="dxa"/>
            <w:vAlign w:val="bottom"/>
          </w:tcPr>
          <w:p>
            <w:pPr>
              <w:spacing w:after="0"/>
              <w:rPr>
                <w:sz w:val="20"/>
                <w:szCs w:val="20"/>
                <w:color w:val="auto"/>
              </w:rPr>
            </w:pPr>
          </w:p>
        </w:tc>
        <w:tc>
          <w:tcPr>
            <w:tcW w:w="60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November 12, 2009)**</w:t>
            </w:r>
          </w:p>
        </w:tc>
        <w:tc>
          <w:tcPr>
            <w:tcW w:w="4080" w:type="dxa"/>
            <w:vAlign w:val="bottom"/>
          </w:tcPr>
          <w:p>
            <w:pPr>
              <w:spacing w:after="0"/>
              <w:rPr>
                <w:sz w:val="20"/>
                <w:szCs w:val="20"/>
                <w:color w:val="auto"/>
              </w:rPr>
            </w:pPr>
          </w:p>
        </w:tc>
      </w:tr>
    </w:tbl>
    <w:p>
      <w:pPr>
        <w:ind w:left="1140" w:hanging="1132"/>
        <w:spacing w:after="0"/>
        <w:tabs>
          <w:tab w:leader="none" w:pos="1140" w:val="left"/>
        </w:tabs>
        <w:numPr>
          <w:ilvl w:val="0"/>
          <w:numId w:val="31"/>
        </w:numPr>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u w:val="single" w:color="auto"/>
            <w:color w:val="0000EE"/>
          </w:rPr>
          <w:t>Registrant’s Code of Ethics for Senior Financial Officers</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14 to Form 10-K filed March 13, 2006)</w:t>
      </w: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6080" w:type="dxa"/>
            <w:vAlign w:val="bottom"/>
            <w:gridSpan w:val="4"/>
          </w:tcPr>
          <w:p>
            <w:pPr>
              <w:spacing w:after="0" w:line="184"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 xml:space="preserve">List of subsidiaries of the registrant </w:t>
              </w:r>
            </w:hyperlink>
            <w:r>
              <w:rPr>
                <w:rFonts w:ascii="Times New Roman" w:cs="Times New Roman" w:eastAsia="Times New Roman" w:hAnsi="Times New Roman"/>
                <w:sz w:val="18"/>
                <w:szCs w:val="18"/>
                <w:color w:val="000000"/>
                <w:w w:val="99"/>
              </w:rPr>
              <w:t>(Exhibit</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21 to Form 10-K filed March 15, 2023)</w:t>
            </w:r>
          </w:p>
        </w:tc>
      </w:tr>
      <w:tr>
        <w:trPr>
          <w:trHeight w:val="20"/>
        </w:trPr>
        <w:tc>
          <w:tcPr>
            <w:tcW w:w="1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Consent of Crowe LLP </w:t>
            </w:r>
            <w:r>
              <w:rPr>
                <w:rFonts w:ascii="Times New Roman" w:cs="Times New Roman" w:eastAsia="Times New Roman" w:hAnsi="Times New Roman"/>
                <w:sz w:val="18"/>
                <w:szCs w:val="18"/>
                <w:color w:val="000000"/>
              </w:rPr>
              <w:t>(filed herewith)</w:t>
            </w:r>
          </w:p>
        </w:tc>
      </w:tr>
      <w:tr>
        <w:trPr>
          <w:trHeight w:val="20"/>
        </w:trPr>
        <w:tc>
          <w:tcPr>
            <w:tcW w:w="1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Rule 13a-14(a) certification by Chief Executive Officer </w:t>
            </w:r>
            <w:r>
              <w:rPr>
                <w:rFonts w:ascii="Times New Roman" w:cs="Times New Roman" w:eastAsia="Times New Roman" w:hAnsi="Times New Roman"/>
                <w:sz w:val="18"/>
                <w:szCs w:val="18"/>
                <w:color w:val="000000"/>
              </w:rPr>
              <w:t>(filed herewith)</w:t>
            </w:r>
          </w:p>
        </w:tc>
      </w:tr>
      <w:tr>
        <w:trPr>
          <w:trHeight w:val="20"/>
        </w:trPr>
        <w:tc>
          <w:tcPr>
            <w:tcW w:w="114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140" w:type="dxa"/>
            <w:vAlign w:val="bottom"/>
            <w:tcBorders>
              <w:left w:val="single" w:sz="8" w:color="0000EE"/>
            </w:tcBorders>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Rule 13a-14(a) certification by Chief Financial Officer </w:t>
            </w:r>
            <w:r>
              <w:rPr>
                <w:rFonts w:ascii="Times New Roman" w:cs="Times New Roman" w:eastAsia="Times New Roman" w:hAnsi="Times New Roman"/>
                <w:sz w:val="18"/>
                <w:szCs w:val="18"/>
                <w:color w:val="000000"/>
              </w:rPr>
              <w:t>(filed herewith)</w:t>
            </w:r>
          </w:p>
        </w:tc>
      </w:tr>
      <w:tr>
        <w:trPr>
          <w:trHeight w:val="20"/>
        </w:trPr>
        <w:tc>
          <w:tcPr>
            <w:tcW w:w="1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herewith)</w:t>
      </w:r>
    </w:p>
    <w:p>
      <w:pPr>
        <w:spacing w:after="0" w:line="27" w:lineRule="exact"/>
        <w:rPr>
          <w:sz w:val="20"/>
          <w:szCs w:val="20"/>
          <w:color w:val="auto"/>
        </w:rPr>
      </w:pPr>
    </w:p>
    <w:p>
      <w:pPr>
        <w:ind w:left="1140" w:hanging="113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Policy Relating to Recovery of Erroneously Awarded Compensation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herewith)</w:t>
      </w: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p>
      <w:pPr>
        <w:spacing w:after="0" w:line="229"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CONSUMER PORTFOLIO SERVICES, INC. </w:t>
            </w:r>
            <w:r>
              <w:rPr>
                <w:rFonts w:ascii="Times New Roman" w:cs="Times New Roman" w:eastAsia="Times New Roman" w:hAnsi="Times New Roman"/>
                <w:sz w:val="18"/>
                <w:szCs w:val="18"/>
                <w:i w:val="1"/>
                <w:iCs w:val="1"/>
                <w:color w:val="auto"/>
              </w:rPr>
              <w:t>(registrant)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81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CHARLES E. BRADLEY, JR.</w:t>
            </w:r>
          </w:p>
        </w:tc>
      </w:tr>
      <w:tr>
        <w:trPr>
          <w:trHeight w:val="230"/>
        </w:trPr>
        <w:tc>
          <w:tcPr>
            <w:tcW w:w="3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Charles E. Bradley, Jr., </w:t>
            </w:r>
            <w:r>
              <w:rPr>
                <w:rFonts w:ascii="Times New Roman" w:cs="Times New Roman" w:eastAsia="Times New Roman" w:hAnsi="Times New Roman"/>
                <w:sz w:val="18"/>
                <w:szCs w:val="18"/>
                <w:i w:val="1"/>
                <w:iCs w:val="1"/>
                <w:color w:val="auto"/>
              </w:rPr>
              <w:t>Director and Chief Executive Officer</w:t>
            </w:r>
          </w:p>
        </w:tc>
      </w:tr>
    </w:tbl>
    <w:p>
      <w:pPr>
        <w:spacing w:after="0" w:line="17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96"/>
        </w:trPr>
        <w:tc>
          <w:tcPr>
            <w:tcW w:w="562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Charles E. Bradley, Jr., </w:t>
            </w:r>
            <w:r>
              <w:rPr>
                <w:rFonts w:ascii="Times New Roman" w:cs="Times New Roman" w:eastAsia="Times New Roman" w:hAnsi="Times New Roman"/>
                <w:sz w:val="18"/>
                <w:szCs w:val="18"/>
                <w:i w:val="1"/>
                <w:iCs w:val="1"/>
                <w:color w:val="auto"/>
              </w:rPr>
              <w:t>Director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 DECKOFF</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Stephen H. Deckoff, </w:t>
            </w:r>
            <w:r>
              <w:rPr>
                <w:rFonts w:ascii="Times New Roman" w:cs="Times New Roman" w:eastAsia="Times New Roman" w:hAnsi="Times New Roman"/>
                <w:sz w:val="18"/>
                <w:szCs w:val="18"/>
                <w:i w:val="1"/>
                <w:iCs w:val="1"/>
                <w:color w:val="auto"/>
              </w:rPr>
              <w:t>Director</w:t>
            </w:r>
          </w:p>
        </w:tc>
      </w:tr>
      <w:tr>
        <w:trPr>
          <w:trHeight w:val="4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LOUIS M. GRASSO</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Lou Grasso, </w:t>
            </w:r>
            <w:r>
              <w:rPr>
                <w:rFonts w:ascii="Times New Roman" w:cs="Times New Roman" w:eastAsia="Times New Roman" w:hAnsi="Times New Roman"/>
                <w:sz w:val="18"/>
                <w:szCs w:val="18"/>
                <w:i w:val="1"/>
                <w:iCs w:val="1"/>
                <w:color w:val="auto"/>
              </w:rPr>
              <w:t>Director</w:t>
            </w:r>
          </w:p>
        </w:tc>
      </w:tr>
      <w:tr>
        <w:trPr>
          <w:trHeight w:val="4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W. GROUNDS</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William W. Grounds, </w:t>
            </w:r>
            <w:r>
              <w:rPr>
                <w:rFonts w:ascii="Times New Roman" w:cs="Times New Roman" w:eastAsia="Times New Roman" w:hAnsi="Times New Roman"/>
                <w:sz w:val="18"/>
                <w:szCs w:val="18"/>
                <w:i w:val="1"/>
                <w:iCs w:val="1"/>
                <w:color w:val="auto"/>
              </w:rPr>
              <w:t>Director</w:t>
            </w:r>
          </w:p>
        </w:tc>
      </w:tr>
      <w:tr>
        <w:trPr>
          <w:trHeight w:val="4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J. RAYHILL</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Brian J. Rayhill, </w:t>
            </w:r>
            <w:r>
              <w:rPr>
                <w:rFonts w:ascii="Times New Roman" w:cs="Times New Roman" w:eastAsia="Times New Roman" w:hAnsi="Times New Roman"/>
                <w:sz w:val="18"/>
                <w:szCs w:val="18"/>
                <w:i w:val="1"/>
                <w:iCs w:val="1"/>
                <w:color w:val="auto"/>
              </w:rPr>
              <w:t>Director</w:t>
            </w:r>
          </w:p>
        </w:tc>
      </w:tr>
      <w:tr>
        <w:trPr>
          <w:trHeight w:val="4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B. ROBERTS</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William B. Roberts, </w:t>
            </w:r>
            <w:r>
              <w:rPr>
                <w:rFonts w:ascii="Times New Roman" w:cs="Times New Roman" w:eastAsia="Times New Roman" w:hAnsi="Times New Roman"/>
                <w:sz w:val="18"/>
                <w:szCs w:val="18"/>
                <w:i w:val="1"/>
                <w:iCs w:val="1"/>
                <w:color w:val="auto"/>
              </w:rPr>
              <w:t>Director</w:t>
            </w:r>
          </w:p>
        </w:tc>
      </w:tr>
      <w:tr>
        <w:trPr>
          <w:trHeight w:val="4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WALKER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James E. Walker, Director</w:t>
            </w:r>
          </w:p>
        </w:tc>
      </w:tr>
      <w:tr>
        <w:trPr>
          <w:trHeight w:val="42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S. WASHER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Gregory S. Washer, </w:t>
            </w:r>
            <w:r>
              <w:rPr>
                <w:rFonts w:ascii="Times New Roman" w:cs="Times New Roman" w:eastAsia="Times New Roman" w:hAnsi="Times New Roman"/>
                <w:sz w:val="18"/>
                <w:szCs w:val="18"/>
                <w:i w:val="1"/>
                <w:iCs w:val="1"/>
                <w:color w:val="auto"/>
              </w:rPr>
              <w:t>Director</w:t>
            </w:r>
          </w:p>
        </w:tc>
      </w:tr>
      <w:tr>
        <w:trPr>
          <w:trHeight w:val="4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 WOOD</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Daniel S. Wood, </w:t>
            </w:r>
            <w:r>
              <w:rPr>
                <w:rFonts w:ascii="Times New Roman" w:cs="Times New Roman" w:eastAsia="Times New Roman" w:hAnsi="Times New Roman"/>
                <w:sz w:val="18"/>
                <w:szCs w:val="18"/>
                <w:i w:val="1"/>
                <w:iCs w:val="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860" w:type="dxa"/>
            <w:vAlign w:val="bottom"/>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22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09"/>
        </w:trPr>
        <w:tc>
          <w:tcPr>
            <w:tcW w:w="3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100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Crowe LLP, Independent Registered Public Accounting Firm </w:t>
            </w:r>
            <w:r>
              <w:rPr>
                <w:rFonts w:ascii="Times New Roman" w:cs="Times New Roman" w:eastAsia="Times New Roman" w:hAnsi="Times New Roman"/>
                <w:sz w:val="18"/>
                <w:szCs w:val="18"/>
                <w:color w:val="000000"/>
              </w:rPr>
              <w:t>(PCAOB ID: 173)</w:t>
            </w:r>
          </w:p>
        </w:tc>
        <w:tc>
          <w:tcPr>
            <w:tcW w:w="122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6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tcPr>
          <w:p>
            <w:pPr>
              <w:spacing w:after="0"/>
              <w:rPr>
                <w:sz w:val="18"/>
                <w:szCs w:val="18"/>
                <w:color w:val="auto"/>
              </w:rPr>
            </w:pPr>
          </w:p>
        </w:tc>
      </w:tr>
      <w:tr>
        <w:trPr>
          <w:trHeight w:val="196"/>
        </w:trPr>
        <w:tc>
          <w:tcPr>
            <w:tcW w:w="100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22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6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6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tcPr>
          <w:p>
            <w:pPr>
              <w:spacing w:after="0"/>
              <w:rPr>
                <w:sz w:val="18"/>
                <w:szCs w:val="18"/>
                <w:color w:val="auto"/>
              </w:rPr>
            </w:pPr>
          </w:p>
        </w:tc>
      </w:tr>
      <w:tr>
        <w:trPr>
          <w:trHeight w:val="196"/>
        </w:trPr>
        <w:tc>
          <w:tcPr>
            <w:tcW w:w="100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for the years ended December 31, 2023, 2022 and 2021</w:t>
            </w:r>
          </w:p>
        </w:tc>
        <w:tc>
          <w:tcPr>
            <w:tcW w:w="122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6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tcPr>
          <w:p>
            <w:pPr>
              <w:spacing w:after="0"/>
              <w:rPr>
                <w:sz w:val="18"/>
                <w:szCs w:val="18"/>
                <w:color w:val="auto"/>
              </w:rPr>
            </w:pPr>
          </w:p>
        </w:tc>
      </w:tr>
      <w:tr>
        <w:trPr>
          <w:trHeight w:val="196"/>
        </w:trPr>
        <w:tc>
          <w:tcPr>
            <w:tcW w:w="100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2022 and 2021</w:t>
            </w:r>
          </w:p>
        </w:tc>
        <w:tc>
          <w:tcPr>
            <w:tcW w:w="122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tcPr>
          <w:p>
            <w:pPr>
              <w:spacing w:after="0"/>
              <w:rPr>
                <w:sz w:val="18"/>
                <w:szCs w:val="18"/>
                <w:color w:val="auto"/>
              </w:rPr>
            </w:pPr>
          </w:p>
        </w:tc>
      </w:tr>
      <w:tr>
        <w:trPr>
          <w:trHeight w:val="196"/>
        </w:trPr>
        <w:tc>
          <w:tcPr>
            <w:tcW w:w="100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2022 and 2021</w:t>
            </w:r>
          </w:p>
        </w:tc>
        <w:tc>
          <w:tcPr>
            <w:tcW w:w="122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tcPr>
          <w:p>
            <w:pPr>
              <w:spacing w:after="0"/>
              <w:rPr>
                <w:sz w:val="18"/>
                <w:szCs w:val="18"/>
                <w:color w:val="auto"/>
              </w:rPr>
            </w:pPr>
          </w:p>
        </w:tc>
      </w:tr>
      <w:tr>
        <w:trPr>
          <w:trHeight w:val="196"/>
        </w:trPr>
        <w:tc>
          <w:tcPr>
            <w:tcW w:w="100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122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tcPr>
          <w:p>
            <w:pPr>
              <w:spacing w:after="0"/>
              <w:rPr>
                <w:sz w:val="18"/>
                <w:szCs w:val="18"/>
                <w:color w:val="auto"/>
              </w:rPr>
            </w:pPr>
          </w:p>
        </w:tc>
      </w:tr>
      <w:tr>
        <w:trPr>
          <w:trHeight w:val="175"/>
        </w:trPr>
        <w:tc>
          <w:tcPr>
            <w:tcW w:w="100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22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21"/>
        </w:trPr>
        <w:tc>
          <w:tcPr>
            <w:tcW w:w="3160" w:type="dxa"/>
            <w:vAlign w:val="bottom"/>
            <w:tcBorders>
              <w:top w:val="single" w:sz="8" w:color="0000EE"/>
            </w:tcBorders>
            <w:shd w:val="clear" w:color="auto" w:fill="EEEEEE"/>
          </w:tcPr>
          <w:p>
            <w:pPr>
              <w:spacing w:after="0" w:line="20" w:lineRule="exact"/>
              <w:rPr>
                <w:sz w:val="1"/>
                <w:szCs w:val="1"/>
                <w:color w:val="auto"/>
              </w:rPr>
            </w:pPr>
          </w:p>
        </w:tc>
        <w:tc>
          <w:tcPr>
            <w:tcW w:w="15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Consumer Portfolio Services, Inc. and Subsidiaries (the “Company”) as of December 31, 2023 and 2022, the related consolidated statements of income, comprehensive income, shareholders’ equity, and cash flows for each of the years in the three-year period ended December 31, 2023, and the related notes (collectively referred to as the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Loans at Fair Value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1 and 12 to the consolidated financial statements, the Company carries all finance receivables acquired after 2017 at fair value on a recurring basis. The Company had $2.7 billion in finance receivables that are carried at fair value, all of which are classified as level 3 fair values as they contain one or more inputs which are unobservable and significant to the fair value measurement. With assistance from an outside valuation expert, the Company used a level 3 fair value methodology for the fair value of finance receivables. The significant assumptions used by the Company to calculate the fair value of these financial receivables include the magnitude and timing of net charge-offs and the rate of amortization of the portfolio of finance receivables. These significant assumptions were based on the factors that market participants use in pricing similar receivables and are based on the best information available in the circumstances.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valuation of finance receivables carried at fair value as a critical audit matter as this estimate requires subjective auditor judgment. Our principal considerations in making this determination are (i) there was significant judgment and estimation by the Company in determining the assumptions to estimate fair value, which in turn led to a high degree of auditor judgment, subjectivity, and effort in performing procedures related to the fair value of these finance receivables, and (ii) the audit effort involved professionals with specialized skill and knowledge to assist in evaluating the audit evidence obtained from these procedures.</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Testing the design and operating effectiveness of controls over the application of the assumptions used to support the estimate of loans at fair value included addressing:</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and accuracy of data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model review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management’s judgments and significant assumptions over inputs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Substantively testing management’s process, including evaluating management’s judgments and assumptions, for developing the estimate of loans at fair value included:</w:t>
      </w:r>
    </w:p>
    <w:p>
      <w:pPr>
        <w:spacing w:after="0" w:line="162" w:lineRule="exact"/>
        <w:rPr>
          <w:sz w:val="20"/>
          <w:szCs w:val="20"/>
          <w:color w:val="auto"/>
        </w:rPr>
      </w:pPr>
    </w:p>
    <w:p>
      <w:pPr>
        <w:jc w:val="both"/>
        <w:ind w:left="660" w:hanging="328"/>
        <w:spacing w:after="0" w:line="25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an auditor employed valuation specialist to assist in testing the Company’s estimate of fair value of the finance receivables. Testing included evaluation of certain management significant assumptions and, evaluating the appropriateness of the methodology including a recalculation of the model.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the fair value of finance receivables estimate.</w:t>
      </w:r>
    </w:p>
    <w:p>
      <w:pPr>
        <w:spacing w:after="0" w:line="200" w:lineRule="exact"/>
        <w:rPr>
          <w:sz w:val="20"/>
          <w:szCs w:val="20"/>
          <w:color w:val="auto"/>
        </w:rPr>
      </w:pPr>
    </w:p>
    <w:p>
      <w:pPr>
        <w:spacing w:after="0" w:line="2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Crowe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40" w:type="dxa"/>
            <w:vAlign w:val="bottom"/>
            <w:tcBorders>
              <w:bottom w:val="single" w:sz="8" w:color="EEEEEE"/>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r>
      <w:tr>
        <w:trPr>
          <w:trHeight w:val="209"/>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13,490</w:t>
            </w:r>
          </w:p>
        </w:tc>
      </w:tr>
      <w:tr>
        <w:trPr>
          <w:trHeight w:val="216"/>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119,257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149,299</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2,722,662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2,476,617</w:t>
            </w:r>
          </w:p>
        </w:tc>
      </w:tr>
      <w:tr>
        <w:trPr>
          <w:trHeight w:val="216"/>
        </w:trPr>
        <w:tc>
          <w:tcPr>
            <w:tcW w:w="7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27,553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92,304</w:t>
            </w:r>
          </w:p>
        </w:tc>
      </w:tr>
      <w:tr>
        <w:trPr>
          <w:trHeight w:val="230"/>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(21,753)</w:t>
            </w:r>
          </w:p>
        </w:tc>
      </w:tr>
      <w:tr>
        <w:trPr>
          <w:trHeight w:val="20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 net</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70,551</w:t>
            </w:r>
          </w:p>
        </w:tc>
        <w:tc>
          <w:tcPr>
            <w:tcW w:w="100" w:type="dxa"/>
            <w:vAlign w:val="bottom"/>
          </w:tcPr>
          <w:p>
            <w:pPr>
              <w:spacing w:after="0"/>
              <w:rPr>
                <w:sz w:val="18"/>
                <w:szCs w:val="18"/>
                <w:color w:val="auto"/>
              </w:rPr>
            </w:pPr>
          </w:p>
        </w:tc>
      </w:tr>
      <w:tr>
        <w:trPr>
          <w:trHeight w:val="216"/>
        </w:trPr>
        <w:tc>
          <w:tcPr>
            <w:tcW w:w="7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r>
      <w:tr>
        <w:trPr>
          <w:trHeight w:val="216"/>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3,736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10,177</w:t>
            </w:r>
          </w:p>
        </w:tc>
      </w:tr>
      <w:tr>
        <w:trPr>
          <w:trHeight w:val="22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25,861</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30,974</w:t>
            </w:r>
          </w:p>
        </w:tc>
      </w:tr>
      <w:tr>
        <w:trPr>
          <w:trHeight w:val="223"/>
        </w:trPr>
        <w:tc>
          <w:tcPr>
            <w:tcW w:w="76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2,903,746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2,752,768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62,544</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55,421</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234,025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285,328</w:t>
            </w:r>
          </w:p>
        </w:tc>
      </w:tr>
      <w:tr>
        <w:trPr>
          <w:trHeight w:val="216"/>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49,875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49,623</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2,265,446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2,108,744</w:t>
            </w:r>
          </w:p>
        </w:tc>
      </w:tr>
      <w:tr>
        <w:trPr>
          <w:trHeight w:val="230"/>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17,188</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25,263</w:t>
            </w:r>
          </w:p>
        </w:tc>
      </w:tr>
      <w:tr>
        <w:trPr>
          <w:trHeight w:val="209"/>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2,629,078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2,524,379</w:t>
            </w:r>
          </w:p>
        </w:tc>
        <w:tc>
          <w:tcPr>
            <w:tcW w:w="100" w:type="dxa"/>
            <w:vAlign w:val="bottom"/>
          </w:tcPr>
          <w:p>
            <w:pPr>
              <w:spacing w:after="0"/>
              <w:rPr>
                <w:sz w:val="18"/>
                <w:szCs w:val="18"/>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21,174,856 and 20,131,323 shares issued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28,678</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28,906</w:t>
            </w:r>
          </w:p>
        </w:tc>
      </w:tr>
      <w:tr>
        <w:trPr>
          <w:trHeight w:val="216"/>
        </w:trPr>
        <w:tc>
          <w:tcPr>
            <w:tcW w:w="7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247,857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202,514</w:t>
            </w:r>
          </w:p>
        </w:tc>
      </w:tr>
      <w:tr>
        <w:trPr>
          <w:trHeight w:val="230"/>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(3,031)</w:t>
            </w:r>
          </w:p>
        </w:tc>
      </w:tr>
      <w:tr>
        <w:trPr>
          <w:trHeight w:val="210"/>
        </w:trPr>
        <w:tc>
          <w:tcPr>
            <w:tcW w:w="76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274,668</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228,389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640" w:type="dxa"/>
            <w:vAlign w:val="bottom"/>
            <w:shd w:val="clear" w:color="auto" w:fill="EEEEEE"/>
          </w:tcPr>
          <w:p>
            <w:pPr>
              <w:spacing w:after="0"/>
              <w:rPr>
                <w:sz w:val="21"/>
                <w:szCs w:val="21"/>
                <w:color w:val="auto"/>
              </w:rPr>
            </w:pP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2,903,746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2,752,768</w:t>
            </w:r>
          </w:p>
        </w:tc>
      </w:tr>
      <w:tr>
        <w:trPr>
          <w:trHeight w:val="20"/>
        </w:trPr>
        <w:tc>
          <w:tcPr>
            <w:tcW w:w="7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329,219</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305,237</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266,266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15,283</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29"/>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10,795</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9,189</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2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329,709</w:t>
            </w:r>
          </w:p>
        </w:tc>
        <w:tc>
          <w:tcPr>
            <w:tcW w:w="2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267,811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Employee costs</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88,148</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84,282</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80,534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50,001</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37,618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34,616</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146,631</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87,524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75,239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(22,300)</w:t>
            </w:r>
          </w:p>
        </w:tc>
        <w:tc>
          <w:tcPr>
            <w:tcW w:w="3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(28,100)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(14,590)</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21,216</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23,039</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16,876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6,374</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7,535</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7,715</w:t>
            </w:r>
          </w:p>
        </w:tc>
        <w:tc>
          <w:tcPr>
            <w:tcW w:w="0" w:type="dxa"/>
            <w:vAlign w:val="bottom"/>
          </w:tcPr>
          <w:p>
            <w:pPr>
              <w:spacing w:after="0"/>
              <w:rPr>
                <w:sz w:val="1"/>
                <w:szCs w:val="1"/>
                <w:color w:val="auto"/>
              </w:rPr>
            </w:pPr>
          </w:p>
        </w:tc>
      </w:tr>
      <w:tr>
        <w:trPr>
          <w:trHeight w:val="230"/>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847</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1,618</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290,917</w:t>
            </w:r>
          </w:p>
        </w:tc>
        <w:tc>
          <w:tcPr>
            <w:tcW w:w="2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213,516</w:t>
            </w:r>
          </w:p>
        </w:tc>
        <w:tc>
          <w:tcPr>
            <w:tcW w:w="2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202,065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Income before income tax expense (benefit)</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61,097</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116,193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65,746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15,754</w:t>
            </w:r>
          </w:p>
        </w:tc>
        <w:tc>
          <w:tcPr>
            <w:tcW w:w="3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30,210</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18,222</w:t>
            </w:r>
          </w:p>
        </w:tc>
        <w:tc>
          <w:tcPr>
            <w:tcW w:w="0" w:type="dxa"/>
            <w:vAlign w:val="bottom"/>
          </w:tcPr>
          <w:p>
            <w:pPr>
              <w:spacing w:after="0"/>
              <w:rPr>
                <w:sz w:val="1"/>
                <w:szCs w:val="1"/>
                <w:color w:val="auto"/>
              </w:rPr>
            </w:pP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45,343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85,983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20,896</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20,958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22,562</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25,218</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26,589</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25,780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w w:val="96"/>
              </w:rPr>
              <w:t>45,343</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85,983</w:t>
            </w:r>
          </w:p>
        </w:tc>
        <w:tc>
          <w:tcPr>
            <w:tcW w:w="36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47,524</w:t>
            </w:r>
          </w:p>
        </w:tc>
      </w:tr>
      <w:tr>
        <w:trPr>
          <w:trHeight w:val="198"/>
        </w:trPr>
        <w:tc>
          <w:tcPr>
            <w:tcW w:w="6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change in funded status of pension plan, net of $422,</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$513 and $2,554 in tax for 2023, 2022 and 2021, respectively</w:t>
            </w:r>
          </w:p>
        </w:tc>
        <w:tc>
          <w:tcPr>
            <w:tcW w:w="8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3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6,949</w:t>
            </w:r>
          </w:p>
        </w:tc>
      </w:tr>
      <w:tr>
        <w:trPr>
          <w:trHeight w:val="223"/>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46,507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84,574</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4620" w:type="dxa"/>
            <w:vAlign w:val="bottom"/>
          </w:tcPr>
          <w:p>
            <w:pPr>
              <w:spacing w:after="0"/>
              <w:rPr>
                <w:sz w:val="21"/>
                <w:szCs w:val="21"/>
                <w:color w:val="auto"/>
              </w:rPr>
            </w:pPr>
          </w:p>
        </w:tc>
        <w:tc>
          <w:tcPr>
            <w:tcW w:w="26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Retained</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Comprehensive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9"/>
              </w:rPr>
              <w:t>Loss</w:t>
            </w:r>
          </w:p>
        </w:tc>
        <w:tc>
          <w:tcPr>
            <w:tcW w:w="240" w:type="dxa"/>
            <w:vAlign w:val="bottom"/>
          </w:tcPr>
          <w:p>
            <w:pPr>
              <w:spacing w:after="0"/>
              <w:rPr>
                <w:sz w:val="19"/>
                <w:szCs w:val="19"/>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22,737</w:t>
            </w: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72,926</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69,007</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133,362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62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exercise of options and</w:t>
            </w:r>
          </w:p>
        </w:tc>
        <w:tc>
          <w:tcPr>
            <w:tcW w:w="1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46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2,291</w:t>
            </w:r>
          </w:p>
        </w:tc>
        <w:tc>
          <w:tcPr>
            <w:tcW w:w="1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6,048</w:t>
            </w: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6,048</w:t>
            </w:r>
          </w:p>
        </w:tc>
        <w:tc>
          <w:tcPr>
            <w:tcW w:w="80" w:type="dxa"/>
            <w:vAlign w:val="bottom"/>
            <w:shd w:val="clear" w:color="auto" w:fill="EEEEEE"/>
          </w:tcPr>
          <w:p>
            <w:pPr>
              <w:spacing w:after="0"/>
              <w:rPr>
                <w:sz w:val="20"/>
                <w:szCs w:val="20"/>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(25,676)</w:t>
            </w:r>
          </w:p>
        </w:tc>
      </w:tr>
      <w:tr>
        <w:trPr>
          <w:trHeight w:val="216"/>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6,949</w:t>
            </w: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6,949</w:t>
            </w:r>
          </w:p>
        </w:tc>
        <w:tc>
          <w:tcPr>
            <w:tcW w:w="80" w:type="dxa"/>
            <w:vAlign w:val="bottom"/>
            <w:shd w:val="clear" w:color="auto" w:fill="EEEEEE"/>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r>
      <w:tr>
        <w:trPr>
          <w:trHeight w:val="230"/>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47,524</w:t>
            </w:r>
          </w:p>
        </w:tc>
        <w:tc>
          <w:tcPr>
            <w:tcW w:w="1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47,524</w:t>
            </w:r>
          </w:p>
        </w:tc>
      </w:tr>
      <w:tr>
        <w:trPr>
          <w:trHeight w:val="263"/>
        </w:trPr>
        <w:tc>
          <w:tcPr>
            <w:tcW w:w="46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2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55,298</w:t>
            </w: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116,531</w:t>
            </w:r>
          </w:p>
        </w:tc>
        <w:tc>
          <w:tcPr>
            <w:tcW w:w="10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170,207</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46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exercise of options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3,127</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15,277</w:t>
            </w:r>
          </w:p>
        </w:tc>
      </w:tr>
      <w:tr>
        <w:trPr>
          <w:trHeight w:val="216"/>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(4,140)</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(46,096)</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(46,096)</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shd w:val="clear" w:color="auto" w:fill="EEEEEE"/>
          </w:tcPr>
          <w:p>
            <w:pPr>
              <w:spacing w:after="0"/>
              <w:rPr>
                <w:sz w:val="18"/>
                <w:szCs w:val="18"/>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85,983</w:t>
            </w: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202,514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228,389</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62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exercise of options and</w:t>
            </w:r>
          </w:p>
        </w:tc>
        <w:tc>
          <w:tcPr>
            <w:tcW w:w="1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46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16,581</w:t>
            </w: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20"/>
                <w:szCs w:val="20"/>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16,581</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(20,273)</w:t>
            </w:r>
          </w:p>
        </w:tc>
      </w:tr>
      <w:tr>
        <w:trPr>
          <w:trHeight w:val="216"/>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shd w:val="clear" w:color="auto" w:fill="EEEEEE"/>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tcPr>
          <w:p>
            <w:pPr>
              <w:spacing w:after="0"/>
              <w:rPr>
                <w:sz w:val="18"/>
                <w:szCs w:val="18"/>
                <w:color w:val="auto"/>
              </w:rPr>
            </w:pPr>
          </w:p>
        </w:tc>
      </w:tr>
      <w:tr>
        <w:trPr>
          <w:trHeight w:val="230"/>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45,343</w:t>
            </w:r>
          </w:p>
        </w:tc>
        <w:tc>
          <w:tcPr>
            <w:tcW w:w="1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45,343</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19"/>
                <w:szCs w:val="19"/>
                <w:color w:val="auto"/>
              </w:rPr>
            </w:pPr>
          </w:p>
        </w:tc>
      </w:tr>
      <w:tr>
        <w:trPr>
          <w:trHeight w:val="210"/>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45,343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85,983</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47,524</w:t>
            </w:r>
          </w:p>
        </w:tc>
      </w:tr>
      <w:tr>
        <w:trPr>
          <w:trHeight w:val="216"/>
        </w:trPr>
        <w:tc>
          <w:tcPr>
            <w:tcW w:w="6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deferred acquisition fees and origination costs</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66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193,541</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135,147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134,020</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847</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66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9,690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8,207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7,114</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 to fair value of finance receivables measured at fair value</w:t>
            </w: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(12,000)</w:t>
            </w:r>
          </w:p>
        </w:tc>
        <w:tc>
          <w:tcPr>
            <w:tcW w:w="3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(15,283)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4,417</w:t>
            </w:r>
          </w:p>
        </w:tc>
      </w:tr>
      <w:tr>
        <w:trPr>
          <w:trHeight w:val="216"/>
        </w:trPr>
        <w:tc>
          <w:tcPr>
            <w:tcW w:w="66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(22,300)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(28,100)</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(14,590)</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3,464</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6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4,667</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66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6,441</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9,398</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8,937</w:t>
            </w:r>
          </w:p>
        </w:tc>
      </w:tr>
      <w:tr>
        <w:trPr>
          <w:trHeight w:val="229"/>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8,287</w:t>
            </w:r>
          </w:p>
        </w:tc>
        <w:tc>
          <w:tcPr>
            <w:tcW w:w="3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7,485</w:t>
            </w:r>
          </w:p>
        </w:tc>
      </w:tr>
      <w:tr>
        <w:trPr>
          <w:trHeight w:val="210"/>
        </w:trPr>
        <w:tc>
          <w:tcPr>
            <w:tcW w:w="6640" w:type="dxa"/>
            <w:vAlign w:val="bottom"/>
            <w:tcBorders>
              <w:top w:val="single" w:sz="8" w:color="EEEEEE"/>
            </w:tcBorders>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237,980</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215,932</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198,194</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68,167</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133,733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249,098</w:t>
            </w:r>
          </w:p>
        </w:tc>
      </w:tr>
      <w:tr>
        <w:trPr>
          <w:trHeight w:val="216"/>
        </w:trPr>
        <w:tc>
          <w:tcPr>
            <w:tcW w:w="6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(1,251,020)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(1,673,166)</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(1,107,537)</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receivables portfolio at fair value</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823,434</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825,783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743,728</w:t>
            </w:r>
          </w:p>
        </w:tc>
      </w:tr>
      <w:tr>
        <w:trPr>
          <w:trHeight w:val="216"/>
        </w:trPr>
        <w:tc>
          <w:tcPr>
            <w:tcW w:w="6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1,329</w:t>
            </w: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300" w:type="dxa"/>
            <w:vAlign w:val="bottom"/>
          </w:tcPr>
          <w:p>
            <w:pPr>
              <w:spacing w:after="0"/>
              <w:rPr>
                <w:sz w:val="19"/>
                <w:szCs w:val="19"/>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Pr>
          <w:p>
            <w:pPr>
              <w:spacing w:after="0"/>
              <w:rPr>
                <w:sz w:val="19"/>
                <w:szCs w:val="19"/>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10"/>
        </w:trPr>
        <w:tc>
          <w:tcPr>
            <w:tcW w:w="6640" w:type="dxa"/>
            <w:vAlign w:val="bottom"/>
            <w:tcBorders>
              <w:top w:val="single" w:sz="8" w:color="EEEEEE"/>
            </w:tcBorders>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(359,532</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(713,900</w:t>
            </w:r>
          </w:p>
        </w:tc>
        <w:tc>
          <w:tcPr>
            <w:tcW w:w="140" w:type="dxa"/>
            <w:vAlign w:val="bottom"/>
            <w:tcBorders>
              <w:top w:val="single" w:sz="8" w:color="EEEEEE"/>
            </w:tcBorders>
            <w:shd w:val="clear" w:color="auto" w:fill="EEEEEE"/>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(115,358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1,235,534</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1,411,018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1,110,747</w:t>
            </w:r>
          </w:p>
        </w:tc>
      </w:tr>
      <w:tr>
        <w:trPr>
          <w:trHeight w:val="216"/>
        </w:trPr>
        <w:tc>
          <w:tcPr>
            <w:tcW w:w="6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4,004</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7,988</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(8,075)</w:t>
            </w:r>
          </w:p>
        </w:tc>
        <w:tc>
          <w:tcPr>
            <w:tcW w:w="3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16"/>
        </w:trPr>
        <w:tc>
          <w:tcPr>
            <w:tcW w:w="6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advances (repayments) of warehouse lines of credit</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(53,253)</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181,868</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(14,503)</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advances (repayments) of residual interest financing debt</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28,735</w:t>
            </w:r>
          </w:p>
        </w:tc>
      </w:tr>
      <w:tr>
        <w:trPr>
          <w:trHeight w:val="216"/>
        </w:trPr>
        <w:tc>
          <w:tcPr>
            <w:tcW w:w="6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(1,078,432)</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(1,060,052)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(1,153,114)</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(7,888)</w:t>
            </w:r>
          </w:p>
        </w:tc>
        <w:tc>
          <w:tcPr>
            <w:tcW w:w="3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(12,299)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(7,813)</w:t>
            </w:r>
          </w:p>
        </w:tc>
      </w:tr>
      <w:tr>
        <w:trPr>
          <w:trHeight w:val="216"/>
        </w:trPr>
        <w:tc>
          <w:tcPr>
            <w:tcW w:w="6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(20,273)</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(46,096)</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(25,676)</w:t>
            </w:r>
          </w:p>
        </w:tc>
      </w:tr>
      <w:tr>
        <w:trPr>
          <w:trHeight w:val="22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30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16,581</w:t>
            </w:r>
          </w:p>
        </w:tc>
        <w:tc>
          <w:tcPr>
            <w:tcW w:w="3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6,048</w:t>
            </w:r>
          </w:p>
        </w:tc>
      </w:tr>
      <w:tr>
        <w:trPr>
          <w:trHeight w:val="210"/>
        </w:trPr>
        <w:tc>
          <w:tcPr>
            <w:tcW w:w="6640" w:type="dxa"/>
            <w:vAlign w:val="bottom"/>
            <w:tcBorders>
              <w:top w:val="single" w:sz="8" w:color="EEEEEE"/>
            </w:tcBorders>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84,194</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484,209</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(50,440</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(37,358)</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(13,759)</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32,396</w:t>
            </w:r>
          </w:p>
        </w:tc>
      </w:tr>
      <w:tr>
        <w:trPr>
          <w:trHeight w:val="216"/>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162,789</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176,548</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144,152</w:t>
            </w:r>
          </w:p>
        </w:tc>
      </w:tr>
      <w:tr>
        <w:trPr>
          <w:trHeight w:val="263"/>
        </w:trPr>
        <w:tc>
          <w:tcPr>
            <w:tcW w:w="66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125,431</w:t>
            </w:r>
          </w:p>
        </w:tc>
        <w:tc>
          <w:tcPr>
            <w:tcW w:w="2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162,789</w:t>
            </w: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176,548</w:t>
            </w:r>
          </w:p>
        </w:tc>
        <w:tc>
          <w:tcPr>
            <w:tcW w:w="100" w:type="dxa"/>
            <w:vAlign w:val="bottom"/>
            <w:tcBorders>
              <w:bottom w:val="single" w:sz="8" w:color="EEEEEE"/>
            </w:tcBorders>
          </w:tcPr>
          <w:p>
            <w:pPr>
              <w:spacing w:after="0"/>
              <w:rPr>
                <w:sz w:val="22"/>
                <w:szCs w:val="22"/>
                <w:color w:val="auto"/>
              </w:rPr>
            </w:pPr>
          </w:p>
        </w:tc>
      </w:tr>
      <w:tr>
        <w:trPr>
          <w:trHeight w:val="197"/>
        </w:trPr>
        <w:tc>
          <w:tcPr>
            <w:tcW w:w="66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135,203</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76,696</w:t>
            </w:r>
          </w:p>
        </w:tc>
        <w:tc>
          <w:tcPr>
            <w:tcW w:w="36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69,476</w:t>
            </w:r>
          </w:p>
        </w:tc>
      </w:tr>
      <w:tr>
        <w:trPr>
          <w:trHeight w:val="234"/>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20"/>
                <w:szCs w:val="20"/>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3,552</w:t>
            </w:r>
          </w:p>
        </w:tc>
        <w:tc>
          <w:tcPr>
            <w:tcW w:w="30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16,182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14,253</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Customers located in Texas, Illinois, Ohio, California, Florida, and Pennsylvania represented 7.1%, 6.9%, 6.2%, 6.0%, 5.4%, and 5.0%. respectively, of contracts purchased during 2023 compared with 7.8%, 5.7%, 7.6%, 8.2%, 5.1%, and 4.6% respectively in 2022. No other state had a concentration in excess of 5.0% in 2023. We specialize in contracts with vehicle purchasers who generally would not be expected to qualify for traditional financing provided by commercial banks or automobile manufacturers’ captive finance companies.</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2023, our unrestricted cash balance was $6.2 million, which exceeded the minimum amounts required by our financial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18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 Measured at Fair Value</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8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 For the twelve-month period ended December 31, 2023 include a $12.0 million positive mark to the carrying value of the portion of the receivables portfolio accounted for at fair value. The Company recorded a $15.3 positive mark to for the twelve-month period ended December 31, 2022.</w:t>
      </w:r>
    </w:p>
    <w:p>
      <w:pPr>
        <w:spacing w:after="0" w:line="180"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Finance Credit Losses</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current expected credit losses that can be reasonably estimated in our portfolio of finance receivable contracts.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Charge Off Policy</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Fees and Origination Costs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Upon purchase of a Contract from a Dealer, we generally either charge or advance the Dealer an acquisition fee. Dealer acquisition fees and deferred origination costs are applied to the recorded value of finance receivables and are accreted into earnings as an adjustment to the yield over the estimated life of the Contract using the interest method. However, for receivables measured at fair value, we do not record acquisition fees as an amortizing asset related to the receivables, nor do we capitalize costs of acquiring the receivables. Rather we recognize the costs of acquisition as expenses in the period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Repossessed and Other Assets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$125,000 and $571,000 December 31,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Securitizations</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18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0"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8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Furniture and Equipment</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 and Long-Lived Assets to Be Disposed Of</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9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Third-party portfolio</w:t>
            </w:r>
          </w:p>
        </w:tc>
        <w:tc>
          <w:tcPr>
            <w:tcW w:w="1040" w:type="dxa"/>
            <w:vAlign w:val="bottom"/>
            <w:shd w:val="clear" w:color="auto" w:fill="EEEEEE"/>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9,350</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6,814</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Direct mail revenues</w:t>
            </w:r>
          </w:p>
        </w:tc>
        <w:tc>
          <w:tcPr>
            <w:tcW w:w="10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774</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3,391</w:t>
            </w: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1,078</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737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1040" w:type="dxa"/>
            <w:vAlign w:val="bottom"/>
            <w:tcBorders>
              <w:top w:val="single" w:sz="8" w:color="auto"/>
              <w:bottom w:val="single" w:sz="8" w:color="auto"/>
            </w:tcBorders>
            <w:shd w:val="clear" w:color="auto" w:fill="EEEEEE"/>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Earnings per share were calculated using the weighted average number of shares outstanding for the related period. The following table illustrates the computation of basic and diluted earnings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040" w:type="dxa"/>
            <w:vAlign w:val="bottom"/>
          </w:tcPr>
          <w:p>
            <w:pPr>
              <w:spacing w:after="0"/>
              <w:rPr>
                <w:sz w:val="20"/>
                <w:szCs w:val="20"/>
                <w:color w:val="auto"/>
              </w:rPr>
            </w:pPr>
          </w:p>
        </w:tc>
        <w:tc>
          <w:tcPr>
            <w:tcW w:w="30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1040" w:type="dxa"/>
            <w:vAlign w:val="bottom"/>
            <w:shd w:val="clear" w:color="auto" w:fill="EEEEEE"/>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45,343</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85,983</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47,524</w:t>
            </w:r>
          </w:p>
        </w:tc>
        <w:tc>
          <w:tcPr>
            <w:tcW w:w="0" w:type="dxa"/>
            <w:vAlign w:val="bottom"/>
          </w:tcPr>
          <w:p>
            <w:pPr>
              <w:spacing w:after="0"/>
              <w:rPr>
                <w:sz w:val="1"/>
                <w:szCs w:val="1"/>
                <w:color w:val="auto"/>
              </w:rPr>
            </w:pPr>
          </w:p>
        </w:tc>
      </w:tr>
      <w:tr>
        <w:trPr>
          <w:trHeight w:val="20"/>
        </w:trPr>
        <w:tc>
          <w:tcPr>
            <w:tcW w:w="598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number of</w:t>
            </w:r>
          </w:p>
        </w:tc>
        <w:tc>
          <w:tcPr>
            <w:tcW w:w="10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common shares outstanding during the year</w:t>
            </w:r>
          </w:p>
        </w:tc>
        <w:tc>
          <w:tcPr>
            <w:tcW w:w="1040" w:type="dxa"/>
            <w:vAlign w:val="bottom"/>
            <w:shd w:val="clear" w:color="auto" w:fill="EEEEEE"/>
          </w:tcPr>
          <w:p>
            <w:pPr>
              <w:spacing w:after="0"/>
              <w:rPr>
                <w:sz w:val="20"/>
                <w:szCs w:val="20"/>
                <w:color w:val="auto"/>
              </w:rPr>
            </w:pPr>
          </w:p>
        </w:tc>
        <w:tc>
          <w:tcPr>
            <w:tcW w:w="7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20,896</w:t>
            </w:r>
          </w:p>
        </w:tc>
        <w:tc>
          <w:tcPr>
            <w:tcW w:w="36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20,958</w:t>
            </w:r>
          </w:p>
        </w:tc>
        <w:tc>
          <w:tcPr>
            <w:tcW w:w="52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22,562</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4,322</w:t>
            </w: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5,631</w:t>
            </w:r>
          </w:p>
        </w:tc>
        <w:tc>
          <w:tcPr>
            <w:tcW w:w="5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3,218</w:t>
            </w:r>
          </w:p>
        </w:tc>
        <w:tc>
          <w:tcPr>
            <w:tcW w:w="0" w:type="dxa"/>
            <w:vAlign w:val="bottom"/>
          </w:tcPr>
          <w:p>
            <w:pPr>
              <w:spacing w:after="0"/>
              <w:rPr>
                <w:sz w:val="1"/>
                <w:szCs w:val="1"/>
                <w:color w:val="auto"/>
              </w:rPr>
            </w:pP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040" w:type="dxa"/>
            <w:vAlign w:val="bottom"/>
            <w:tcBorders>
              <w:top w:val="single" w:sz="8" w:color="auto"/>
              <w:bottom w:val="single" w:sz="8" w:color="auto"/>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19"/>
                <w:szCs w:val="19"/>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EEEEEE"/>
            </w:tcBorders>
            <w:vMerge w:val="continue"/>
          </w:tcPr>
          <w:p>
            <w:pPr>
              <w:spacing w:after="0"/>
              <w:rPr>
                <w:sz w:val="20"/>
                <w:szCs w:val="20"/>
                <w:color w:val="auto"/>
              </w:rPr>
            </w:pPr>
          </w:p>
        </w:tc>
        <w:tc>
          <w:tcPr>
            <w:tcW w:w="104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bottom w:val="single" w:sz="8" w:color="EEEEEE"/>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220" w:type="dxa"/>
            <w:vAlign w:val="bottom"/>
            <w:tcBorders>
              <w:bottom w:val="single" w:sz="8" w:color="EEEEEE"/>
            </w:tcBorders>
            <w:vMerge w:val="continue"/>
          </w:tcPr>
          <w:p>
            <w:pPr>
              <w:spacing w:after="0"/>
              <w:rPr>
                <w:sz w:val="20"/>
                <w:szCs w:val="20"/>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tcBorders>
              <w:bottom w:val="single" w:sz="8" w:color="auto"/>
            </w:tcBorders>
            <w:shd w:val="clear" w:color="auto" w:fill="EEEEEE"/>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auto"/>
            </w:tcBorders>
            <w:shd w:val="clear" w:color="auto" w:fill="EEEEEE"/>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220" w:type="dxa"/>
            <w:vAlign w:val="bottom"/>
            <w:tcBorders>
              <w:bottom w:val="single" w:sz="8" w:color="EEEEEE"/>
            </w:tcBorders>
            <w:shd w:val="clear" w:color="auto" w:fill="EEEEEE"/>
          </w:tcPr>
          <w:p>
            <w:pPr>
              <w:spacing w:after="0"/>
              <w:rPr>
                <w:sz w:val="17"/>
                <w:szCs w:val="17"/>
                <w:color w:val="auto"/>
              </w:rPr>
            </w:pPr>
          </w:p>
        </w:tc>
        <w:tc>
          <w:tcPr>
            <w:tcW w:w="520" w:type="dxa"/>
            <w:vAlign w:val="bottom"/>
            <w:tcBorders>
              <w:bottom w:val="single" w:sz="8" w:color="auto"/>
            </w:tcBorders>
            <w:shd w:val="clear" w:color="auto" w:fill="EEEEEE"/>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F-13</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98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Incremental shares of 1.7 million, 1.2 million and 5.7 million related to stock options and warrants have been excluded from the diluted earnings per share calculation for the years ended December 31, 2023, 2022 and 2021, respectively, because the effect is anti-dilutive.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Deferral and Amortization of Debt Issuance Costs</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Costs related to the issuance of debt are deferred and amortized using the interest method over the contractual or expected term of the related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debt issuance costs are presented as a direct deduction to the carrying amount of the related debt on our Consolidated Balance Sheets.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Company Stock</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record purchases of our own common stock at cost and treat the shares as retired.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Plan</w:t>
      </w:r>
    </w:p>
    <w:p>
      <w:pPr>
        <w:spacing w:after="0" w:line="225"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that generally requires entities to recognize the cost of employee services received in exchange for awards of stock options, restricted stock or other equity instruments, based on the grant date fair value of those awards. Compensation cost is recognized for awards issued to employees based on the fair value of these awards at the date of grant. A Black-Scholes model is utilized to estimate the fair value of stock options. This cost is recognized over the period which an employee is required to provide services in exchange for the award, generally the vesting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are material estimates that could be susceptible to changes in the near term and, accordingly,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7"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Certain amounts for the prior year have been reclassified to conform to the current year’s presentation with no effect on previously reported earnings or shareholders’ equity.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2023 we were in compliance with all such financial covenants.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Contingent Liabilities</w:t>
      </w:r>
    </w:p>
    <w:p>
      <w:pPr>
        <w:spacing w:after="0" w:line="22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6"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We have recorded a liability as of December 31, 2023, which represents our estimate of the immaterial aggregate probable incurred losses for legal contingencies. The amount of losses that may ultimately be incurred, over and above such losses as are probable, cannot be estimated with certainty.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In March 2022, FASB issued ASU No. 2022-02, Financial Instruments – Credit Losses (Topic 326): Troubled Debt Restructurings and Vintage Disclosures. The amendments in this ASU eliminate the long-standing accounting guidance for Troubled Debt Restructurings (“TDRs”) by creditors in Subtopic 310-40, Receivables – Troubled Debt Restructurings by Creditors, as it is no longer meaningful due to the introduction of Topic 326, which requires an entity to consider lifetime expected credit losses on loans when establishing an allowance for credit losses. Thus, most losses that would have been realized for a TDR under Subtopic 310-40 are now captured by the accounting required under Topic 326. The amendments in this ASU also require that an entity disclose current-period gross write offs by year of origination for financing receivables and net investments in leases within the scope of Subtopic 326-20, Financial Instruments – Credit Losses Measured at Amortized Cost. The Company adopted ASU No. 2022-02 effective January 1, 2023. Aside from the changes to the disclosures required by ASU No. 2022-02, the ASU did not have a material impact on our consolidated financial statements.</w:t>
      </w:r>
    </w:p>
    <w:p>
      <w:pPr>
        <w:spacing w:after="0" w:line="19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which is intended to enhance the disclosures on reportable segments. This new standard will be effective for annual reporting periods beginning after December 15, 2023, with early adoption permitted. The Company is currently evaluating the impact of ASU 2023-07; however, at the current time, the Company does not believe this ASU will have a material impact on its consolidated financial statements.</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is intended to provide greater transparency in various income tax components that affect the rate reconciliation based on the applicable taxing jurisdictions, as well as the qualitative and quantitative aspects of those components. This new standard will be effective for annual reporting periods beginning on or after December 15, 2024, with early adoption permitted. The Company is currently evaluating the impact of ASU 2023-09; however, at the current time, the Company does not believe this ASU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Restricted Cash</w:t>
      </w:r>
    </w:p>
    <w:p>
      <w:pPr>
        <w:spacing w:after="0" w:line="229"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and cash equivalent accounts relating to our outstanding securitization trusts and credit facilities. The amount of restricted cash on our Consolidated Balance Sheets was $119.3 million and $149.3 million as of December 31, 2023 and 2022, respectively.</w:t>
      </w:r>
    </w:p>
    <w:p>
      <w:pPr>
        <w:spacing w:after="0" w:line="162"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securitization transactions and one of our warehouse credit facilities require that we establish cash reserves, or spread accounts, as additional credit enhancement. These cash reserves, which are included in restricted cash, were $59.0 million and $56.8 million as of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Finance Receivables</w:t>
      </w:r>
    </w:p>
    <w:p>
      <w:pPr>
        <w:spacing w:after="0" w:line="22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components of finance receivables, net of unearned interest:</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4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Automobile finance receivables, net of unearned interest</w:t>
            </w:r>
          </w:p>
        </w:tc>
        <w:tc>
          <w:tcPr>
            <w:tcW w:w="1500" w:type="dxa"/>
            <w:vAlign w:val="bottom"/>
            <w:gridSpan w:val="2"/>
            <w:shd w:val="clear" w:color="auto" w:fill="EEEEEE"/>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27,553</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92,304</w:t>
            </w:r>
          </w:p>
        </w:tc>
        <w:tc>
          <w:tcPr>
            <w:tcW w:w="0" w:type="dxa"/>
            <w:vAlign w:val="bottom"/>
          </w:tcPr>
          <w:p>
            <w:pPr>
              <w:spacing w:after="0"/>
              <w:rPr>
                <w:sz w:val="1"/>
                <w:szCs w:val="1"/>
                <w:color w:val="auto"/>
              </w:rPr>
            </w:pPr>
          </w:p>
        </w:tc>
      </w:tr>
      <w:tr>
        <w:trPr>
          <w:trHeight w:val="230"/>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acquisition fees, discounts and deferred origination costs, net</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Finance receivables</w:t>
            </w:r>
          </w:p>
        </w:tc>
        <w:tc>
          <w:tcPr>
            <w:tcW w:w="4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92,304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The following table summarizes the delinquency status of finance receivables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4200" w:type="dxa"/>
            <w:vAlign w:val="bottom"/>
            <w:gridSpan w:val="2"/>
            <w:shd w:val="clear" w:color="auto" w:fill="EEEEEE"/>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17,771</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65,764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31-60 days</w:t>
            </w:r>
          </w:p>
        </w:tc>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5,626</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16,796</w:t>
            </w: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61-90 days</w:t>
            </w:r>
          </w:p>
        </w:tc>
        <w:tc>
          <w:tcPr>
            <w:tcW w:w="31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3,087</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91 + days</w:t>
            </w: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w:t>
            </w:r>
          </w:p>
        </w:tc>
        <w:tc>
          <w:tcPr>
            <w:tcW w:w="5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23"/>
        </w:trPr>
        <w:tc>
          <w:tcPr>
            <w:tcW w:w="460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92,304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Finance receivables totaling $1.1 million and $2.0 million at December 31, 2023 and 2022, respectively, have been placed on non-accrual status as a result of their delinquency status.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80"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57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auto"/>
              </w:rPr>
              <w:t>Annual Vintage Pool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570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556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520" w:type="dxa"/>
            <w:vAlign w:val="bottom"/>
            <w:tcBorders>
              <w:top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1,788</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8,627</w:t>
            </w:r>
          </w:p>
        </w:tc>
        <w:tc>
          <w:tcPr>
            <w:tcW w:w="0" w:type="dxa"/>
            <w:vAlign w:val="bottom"/>
          </w:tcPr>
          <w:p>
            <w:pPr>
              <w:spacing w:after="0"/>
              <w:rPr>
                <w:sz w:val="1"/>
                <w:szCs w:val="1"/>
                <w:color w:val="auto"/>
              </w:rPr>
            </w:pPr>
          </w:p>
        </w:tc>
      </w:tr>
      <w:tr>
        <w:trPr>
          <w:trHeight w:val="216"/>
        </w:trPr>
        <w:tc>
          <w:tcPr>
            <w:tcW w:w="2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55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7,673</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28,632</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17,722</w:t>
            </w:r>
          </w:p>
        </w:tc>
        <w:tc>
          <w:tcPr>
            <w:tcW w:w="5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53,180</w:t>
            </w:r>
          </w:p>
        </w:tc>
        <w:tc>
          <w:tcPr>
            <w:tcW w:w="0" w:type="dxa"/>
            <w:vAlign w:val="bottom"/>
          </w:tcPr>
          <w:p>
            <w:pPr>
              <w:spacing w:after="0"/>
              <w:rPr>
                <w:sz w:val="1"/>
                <w:szCs w:val="1"/>
                <w:color w:val="auto"/>
              </w:rPr>
            </w:pPr>
          </w:p>
        </w:tc>
      </w:tr>
      <w:tr>
        <w:trPr>
          <w:trHeight w:val="223"/>
        </w:trPr>
        <w:tc>
          <w:tcPr>
            <w:tcW w:w="2080" w:type="dxa"/>
            <w:vAlign w:val="bottom"/>
            <w:tcBorders>
              <w:top w:val="single" w:sz="8" w:color="EEEEEE"/>
              <w:bottom w:val="single" w:sz="8" w:color="EEEEEE"/>
            </w:tcBorders>
            <w:shd w:val="clear" w:color="auto" w:fill="EEEEEE"/>
          </w:tcPr>
          <w:p>
            <w:pPr>
              <w:spacing w:after="0"/>
              <w:rPr>
                <w:sz w:val="19"/>
                <w:szCs w:val="19"/>
                <w:color w:val="auto"/>
              </w:rPr>
            </w:pPr>
          </w:p>
        </w:tc>
        <w:tc>
          <w:tcPr>
            <w:tcW w:w="55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92,304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At the adoption of CECL in 2020,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Company recorded a reduction to provision for credit losses on finance receivables in the amount of $22.3 million, $28.1 million, and $14.6 million for the years ended December 31, 2023, 2022, and 2021, respectively. The reserve decrease was primarily due to a decrease in lifetime expected credit losses resulting from better than expected credit performance for these receivables.</w:t>
      </w:r>
    </w:p>
    <w:p>
      <w:pPr>
        <w:spacing w:after="0" w:line="176"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years ended December 31, 2023,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0" w:type="dxa"/>
            <w:vAlign w:val="bottom"/>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21,753</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56,206</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80,790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10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(22,300)</w:t>
            </w: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(28,100)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(14,590)</w:t>
            </w: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(8,064)</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(18,319)</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(30,940)</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0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11,480</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11,966</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20,946</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0" w:type="dxa"/>
            <w:vAlign w:val="bottom"/>
            <w:tcBorders>
              <w:top w:val="single" w:sz="8" w:color="auto"/>
              <w:bottom w:val="single" w:sz="8" w:color="auto"/>
            </w:tcBorders>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56,206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charge-offs by year of origination of our finance receivables for the year ended December 31, 2023,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8"/>
                <w:szCs w:val="18"/>
                <w:color w:val="auto"/>
              </w:rPr>
              <w:t>Annual Vintage Pool</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12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963</w:t>
            </w: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3,047</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3,266</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6,586</w:t>
            </w:r>
          </w:p>
        </w:tc>
        <w:tc>
          <w:tcPr>
            <w:tcW w:w="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13,330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4,294</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8,271</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Applied against repos in inventory (net)</w:t>
            </w:r>
          </w:p>
        </w:tc>
        <w:tc>
          <w:tcPr>
            <w:tcW w:w="108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(548)</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(9,919)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Furniture and Equipment</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The following table presents the components of furniture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and telephone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52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340" w:type="dxa"/>
            <w:vAlign w:val="bottom"/>
          </w:tcPr>
          <w:p>
            <w:pPr>
              <w:spacing w:after="0"/>
              <w:rPr>
                <w:sz w:val="16"/>
                <w:szCs w:val="16"/>
                <w:color w:val="auto"/>
              </w:rPr>
            </w:pPr>
          </w:p>
        </w:tc>
        <w:tc>
          <w:tcPr>
            <w:tcW w:w="19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6"/>
                <w:szCs w:val="16"/>
                <w:color w:val="auto"/>
              </w:rPr>
            </w:pPr>
          </w:p>
        </w:tc>
      </w:tr>
      <w:tr>
        <w:trPr>
          <w:trHeight w:val="216"/>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30"/>
        </w:trPr>
        <w:tc>
          <w:tcPr>
            <w:tcW w:w="3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6,823</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r>
      <w:tr>
        <w:trPr>
          <w:trHeight w:val="234"/>
        </w:trPr>
        <w:tc>
          <w:tcPr>
            <w:tcW w:w="3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1,570</w:t>
            </w: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bl>
    <w:p>
      <w:pPr>
        <w:spacing w:after="0" w:line="20" w:lineRule="exact"/>
        <w:rPr>
          <w:sz w:val="20"/>
          <w:szCs w:val="20"/>
          <w:color w:val="auto"/>
        </w:rPr>
      </w:pPr>
    </w:p>
    <w:p>
      <w:pPr>
        <w:sectPr>
          <w:pgSz w:w="11900" w:h="16838" w:orient="portrait"/>
          <w:cols w:equalWidth="0" w:num="2">
            <w:col w:w="7060" w:space="720"/>
            <w:col w:w="346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7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10,329</w:t>
            </w:r>
          </w:p>
        </w:tc>
        <w:tc>
          <w:tcPr>
            <w:tcW w:w="6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9,855</w:t>
            </w:r>
          </w:p>
        </w:tc>
        <w:tc>
          <w:tcPr>
            <w:tcW w:w="80" w:type="dxa"/>
            <w:vAlign w:val="bottom"/>
          </w:tcPr>
          <w:p>
            <w:pPr>
              <w:spacing w:after="0"/>
              <w:rPr>
                <w:sz w:val="16"/>
                <w:szCs w:val="16"/>
                <w:color w:val="auto"/>
              </w:rPr>
            </w:pPr>
          </w:p>
        </w:tc>
      </w:tr>
      <w:tr>
        <w:trPr>
          <w:trHeight w:val="230"/>
        </w:trPr>
        <w:tc>
          <w:tcPr>
            <w:tcW w:w="8360" w:type="dxa"/>
            <w:vAlign w:val="bottom"/>
            <w:gridSpan w:val="2"/>
            <w:shd w:val="clear" w:color="auto" w:fill="EEEEEE"/>
          </w:tcPr>
          <w:p>
            <w:pPr>
              <w:jc w:val="right"/>
              <w:ind w:right="4736"/>
              <w:spacing w:after="0"/>
              <w:rPr>
                <w:sz w:val="20"/>
                <w:szCs w:val="20"/>
                <w:color w:val="auto"/>
              </w:rPr>
            </w:pPr>
            <w:r>
              <w:rPr>
                <w:rFonts w:ascii="Times New Roman" w:cs="Times New Roman" w:eastAsia="Times New Roman" w:hAnsi="Times New Roman"/>
                <w:sz w:val="18"/>
                <w:szCs w:val="18"/>
                <w:color w:val="auto"/>
                <w:w w:val="99"/>
              </w:rPr>
              <w:t>Less: accumulated depreciation and amortization</w:t>
            </w:r>
          </w:p>
        </w:tc>
        <w:tc>
          <w:tcPr>
            <w:tcW w:w="12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(8,957)</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(8,195)</w:t>
            </w:r>
          </w:p>
        </w:tc>
      </w:tr>
      <w:tr>
        <w:trPr>
          <w:trHeight w:val="223"/>
        </w:trPr>
        <w:tc>
          <w:tcPr>
            <w:tcW w:w="77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53"/>
        </w:trPr>
        <w:tc>
          <w:tcPr>
            <w:tcW w:w="8360" w:type="dxa"/>
            <w:vAlign w:val="bottom"/>
            <w:tcBorders>
              <w:bottom w:val="single" w:sz="8" w:color="auto"/>
            </w:tcBorders>
            <w:gridSpan w:val="2"/>
          </w:tcPr>
          <w:p>
            <w:pPr>
              <w:jc w:val="right"/>
              <w:ind w:right="2476"/>
              <w:spacing w:after="0"/>
              <w:rPr>
                <w:sz w:val="20"/>
                <w:szCs w:val="20"/>
                <w:color w:val="auto"/>
              </w:rPr>
            </w:pPr>
            <w:r>
              <w:rPr>
                <w:rFonts w:ascii="Times New Roman" w:cs="Times New Roman" w:eastAsia="Times New Roman" w:hAnsi="Times New Roman"/>
                <w:sz w:val="18"/>
                <w:szCs w:val="18"/>
                <w:color w:val="auto"/>
              </w:rPr>
              <w:t>F-19</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Depreciation expense totaled $847,000, $1,618,000, and $1,675,000 for the years ended December 31, 2023,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Securitization Trust Debt</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Receivables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r>
      <w:tr>
        <w:trPr>
          <w:trHeight w:val="229"/>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Series</w:t>
            </w: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2023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6"/>
          </w:tcPr>
          <w:p>
            <w:pPr>
              <w:ind w:left="12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2018-A</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March 2025</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12,939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2018-B</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2024</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201,823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17,077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2018-C</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September 2025</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230,275</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20,222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2018-D</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June 2025</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233,730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25,563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2019-A</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March 2026</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254,400</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32,898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2019-B</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June 2026</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228,275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15,742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33,897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2019-C</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September 2026</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24,448</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243,513</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19,725</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41,515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2019-D</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2026</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274,313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27,445</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53,625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2020-A</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March 2027</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260,000</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26,382</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52,705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2020-B</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June 2027</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24,197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41,736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2020-C</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November 2027</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51,128</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252,200</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43,487</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72,894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2021-A</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March 2028</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230,545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39,039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72,076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2021-B</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June 2028</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69,614</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240,000</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55,684</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101,206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2021-C</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September 2028</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85,563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147,593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2021-D</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December 2028</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143,579</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349,202</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126,059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209,277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2022-A</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April 2029</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158,852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137,479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222,613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2022-B</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October 2029</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243,310</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395,600</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213,779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325,907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2022-C</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April 2030</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230,273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346,714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2022-D</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June 2030</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232,868</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307,018</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205,583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292,461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2023-A</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August 2030</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273,944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324,768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231,906</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2023-B</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November 2030</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303,157</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332,885</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268,172</w:t>
            </w:r>
          </w:p>
        </w:tc>
        <w:tc>
          <w:tcPr>
            <w:tcW w:w="1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CPS 2023-C</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February 2031</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281,097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257,568</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17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CPS 2023-D</w:t>
            </w:r>
          </w:p>
        </w:tc>
        <w:tc>
          <w:tcPr>
            <w:tcW w:w="18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May 2031</w:t>
            </w:r>
          </w:p>
        </w:tc>
        <w:tc>
          <w:tcPr>
            <w:tcW w:w="1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293,940</w:t>
            </w: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286,149</w:t>
            </w:r>
          </w:p>
        </w:tc>
        <w:tc>
          <w:tcPr>
            <w:tcW w:w="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271,939</w:t>
            </w:r>
          </w:p>
        </w:tc>
        <w:tc>
          <w:tcPr>
            <w:tcW w:w="12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r>
      <w:tr>
        <w:trPr>
          <w:trHeight w:val="228"/>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2,635,113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6,328,171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2,280,021</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2,122,919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-2540</wp:posOffset>
            </wp:positionV>
            <wp:extent cx="38487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-127635</wp:posOffset>
            </wp:positionV>
            <wp:extent cx="38487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08" w:lineRule="exact"/>
        <w:rPr>
          <w:sz w:val="20"/>
          <w:szCs w:val="20"/>
          <w:color w:val="auto"/>
        </w:rPr>
      </w:pPr>
    </w:p>
    <w:p>
      <w:pPr>
        <w:jc w:val="both"/>
        <w:ind w:left="580" w:hanging="248"/>
        <w:spacing w:after="0" w:line="276" w:lineRule="auto"/>
        <w:tabs>
          <w:tab w:leader="none" w:pos="58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$826.3 million in 2024, $618.4 million in 2025, $386.5 million in 2026, $242.8 million in 2027, $152.6 million in 2028, and $38.8 million in 2029.</w:t>
      </w:r>
    </w:p>
    <w:p>
      <w:pPr>
        <w:spacing w:after="0" w:line="166" w:lineRule="exact"/>
        <w:rPr>
          <w:rFonts w:ascii="Times New Roman" w:cs="Times New Roman" w:eastAsia="Times New Roman" w:hAnsi="Times New Roman"/>
          <w:sz w:val="16"/>
          <w:szCs w:val="16"/>
          <w:i w:val="1"/>
          <w:iCs w:val="1"/>
          <w:color w:val="auto"/>
        </w:rPr>
      </w:pPr>
    </w:p>
    <w:p>
      <w:pPr>
        <w:ind w:left="580" w:hanging="248"/>
        <w:spacing w:after="0"/>
        <w:tabs>
          <w:tab w:leader="none" w:pos="58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repossessed assets that are included in Other Assets on our Consolidated Balance Sheets.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Debt issuance costs of $14.6 million and $14.2 million as of December 31, 2023 and December 31, 2022,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62"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2023.</w:t>
      </w:r>
    </w:p>
    <w:p>
      <w:pPr>
        <w:spacing w:after="0" w:line="176"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2023, restricted cash under the various agreements totaled approximately $119.3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Debt</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terms of our debt outstanding at December 31, 2023 and 2022 are summarized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Amount Outstanding at</w:t>
            </w:r>
          </w:p>
        </w:tc>
        <w:tc>
          <w:tcPr>
            <w:tcW w:w="0" w:type="dxa"/>
            <w:vAlign w:val="bottom"/>
          </w:tcPr>
          <w:p>
            <w:pPr>
              <w:spacing w:after="0"/>
              <w:rPr>
                <w:sz w:val="1"/>
                <w:szCs w:val="1"/>
                <w:color w:val="auto"/>
              </w:rPr>
            </w:pPr>
          </w:p>
        </w:tc>
      </w:tr>
      <w:tr>
        <w:trPr>
          <w:trHeight w:val="219"/>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Description</w:t>
            </w: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Interest Rate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Maturity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260" w:type="dxa"/>
            <w:vAlign w:val="bottom"/>
            <w:tcBorders>
              <w:top w:val="single" w:sz="8" w:color="auto"/>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28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6"/>
                <w:szCs w:val="16"/>
                <w:color w:val="auto"/>
              </w:rPr>
              <w:t>3.00% over CP yield rate (Minimum</w:t>
            </w:r>
          </w:p>
        </w:tc>
        <w:tc>
          <w:tcPr>
            <w:tcW w:w="120" w:type="dxa"/>
            <w:vAlign w:val="bottom"/>
            <w:tcBorders>
              <w:top w:val="single" w:sz="8" w:color="EEEEEE"/>
            </w:tcBorders>
            <w:shd w:val="clear" w:color="auto" w:fill="EEEEEE"/>
          </w:tcPr>
          <w:p>
            <w:pPr>
              <w:spacing w:after="0"/>
              <w:rPr>
                <w:sz w:val="16"/>
                <w:szCs w:val="16"/>
                <w:color w:val="auto"/>
              </w:rPr>
            </w:pPr>
          </w:p>
        </w:tc>
        <w:tc>
          <w:tcPr>
            <w:tcW w:w="282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vMerge w:val="restart"/>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EEEEEE"/>
            </w:tcBorders>
            <w:vMerge w:val="restart"/>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165,628</w:t>
            </w:r>
          </w:p>
        </w:tc>
        <w:tc>
          <w:tcPr>
            <w:tcW w:w="360" w:type="dxa"/>
            <w:vAlign w:val="bottom"/>
            <w:tcBorders>
              <w:top w:val="single" w:sz="8" w:color="EEEEEE"/>
            </w:tcBorders>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EEEEEE"/>
            </w:tcBorders>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150,293</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Warehouse lines of credit</w:t>
            </w:r>
          </w:p>
        </w:tc>
        <w:tc>
          <w:tcPr>
            <w:tcW w:w="29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3.75%) 8.58% and 7.48% at December 31,</w:t>
            </w:r>
          </w:p>
        </w:tc>
        <w:tc>
          <w:tcPr>
            <w:tcW w:w="29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July 2024</w:t>
            </w:r>
          </w:p>
        </w:tc>
        <w:tc>
          <w:tcPr>
            <w:tcW w:w="140" w:type="dxa"/>
            <w:vAlign w:val="bottom"/>
            <w:vMerge w:val="continue"/>
            <w:shd w:val="clear" w:color="auto" w:fill="EEEEEE"/>
          </w:tcPr>
          <w:p>
            <w:pPr>
              <w:spacing w:after="0"/>
              <w:rPr>
                <w:sz w:val="17"/>
                <w:szCs w:val="17"/>
                <w:color w:val="auto"/>
              </w:rPr>
            </w:pPr>
          </w:p>
        </w:tc>
        <w:tc>
          <w:tcPr>
            <w:tcW w:w="1200" w:type="dxa"/>
            <w:vAlign w:val="bottom"/>
            <w:vMerge w:val="continue"/>
            <w:shd w:val="clear" w:color="auto" w:fill="EEEEEE"/>
          </w:tcPr>
          <w:p>
            <w:pPr>
              <w:spacing w:after="0"/>
              <w:rPr>
                <w:sz w:val="17"/>
                <w:szCs w:val="17"/>
                <w:color w:val="auto"/>
              </w:rPr>
            </w:pPr>
          </w:p>
        </w:tc>
        <w:tc>
          <w:tcPr>
            <w:tcW w:w="360" w:type="dxa"/>
            <w:vAlign w:val="bottom"/>
            <w:gridSpan w:val="2"/>
            <w:vMerge w:val="continue"/>
            <w:shd w:val="clear" w:color="auto" w:fill="EEEEEE"/>
          </w:tcPr>
          <w:p>
            <w:pPr>
              <w:spacing w:after="0"/>
              <w:rPr>
                <w:sz w:val="17"/>
                <w:szCs w:val="17"/>
                <w:color w:val="auto"/>
              </w:rPr>
            </w:pPr>
          </w:p>
        </w:tc>
        <w:tc>
          <w:tcPr>
            <w:tcW w:w="1300" w:type="dxa"/>
            <w:vAlign w:val="bottom"/>
            <w:gridSpan w:val="2"/>
            <w:vMerge w:val="continue"/>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2023 and December 31 2022, respectively</w:t>
            </w:r>
          </w:p>
        </w:tc>
        <w:tc>
          <w:tcPr>
            <w:tcW w:w="2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9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4.15% over a commercial paper rate</w:t>
            </w:r>
          </w:p>
        </w:tc>
        <w:tc>
          <w:tcPr>
            <w:tcW w:w="28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9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6"/>
                <w:szCs w:val="16"/>
                <w:color w:val="auto"/>
              </w:rPr>
              <w:t>(Minimum 5.15%) 9.63% and 8.60% at</w:t>
            </w:r>
          </w:p>
        </w:tc>
        <w:tc>
          <w:tcPr>
            <w:tcW w:w="292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6"/>
                <w:szCs w:val="16"/>
                <w:color w:val="auto"/>
              </w:rPr>
              <w:t>January 2024</w:t>
            </w:r>
          </w:p>
        </w:tc>
        <w:tc>
          <w:tcPr>
            <w:tcW w:w="140" w:type="dxa"/>
            <w:vAlign w:val="bottom"/>
            <w:shd w:val="clear" w:color="auto" w:fill="EEEEEE"/>
          </w:tcPr>
          <w:p>
            <w:pPr>
              <w:spacing w:after="0"/>
              <w:rPr>
                <w:sz w:val="17"/>
                <w:szCs w:val="17"/>
                <w:color w:val="auto"/>
              </w:rPr>
            </w:pPr>
          </w:p>
        </w:tc>
        <w:tc>
          <w:tcPr>
            <w:tcW w:w="120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68,997</w:t>
            </w: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137,585</w:t>
            </w:r>
          </w:p>
        </w:tc>
        <w:tc>
          <w:tcPr>
            <w:tcW w:w="0" w:type="dxa"/>
            <w:vAlign w:val="bottom"/>
          </w:tcPr>
          <w:p>
            <w:pPr>
              <w:spacing w:after="0"/>
              <w:rPr>
                <w:sz w:val="1"/>
                <w:szCs w:val="1"/>
                <w:color w:val="auto"/>
              </w:rPr>
            </w:pPr>
          </w:p>
        </w:tc>
      </w:tr>
      <w:tr>
        <w:trPr>
          <w:trHeight w:val="102"/>
        </w:trPr>
        <w:tc>
          <w:tcPr>
            <w:tcW w:w="226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94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December 31 2023, and December 31</w:t>
            </w:r>
          </w:p>
        </w:tc>
        <w:tc>
          <w:tcPr>
            <w:tcW w:w="2920" w:type="dxa"/>
            <w:vAlign w:val="bottom"/>
            <w:gridSpan w:val="2"/>
            <w:vMerge w:val="continue"/>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200" w:type="dxa"/>
            <w:vAlign w:val="bottom"/>
            <w:vMerge w:val="continue"/>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300" w:type="dxa"/>
            <w:vAlign w:val="bottom"/>
            <w:gridSpan w:val="2"/>
            <w:vMerge w:val="continue"/>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6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940" w:type="dxa"/>
            <w:vAlign w:val="bottom"/>
            <w:gridSpan w:val="2"/>
            <w:vMerge w:val="continue"/>
            <w:shd w:val="clear" w:color="auto" w:fill="EEEEEE"/>
          </w:tcPr>
          <w:p>
            <w:pPr>
              <w:spacing w:after="0"/>
              <w:rPr>
                <w:sz w:val="8"/>
                <w:szCs w:val="8"/>
                <w:color w:val="auto"/>
              </w:rPr>
            </w:pPr>
          </w:p>
        </w:tc>
        <w:tc>
          <w:tcPr>
            <w:tcW w:w="28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2022, respectively</w:t>
            </w:r>
          </w:p>
        </w:tc>
        <w:tc>
          <w:tcPr>
            <w:tcW w:w="2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28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shd w:val="clear" w:color="auto" w:fill="EEEEEE"/>
          </w:tcPr>
          <w:p>
            <w:pPr>
              <w:spacing w:after="0"/>
              <w:rPr>
                <w:sz w:val="17"/>
                <w:szCs w:val="17"/>
                <w:color w:val="auto"/>
              </w:rPr>
            </w:pPr>
          </w:p>
        </w:tc>
        <w:tc>
          <w:tcPr>
            <w:tcW w:w="29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6"/>
                <w:szCs w:val="16"/>
                <w:color w:val="auto"/>
              </w:rPr>
              <w:t>June 2026</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9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Weighted average rate of 8.45% and 7.82%</w:t>
            </w:r>
          </w:p>
        </w:tc>
        <w:tc>
          <w:tcPr>
            <w:tcW w:w="29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6"/>
                <w:szCs w:val="16"/>
                <w:color w:val="auto"/>
              </w:rPr>
              <w:t>Weighted average maturity of February</w:t>
            </w:r>
          </w:p>
        </w:tc>
        <w:tc>
          <w:tcPr>
            <w:tcW w:w="140" w:type="dxa"/>
            <w:vAlign w:val="bottom"/>
            <w:shd w:val="clear" w:color="auto" w:fill="EEEEEE"/>
          </w:tcPr>
          <w:p>
            <w:pPr>
              <w:spacing w:after="0"/>
              <w:rPr>
                <w:sz w:val="16"/>
                <w:szCs w:val="16"/>
                <w:color w:val="auto"/>
              </w:rPr>
            </w:pPr>
          </w:p>
        </w:tc>
        <w:tc>
          <w:tcPr>
            <w:tcW w:w="12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Subordinated renewable notes</w:t>
            </w:r>
          </w:p>
        </w:tc>
        <w:tc>
          <w:tcPr>
            <w:tcW w:w="29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at December 31, 2023 and December 31,</w:t>
            </w:r>
          </w:p>
        </w:tc>
        <w:tc>
          <w:tcPr>
            <w:tcW w:w="29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6"/>
                <w:szCs w:val="16"/>
                <w:color w:val="auto"/>
              </w:rPr>
              <w:t>2026 and October 2024 at December 31,</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17,188</w:t>
            </w: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25,263</w:t>
            </w:r>
          </w:p>
        </w:tc>
        <w:tc>
          <w:tcPr>
            <w:tcW w:w="0" w:type="dxa"/>
            <w:vAlign w:val="bottom"/>
          </w:tcPr>
          <w:p>
            <w:pPr>
              <w:spacing w:after="0"/>
              <w:rPr>
                <w:sz w:val="1"/>
                <w:szCs w:val="1"/>
                <w:color w:val="auto"/>
              </w:rPr>
            </w:pPr>
          </w:p>
        </w:tc>
      </w:tr>
      <w:tr>
        <w:trPr>
          <w:trHeight w:val="223"/>
        </w:trPr>
        <w:tc>
          <w:tcPr>
            <w:tcW w:w="2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9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2022, respectively</w:t>
            </w:r>
          </w:p>
        </w:tc>
        <w:tc>
          <w:tcPr>
            <w:tcW w:w="29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6"/>
                <w:szCs w:val="16"/>
                <w:color w:val="auto"/>
              </w:rPr>
              <w:t>2023 and December 31, 2022, respectively</w:t>
            </w:r>
          </w:p>
        </w:tc>
        <w:tc>
          <w:tcPr>
            <w:tcW w:w="14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8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8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301,813</w:t>
            </w: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363,141</w:t>
            </w:r>
          </w:p>
        </w:tc>
        <w:tc>
          <w:tcPr>
            <w:tcW w:w="0" w:type="dxa"/>
            <w:vAlign w:val="bottom"/>
          </w:tcPr>
          <w:p>
            <w:pPr>
              <w:spacing w:after="0"/>
              <w:rPr>
                <w:sz w:val="1"/>
                <w:szCs w:val="1"/>
                <w:color w:val="auto"/>
              </w:rPr>
            </w:pPr>
          </w:p>
        </w:tc>
      </w:tr>
      <w:tr>
        <w:trPr>
          <w:trHeight w:val="20"/>
        </w:trPr>
        <w:tc>
          <w:tcPr>
            <w:tcW w:w="22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8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8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Debt issuance costs of $599,000 and $2.6 million as of December 31, 2023 and December 31, 2022, respectively, have been excluded from the table above. These debt issuance costs are presented as a direct deduction to the carrying amount of the Warehouse lines of credit and residual interest financing on our Consolidated Balance Sheets.</w:t>
      </w:r>
    </w:p>
    <w:p>
      <w:pPr>
        <w:spacing w:after="0" w:line="176"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On May 11, 2012, we entered into a $100 million one-year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86.0% of eligible finance receivables. The Class A loans under the facility generally accrue interest during the revolving period at a per annum rate equal to one-month SOFR plus 3.00% per annum, with a minimum rate of 3.75% per annum and during the amortization period at a per annum rate equal to one-month SOFR plus 4.00% per annum, with a minimum rate of 4.75% per annum. The Class B loans under the facility generally accrue interest during the revolving period at a per annum rate equal to 8.50% per annum and during the amortization period at a per annum rate equal to 9.50% per annum. In July 2022, we renewed our two-year revolving credit agreement with Citibank, N.A., and doubled the capacity from $100 million to $200 million. This facility was amended to extend the revolving period to July 2024 and to include an amortization period through July 2025 for any receivables pledged to the facility at the end of the revolving period. At December 31, 2023 there was $165.6 million outstanding under this facility.</w:t>
      </w:r>
    </w:p>
    <w:p>
      <w:pPr>
        <w:spacing w:after="0" w:line="194"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On February 2, 2022, we renewed our two-year revolving credit agreement with Ares Agent Services, L.P. The facility is structured to allow us to fund a portion of the purchase price of automobile contracts by borrowing from a credit facility to our consolidated subsidiary Page Nine Funding, LLC. The facility provides for effective advances up to 85.25% of eligible finance receivables. The loans under the facility accrue interest at a commercial paper rate plus 4.15% per annum, with a minimum rate of 5.15% per annum. In June 2022, we increased the capacity of our credit agreement with Ares Agent Services, L.P. from $100 million to $200 million. This facility was amended to extend the revolving period to January 2024 followed by an amortization period through January 2028 for any receivables pledged to the facility at the end of the revolving period. At December 31, 2023 there was $69.0 million outstanding under this facility.Prior to the expiration of the revolving period in January 2024, the revolving period was extended to March 31, 2024.</w:t>
      </w:r>
    </w:p>
    <w:p>
      <w:pPr>
        <w:spacing w:after="0" w:line="18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total outstanding debt on our two warehouse lines of credit was $234.6 million as of December 31, 2023, compared to $287.9 million outstanding as of December 31, 2022.</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December 31, 2023 there was $50.0 million outstanding under this facility.</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agreed valuation of the collateral for the 2021-1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On each monthly payment date, the 2021-1 Notes are entitled to interest at the coupon rate and, if necessary, a principal payment necessary to maintain a specified minimum collateral ratio.</w:t>
      </w:r>
    </w:p>
    <w:p>
      <w:pPr>
        <w:spacing w:after="0" w:line="180"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Unamortized debt issuance costs of $125,000 and $377,000 as of December 31, 2023 and December 31, 2022, respectively, have been excluded from the amount reported above for residual interest financing. These debt issuance costs are presented as a direct deduction to the carrying amount of the debt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76" w:lineRule="exact"/>
        <w:rPr>
          <w:sz w:val="20"/>
          <w:szCs w:val="20"/>
          <w:color w:val="auto"/>
        </w:rPr>
      </w:pPr>
    </w:p>
    <w:p>
      <w:pPr>
        <w:ind w:right="38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contractual and expected maturity amounts of our outstanding subordinated renewable notes as of December 31, 2023:</w:t>
      </w:r>
    </w:p>
    <w:p>
      <w:pPr>
        <w:spacing w:after="0" w:line="15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Subordinated</w:t>
            </w:r>
          </w:p>
        </w:tc>
      </w:tr>
      <w:tr>
        <w:trPr>
          <w:trHeight w:val="229"/>
        </w:trPr>
        <w:tc>
          <w:tcPr>
            <w:tcW w:w="36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Contractual maturity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renewable</w:t>
            </w:r>
          </w:p>
        </w:tc>
      </w:tr>
      <w:tr>
        <w:trPr>
          <w:trHeight w:val="238"/>
        </w:trPr>
        <w:tc>
          <w:tcPr>
            <w:tcW w:w="362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notes</w:t>
            </w:r>
          </w:p>
        </w:tc>
      </w:tr>
      <w:tr>
        <w:trPr>
          <w:trHeight w:val="209"/>
        </w:trPr>
        <w:tc>
          <w:tcPr>
            <w:tcW w:w="3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EEEEEE"/>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shd w:val="clear" w:color="auto" w:fill="EEEEEE"/>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EEEEEE"/>
          </w:tcPr>
          <w:p>
            <w:pPr>
              <w:spacing w:after="0"/>
              <w:rPr>
                <w:sz w:val="18"/>
                <w:szCs w:val="18"/>
                <w:color w:val="auto"/>
              </w:rPr>
            </w:pPr>
          </w:p>
        </w:tc>
      </w:tr>
      <w:tr>
        <w:trPr>
          <w:trHeight w:val="229"/>
        </w:trPr>
        <w:tc>
          <w:tcPr>
            <w:tcW w:w="36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EEEEEE"/>
            </w:tcBorders>
          </w:tcPr>
          <w:p>
            <w:pPr>
              <w:spacing w:after="0"/>
              <w:rPr>
                <w:sz w:val="19"/>
                <w:szCs w:val="19"/>
                <w:color w:val="auto"/>
              </w:rPr>
            </w:pPr>
          </w:p>
        </w:tc>
      </w:tr>
      <w:tr>
        <w:trPr>
          <w:trHeight w:val="223"/>
        </w:trPr>
        <w:tc>
          <w:tcPr>
            <w:tcW w:w="36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For the year ending December 31, 2023, we purchased 1,976,356 shares of our common stock at an average price of $10.26. In January, March, and July 2022 our board of directors authorized the repurchase of up to $35.0 million of our common stock. There is approximately $1.5 million of board authorization remaining under such plans, which have no expiration date. The table below describes the purchase of our common stock for the twelve-month period ended December 31, 2023 and 2022:</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purchases</w:t>
      </w:r>
    </w:p>
    <w:p>
      <w:pPr>
        <w:spacing w:after="0" w:line="27"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 purchases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316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92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162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20" w:type="dxa"/>
            <w:vAlign w:val="bottom"/>
          </w:tcPr>
          <w:p>
            <w:pPr>
              <w:spacing w:after="0"/>
              <w:rPr>
                <w:sz w:val="19"/>
                <w:szCs w:val="19"/>
                <w:color w:val="auto"/>
              </w:rPr>
            </w:pPr>
          </w:p>
        </w:tc>
        <w:tc>
          <w:tcPr>
            <w:tcW w:w="156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 w:type="dxa"/>
            <w:vAlign w:val="bottom"/>
          </w:tcPr>
          <w:p>
            <w:pPr>
              <w:spacing w:after="0"/>
              <w:rPr>
                <w:sz w:val="19"/>
                <w:szCs w:val="19"/>
                <w:color w:val="auto"/>
              </w:rPr>
            </w:pPr>
          </w:p>
        </w:tc>
      </w:tr>
      <w:tr>
        <w:trPr>
          <w:trHeight w:val="191"/>
        </w:trPr>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670,968</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ind w:left="740"/>
              <w:spacing w:after="0" w:line="191" w:lineRule="exact"/>
              <w:rPr>
                <w:sz w:val="20"/>
                <w:szCs w:val="20"/>
                <w:color w:val="auto"/>
              </w:rPr>
            </w:pPr>
            <w:r>
              <w:rPr>
                <w:rFonts w:ascii="Times New Roman" w:cs="Times New Roman" w:eastAsia="Times New Roman" w:hAnsi="Times New Roman"/>
                <w:sz w:val="18"/>
                <w:szCs w:val="18"/>
                <w:color w:val="auto"/>
                <w:w w:val="93"/>
              </w:rPr>
              <w:t>10.20</w:t>
            </w:r>
          </w:p>
        </w:tc>
        <w:tc>
          <w:tcPr>
            <w:tcW w:w="2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3,246,511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16"/>
                <w:szCs w:val="16"/>
                <w:color w:val="auto"/>
              </w:rPr>
            </w:pPr>
          </w:p>
        </w:tc>
      </w:tr>
      <w:tr>
        <w:trPr>
          <w:trHeight w:val="230"/>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1,305,388</w:t>
            </w:r>
          </w:p>
        </w:tc>
        <w:tc>
          <w:tcPr>
            <w:tcW w:w="180" w:type="dxa"/>
            <w:vAlign w:val="bottom"/>
          </w:tcPr>
          <w:p>
            <w:pPr>
              <w:spacing w:after="0"/>
              <w:rPr>
                <w:sz w:val="19"/>
                <w:szCs w:val="19"/>
                <w:color w:val="auto"/>
              </w:rPr>
            </w:pPr>
          </w:p>
        </w:tc>
        <w:tc>
          <w:tcPr>
            <w:tcW w:w="13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10.29</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893,153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r>
      <w:tr>
        <w:trPr>
          <w:trHeight w:val="234"/>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1,976,356</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3"/>
              </w:rPr>
              <w:t>10.26</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4,139,664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11.11</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-607695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-325120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792"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 and Warrants</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May 2015, July 2018 and again in November 2021, the shareholders of the Company approved an amendment to the 2006 Plan to increase the maximum number of shares that may be subject to awards under the 2006 Plan to 5,000,000, 7,200,000, 12,200,000, 17,200,000, 19,200,000 and 22,200,000,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92"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There were no stock options granted during the year ended December 31, 2023. The per share weighted-average fair value of stock options granted during the years ended December 31 2022 and 2021 was $5.42, and $2.65,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75% to 80% for 2022, and 79% to 71% for 2021.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9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19"/>
                <w:szCs w:val="19"/>
                <w:color w:val="auto"/>
              </w:rPr>
            </w:pPr>
          </w:p>
        </w:tc>
      </w:tr>
      <w:tr>
        <w:trPr>
          <w:trHeight w:val="209"/>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EEEEEE"/>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8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Volatility</w:t>
            </w:r>
          </w:p>
        </w:tc>
        <w:tc>
          <w:tcPr>
            <w:tcW w:w="7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we recorded stock-based compensation costs in the amount of $3.5 million, $4.4 million and $2.0 million, respectively. As of December 31, 2023, the unrecognized stock-based compensation costs to be recognized over future periods was equal to $6.0 million. This amount will be recognized as expense over a weighted-average period of 1.8 years.</w:t>
      </w:r>
    </w:p>
    <w:p>
      <w:pPr>
        <w:spacing w:after="0" w:line="176"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At December 31, 2023 and 2022, options outstanding had intrinsic values of $8.1 million and $11.2 million, respectively. At December 31, 2023 and 2022, options exercisable had intrinsic values of $6.1 million and $7.8 million, respectively. The total intrinsic value of options exercised was $14.5 million and $23.4 million for the years ended December 31, 2023 and 2022, respectively. New shares were issued for all options exercised during the year ended December 2023 and cash of $16.6 million was received. At December 31, 2023, there were a total of 2,684,000 additional shares available for grant under the 2006 Plan.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2023 for stock options under the 2006 and 1997 plans is as follows: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98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0"/>
        </w:trPr>
        <w:tc>
          <w:tcPr>
            <w:tcW w:w="5980" w:type="dxa"/>
            <w:vAlign w:val="bottom"/>
          </w:tcPr>
          <w:p>
            <w:pPr>
              <w:spacing w:after="0"/>
              <w:rPr>
                <w:sz w:val="19"/>
                <w:szCs w:val="19"/>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598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ind w:left="1100"/>
              <w:spacing w:after="0"/>
              <w:rPr>
                <w:sz w:val="20"/>
                <w:szCs w:val="20"/>
                <w:color w:val="auto"/>
              </w:rPr>
            </w:pPr>
            <w:r>
              <w:rPr>
                <w:rFonts w:ascii="Times New Roman" w:cs="Times New Roman" w:eastAsia="Times New Roman" w:hAnsi="Times New Roman"/>
                <w:sz w:val="18"/>
                <w:szCs w:val="18"/>
                <w:color w:val="auto"/>
                <w:w w:val="88"/>
              </w:rPr>
              <w:t>5.21</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(3,020)</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ind w:left="1100"/>
              <w:spacing w:after="0"/>
              <w:rPr>
                <w:sz w:val="20"/>
                <w:szCs w:val="20"/>
                <w:color w:val="auto"/>
              </w:rPr>
            </w:pPr>
            <w:r>
              <w:rPr>
                <w:rFonts w:ascii="Times New Roman" w:cs="Times New Roman" w:eastAsia="Times New Roman" w:hAnsi="Times New Roman"/>
                <w:sz w:val="18"/>
                <w:szCs w:val="18"/>
                <w:color w:val="auto"/>
              </w:rPr>
              <w:t>5.49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6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4.12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ind w:left="1100"/>
              <w:spacing w:after="0"/>
              <w:rPr>
                <w:sz w:val="20"/>
                <w:szCs w:val="20"/>
                <w:color w:val="auto"/>
              </w:rPr>
            </w:pPr>
            <w:r>
              <w:rPr>
                <w:rFonts w:ascii="Times New Roman" w:cs="Times New Roman" w:eastAsia="Times New Roman" w:hAnsi="Times New Roman"/>
                <w:sz w:val="18"/>
                <w:szCs w:val="18"/>
                <w:color w:val="auto"/>
                <w:w w:val="88"/>
              </w:rPr>
              <w:t>5.11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3.14 years</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6,062</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ind w:left="1100"/>
              <w:spacing w:after="0"/>
              <w:rPr>
                <w:sz w:val="20"/>
                <w:szCs w:val="20"/>
                <w:color w:val="auto"/>
              </w:rPr>
            </w:pPr>
            <w:r>
              <w:rPr>
                <w:rFonts w:ascii="Times New Roman" w:cs="Times New Roman" w:eastAsia="Times New Roman" w:hAnsi="Times New Roman"/>
                <w:sz w:val="18"/>
                <w:szCs w:val="18"/>
                <w:color w:val="auto"/>
              </w:rPr>
              <w:t>4.31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2.59 years</w:t>
            </w:r>
          </w:p>
        </w:tc>
      </w:tr>
      <w:tr>
        <w:trPr>
          <w:trHeight w:val="20"/>
        </w:trPr>
        <w:tc>
          <w:tcPr>
            <w:tcW w:w="598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19"/>
                <w:szCs w:val="19"/>
                <w:color w:val="auto"/>
              </w:rPr>
            </w:pPr>
          </w:p>
        </w:tc>
        <w:tc>
          <w:tcPr>
            <w:tcW w:w="36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34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36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0" w:type="dxa"/>
            <w:vAlign w:val="bottom"/>
          </w:tcPr>
          <w:p>
            <w:pPr>
              <w:spacing w:after="0"/>
              <w:rPr>
                <w:sz w:val="1"/>
                <w:szCs w:val="1"/>
                <w:color w:val="auto"/>
              </w:rPr>
            </w:pPr>
          </w:p>
        </w:tc>
      </w:tr>
      <w:tr>
        <w:trPr>
          <w:trHeight w:val="223"/>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82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19"/>
                <w:szCs w:val="19"/>
                <w:color w:val="auto"/>
              </w:rPr>
            </w:pPr>
          </w:p>
        </w:tc>
        <w:tc>
          <w:tcPr>
            <w:tcW w:w="178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3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3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1,410</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1,082</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16"/>
        </w:trPr>
        <w:tc>
          <w:tcPr>
            <w:tcW w:w="4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2,539</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1,929</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2,739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$6.00 - $6.99</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4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$7.00 - $7.99</w:t>
            </w:r>
          </w:p>
        </w:tc>
        <w:tc>
          <w:tcPr>
            <w:tcW w:w="1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748</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$10.00 - $10.99</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41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did not issue any stock options with an exercise price above or below the market price of the stock on the grant date for the years ended December 31,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(8) Interest Income and Interest Expense</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980" w:type="dxa"/>
            <w:vAlign w:val="bottom"/>
            <w:shd w:val="clear" w:color="auto" w:fill="EEEEEE"/>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15,567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35,091</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69,783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9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307,543</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268,621</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196,461</w:t>
            </w:r>
          </w:p>
        </w:tc>
        <w:tc>
          <w:tcPr>
            <w:tcW w:w="80" w:type="dxa"/>
            <w:vAlign w:val="bottom"/>
          </w:tcPr>
          <w:p>
            <w:pPr>
              <w:spacing w:after="0"/>
              <w:rPr>
                <w:sz w:val="18"/>
                <w:szCs w:val="18"/>
                <w:color w:val="auto"/>
              </w:rPr>
            </w:pPr>
          </w:p>
        </w:tc>
      </w:tr>
      <w:tr>
        <w:trPr>
          <w:trHeight w:val="229"/>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9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6,109</w:t>
            </w: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1,525</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EEEEEE"/>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329,219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305,237</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80" w:type="dxa"/>
            <w:vAlign w:val="bottom"/>
            <w:shd w:val="clear" w:color="auto" w:fill="EEEEEE"/>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w w:val="99"/>
              </w:rPr>
              <w:t>121,409</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70,627</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64,387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9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19,192</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4,448</w:t>
            </w: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4,199</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4,243</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3,763</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1,831</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2,344</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Borders>
              <w:top w:val="single" w:sz="8" w:color="auto"/>
              <w:bottom w:val="single" w:sz="8" w:color="auto"/>
            </w:tcBorders>
            <w:shd w:val="clear" w:color="auto" w:fill="EEEEEE"/>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146,631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87,524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75,239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federal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state tax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federal tax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state tax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r>
      <w:tr>
        <w:trPr>
          <w:trHeight w:val="191"/>
        </w:trPr>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16,946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2,613</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4,307</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 w:type="dxa"/>
            <w:vAlign w:val="bottom"/>
          </w:tcPr>
          <w:p>
            <w:pPr>
              <w:spacing w:after="0"/>
              <w:rPr>
                <w:sz w:val="19"/>
                <w:szCs w:val="19"/>
                <w:color w:val="auto"/>
              </w:rPr>
            </w:pPr>
          </w:p>
        </w:tc>
      </w:tr>
      <w:tr>
        <w:trPr>
          <w:trHeight w:val="234"/>
        </w:trPr>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1,712</w:t>
            </w: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4,339</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0" w:type="dxa"/>
            <w:vAlign w:val="bottom"/>
          </w:tcPr>
          <w:p>
            <w:pPr>
              <w:spacing w:after="0"/>
              <w:rPr>
                <w:sz w:val="20"/>
                <w:szCs w:val="20"/>
                <w:color w:val="auto"/>
              </w:rPr>
            </w:pPr>
          </w:p>
        </w:tc>
      </w:tr>
      <w:tr>
        <w:trPr>
          <w:trHeight w:val="223"/>
        </w:trPr>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20" w:type="dxa"/>
            <w:vAlign w:val="bottom"/>
            <w:tcBorders>
              <w:bottom w:val="single" w:sz="8" w:color="auto"/>
            </w:tcBorders>
          </w:tcPr>
          <w:p>
            <w:pPr>
              <w:spacing w:after="0"/>
              <w:rPr>
                <w:sz w:val="19"/>
                <w:szCs w:val="19"/>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-736600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-179070</wp:posOffset>
            </wp:positionV>
            <wp:extent cx="713232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792" w:right="339" w:bottom="1440" w:gutter="0" w:footer="0" w:header="0"/>
          <w:type w:val="continuous"/>
        </w:sect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Income tax expense for the years ended December 31, 2023, 2022 and 2021 differs from the amount determined by applying the statutory federal rate to income before income taxes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Expense at federal tax rate</w:t>
            </w:r>
          </w:p>
        </w:tc>
        <w:tc>
          <w:tcPr>
            <w:tcW w:w="1040" w:type="dxa"/>
            <w:vAlign w:val="bottom"/>
            <w:shd w:val="clear" w:color="auto" w:fill="EEEEEE"/>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12,830</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24,401</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13,807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income tax effect</w:t>
            </w:r>
          </w:p>
        </w:tc>
        <w:tc>
          <w:tcPr>
            <w:tcW w:w="10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3,716</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6,462</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3,974</w:t>
            </w: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(2,611)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operating loss carryback</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(1,694)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tax rate</w:t>
            </w:r>
          </w:p>
        </w:tc>
        <w:tc>
          <w:tcPr>
            <w:tcW w:w="10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Accounting method change</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w:t>
            </w:r>
          </w:p>
        </w:tc>
      </w:tr>
      <w:tr>
        <w:trPr>
          <w:trHeight w:val="223"/>
        </w:trPr>
        <w:tc>
          <w:tcPr>
            <w:tcW w:w="59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tax effected cumulative temporary differences that give rise to deferred tax assets and liabilities as of December 31, 2023 and 2022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14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3680" w:type="dxa"/>
            <w:vAlign w:val="bottom"/>
            <w:gridSpan w:val="2"/>
            <w:shd w:val="clear" w:color="auto" w:fill="EEEEEE"/>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895</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4,870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1,423</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6"/>
        </w:trPr>
        <w:tc>
          <w:tcPr>
            <w:tcW w:w="5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NOL carryforwards</w:t>
            </w:r>
          </w:p>
        </w:tc>
        <w:tc>
          <w:tcPr>
            <w:tcW w:w="2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400</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Built in losses</w:t>
            </w: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1,383</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5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accrual</w:t>
            </w:r>
          </w:p>
        </w:tc>
        <w:tc>
          <w:tcPr>
            <w:tcW w:w="2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1,131</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16"/>
        </w:trPr>
        <w:tc>
          <w:tcPr>
            <w:tcW w:w="5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883</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2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368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loan costs</w:t>
            </w:r>
          </w:p>
        </w:tc>
        <w:tc>
          <w:tcPr>
            <w:tcW w:w="2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Pension accrual</w:t>
            </w: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(1,217)</w:t>
            </w:r>
          </w:p>
        </w:tc>
        <w:tc>
          <w:tcPr>
            <w:tcW w:w="5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5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2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(803)</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and other</w:t>
            </w:r>
          </w:p>
        </w:tc>
        <w:tc>
          <w:tcPr>
            <w:tcW w:w="2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(359)</w:t>
            </w:r>
          </w:p>
        </w:tc>
        <w:tc>
          <w:tcPr>
            <w:tcW w:w="5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9"/>
        </w:trPr>
        <w:tc>
          <w:tcPr>
            <w:tcW w:w="51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20" w:type="dxa"/>
            <w:vAlign w:val="bottom"/>
            <w:tcBorders>
              <w:top w:val="single" w:sz="8" w:color="EEEEEE"/>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deferred tax asset</w:t>
            </w:r>
          </w:p>
        </w:tc>
        <w:tc>
          <w:tcPr>
            <w:tcW w:w="3680" w:type="dxa"/>
            <w:vAlign w:val="bottom"/>
            <w:gridSpan w:val="2"/>
            <w:shd w:val="clear" w:color="auto" w:fill="EEEEEE"/>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3,736</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10,177</w:t>
            </w:r>
          </w:p>
        </w:tc>
        <w:tc>
          <w:tcPr>
            <w:tcW w:w="0" w:type="dxa"/>
            <w:vAlign w:val="bottom"/>
          </w:tcPr>
          <w:p>
            <w:pPr>
              <w:spacing w:after="0"/>
              <w:rPr>
                <w:sz w:val="1"/>
                <w:szCs w:val="1"/>
                <w:color w:val="auto"/>
              </w:rPr>
            </w:pPr>
          </w:p>
        </w:tc>
      </w:tr>
      <w:tr>
        <w:trPr>
          <w:trHeight w:val="20"/>
        </w:trPr>
        <w:tc>
          <w:tcPr>
            <w:tcW w:w="5140" w:type="dxa"/>
            <w:vAlign w:val="bottom"/>
            <w:tcBorders>
              <w:top w:val="single" w:sz="8" w:color="EEEEEE"/>
            </w:tcBorders>
          </w:tcPr>
          <w:p>
            <w:pPr>
              <w:spacing w:after="0" w:line="20" w:lineRule="exact"/>
              <w:rPr>
                <w:sz w:val="1"/>
                <w:szCs w:val="1"/>
                <w:color w:val="auto"/>
              </w:rPr>
            </w:pPr>
          </w:p>
        </w:tc>
        <w:tc>
          <w:tcPr>
            <w:tcW w:w="26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$3.7 million as of December 31, 2023 is more likely than not based on forecasted future net earnings. Our net deferred tax asset of $3.7 million consists of approximately $2.3 million of net U.S. federal deferred tax assets and $1.4 million of net state deferred tax assets.</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As of December 31, 2023, we had net operating loss carryforwards for state income tax purposes of $6.6 million. These state net operating losses begin to expire in 2024.</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2023, we had no unrecognized tax benefits for uncertain tax positions.</w:t>
      </w:r>
    </w:p>
    <w:p>
      <w:pPr>
        <w:spacing w:after="0" w:line="18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US and various state jurisdictions. With few exceptions, we are no longer subject to U.S. federal, state, or local examinations by tax authorities for years before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0"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28,397</w:t>
            </w:r>
          </w:p>
        </w:tc>
        <w:tc>
          <w:tcPr>
            <w:tcW w:w="0" w:type="dxa"/>
            <w:vAlign w:val="bottom"/>
          </w:tcPr>
          <w:p>
            <w:pPr>
              <w:spacing w:after="0"/>
              <w:rPr>
                <w:sz w:val="1"/>
                <w:szCs w:val="1"/>
                <w:color w:val="auto"/>
              </w:rPr>
            </w:pPr>
          </w:p>
        </w:tc>
      </w:tr>
      <w:tr>
        <w:trPr>
          <w:trHeight w:val="230"/>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(26,651)</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(22,613)</w:t>
            </w:r>
          </w:p>
        </w:tc>
        <w:tc>
          <w:tcPr>
            <w:tcW w:w="0" w:type="dxa"/>
            <w:vAlign w:val="bottom"/>
          </w:tcPr>
          <w:p>
            <w:pPr>
              <w:spacing w:after="0"/>
              <w:rPr>
                <w:sz w:val="1"/>
                <w:szCs w:val="1"/>
                <w:color w:val="auto"/>
              </w:rPr>
            </w:pPr>
          </w:p>
        </w:tc>
      </w:tr>
      <w:tr>
        <w:trPr>
          <w:trHeight w:val="263"/>
        </w:trPr>
        <w:tc>
          <w:tcPr>
            <w:tcW w:w="76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6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(6,234)</w:t>
            </w: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3,474</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(3,385)</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23"/>
        </w:trPr>
        <w:tc>
          <w:tcPr>
            <w:tcW w:w="76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98"/>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Maturities of lease liabilities were as follows: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10"/>
        </w:trPr>
        <w:tc>
          <w:tcPr>
            <w:tcW w:w="76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(776)</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6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F-29</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76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leases expense included in Occupancy, General and administrative on our Condensed Consolidated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9"/>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w:t>
            </w:r>
          </w:p>
        </w:tc>
      </w:tr>
      <w:tr>
        <w:trPr>
          <w:trHeight w:val="234"/>
        </w:trPr>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987</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-179070</wp:posOffset>
            </wp:positionV>
            <wp:extent cx="713232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792" w:right="33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shd w:val="clear" w:color="auto" w:fill="EEEEEE"/>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5,547</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7,056</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7,474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8"/>
                <w:szCs w:val="18"/>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185" w:lineRule="exact"/>
        <w:rPr>
          <w:sz w:val="20"/>
          <w:szCs w:val="20"/>
          <w:color w:val="auto"/>
        </w:rPr>
      </w:pPr>
    </w:p>
    <w:p>
      <w:pPr>
        <w:jc w:val="both"/>
        <w:ind w:firstLine="13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Wage and Hour Claim. </w:t>
      </w:r>
      <w:r>
        <w:rPr>
          <w:rFonts w:ascii="Times New Roman" w:cs="Times New Roman" w:eastAsia="Times New Roman" w:hAnsi="Times New Roman"/>
          <w:sz w:val="18"/>
          <w:szCs w:val="18"/>
          <w:color w:val="auto"/>
        </w:rPr>
        <w:t>On September 24, 2018, a former employee filed a lawsuit against us in the Superior Court of Orange County, California,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We believe that our compensation practices with respect to our sales representatives are compliant with applicable law. In August 2023, the parties settled by agreement the claims of the plaintiff and a California settlement class for $1.1 million and the settlement remains subject to final court approval.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i w:val="1"/>
          <w:iCs w:val="1"/>
          <w:color w:val="auto"/>
        </w:rPr>
        <w:t>Massachusetts Civil Investigative Demand</w:t>
      </w:r>
      <w:r>
        <w:rPr>
          <w:rFonts w:ascii="Times New Roman" w:cs="Times New Roman" w:eastAsia="Times New Roman" w:hAnsi="Times New Roman"/>
          <w:sz w:val="18"/>
          <w:szCs w:val="18"/>
          <w:color w:val="auto"/>
        </w:rPr>
        <w:t>. In September 2021, we received a civil investigative demand from the Office of the Attorney General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Commonwealth of Massachusetts relating to the Company’s communications with and repossession notices sent to Massachusetts customers. On December 28, 2023 and without admitting any wrongdoing, the Company entered into an assurance of discontinuance with the Office of the Attorney General of the Commonwealth of Massachusetts, reflecting the parties’ agreements to settle and fully resolve allegations of the Company’s noncompliance with Massachusetts law. The Company agreed to make a payment in the total amount of $1.24 million to an independent trust for the purposes of making payments to eligible consumers, paying costs of implementation, and paying the Attorney General’s costs of investigation. In addition, the Company agreed to pay $75,000 for the fees and costs of a trustee to oversee the trust.</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as of December 31, 2023,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December 31, 2023 is $3.6 million, and that the range of reasonably possible losses for the legal proceedings and contingencies we face, including those described or identified above, as of December 31, 2023 does not exceed $5.6 million.</w:t>
      </w:r>
    </w:p>
    <w:p>
      <w:pPr>
        <w:spacing w:after="0" w:line="18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Employee Benefits</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sponsor a pretax savings and profit sharing plan (the “401(k) Plan”) qualified under Section 401(k) of the Internal Revenue Code. Under the 401(k) Plan, eligible employees are able to contribute up to the maximum allowed under the law. We may, at our discretion, match 100% of employees’ contributions up to $2,000 per employee per calendar year. Our matching contributions to the 401(k) Plan were $1.4 million, $1.3 million, and $1.3 million respectively, for the years ended December 31, 2023, 2022 and 2021.</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also sponsor a defined benefit plan, the MFN Financial Corporation Pension Plan (the “Plan”). The Plan benefits were frozen on June 30,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2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tables represents a reconciliation of the change in the plan’s benefit obligations, fair value of plan assets, and funded status at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beginning of year</w:t>
            </w:r>
          </w:p>
        </w:tc>
        <w:tc>
          <w:tcPr>
            <w:tcW w:w="14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15,952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22,280</w:t>
            </w: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753</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Assumption changes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(5,450)</w:t>
            </w: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5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Projected benefit obligation, end of year</w:t>
            </w:r>
          </w:p>
        </w:tc>
        <w:tc>
          <w:tcPr>
            <w:tcW w:w="1060" w:type="dxa"/>
            <w:vAlign w:val="bottom"/>
          </w:tcPr>
          <w:p>
            <w:pPr>
              <w:spacing w:after="0"/>
              <w:rPr>
                <w:sz w:val="18"/>
                <w:szCs w:val="18"/>
                <w:color w:val="auto"/>
              </w:rPr>
            </w:pP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140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18,768</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26,098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Return on assets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2,347</w:t>
            </w: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(5,702)</w:t>
            </w: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0"/>
        </w:trPr>
        <w:tc>
          <w:tcPr>
            <w:tcW w:w="672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10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2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18,768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140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4,571</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0"/>
        </w:trPr>
        <w:tc>
          <w:tcPr>
            <w:tcW w:w="6720" w:type="dxa"/>
            <w:vAlign w:val="bottom"/>
            <w:tcBorders>
              <w:top w:val="single" w:sz="8" w:color="EEEEEE"/>
              <w:bottom w:val="single" w:sz="8" w:color="EEEEEE"/>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tc>
        <w:tc>
          <w:tcPr>
            <w:tcW w:w="106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Weighted average assumptions used to determine benefit obligations and cost at December 31, 2023 and 2022 were as follows: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EEEEEE"/>
            </w:tcBorders>
          </w:tcPr>
          <w:p>
            <w:pPr>
              <w:spacing w:after="0"/>
              <w:rPr>
                <w:sz w:val="19"/>
                <w:szCs w:val="19"/>
                <w:color w:val="auto"/>
              </w:rPr>
            </w:pPr>
          </w:p>
        </w:tc>
        <w:tc>
          <w:tcPr>
            <w:tcW w:w="106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EEEEEE"/>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benefit obligations</w:t>
            </w: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4.87%</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w:t>
            </w:r>
          </w:p>
        </w:tc>
        <w:tc>
          <w:tcPr>
            <w:tcW w:w="5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200" w:firstLine="130"/>
        <w:spacing w:after="0" w:line="282" w:lineRule="auto"/>
        <w:rPr>
          <w:sz w:val="20"/>
          <w:szCs w:val="20"/>
          <w:color w:val="auto"/>
        </w:rPr>
      </w:pPr>
      <w:r>
        <w:rPr>
          <w:rFonts w:ascii="Times New Roman" w:cs="Times New Roman" w:eastAsia="Times New Roman" w:hAnsi="Times New Roman"/>
          <w:sz w:val="18"/>
          <w:szCs w:val="18"/>
          <w:color w:val="auto"/>
        </w:rPr>
        <w:t>Our overall expected long-term rate of return on assets is 7.00% per annum as of December 31, 2023. The expected long-term rate of return is based on the weighted average of historical returns on individual asset categories, which are described in more detail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Amounts recognized on Consolidated Balance Sheet</w:t>
            </w:r>
          </w:p>
        </w:tc>
        <w:tc>
          <w:tcPr>
            <w:tcW w:w="9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2,816</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80" w:type="dxa"/>
            <w:vAlign w:val="bottom"/>
          </w:tcPr>
          <w:p>
            <w:pPr>
              <w:spacing w:after="0"/>
              <w:rPr>
                <w:sz w:val="18"/>
                <w:szCs w:val="18"/>
                <w:color w:val="auto"/>
              </w:rPr>
            </w:pPr>
          </w:p>
        </w:tc>
      </w:tr>
      <w:tr>
        <w:trPr>
          <w:trHeight w:val="230"/>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Net amount recognized</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2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66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 consists of:</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5,716</w:t>
            </w:r>
          </w:p>
        </w:tc>
        <w:tc>
          <w:tcPr>
            <w:tcW w:w="280" w:type="dxa"/>
            <w:vAlign w:val="bottom"/>
            <w:gridSpan w:val="2"/>
            <w:shd w:val="clear" w:color="auto" w:fill="EEEEEE"/>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shd w:val="clear" w:color="auto" w:fill="EEEEEE"/>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transition asset</w:t>
            </w:r>
          </w:p>
        </w:tc>
        <w:tc>
          <w:tcPr>
            <w:tcW w:w="900" w:type="dxa"/>
            <w:vAlign w:val="bottom"/>
          </w:tcPr>
          <w:p>
            <w:pPr>
              <w:spacing w:after="0"/>
              <w:rPr>
                <w:sz w:val="19"/>
                <w:szCs w:val="19"/>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amount recognized</w:t>
            </w:r>
          </w:p>
        </w:tc>
        <w:tc>
          <w:tcPr>
            <w:tcW w:w="900" w:type="dxa"/>
            <w:vAlign w:val="bottom"/>
            <w:tcBorders>
              <w:top w:val="single" w:sz="8" w:color="auto"/>
              <w:bottom w:val="single" w:sz="8" w:color="auto"/>
            </w:tcBorders>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9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9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w w:val="98"/>
              </w:rPr>
              <w:t>(1,280)</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asset</w:t>
            </w:r>
          </w:p>
        </w:tc>
        <w:tc>
          <w:tcPr>
            <w:tcW w:w="9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9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gridSpan w:val="2"/>
          </w:tcPr>
          <w:p>
            <w:pPr>
              <w:spacing w:after="0"/>
              <w:rPr>
                <w:sz w:val="18"/>
                <w:szCs w:val="18"/>
                <w:color w:val="auto"/>
              </w:rPr>
            </w:pPr>
          </w:p>
        </w:tc>
      </w:tr>
      <w:tr>
        <w:trPr>
          <w:trHeight w:val="229"/>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 (gain)/loss</w:t>
            </w:r>
          </w:p>
        </w:tc>
        <w:tc>
          <w:tcPr>
            <w:tcW w:w="9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(865)</w:t>
            </w:r>
          </w:p>
        </w:tc>
      </w:tr>
      <w:tr>
        <w:trPr>
          <w:trHeight w:val="263"/>
        </w:trPr>
        <w:tc>
          <w:tcPr>
            <w:tcW w:w="66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6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 Obligation Recognized in Other Comprehensive Loss (Income)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(gain)</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w w:val="98"/>
              </w:rPr>
              <w:t>(1,755)</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1,003</w:t>
            </w:r>
          </w:p>
        </w:tc>
        <w:tc>
          <w:tcPr>
            <w:tcW w:w="280" w:type="dxa"/>
            <w:vAlign w:val="bottom"/>
            <w:gridSpan w:val="2"/>
            <w:shd w:val="clear" w:color="auto" w:fill="EEEEEE"/>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(9,503)</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(credit)</w:t>
            </w:r>
          </w:p>
        </w:tc>
        <w:tc>
          <w:tcPr>
            <w:tcW w:w="9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amount recognized in other comprehensive loss (income)</w:t>
            </w: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(1,755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estimated net gain that will be amortized from accumulated other comprehensive income into net periodic benefit cost in 2024 is $400,000.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weighted average asset allocation of our pension benefits at December 31, 2023 and 2022 were as follows:</w:t>
      </w:r>
    </w:p>
    <w:p>
      <w:pPr>
        <w:spacing w:after="0" w:line="23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EEEEEE"/>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Asset Allocation at Year-End</w:t>
            </w:r>
          </w:p>
        </w:tc>
        <w:tc>
          <w:tcPr>
            <w:tcW w:w="10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7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EEEEEE"/>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r>
      <w:tr>
        <w:trPr>
          <w:trHeight w:val="230"/>
        </w:trPr>
        <w:tc>
          <w:tcPr>
            <w:tcW w:w="8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 (In thousands)</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shd w:val="clear" w:color="auto" w:fill="EEEEEE"/>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8"/>
                <w:szCs w:val="18"/>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8"/>
                <w:szCs w:val="18"/>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EEEEEE"/>
          </w:tcPr>
          <w:p>
            <w:pPr>
              <w:spacing w:after="0"/>
              <w:rPr>
                <w:sz w:val="18"/>
                <w:szCs w:val="18"/>
                <w:color w:val="auto"/>
              </w:rPr>
            </w:pPr>
          </w:p>
        </w:tc>
      </w:tr>
      <w:tr>
        <w:trPr>
          <w:trHeight w:val="230"/>
        </w:trPr>
        <w:tc>
          <w:tcPr>
            <w:tcW w:w="95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Years 2029 - 2033</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EEEEEE"/>
            </w:tcBorders>
          </w:tcPr>
          <w:p>
            <w:pPr>
              <w:spacing w:after="0"/>
              <w:rPr>
                <w:sz w:val="19"/>
                <w:szCs w:val="19"/>
                <w:color w:val="auto"/>
              </w:rPr>
            </w:pPr>
          </w:p>
        </w:tc>
      </w:tr>
      <w:tr>
        <w:trPr>
          <w:trHeight w:val="209"/>
        </w:trPr>
        <w:tc>
          <w:tcPr>
            <w:tcW w:w="9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Anticipated Contributions in 2024</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The fair value of plan assets at December 31, 2023 and 2022, by asset category, is as follows: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 Name:</w:t>
            </w: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 (1)</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 (2)</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 (3)</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1400" w:type="dxa"/>
            <w:vAlign w:val="bottom"/>
            <w:gridSpan w:val="2"/>
            <w:shd w:val="clear" w:color="auto" w:fill="EEEEE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8,308</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EEEEE"/>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8,308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Cap Value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2,121</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Mid Cap Index</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Small Cap Growth</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Small Cap Value</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Cap Blend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Growth</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2,278</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Growth</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2,330</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Bond</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1,763</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High Yield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Inflation Protected Bond</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0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EEEEEE"/>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 Name:</w:t>
            </w: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 (1)</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 (2)</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 (3)</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1400" w:type="dxa"/>
            <w:vAlign w:val="bottom"/>
            <w:gridSpan w:val="2"/>
            <w:shd w:val="clear" w:color="auto" w:fill="EEEEE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7,848</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EEEEE"/>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Cap Value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2,037</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Mid Cap Index</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Small Cap Growth</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Small Cap Value</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Cap Blend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Growth</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1,843</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Growth</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Bond</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1,658</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High Yield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Inflation Protected Bond</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433</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3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30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EEEEEE"/>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________________________</w:t>
      </w:r>
    </w:p>
    <w:p>
      <w:pPr>
        <w:spacing w:after="0" w:line="205" w:lineRule="exact"/>
        <w:rPr>
          <w:sz w:val="20"/>
          <w:szCs w:val="20"/>
          <w:color w:val="auto"/>
        </w:rPr>
      </w:pPr>
    </w:p>
    <w:p>
      <w:pPr>
        <w:ind w:left="740" w:hanging="327"/>
        <w:spacing w:after="0"/>
        <w:tabs>
          <w:tab w:leader="none" w:pos="74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Company common stock is classified as level 1 and valued using quoted prices in active markets for identical assets.</w:t>
      </w:r>
    </w:p>
    <w:p>
      <w:pPr>
        <w:spacing w:after="0" w:line="225" w:lineRule="exact"/>
        <w:rPr>
          <w:rFonts w:ascii="Times New Roman" w:cs="Times New Roman" w:eastAsia="Times New Roman" w:hAnsi="Times New Roman"/>
          <w:sz w:val="18"/>
          <w:szCs w:val="18"/>
          <w:i w:val="1"/>
          <w:iCs w:val="1"/>
          <w:color w:val="auto"/>
        </w:rPr>
      </w:pPr>
    </w:p>
    <w:p>
      <w:pPr>
        <w:ind w:left="740" w:hanging="327"/>
        <w:spacing w:after="0"/>
        <w:tabs>
          <w:tab w:leader="none" w:pos="74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other plan assets in stock, bond and money market funds are classified as level 2 and valued using significant observable inputs.</w:t>
      </w:r>
    </w:p>
    <w:p>
      <w:pPr>
        <w:spacing w:after="0" w:line="225" w:lineRule="exact"/>
        <w:rPr>
          <w:rFonts w:ascii="Times New Roman" w:cs="Times New Roman" w:eastAsia="Times New Roman" w:hAnsi="Times New Roman"/>
          <w:sz w:val="18"/>
          <w:szCs w:val="18"/>
          <w:i w:val="1"/>
          <w:iCs w:val="1"/>
          <w:color w:val="auto"/>
        </w:rPr>
      </w:pPr>
    </w:p>
    <w:p>
      <w:pPr>
        <w:ind w:left="740" w:hanging="327"/>
        <w:spacing w:after="0"/>
        <w:tabs>
          <w:tab w:leader="none" w:pos="74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Fair Value Measurements</w:t>
      </w:r>
    </w:p>
    <w:p>
      <w:pPr>
        <w:spacing w:after="0" w:line="229" w:lineRule="exact"/>
        <w:rPr>
          <w:sz w:val="20"/>
          <w:szCs w:val="20"/>
          <w:color w:val="auto"/>
        </w:rPr>
      </w:pPr>
    </w:p>
    <w:p>
      <w:pPr>
        <w:jc w:val="both"/>
        <w:ind w:right="20" w:firstLine="130"/>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76"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38"/>
        </w:trPr>
        <w:tc>
          <w:tcPr>
            <w:tcW w:w="5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2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2,476,617</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1,749,098</w:t>
            </w:r>
          </w:p>
        </w:tc>
        <w:tc>
          <w:tcPr>
            <w:tcW w:w="80" w:type="dxa"/>
            <w:vAlign w:val="bottom"/>
            <w:shd w:val="clear" w:color="auto" w:fill="EEEEEE"/>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1,251,020</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1,673,166</w:t>
            </w:r>
          </w:p>
        </w:tc>
        <w:tc>
          <w:tcPr>
            <w:tcW w:w="80" w:type="dxa"/>
            <w:vAlign w:val="bottom"/>
          </w:tcPr>
          <w:p>
            <w:pPr>
              <w:spacing w:after="0"/>
              <w:rPr>
                <w:sz w:val="18"/>
                <w:szCs w:val="18"/>
                <w:color w:val="auto"/>
              </w:rPr>
            </w:pPr>
          </w:p>
        </w:tc>
      </w:tr>
      <w:tr>
        <w:trPr>
          <w:trHeight w:val="216"/>
        </w:trPr>
        <w:tc>
          <w:tcPr>
            <w:tcW w:w="5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1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(823,434)</w:t>
            </w: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(825,783)</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(193,541)</w:t>
            </w:r>
          </w:p>
        </w:tc>
        <w:tc>
          <w:tcPr>
            <w:tcW w:w="5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(135,147)</w:t>
            </w:r>
          </w:p>
        </w:tc>
      </w:tr>
      <w:tr>
        <w:trPr>
          <w:trHeight w:val="230"/>
        </w:trPr>
        <w:tc>
          <w:tcPr>
            <w:tcW w:w="5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18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52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15,283</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2,722,662</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2,476,617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4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6"/>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2,941,915</w:t>
            </w:r>
          </w:p>
        </w:tc>
        <w:tc>
          <w:tcPr>
            <w:tcW w:w="3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2,722,662</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2,701,184</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2,476,617</w:t>
            </w:r>
          </w:p>
        </w:tc>
        <w:tc>
          <w:tcPr>
            <w:tcW w:w="0" w:type="dxa"/>
            <w:vAlign w:val="bottom"/>
          </w:tcPr>
          <w:p>
            <w:pPr>
              <w:spacing w:after="0"/>
              <w:rPr>
                <w:sz w:val="1"/>
                <w:szCs w:val="1"/>
                <w:color w:val="auto"/>
              </w:rPr>
            </w:pPr>
          </w:p>
        </w:tc>
      </w:tr>
      <w:tr>
        <w:trPr>
          <w:trHeight w:val="459"/>
        </w:trPr>
        <w:tc>
          <w:tcPr>
            <w:tcW w:w="824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40" w:type="dxa"/>
            <w:vAlign w:val="bottom"/>
          </w:tcPr>
          <w:p>
            <w:pPr>
              <w:spacing w:after="0"/>
              <w:rPr>
                <w:sz w:val="24"/>
                <w:szCs w:val="24"/>
                <w:color w:val="auto"/>
              </w:rPr>
            </w:pPr>
          </w:p>
        </w:tc>
        <w:tc>
          <w:tcPr>
            <w:tcW w:w="258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Inputs as of</w:t>
            </w:r>
          </w:p>
        </w:tc>
        <w:tc>
          <w:tcPr>
            <w:tcW w:w="0" w:type="dxa"/>
            <w:vAlign w:val="bottom"/>
          </w:tcPr>
          <w:p>
            <w:pPr>
              <w:spacing w:after="0"/>
              <w:rPr>
                <w:sz w:val="1"/>
                <w:szCs w:val="1"/>
                <w:color w:val="auto"/>
              </w:rPr>
            </w:pPr>
          </w:p>
        </w:tc>
      </w:tr>
      <w:tr>
        <w:trPr>
          <w:trHeight w:val="201"/>
        </w:trPr>
        <w:tc>
          <w:tcPr>
            <w:tcW w:w="3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3"/>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3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top w:val="single" w:sz="8" w:color="auto"/>
            </w:tcBorders>
            <w:gridSpan w:val="5"/>
          </w:tcPr>
          <w:p>
            <w:pPr>
              <w:ind w:left="76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4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2,722,662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2,476,617</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Discount rate</w:t>
            </w:r>
          </w:p>
        </w:tc>
        <w:tc>
          <w:tcPr>
            <w:tcW w:w="1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center"/>
              <w:ind w:left="330"/>
              <w:spacing w:after="0"/>
              <w:rPr>
                <w:sz w:val="20"/>
                <w:szCs w:val="20"/>
                <w:color w:val="auto"/>
              </w:rPr>
            </w:pPr>
            <w:r>
              <w:rPr>
                <w:rFonts w:ascii="Times New Roman" w:cs="Times New Roman" w:eastAsia="Times New Roman" w:hAnsi="Times New Roman"/>
                <w:sz w:val="18"/>
                <w:szCs w:val="18"/>
                <w:color w:val="auto"/>
                <w:w w:val="98"/>
              </w:rPr>
              <w:t>11.0%-11.7%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8"/>
              </w:rPr>
              <w:t>11.0%-11.3%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Cumulative net losses</w:t>
            </w:r>
          </w:p>
        </w:tc>
        <w:tc>
          <w:tcPr>
            <w:tcW w:w="14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10.0%-21.7%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13.4%-19.4%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delinquency status using the contractual balance of these finance receivables measured at fair value as of December 31,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2,520,158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2,375,271</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w:t>
            </w:r>
          </w:p>
        </w:tc>
        <w:tc>
          <w:tcPr>
            <w:tcW w:w="43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204,574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184,968</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101,057</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72,390</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w:t>
            </w:r>
          </w:p>
        </w:tc>
        <w:tc>
          <w:tcPr>
            <w:tcW w:w="43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49,541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29,048</w:t>
            </w:r>
          </w:p>
        </w:tc>
      </w:tr>
      <w:tr>
        <w:trPr>
          <w:trHeight w:val="23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66,585</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39,507</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8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2,941,915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2,701,184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Repossessed vehicle inventory, which is included in Other assets on our consolidated balance sheet, is measured at fair value using level 2 assumptions based on our actual loss experience on sale of repossessed vehicles. At December 31, 2023, the finance receivables related to the repossessed vehicles in inventory totaled $597,000. We have applied a valuation adjustment, or loss allowance, of $472,000, which is based on a recovery rate of approximately 20%, resulting in an estimated fair value and carrying amount of $125,000. The fair value and carrying amount of the repossessed inventory at December 31, 2022 was $1.9 million after applying a valuation adjustment of $1.3 million.</w:t>
      </w:r>
    </w:p>
    <w:p>
      <w:pPr>
        <w:spacing w:after="0" w:line="183"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1 or level 2 assets and liabilities for 2023 and 2022. We have no level 3 assets or liabilities that are measured at fair value on a non-recurring basis.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December 31, 2023 and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6,174</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119,257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24,684</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234,025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7,928</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2,265,446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2,183,331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2,183,331</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17,188</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13,490</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13,490</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13,490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149,299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149,299</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149,299</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70,551</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60,063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60,063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285,328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285,328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285,328</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6,190</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2,108,744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1,957,995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1,957,995</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25,263</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25,263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Subsequent Events</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On January 24, 2024 we executed our first securitization of 2024. In the transaction, qualified institutional buyers purchased $280.9 million of asset-backed notes secured by $300.6 million in automobile receivables originated by CPS. The sold notes, issued by CPS Auto Receivables Trust 2024-A,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6.51%.</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2024-A transaction has initial credit enhancement consisting of a cash deposit equal to 1.00% of the original receivable pool balance and overcollateralization of 6.55%. The transaction agreements require accelerated payment of principal on the notes to reach overcollateralization of the lesser of 9.55% of the original receivable pool balance, or 26.55% of the then outstanding pool balance.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Nos. 333-168976 and 333-190766 on Form S-1, Nos. 333-152969 and 333-204492 on Form S-3, and Nos. 333-58199, 333-35758, 333-75594, 333-115622, 333-135907, 333-161448, 333-166892 and 333-193926 on form S-8 of Consumer Portfolio Services, Inc. and Subsidiaries of our report dated March 15, 2024 relating to the financial statements and effectiveness of internal control over financial reporting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Crowe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15, 2024</w:t>
      </w:r>
    </w:p>
    <w:p>
      <w:pPr>
        <w:sectPr>
          <w:pgSz w:w="11900" w:h="16838" w:orient="portrait"/>
          <w:cols w:equalWidth="0" w:num="1">
            <w:col w:w="11240"/>
          </w:cols>
          <w:pgMar w:left="320" w:top="10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820" w:hanging="812"/>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Consumer Portfolio Services, Inc.;</w:t>
      </w:r>
    </w:p>
    <w:p>
      <w:pPr>
        <w:spacing w:after="0" w:line="225" w:lineRule="exact"/>
        <w:rPr>
          <w:rFonts w:ascii="Times New Roman" w:cs="Times New Roman" w:eastAsia="Times New Roman" w:hAnsi="Times New Roman"/>
          <w:sz w:val="18"/>
          <w:szCs w:val="18"/>
          <w:color w:val="auto"/>
        </w:rPr>
      </w:pPr>
    </w:p>
    <w:p>
      <w:pPr>
        <w:jc w:val="both"/>
        <w:ind w:left="820" w:hanging="812"/>
        <w:spacing w:after="0" w:line="266"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hanging="812"/>
        <w:spacing w:after="0" w:line="282"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hanging="812"/>
        <w:spacing w:after="0" w:line="261"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ectPr>
          <w:pgSz w:w="11900" w:h="16838" w:orient="portrait"/>
          <w:cols w:equalWidth="0" w:num="1">
            <w:col w:w="11240"/>
          </w:cols>
          <w:pgMar w:left="320" w:top="108"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ind w:left="820" w:hanging="812"/>
        <w:spacing w:after="0" w:line="282"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reasonably likely to adversely affect the registrant’s ability to record, process, summarize and report financial information; and</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 control over financial reporting.</w:t>
            </w:r>
          </w:p>
        </w:tc>
      </w:tr>
      <w:tr>
        <w:trPr>
          <w:trHeight w:val="675"/>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March 15, 2024</w:t>
            </w:r>
          </w:p>
        </w:tc>
        <w:tc>
          <w:tcPr>
            <w:tcW w:w="40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91"/>
        </w:trPr>
        <w:tc>
          <w:tcPr>
            <w:tcW w:w="16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E. Bradley, Jr.</w:t>
            </w:r>
          </w:p>
        </w:tc>
      </w:tr>
      <w:tr>
        <w:trPr>
          <w:trHeight w:val="216"/>
        </w:trPr>
        <w:tc>
          <w:tcPr>
            <w:tcW w:w="16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34"/>
        </w:trPr>
        <w:tc>
          <w:tcPr>
            <w:tcW w:w="16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8"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820" w:hanging="812"/>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Consumer Portfolio Services, Inc.;</w:t>
      </w:r>
    </w:p>
    <w:p>
      <w:pPr>
        <w:spacing w:after="0" w:line="225" w:lineRule="exact"/>
        <w:rPr>
          <w:rFonts w:ascii="Times New Roman" w:cs="Times New Roman" w:eastAsia="Times New Roman" w:hAnsi="Times New Roman"/>
          <w:sz w:val="18"/>
          <w:szCs w:val="18"/>
          <w:color w:val="auto"/>
        </w:rPr>
      </w:pPr>
    </w:p>
    <w:p>
      <w:pPr>
        <w:jc w:val="both"/>
        <w:ind w:left="820" w:hanging="812"/>
        <w:spacing w:after="0" w:line="266"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hanging="812"/>
        <w:spacing w:after="0" w:line="282"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hanging="812"/>
        <w:spacing w:after="0" w:line="261"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sectPr>
          <w:pgSz w:w="11900" w:h="16838" w:orient="portrait"/>
          <w:cols w:equalWidth="0" w:num="2">
            <w:col w:w="900" w:space="720"/>
            <w:col w:w="96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sectPr>
          <w:pgSz w:w="11900" w:h="16838" w:orient="portrait"/>
          <w:cols w:equalWidth="0" w:num="2">
            <w:col w:w="900" w:space="720"/>
            <w:col w:w="96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sectPr>
          <w:pgSz w:w="11900" w:h="16838" w:orient="portrait"/>
          <w:cols w:equalWidth="0" w:num="2">
            <w:col w:w="900" w:space="720"/>
            <w:col w:w="96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sectPr>
          <w:pgSz w:w="11900" w:h="16838" w:orient="portrait"/>
          <w:cols w:equalWidth="0" w:num="2">
            <w:col w:w="900" w:space="720"/>
            <w:col w:w="9620"/>
          </w:cols>
          <w:pgMar w:left="320" w:top="117" w:right="339" w:bottom="1440" w:gutter="0" w:footer="0" w:header="0"/>
          <w:type w:val="continuous"/>
        </w:sectPr>
      </w:pPr>
    </w:p>
    <w:p>
      <w:pPr>
        <w:ind w:left="820" w:hanging="812"/>
        <w:spacing w:after="0" w:line="282"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reasonably likely to adversely affect the registrant’s ability to record, process, summarize and report financial information; and</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 control over financial reporting.</w:t>
            </w:r>
          </w:p>
        </w:tc>
      </w:tr>
      <w:tr>
        <w:trPr>
          <w:trHeight w:val="675"/>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March 15, 2024</w:t>
            </w:r>
          </w:p>
        </w:tc>
        <w:tc>
          <w:tcPr>
            <w:tcW w:w="40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Denesh Bharwani</w:t>
            </w:r>
          </w:p>
        </w:tc>
      </w:tr>
      <w:tr>
        <w:trPr>
          <w:trHeight w:val="191"/>
        </w:trPr>
        <w:tc>
          <w:tcPr>
            <w:tcW w:w="16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Denesh Bharwani</w:t>
            </w:r>
          </w:p>
        </w:tc>
      </w:tr>
      <w:tr>
        <w:trPr>
          <w:trHeight w:val="216"/>
        </w:trPr>
        <w:tc>
          <w:tcPr>
            <w:tcW w:w="16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16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17"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Consumer Portfolio Services, Inc. (“Registrant”) on Form 10-K for the fiscal year ended December 31, 2023, as filed with the Securities and Exchange Commission (the “Report”), Charles E. Bradley, Jr., Chairman and Chief Executive Officer, and Denesh Bharwani, Chief Financial Officer and Executive Vice President, each hereby certifies, pursuant to 18 U.S.C. Section 1350, as adopted pursuant to Section 906 of the Sarbanes-Oxley Act of 2002, that, to his knowledge:</w:t>
      </w:r>
    </w:p>
    <w:p>
      <w:pPr>
        <w:spacing w:after="0" w:line="180" w:lineRule="exact"/>
        <w:rPr>
          <w:sz w:val="20"/>
          <w:szCs w:val="20"/>
          <w:color w:val="auto"/>
        </w:rPr>
      </w:pPr>
    </w:p>
    <w:p>
      <w:pPr>
        <w:ind w:left="820" w:hanging="812"/>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812"/>
        <w:spacing w:after="0" w:line="282"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as of December 31, 2023.</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E. Bradley, Jr.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6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15,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Denesh Bharwani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Denesh Bharwani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tc>
      </w:tr>
    </w:tbl>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 (the “Policy”)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(as adopted by the Board of Directors on December 1, 2023)</w:t>
      </w:r>
    </w:p>
    <w:p>
      <w:pPr>
        <w:spacing w:after="0" w:line="200" w:lineRule="exact"/>
        <w:rPr>
          <w:sz w:val="20"/>
          <w:szCs w:val="20"/>
          <w:color w:val="auto"/>
        </w:rPr>
      </w:pPr>
    </w:p>
    <w:p>
      <w:pPr>
        <w:spacing w:after="0" w:line="219" w:lineRule="exact"/>
        <w:rPr>
          <w:sz w:val="20"/>
          <w:szCs w:val="20"/>
          <w:color w:val="auto"/>
        </w:rPr>
      </w:pPr>
    </w:p>
    <w:p>
      <w:pPr>
        <w:ind w:right="40" w:firstLine="656"/>
        <w:spacing w:after="0" w:line="256" w:lineRule="auto"/>
        <w:tabs>
          <w:tab w:leader="none" w:pos="8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Recovery. </w:t>
      </w:r>
      <w:r>
        <w:rPr>
          <w:rFonts w:ascii="Times New Roman" w:cs="Times New Roman" w:eastAsia="Times New Roman" w:hAnsi="Times New Roman"/>
          <w:sz w:val="18"/>
          <w:szCs w:val="18"/>
          <w:color w:val="auto"/>
        </w:rPr>
        <w:t>If Consumer Portfolio Services, Inc. (the “Company”) is required to prepare a Restatement, the Company’s board of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shall, unless the Board determines it to be Impracticable, take reasonably prompt action to recover all Recoverable Compensation from any Covered Person. Subject to applicable law, the Board may seek to recover Recoverable Compensation by requiring a Covered Person to repay such amount to the Company; by adding “holdback” or deferral policies to incentive compensation; by adding post-vesting “holding” or “no transfer” policies to equity awards; by set-off of a Covered Person’s other compensation; by reducing future compensation; or by such other means or combination of means as the Board, in its sole discretion, determines to be appropriate. This Policy is in addition to (and not in lieu of) any right of repayment, forfeiture or off-set against any Covered Person that may be available under applicable law or otherwise (whether implemented prior to or after adoption of this Policy).</w:t>
      </w:r>
    </w:p>
    <w:p>
      <w:pPr>
        <w:spacing w:after="0" w:line="182" w:lineRule="exact"/>
        <w:rPr>
          <w:rFonts w:ascii="Times New Roman" w:cs="Times New Roman" w:eastAsia="Times New Roman" w:hAnsi="Times New Roman"/>
          <w:sz w:val="18"/>
          <w:szCs w:val="18"/>
          <w:b w:val="1"/>
          <w:bCs w:val="1"/>
          <w:color w:val="auto"/>
        </w:rPr>
      </w:pPr>
    </w:p>
    <w:p>
      <w:pPr>
        <w:ind w:right="160" w:firstLine="656"/>
        <w:spacing w:after="0" w:line="262" w:lineRule="auto"/>
        <w:tabs>
          <w:tab w:leader="none" w:pos="8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of Policy. </w:t>
      </w:r>
      <w:r>
        <w:rPr>
          <w:rFonts w:ascii="Times New Roman" w:cs="Times New Roman" w:eastAsia="Times New Roman" w:hAnsi="Times New Roman"/>
          <w:sz w:val="18"/>
          <w:szCs w:val="18"/>
          <w:color w:val="auto"/>
        </w:rPr>
        <w:t>The Board shall have full authority to administer, amend or terminate this Policy. The Board shall,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Policy, make such determinations and interpretations and take such actions in connection with this Policy as it deems necessary, appropriate or advisable. All determinations and interpretations made by the Board shall be final, binding and conclusive. The Board may delegate any of its powers under this Policy to the Compensation Committee of the Board or any subcommittee or delegate thereof.</w:t>
      </w:r>
    </w:p>
    <w:p>
      <w:pPr>
        <w:spacing w:after="0" w:line="176" w:lineRule="exact"/>
        <w:rPr>
          <w:rFonts w:ascii="Times New Roman" w:cs="Times New Roman" w:eastAsia="Times New Roman" w:hAnsi="Times New Roman"/>
          <w:sz w:val="18"/>
          <w:szCs w:val="18"/>
          <w:b w:val="1"/>
          <w:bCs w:val="1"/>
          <w:color w:val="auto"/>
        </w:rPr>
      </w:pPr>
    </w:p>
    <w:p>
      <w:pPr>
        <w:ind w:right="200" w:firstLine="656"/>
        <w:spacing w:after="0" w:line="286" w:lineRule="auto"/>
        <w:tabs>
          <w:tab w:leader="none" w:pos="8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w:t>
      </w:r>
      <w:r>
        <w:rPr>
          <w:rFonts w:ascii="Times New Roman" w:cs="Times New Roman" w:eastAsia="Times New Roman" w:hAnsi="Times New Roman"/>
          <w:sz w:val="18"/>
          <w:szCs w:val="18"/>
          <w:color w:val="auto"/>
        </w:rPr>
        <w:t>Notwithstanding the terms of any of the Company’s organizational documents, any corporate policy or any contract,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 shall be indemnified against the loss of any Recoverable Compensation.</w:t>
      </w:r>
    </w:p>
    <w:p>
      <w:pPr>
        <w:spacing w:after="0" w:line="154" w:lineRule="exact"/>
        <w:rPr>
          <w:rFonts w:ascii="Times New Roman" w:cs="Times New Roman" w:eastAsia="Times New Roman" w:hAnsi="Times New Roman"/>
          <w:sz w:val="18"/>
          <w:szCs w:val="18"/>
          <w:b w:val="1"/>
          <w:bCs w:val="1"/>
          <w:color w:val="auto"/>
        </w:rPr>
      </w:pPr>
    </w:p>
    <w:p>
      <w:pPr>
        <w:ind w:right="300" w:firstLine="656"/>
        <w:spacing w:after="0" w:line="268" w:lineRule="auto"/>
        <w:tabs>
          <w:tab w:leader="none" w:pos="8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Disclosures. </w:t>
      </w:r>
      <w:r>
        <w:rPr>
          <w:rFonts w:ascii="Times New Roman" w:cs="Times New Roman" w:eastAsia="Times New Roman" w:hAnsi="Times New Roman"/>
          <w:sz w:val="18"/>
          <w:szCs w:val="18"/>
          <w:color w:val="auto"/>
        </w:rPr>
        <w:t>The Company shall make all disclosures and filings with respect to this Policy and maintain all documents and records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the applicable rules and forms of the U.S. Securities and Exchange Commission (the “SEC”) (including, without limitation, Rule 10D-1 promulgated under the Securities Exchange Act of 1934, as amended (the “Exchange Act”)) and any applicable exchange listing standard.</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In addition to terms otherwise defined in this Policy, the following terms, when used in this Policy, shall have the following</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meanings:</w:t>
      </w:r>
    </w:p>
    <w:p>
      <w:pPr>
        <w:spacing w:after="0" w:line="203"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“Applicable Period” </w:t>
      </w:r>
      <w:r>
        <w:rPr>
          <w:rFonts w:ascii="Times New Roman" w:cs="Times New Roman" w:eastAsia="Times New Roman" w:hAnsi="Times New Roman"/>
          <w:sz w:val="18"/>
          <w:szCs w:val="18"/>
          <w:color w:val="auto"/>
        </w:rPr>
        <w:t>means the three completed fiscal years immediately preceding the earlier of: (i) the date that the Board, a committee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“Covered Person” </w:t>
      </w:r>
      <w:r>
        <w:rPr>
          <w:rFonts w:ascii="Times New Roman" w:cs="Times New Roman" w:eastAsia="Times New Roman" w:hAnsi="Times New Roman"/>
          <w:sz w:val="18"/>
          <w:szCs w:val="18"/>
          <w:color w:val="auto"/>
        </w:rPr>
        <w:t>means any person who receives Recoverable Compensation.</w:t>
      </w:r>
    </w:p>
    <w:p>
      <w:pPr>
        <w:spacing w:after="0" w:line="225"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“Executive Officer” </w:t>
      </w:r>
      <w:r>
        <w:rPr>
          <w:rFonts w:ascii="Times New Roman" w:cs="Times New Roman" w:eastAsia="Times New Roman" w:hAnsi="Times New Roman"/>
          <w:sz w:val="18"/>
          <w:szCs w:val="18"/>
          <w:color w:val="auto"/>
        </w:rPr>
        <w:t>includes the Company’s president, principal financial officer, principal accounting officer (or if there is no such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the controller), any vice-president of the Company in charge of a principal business unit, division, or function (such as sales, administration, or finance), any other officer who performs a policy-making function, or any other person (including any executive officer of the Company’s affiliates) who performs similar policy-making functions for the Company. Executive Officer also includes executive officers of the Company identified pursuant to Item 401(b) of Regulation S-K.</w:t>
      </w:r>
    </w:p>
    <w:p>
      <w:pPr>
        <w:spacing w:after="0" w:line="179"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“Financial Reporting Measure” </w:t>
      </w:r>
      <w:r>
        <w:rPr>
          <w:rFonts w:ascii="Times New Roman" w:cs="Times New Roman" w:eastAsia="Times New Roman" w:hAnsi="Times New Roman"/>
          <w:sz w:val="18"/>
          <w:szCs w:val="18"/>
          <w:color w:val="auto"/>
        </w:rPr>
        <w:t>means a measure that is determined and presented in accordance with the accounting principles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preparing the Company’s financial statements, and any measure that is derived wholly or in part from such measure. Stock price and total shareholder return (“TSR”) are also Financial Reporting Measures. A Financial Reporting Measure need not be presented within the financial statements or included in a filing with the U.S. Securities and Exchange Commission.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“Impracticable” </w:t>
      </w:r>
      <w:r>
        <w:rPr>
          <w:rFonts w:ascii="Times New Roman" w:cs="Times New Roman" w:eastAsia="Times New Roman" w:hAnsi="Times New Roman"/>
          <w:sz w:val="18"/>
          <w:szCs w:val="18"/>
          <w:color w:val="auto"/>
        </w:rPr>
        <w:t>means, after exercising a normal due process review of all the relevant facts and circumstances and taking all steps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Rule 10D-1 and any applicable exchange listing standard, the Compensation Committee determines that recovery of the Incentive-Based Compensation is impracticable because: (i) it has determined that the direct expense that the Company would pay to a third party to assist in recovering the Incentive-Based Compensation would exceed the amount to be recovered; (ii) 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0" w:name="page121"/>
    <w:bookmarkEnd w:id="120"/>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“Incentive-Based Compensation” </w:t>
      </w:r>
      <w:r>
        <w:rPr>
          <w:rFonts w:ascii="Times New Roman" w:cs="Times New Roman" w:eastAsia="Times New Roman" w:hAnsi="Times New Roman"/>
          <w:sz w:val="18"/>
          <w:szCs w:val="18"/>
          <w:color w:val="auto"/>
        </w:rPr>
        <w:t>includes any compensation that is granted, earned, or vested based wholly or in part upon the attainment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Measure.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“Received” – </w:t>
      </w:r>
      <w:r>
        <w:rPr>
          <w:rFonts w:ascii="Times New Roman" w:cs="Times New Roman" w:eastAsia="Times New Roman" w:hAnsi="Times New Roman"/>
          <w:sz w:val="18"/>
          <w:szCs w:val="18"/>
          <w:color w:val="auto"/>
        </w:rPr>
        <w:t>Incentive-Based Compensation is deemed “Received” in any Company fiscal period during which the Financial Reporting Measure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Incentive-Based Compensation award is attained, even if the payment or grant of the Incentive-Based Compensation occurs after the end of that period.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“Recoverable Compensation” </w:t>
      </w:r>
      <w:r>
        <w:rPr>
          <w:rFonts w:ascii="Times New Roman" w:cs="Times New Roman" w:eastAsia="Times New Roman" w:hAnsi="Times New Roman"/>
          <w:sz w:val="18"/>
          <w:szCs w:val="18"/>
          <w:color w:val="auto"/>
        </w:rPr>
        <w:t>means all Incentive-Based Compensation (calculated on a pre-tax basis) Received after October 2, 2023 by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 after beginning service as an Executive Officer; (ii) who served as an Executive Officer at any time during the performance period for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Incentive-Based Compensation; (iii) while the Company had a class of securities listed on a national securities exchange or national securities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(iv) during the Applicable Period, that exceeded the amount of Incentive-Based Compensation that otherwise would have been Received had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been determined based on the Financial Performing Measures, as reflected in the Restatement. With respect to Incentive-Based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stock price or TSR, when the amount of erroneously awarded compensation is not subject to mathematical recalculation directly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 an accounting restatement, the amount must be based on a reasonable estimate of the effect of the Restatement on the stock price or TSR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which the Incentive-Based Compensation was received (the Company must maintain documentation of the determination of that reasonable estimate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provide such documents to the applicable national securities exchange).</w:t>
      </w:r>
    </w:p>
    <w:p>
      <w:pPr>
        <w:spacing w:after="0" w:line="203"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“Restatement” </w:t>
      </w:r>
      <w:r>
        <w:rPr>
          <w:rFonts w:ascii="Times New Roman" w:cs="Times New Roman" w:eastAsia="Times New Roman" w:hAnsi="Times New Roman"/>
          <w:sz w:val="18"/>
          <w:szCs w:val="18"/>
          <w:color w:val="auto"/>
        </w:rPr>
        <w:t>means an accounting restatement of any of the Company’s financial statements due to the Company’s material noncompliance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financial reporting requirement under U.S. securities laws, including any required accounting restatement to correct an error in previously issued financial statements that is material to the previously issued financial statements (often referred to as a “Big R” restatement), or that would result in a material misstatement if the error were corrected in the current period or left uncorrected in the current period (often referred to as a “little r”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7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Roman"/>
      <w:start w:val="6"/>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2"/>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4"/>
    </w:lvl>
  </w:abstractNum>
  <w:abstractNum w:abstractNumId="30">
    <w:nsid w:val="77465F01"/>
    <w:multiLevelType w:val="hybridMultilevel"/>
    <w:lvl w:ilvl="0">
      <w:lvlJc w:val="left"/>
      <w:lvlText w:val="%1"/>
      <w:numFmt w:val="decimal"/>
      <w:start w:val="14"/>
    </w:lvl>
  </w:abstractNum>
  <w:abstractNum w:abstractNumId="31">
    <w:nsid w:val="7724C67E"/>
    <w:multiLevelType w:val="hybridMultilevel"/>
    <w:lvl w:ilvl="0">
      <w:lvlJc w:val="left"/>
      <w:lvlText w:val="%1"/>
      <w:numFmt w:val="decimal"/>
      <w:start w:val="32"/>
    </w:lvl>
  </w:abstractNum>
  <w:abstractNum w:abstractNumId="32">
    <w:nsid w:val="5C482A97"/>
    <w:multiLevelType w:val="hybridMultilevel"/>
    <w:lvl w:ilvl="0">
      <w:lvlJc w:val="left"/>
      <w:lvlText w:val="%1"/>
      <w:numFmt w:val="decimal"/>
      <w:start w:val="97"/>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5"/>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5"/>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94" Type="http://schemas.openxmlformats.org/officeDocument/2006/relationships/hyperlink" Target="https://www.sec.gov/Archives/edgar/data/889609/000088960909000010/exh3-1.htm" TargetMode="External"/><Relationship Id="rId95" Type="http://schemas.openxmlformats.org/officeDocument/2006/relationships/hyperlink" Target="https://www.sec.gov/Archives/edgar/data/889609/000088960910000073/cpssex313.htm" TargetMode="External"/><Relationship Id="rId96" Type="http://schemas.openxmlformats.org/officeDocument/2006/relationships/hyperlink" Target="https://www.sec.gov/Archives/edgar/data/889609/000168316821006089/cps_ex030302.htm" TargetMode="External"/><Relationship Id="rId97" Type="http://schemas.openxmlformats.org/officeDocument/2006/relationships/hyperlink" Target="https://www.sec.gov/Archives/edgar/data/889609/000088960910000033/cpssexh41.htm" TargetMode="External"/><Relationship Id="rId98" Type="http://schemas.openxmlformats.org/officeDocument/2006/relationships/hyperlink" Target="https://www.sec.gov/Archives/edgar/data/889609/000088960910000033/cpss42.htm" TargetMode="External"/><Relationship Id="rId99" Type="http://schemas.openxmlformats.org/officeDocument/2006/relationships/hyperlink" Target="https://www.sec.gov/Archives/edgar/data/889609/000088960910000033/cpssexh43.htm" TargetMode="External"/><Relationship Id="rId100" Type="http://schemas.openxmlformats.org/officeDocument/2006/relationships/hyperlink" Target="https://www.sec.gov/Archives/edgar/data/889609/000101968714000228/cps_s1a1-ex0404.htm" TargetMode="External"/><Relationship Id="rId101" Type="http://schemas.openxmlformats.org/officeDocument/2006/relationships/hyperlink" Target="https://www.sec.gov/Archives/edgar/data/889609/000168316823004144/cps_ex0405.htm" TargetMode="External"/><Relationship Id="rId102" Type="http://schemas.openxmlformats.org/officeDocument/2006/relationships/hyperlink" Target="https://www.sec.gov/Archives/edgar/data/889609/000101968705001015/cps_s2a1ex10-20.txt" TargetMode="External"/><Relationship Id="rId103" Type="http://schemas.openxmlformats.org/officeDocument/2006/relationships/hyperlink" Target="https://www.sec.gov/Archives/edgar/data/889609/000101968706000537/cps_10kex21.txt" TargetMode="External"/><Relationship Id="rId104" Type="http://schemas.openxmlformats.org/officeDocument/2006/relationships/hyperlink" Target="https://www.sec.gov/Archives/edgar/data/889609/000101968715001620/cps_def14a.htm" TargetMode="External"/><Relationship Id="rId105" Type="http://schemas.openxmlformats.org/officeDocument/2006/relationships/hyperlink" Target="https://www.sec.gov/Archives/edgar/data/889609/000101968707000676/cps_10kex14-1.txt" TargetMode="External"/><Relationship Id="rId106" Type="http://schemas.openxmlformats.org/officeDocument/2006/relationships/hyperlink" Target="https://www.sec.gov/Archives/edgar/data/889609/000088960909000053/cpsslongterm2006.htm" TargetMode="External"/><Relationship Id="rId107" Type="http://schemas.openxmlformats.org/officeDocument/2006/relationships/hyperlink" Target="https://www.sec.gov/Archives/edgar/data/889609/000088960909000053/cpsslongterm2006non.htm" TargetMode="External"/><Relationship Id="rId108" Type="http://schemas.openxmlformats.org/officeDocument/2006/relationships/hyperlink" Target="https://www.sec.gov/Archives/edgar/data/889609/000101968706000537/cps_10kex14.txt" TargetMode="External"/><Relationship Id="rId109" Type="http://schemas.openxmlformats.org/officeDocument/2006/relationships/hyperlink" Target="https://www.sec.gov/Archives/edgar/data/889609/000168316823001523/cps_ex210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2024-03-15T14:08:36Z</dcterms:created>
  <dcterms:modified xsi:type="dcterms:W3CDTF">2024-03-15T14:08:36Z</dcterms:modified>
</cp:coreProperties>
</file>