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line="238" w:lineRule="auto"/>
        <w:rPr>
          <w:sz w:val="20"/>
          <w:szCs w:val="20"/>
          <w:color w:val="auto"/>
        </w:rPr>
      </w:pPr>
      <w:r>
        <w:rPr>
          <w:rFonts w:ascii="Arial" w:cs="Arial" w:eastAsia="Arial" w:hAnsi="Arial"/>
          <w:sz w:val="22"/>
          <w:szCs w:val="22"/>
          <w:b w:val="1"/>
          <w:bCs w:val="1"/>
          <w:color w:val="auto"/>
        </w:rPr>
        <w:t>UNITED STATES 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9" w:lineRule="exact"/>
        <w:rPr>
          <w:sz w:val="24"/>
          <w:szCs w:val="24"/>
          <w:color w:val="auto"/>
        </w:rPr>
      </w:pPr>
    </w:p>
    <w:p>
      <w:pPr>
        <w:ind w:left="3240" w:right="2120" w:hanging="3232"/>
        <w:spacing w:after="0" w:line="527" w:lineRule="auto"/>
        <w:tabs>
          <w:tab w:leader="none" w:pos="429"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______________</w:t>
      </w:r>
    </w:p>
    <w:p>
      <w:pPr>
        <w:spacing w:after="0" w:line="1" w:lineRule="exact"/>
        <w:rPr>
          <w:rFonts w:ascii="MS PGothic" w:cs="MS PGothic" w:eastAsia="MS PGothic" w:hAnsi="MS PGothic"/>
          <w:sz w:val="17"/>
          <w:szCs w:val="17"/>
          <w:color w:val="auto"/>
        </w:rPr>
      </w:pPr>
    </w:p>
    <w:p>
      <w:pPr>
        <w:ind w:left="43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1-11416</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4"/>
              </w:rPr>
              <w:t>California</w:t>
            </w:r>
          </w:p>
        </w:tc>
        <w:tc>
          <w:tcPr>
            <w:tcW w:w="360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0"/>
              </w:rPr>
              <w:t>3800 Howard Hughes Parkway, Suite 1400,</w:t>
            </w:r>
          </w:p>
        </w:tc>
        <w:tc>
          <w:tcPr>
            <w:tcW w:w="360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600" w:type="dxa"/>
            <w:vAlign w:val="bottom"/>
          </w:tcPr>
          <w:p>
            <w:pPr>
              <w:spacing w:after="0"/>
              <w:rPr>
                <w:sz w:val="18"/>
                <w:szCs w:val="18"/>
                <w:color w:val="auto"/>
              </w:rPr>
            </w:pP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2220" w:type="dxa"/>
            <w:vAlign w:val="bottom"/>
          </w:tcPr>
          <w:p>
            <w:pPr>
              <w:spacing w:after="0"/>
              <w:rPr>
                <w:sz w:val="24"/>
                <w:szCs w:val="24"/>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Trading Symbol</w:t>
            </w:r>
          </w:p>
        </w:tc>
        <w:tc>
          <w:tcPr>
            <w:tcW w:w="4400" w:type="dxa"/>
            <w:vAlign w:val="bottom"/>
            <w:gridSpan w:val="3"/>
          </w:tcPr>
          <w:p>
            <w:pPr>
              <w:jc w:val="center"/>
              <w:ind w:left="6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720" w:type="dxa"/>
            <w:vAlign w:val="bottom"/>
            <w:gridSpan w:val="3"/>
          </w:tcPr>
          <w:p>
            <w:pPr>
              <w:jc w:val="center"/>
              <w:ind w:right="1100"/>
              <w:spacing w:after="0"/>
              <w:rPr>
                <w:sz w:val="20"/>
                <w:szCs w:val="20"/>
                <w:color w:val="auto"/>
              </w:rPr>
            </w:pPr>
            <w:r>
              <w:rPr>
                <w:rFonts w:ascii="Arial" w:cs="Arial" w:eastAsia="Arial" w:hAnsi="Arial"/>
                <w:sz w:val="18"/>
                <w:szCs w:val="18"/>
                <w:color w:val="auto"/>
                <w:w w:val="90"/>
              </w:rPr>
              <w:t>Common Stock, no par value</w:t>
            </w:r>
          </w:p>
        </w:tc>
        <w:tc>
          <w:tcPr>
            <w:tcW w:w="1840" w:type="dxa"/>
            <w:vAlign w:val="bottom"/>
            <w:gridSpan w:val="2"/>
          </w:tcPr>
          <w:p>
            <w:pPr>
              <w:jc w:val="center"/>
              <w:ind w:right="700"/>
              <w:spacing w:after="0"/>
              <w:rPr>
                <w:sz w:val="20"/>
                <w:szCs w:val="20"/>
                <w:color w:val="auto"/>
              </w:rPr>
            </w:pPr>
            <w:r>
              <w:rPr>
                <w:rFonts w:ascii="Arial" w:cs="Arial" w:eastAsia="Arial" w:hAnsi="Arial"/>
                <w:sz w:val="18"/>
                <w:szCs w:val="18"/>
                <w:color w:val="auto"/>
                <w:w w:val="85"/>
              </w:rPr>
              <w:t>CPSS</w:t>
            </w:r>
          </w:p>
        </w:tc>
        <w:tc>
          <w:tcPr>
            <w:tcW w:w="440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The NASDAQ Stock Market LLC (Global Market)</w:t>
            </w:r>
          </w:p>
        </w:tc>
      </w:tr>
    </w:tbl>
    <w:p>
      <w:pPr>
        <w:spacing w:after="0" w:line="20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60" w:type="dxa"/>
            <w:vAlign w:val="bottom"/>
          </w:tcPr>
          <w:p>
            <w:pPr>
              <w:ind w:left="1200"/>
              <w:spacing w:after="0" w:line="207" w:lineRule="exact"/>
              <w:rPr>
                <w:sz w:val="20"/>
                <w:szCs w:val="20"/>
                <w:color w:val="auto"/>
              </w:rPr>
            </w:pPr>
            <w:r>
              <w:rPr>
                <w:rFonts w:ascii="Arial" w:cs="Arial" w:eastAsia="Arial" w:hAnsi="Arial"/>
                <w:sz w:val="18"/>
                <w:szCs w:val="18"/>
                <w:color w:val="auto"/>
                <w:w w:val="91"/>
              </w:rPr>
              <w:t xml:space="preserve">Accelerated Filer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16"/>
        </w:trPr>
        <w:tc>
          <w:tcPr>
            <w:tcW w:w="34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60" w:type="dxa"/>
            <w:vAlign w:val="bottom"/>
          </w:tcPr>
          <w:p>
            <w:pPr>
              <w:ind w:left="120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3"/>
        </w:trPr>
        <w:tc>
          <w:tcPr>
            <w:tcW w:w="34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2660" w:type="dxa"/>
            <w:vAlign w:val="bottom"/>
          </w:tcPr>
          <w:p>
            <w:pPr>
              <w:ind w:left="12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 2021 the registrant had 21,073,571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60" w:type="dxa"/>
            <w:vAlign w:val="bottom"/>
            <w:gridSpan w:val="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60" w:type="dxa"/>
            <w:vAlign w:val="bottom"/>
            <w:tcBorders>
              <w:bottom w:val="single" w:sz="8" w:color="0000EE"/>
            </w:tcBorders>
            <w:gridSpan w:val="2"/>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3"/>
          </w:tcPr>
          <w:p>
            <w:pPr>
              <w:ind w:left="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5"/>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2021 and December 31,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5"/>
          </w:tcPr>
          <w:p>
            <w:pPr>
              <w:ind w:left="20"/>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for the three-month and nine-month periods ended September</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94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2021 and 2020</w:t>
              </w:r>
            </w:hyperlink>
          </w:p>
        </w:tc>
        <w:tc>
          <w:tcPr>
            <w:tcW w:w="42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06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nine-month periods ended</w:t>
              </w:r>
            </w:hyperlink>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5"/>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2021 and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5"/>
          </w:tcPr>
          <w:p>
            <w:pPr>
              <w:ind w:left="20"/>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Cash Flows for the nine-month periods ended September 30, 2021 and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2020</w:t>
              </w:r>
            </w:hyperlink>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5"/>
          </w:tcPr>
          <w:p>
            <w:pPr>
              <w:ind w:left="20"/>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Unaudited Condensed Consolidated Statements of Shareholders’ Equity for the three-month and nine-month periods ended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2021 and 2020</w:t>
              </w:r>
            </w:hyperlink>
          </w:p>
        </w:tc>
        <w:tc>
          <w:tcPr>
            <w:tcW w:w="5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60" w:type="dxa"/>
            <w:vAlign w:val="bottom"/>
            <w:gridSpan w:val="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5"/>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Controls and Procedures</w:t>
              </w:r>
            </w:hyperlink>
          </w:p>
        </w:tc>
        <w:tc>
          <w:tcPr>
            <w:tcW w:w="4680" w:type="dxa"/>
            <w:vAlign w:val="bottom"/>
            <w:tcBorders>
              <w:top w:val="single" w:sz="8" w:color="0000EE"/>
            </w:tcBorders>
            <w:gridSpan w:val="5"/>
          </w:tcPr>
          <w:p>
            <w:pPr>
              <w:spacing w:after="0"/>
              <w:rPr>
                <w:sz w:val="17"/>
                <w:szCs w:val="17"/>
                <w:color w:val="auto"/>
              </w:rPr>
            </w:pP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20" w:type="dxa"/>
            <w:vAlign w:val="bottom"/>
            <w:gridSpan w:val="3"/>
          </w:tcPr>
          <w:p>
            <w:pPr>
              <w:jc w:val="center"/>
              <w:ind w:right="1860"/>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238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5"/>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2760" w:type="dxa"/>
            <w:vAlign w:val="bottom"/>
            <w:tcBorders>
              <w:top w:val="single" w:sz="8" w:color="0000EE"/>
            </w:tcBorders>
            <w:gridSpan w:val="2"/>
          </w:tcPr>
          <w:p>
            <w:pPr>
              <w:spacing w:after="0"/>
              <w:rPr>
                <w:sz w:val="24"/>
                <w:szCs w:val="24"/>
                <w:color w:val="auto"/>
              </w:rPr>
            </w:pPr>
          </w:p>
        </w:tc>
        <w:tc>
          <w:tcPr>
            <w:tcW w:w="1860" w:type="dxa"/>
            <w:vAlign w:val="bottom"/>
          </w:tcPr>
          <w:p>
            <w:pPr>
              <w:spacing w:after="0"/>
              <w:rPr>
                <w:sz w:val="24"/>
                <w:szCs w:val="24"/>
                <w:color w:val="auto"/>
              </w:rPr>
            </w:pP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45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7"/>
                <w:szCs w:val="17"/>
                <w:color w:val="auto"/>
              </w:rPr>
            </w:pPr>
          </w:p>
        </w:tc>
        <w:tc>
          <w:tcPr>
            <w:tcW w:w="6280" w:type="dxa"/>
            <w:vAlign w:val="bottom"/>
            <w:gridSpan w:val="4"/>
          </w:tcPr>
          <w:p>
            <w:pPr>
              <w:spacing w:after="0"/>
              <w:rPr>
                <w:sz w:val="17"/>
                <w:szCs w:val="17"/>
                <w:color w:val="auto"/>
              </w:rPr>
            </w:pPr>
          </w:p>
        </w:tc>
        <w:tc>
          <w:tcPr>
            <w:tcW w:w="2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3260" w:type="dxa"/>
            <w:vAlign w:val="bottom"/>
            <w:gridSpan w:val="2"/>
          </w:tcPr>
          <w:p>
            <w:pPr>
              <w:spacing w:after="0"/>
              <w:rPr>
                <w:sz w:val="17"/>
                <w:szCs w:val="17"/>
                <w:color w:val="auto"/>
              </w:rPr>
            </w:pPr>
          </w:p>
        </w:tc>
        <w:tc>
          <w:tcPr>
            <w:tcW w:w="2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7620" w:type="dxa"/>
            <w:vAlign w:val="bottom"/>
            <w:gridSpan w:val="8"/>
          </w:tcPr>
          <w:p>
            <w:pPr>
              <w:ind w:left="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2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47</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620" w:type="dxa"/>
            <w:vAlign w:val="bottom"/>
            <w:gridSpan w:val="8"/>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2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48</w:t>
            </w:r>
          </w:p>
        </w:tc>
      </w:tr>
      <w:tr>
        <w:trPr>
          <w:trHeight w:val="777"/>
        </w:trPr>
        <w:tc>
          <w:tcPr>
            <w:tcW w:w="12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00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8"/>
                <w:szCs w:val="18"/>
                <w:color w:val="auto"/>
              </w:rPr>
              <w:t>2</w:t>
            </w:r>
          </w:p>
        </w:tc>
        <w:tc>
          <w:tcPr>
            <w:tcW w:w="1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28,799</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144,966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1,667,193</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282,640</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492,133</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(68,724)</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(80,790)</w:t>
            </w:r>
          </w:p>
        </w:tc>
        <w:tc>
          <w:tcPr>
            <w:tcW w:w="0" w:type="dxa"/>
            <w:vAlign w:val="bottom"/>
          </w:tcPr>
          <w:p>
            <w:pPr>
              <w:spacing w:after="0"/>
              <w:rPr>
                <w:sz w:val="1"/>
                <w:szCs w:val="1"/>
                <w:color w:val="auto"/>
              </w:rPr>
            </w:pPr>
          </w:p>
        </w:tc>
      </w:tr>
      <w:tr>
        <w:trPr>
          <w:trHeight w:val="210"/>
        </w:trPr>
        <w:tc>
          <w:tcPr>
            <w:tcW w:w="5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213,916</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411,343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Furniture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EEEEE"/>
        </w:rPr>
        <w:t>Total asset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25,366</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28,512</w:t>
            </w: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2,930</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22,308</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32,317</w:t>
            </w:r>
          </w:p>
        </w:tc>
      </w:tr>
      <w:tr>
        <w:trPr>
          <w:trHeight w:val="223"/>
        </w:trPr>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2,106,599</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2,145,895</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-736600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-462280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-179070</wp:posOffset>
            </wp:positionV>
            <wp:extent cx="71323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79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120" w:type="dxa"/>
            <w:vAlign w:val="bottom"/>
            <w:gridSpan w:val="2"/>
            <w:shd w:val="clear" w:color="auto" w:fill="EEEEEE"/>
          </w:tcPr>
          <w:p>
            <w:pPr>
              <w:jc w:val="right"/>
              <w:ind w:right="36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51,921</w:t>
            </w:r>
          </w:p>
        </w:tc>
        <w:tc>
          <w:tcPr>
            <w:tcW w:w="520" w:type="dxa"/>
            <w:vAlign w:val="bottom"/>
            <w:shd w:val="clear" w:color="auto" w:fill="EEEEEE"/>
          </w:tcPr>
          <w:p>
            <w:pPr>
              <w:jc w:val="right"/>
              <w:ind w:right="3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43,112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97,768</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64,589</w:t>
            </w:r>
          </w:p>
        </w:tc>
        <w:tc>
          <w:tcPr>
            <w:tcW w:w="5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25,426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1,703,465</w:t>
            </w: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1,803,673</w:t>
            </w:r>
          </w:p>
        </w:tc>
      </w:tr>
      <w:tr>
        <w:trPr>
          <w:trHeight w:val="229"/>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27,462</w:t>
            </w:r>
          </w:p>
        </w:tc>
        <w:tc>
          <w:tcPr>
            <w:tcW w:w="5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FFFFFF"/>
              </w:rPr>
              <w:t>Total liabilities</w:t>
            </w:r>
          </w:p>
        </w:tc>
        <w:tc>
          <w:tcPr>
            <w:tcW w:w="1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1,945,205</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2,012,533</w:t>
            </w:r>
          </w:p>
        </w:tc>
        <w:tc>
          <w:tcPr>
            <w:tcW w:w="100" w:type="dxa"/>
            <w:vAlign w:val="bottom"/>
          </w:tcPr>
          <w:p>
            <w:pPr>
              <w:spacing w:after="0"/>
              <w:rPr>
                <w:sz w:val="18"/>
                <w:szCs w:val="18"/>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Preferred stock, $1 par value;</w:t>
            </w:r>
          </w:p>
        </w:tc>
        <w:tc>
          <w:tcPr>
            <w:tcW w:w="16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5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authorized 4,998,130 shares; none issued</w:t>
            </w:r>
          </w:p>
        </w:tc>
        <w:tc>
          <w:tcPr>
            <w:tcW w:w="16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color w:val="auto"/>
              </w:rPr>
              <w:t>Series A preferred stock, $1 par value;</w:t>
            </w: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authorized 5,000,000 shares; none issued</w:t>
            </w: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Series B preferred stock, $1 par value;</w:t>
            </w:r>
          </w:p>
        </w:tc>
        <w:tc>
          <w:tcPr>
            <w:tcW w:w="16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5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authorized 1,870 shares; none issued</w:t>
            </w:r>
          </w:p>
        </w:tc>
        <w:tc>
          <w:tcPr>
            <w:tcW w:w="16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color w:val="auto"/>
              </w:rPr>
              <w:t>Common stock, no par value;</w:t>
            </w: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authorized 75,000,000 shares; 23,000,200 and 22,737,342</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shares issued and outstanding at September 30, 2021 and</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72,399</w:t>
            </w:r>
          </w:p>
        </w:tc>
        <w:tc>
          <w:tcPr>
            <w:tcW w:w="5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72,926</w:t>
            </w: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6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97,566</w:t>
            </w:r>
          </w:p>
        </w:tc>
        <w:tc>
          <w:tcPr>
            <w:tcW w:w="5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69,007</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(8,571)</w:t>
            </w:r>
          </w:p>
        </w:tc>
        <w:tc>
          <w:tcPr>
            <w:tcW w:w="5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(8,571)</w:t>
            </w:r>
          </w:p>
        </w:tc>
      </w:tr>
      <w:tr>
        <w:trPr>
          <w:trHeight w:val="209"/>
        </w:trPr>
        <w:tc>
          <w:tcPr>
            <w:tcW w:w="59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EEEEEE"/>
              </w:rPr>
              <w:t>Total stockholders’ equity</w:t>
            </w:r>
          </w:p>
        </w:tc>
        <w:tc>
          <w:tcPr>
            <w:tcW w:w="160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161,394</w:t>
            </w:r>
          </w:p>
        </w:tc>
        <w:tc>
          <w:tcPr>
            <w:tcW w:w="2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133,362</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960" w:type="dxa"/>
            <w:vAlign w:val="bottom"/>
            <w:tcBorders>
              <w:bottom w:val="single" w:sz="8" w:color="EEEEEE"/>
            </w:tcBorders>
          </w:tcPr>
          <w:p>
            <w:pPr>
              <w:spacing w:after="0"/>
              <w:rPr>
                <w:sz w:val="19"/>
                <w:szCs w:val="19"/>
                <w:color w:val="auto"/>
              </w:rPr>
            </w:pPr>
          </w:p>
        </w:tc>
        <w:tc>
          <w:tcPr>
            <w:tcW w:w="1600" w:type="dxa"/>
            <w:vAlign w:val="bottom"/>
            <w:tcBorders>
              <w:bottom w:val="single" w:sz="8" w:color="EEEEEE"/>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5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EEEEEE"/>
              </w:rPr>
              <w:t>Total liability and stockholder’ equity</w:t>
            </w:r>
          </w:p>
        </w:tc>
        <w:tc>
          <w:tcPr>
            <w:tcW w:w="160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2,106,599</w:t>
            </w:r>
          </w:p>
        </w:tc>
        <w:tc>
          <w:tcPr>
            <w:tcW w:w="22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2,145,895</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660" w:type="dxa"/>
            <w:vAlign w:val="bottom"/>
            <w:gridSpan w:val="5"/>
          </w:tcPr>
          <w:p>
            <w:pPr>
              <w:jc w:val="right"/>
              <w:ind w:right="167"/>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8"/>
                <w:szCs w:val="18"/>
                <w:b w:val="1"/>
                <w:bCs w:val="1"/>
                <w:color w:val="auto"/>
                <w:w w:val="94"/>
              </w:rPr>
              <w:t>September 30,</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0"/>
              </w:rPr>
              <w:t>67,018</w:t>
            </w:r>
          </w:p>
        </w:tc>
        <w:tc>
          <w:tcPr>
            <w:tcW w:w="1040" w:type="dxa"/>
            <w:vAlign w:val="bottom"/>
            <w:gridSpan w:val="2"/>
            <w:shd w:val="clear" w:color="auto" w:fill="EEEEEE"/>
          </w:tcPr>
          <w:p>
            <w:pPr>
              <w:jc w:val="right"/>
              <w:ind w:right="78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4"/>
              </w:rPr>
              <w:t>72,582</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198,551</w:t>
            </w:r>
          </w:p>
        </w:tc>
        <w:tc>
          <w:tcPr>
            <w:tcW w:w="580" w:type="dxa"/>
            <w:vAlign w:val="bottom"/>
            <w:gridSpan w:val="2"/>
            <w:shd w:val="clear" w:color="auto" w:fill="EEEEEE"/>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227,271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Mark to finance receivables measured at fair value</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(3,152)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2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9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1,239</w:t>
            </w: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4,312</w:t>
            </w:r>
          </w:p>
        </w:tc>
        <w:tc>
          <w:tcPr>
            <w:tcW w:w="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EEEEEE"/>
            </w:tcBorders>
          </w:tcPr>
          <w:p>
            <w:pPr>
              <w:spacing w:after="0"/>
              <w:rPr>
                <w:sz w:val="20"/>
                <w:szCs w:val="20"/>
                <w:color w:val="auto"/>
              </w:rPr>
            </w:pPr>
            <w:r>
              <w:rPr>
                <w:rFonts w:ascii="Arial" w:cs="Arial" w:eastAsia="Arial" w:hAnsi="Arial"/>
                <w:sz w:val="18"/>
                <w:szCs w:val="18"/>
                <w:color w:val="FFFFFF"/>
              </w:rPr>
              <w:t>Total revenues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68,565</w:t>
            </w: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70,669</w:t>
            </w:r>
          </w:p>
        </w:tc>
        <w:tc>
          <w:tcPr>
            <w:tcW w:w="2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198,446</w:t>
            </w:r>
          </w:p>
        </w:tc>
        <w:tc>
          <w:tcPr>
            <w:tcW w:w="1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208,728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9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0"/>
              </w:rPr>
              <w:t>18,170</w:t>
            </w: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4"/>
              </w:rPr>
              <w:t>19,155</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57,777</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7,846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23,034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24,352</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9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0"/>
              </w:rPr>
              <w:t>18,334</w:t>
            </w: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4"/>
              </w:rPr>
              <w:t>24,901</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58,260</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78,377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(1,590)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7,400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9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4,288</w:t>
            </w: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3,202</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12,475</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Occupancy</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1,838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0"/>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438</w:t>
            </w: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EEEEEE"/>
            </w:tcBorders>
          </w:tcPr>
          <w:p>
            <w:pPr>
              <w:spacing w:after="0"/>
              <w:rPr>
                <w:sz w:val="20"/>
                <w:szCs w:val="20"/>
                <w:color w:val="auto"/>
              </w:rPr>
            </w:pPr>
            <w:r>
              <w:rPr>
                <w:rFonts w:ascii="Arial" w:cs="Arial" w:eastAsia="Arial" w:hAnsi="Arial"/>
                <w:sz w:val="18"/>
                <w:szCs w:val="18"/>
                <w:color w:val="FFFFFF"/>
              </w:rPr>
              <w:t>Total operating expenses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49,018</w:t>
            </w: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64,780</w:t>
            </w:r>
          </w:p>
        </w:tc>
        <w:tc>
          <w:tcPr>
            <w:tcW w:w="2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157,080</w:t>
            </w:r>
          </w:p>
        </w:tc>
        <w:tc>
          <w:tcPr>
            <w:tcW w:w="1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195,084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 (benefit)</w:t>
            </w:r>
          </w:p>
        </w:tc>
        <w:tc>
          <w:tcPr>
            <w:tcW w:w="9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19,547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5,889</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41,366</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2,121</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12,807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13,683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28,559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9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10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9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23,011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22,666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22,866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22,630</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0"/>
              </w:rPr>
              <w:t>26,218</w:t>
            </w: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4"/>
              </w:rPr>
              <w:t>23,908</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25,439</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20" w:type="dxa"/>
            <w:vAlign w:val="bottom"/>
            <w:gridSpan w:val="5"/>
          </w:tcPr>
          <w:p>
            <w:pPr>
              <w:jc w:val="right"/>
              <w:ind w:right="227"/>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7"/>
          </w:tcPr>
          <w:p>
            <w:pPr>
              <w:ind w:left="4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07"/>
              <w:spacing w:after="0"/>
              <w:rPr>
                <w:sz w:val="20"/>
                <w:szCs w:val="20"/>
                <w:color w:val="auto"/>
              </w:rPr>
            </w:pPr>
            <w:r>
              <w:rPr>
                <w:rFonts w:ascii="Arial" w:cs="Arial" w:eastAsia="Arial" w:hAnsi="Arial"/>
                <w:sz w:val="18"/>
                <w:szCs w:val="18"/>
                <w:b w:val="1"/>
                <w:bCs w:val="1"/>
                <w:color w:val="auto"/>
                <w:w w:val="94"/>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6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0"/>
              </w:rPr>
              <w:t>13,683</w:t>
            </w:r>
          </w:p>
        </w:tc>
        <w:tc>
          <w:tcPr>
            <w:tcW w:w="1120" w:type="dxa"/>
            <w:vAlign w:val="bottom"/>
            <w:gridSpan w:val="2"/>
            <w:shd w:val="clear" w:color="auto" w:fill="EEEEEE"/>
          </w:tcPr>
          <w:p>
            <w:pPr>
              <w:jc w:val="right"/>
              <w:ind w:right="84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3,768</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28,559</w:t>
            </w:r>
          </w:p>
        </w:tc>
        <w:tc>
          <w:tcPr>
            <w:tcW w:w="500" w:type="dxa"/>
            <w:vAlign w:val="bottom"/>
            <w:gridSpan w:val="2"/>
            <w:shd w:val="clear" w:color="auto" w:fill="EEEEEE"/>
          </w:tcPr>
          <w:p>
            <w:pPr>
              <w:jc w:val="right"/>
              <w:ind w:right="32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17,532</w:t>
            </w:r>
          </w:p>
        </w:tc>
        <w:tc>
          <w:tcPr>
            <w:tcW w:w="8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Other comprehensive income/(loss); change in funded status</w:t>
            </w:r>
          </w:p>
        </w:tc>
        <w:tc>
          <w:tcPr>
            <w:tcW w:w="9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4"/>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pension plan</w:t>
            </w:r>
          </w:p>
        </w:tc>
        <w:tc>
          <w:tcPr>
            <w:tcW w:w="96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480" w:type="dxa"/>
            <w:vAlign w:val="bottom"/>
            <w:shd w:val="clear" w:color="auto" w:fill="EEEEEE"/>
          </w:tcPr>
          <w:p>
            <w:pPr>
              <w:spacing w:after="0"/>
              <w:rPr>
                <w:sz w:val="21"/>
                <w:szCs w:val="21"/>
                <w:color w:val="auto"/>
              </w:rPr>
            </w:pPr>
          </w:p>
        </w:tc>
        <w:tc>
          <w:tcPr>
            <w:tcW w:w="10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28,559</w:t>
            </w:r>
          </w:p>
        </w:tc>
        <w:tc>
          <w:tcPr>
            <w:tcW w:w="660" w:type="dxa"/>
            <w:vAlign w:val="bottom"/>
            <w:shd w:val="clear" w:color="auto" w:fill="EEEEEE"/>
          </w:tcPr>
          <w:p>
            <w:pPr>
              <w:jc w:val="right"/>
              <w:ind w:right="5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651</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100,676</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98,060</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1,254</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5,360</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4,417</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(1,590)</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1,265</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Purchases of finance receivables held-for-sale</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(23,700)</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Sale of finance receivables held-for-sale</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23,513</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Accrued interest receivable</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2,087</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3,146</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8,629</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9"/>
        </w:trPr>
        <w:tc>
          <w:tcPr>
            <w:tcW w:w="67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8,809</w:t>
            </w:r>
          </w:p>
        </w:tc>
        <w:tc>
          <w:tcPr>
            <w:tcW w:w="66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9"/>
        </w:trPr>
        <w:tc>
          <w:tcPr>
            <w:tcW w:w="678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163,076</w:t>
            </w:r>
          </w:p>
        </w:tc>
        <w:tc>
          <w:tcPr>
            <w:tcW w:w="22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190,566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198,366</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260,804</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(795,457)</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(572,938)</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546,897</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354,910</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1,567</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(1,547)</w:t>
            </w:r>
          </w:p>
        </w:tc>
        <w:tc>
          <w:tcPr>
            <w:tcW w:w="6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0"/>
        </w:trPr>
        <w:tc>
          <w:tcPr>
            <w:tcW w:w="678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(50,174</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45,391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761,545</w:t>
            </w:r>
          </w:p>
        </w:tc>
        <w:tc>
          <w:tcPr>
            <w:tcW w:w="6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714,543</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7,416</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(1,277)</w:t>
            </w:r>
          </w:p>
        </w:tc>
        <w:tc>
          <w:tcPr>
            <w:tcW w:w="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Repayments of warehouse lines of credit</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(22,089)</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(104,685)</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Proceeds from (repayment of) residual interest financing debt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39,705</w:t>
            </w:r>
          </w:p>
        </w:tc>
        <w:tc>
          <w:tcPr>
            <w:tcW w:w="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(861,045)</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(764,075)</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color w:val="auto"/>
              </w:rPr>
              <w:t>(5,752)</w:t>
            </w:r>
          </w:p>
        </w:tc>
        <w:tc>
          <w:tcPr>
            <w:tcW w:w="6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(3,959)</w:t>
            </w:r>
          </w:p>
        </w:tc>
        <w:tc>
          <w:tcPr>
            <w:tcW w:w="6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9"/>
        </w:trPr>
        <w:tc>
          <w:tcPr>
            <w:tcW w:w="678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2,167</w:t>
            </w:r>
          </w:p>
        </w:tc>
        <w:tc>
          <w:tcPr>
            <w:tcW w:w="66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0"/>
        </w:trPr>
        <w:tc>
          <w:tcPr>
            <w:tcW w:w="678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used in financing activities</w:t>
            </w:r>
          </w:p>
        </w:tc>
        <w:tc>
          <w:tcPr>
            <w:tcW w:w="7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(83,289</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(164,624</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29,613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Cash and restricted cash at beginning of period</w:t>
            </w:r>
          </w:p>
        </w:tc>
        <w:tc>
          <w:tcPr>
            <w:tcW w:w="7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144,152</w:t>
            </w:r>
          </w:p>
        </w:tc>
        <w:tc>
          <w:tcPr>
            <w:tcW w:w="6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140,832</w:t>
            </w:r>
          </w:p>
        </w:tc>
        <w:tc>
          <w:tcPr>
            <w:tcW w:w="0" w:type="dxa"/>
            <w:vAlign w:val="bottom"/>
          </w:tcPr>
          <w:p>
            <w:pPr>
              <w:spacing w:after="0"/>
              <w:rPr>
                <w:sz w:val="1"/>
                <w:szCs w:val="1"/>
                <w:color w:val="auto"/>
              </w:rPr>
            </w:pPr>
          </w:p>
        </w:tc>
      </w:tr>
      <w:tr>
        <w:trPr>
          <w:trHeight w:val="263"/>
        </w:trPr>
        <w:tc>
          <w:tcPr>
            <w:tcW w:w="67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restricted cash at end of period</w:t>
            </w:r>
          </w:p>
        </w:tc>
        <w:tc>
          <w:tcPr>
            <w:tcW w:w="78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173,765</w:t>
            </w:r>
          </w:p>
        </w:tc>
        <w:tc>
          <w:tcPr>
            <w:tcW w:w="220" w:type="dxa"/>
            <w:vAlign w:val="bottom"/>
            <w:tcBorders>
              <w:bottom w:val="single" w:sz="8" w:color="EEEEEE"/>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212,165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1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53,931</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72,565</w:t>
            </w: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w:t>
            </w:r>
          </w:p>
        </w:tc>
        <w:tc>
          <w:tcPr>
            <w:tcW w:w="11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8,997</w:t>
            </w:r>
          </w:p>
        </w:tc>
        <w:tc>
          <w:tcPr>
            <w:tcW w:w="660" w:type="dxa"/>
            <w:vAlign w:val="bottom"/>
            <w:shd w:val="clear" w:color="auto" w:fill="EEEEEE"/>
          </w:tcPr>
          <w:p>
            <w:pPr>
              <w:jc w:val="right"/>
              <w:ind w:right="5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781"/>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6"/>
          </w:tcPr>
          <w:p>
            <w:pPr>
              <w:jc w:val="right"/>
              <w:ind w:right="70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Common Stock (Shares Outstanding)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23,055</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22,715</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22,737</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22,531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(792)</w:t>
            </w: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22,509</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73,204</w:t>
            </w:r>
          </w:p>
        </w:tc>
        <w:tc>
          <w:tcPr>
            <w:tcW w:w="54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72,402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72,926</w:t>
            </w:r>
          </w:p>
        </w:tc>
        <w:tc>
          <w:tcPr>
            <w:tcW w:w="54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71,257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(3,959)</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0"/>
        </w:trPr>
        <w:tc>
          <w:tcPr>
            <w:tcW w:w="5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72,399</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72,197</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72,399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72,197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83,884</w:t>
            </w:r>
          </w:p>
        </w:tc>
        <w:tc>
          <w:tcPr>
            <w:tcW w:w="5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61,100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69,007</w:t>
            </w:r>
          </w:p>
        </w:tc>
        <w:tc>
          <w:tcPr>
            <w:tcW w:w="5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139,805</w:t>
            </w:r>
          </w:p>
        </w:tc>
        <w:tc>
          <w:tcPr>
            <w:tcW w:w="0" w:type="dxa"/>
            <w:vAlign w:val="bottom"/>
          </w:tcPr>
          <w:p>
            <w:pPr>
              <w:spacing w:after="0"/>
              <w:rPr>
                <w:sz w:val="1"/>
                <w:szCs w:val="1"/>
                <w:color w:val="auto"/>
              </w:rPr>
            </w:pP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Cumulative change in accounting principle (Note 2)</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(92,469)</w:t>
            </w:r>
          </w:p>
        </w:tc>
        <w:tc>
          <w:tcPr>
            <w:tcW w:w="0" w:type="dxa"/>
            <w:vAlign w:val="bottom"/>
          </w:tcPr>
          <w:p>
            <w:pPr>
              <w:spacing w:after="0"/>
              <w:rPr>
                <w:sz w:val="1"/>
                <w:szCs w:val="1"/>
                <w:color w:val="auto"/>
              </w:rPr>
            </w:pP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w w:val="95"/>
              </w:rPr>
              <w:t>Balance, beginning of period (as adjusted for change in accounting</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83,884</w:t>
            </w:r>
          </w:p>
        </w:tc>
        <w:tc>
          <w:tcPr>
            <w:tcW w:w="5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61,100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69,007</w:t>
            </w:r>
          </w:p>
        </w:tc>
        <w:tc>
          <w:tcPr>
            <w:tcW w:w="5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47,336</w:t>
            </w: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13,683</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3,768</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28,559</w:t>
            </w: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97,566</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64,868</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97,566</w:t>
            </w: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64,868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(8,571)</w:t>
            </w:r>
          </w:p>
        </w:tc>
        <w:tc>
          <w:tcPr>
            <w:tcW w:w="54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(8,421)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(8,571)</w:t>
            </w:r>
          </w:p>
        </w:tc>
        <w:tc>
          <w:tcPr>
            <w:tcW w:w="54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(8,571</w:t>
            </w:r>
          </w:p>
        </w:tc>
        <w:tc>
          <w:tcPr>
            <w:tcW w:w="160" w:type="dxa"/>
            <w:vAlign w:val="bottom"/>
            <w:tcBorders>
              <w:top w:val="single" w:sz="8" w:color="EEEEEE"/>
            </w:tcBorders>
            <w:shd w:val="clear" w:color="auto" w:fill="EEEEEE"/>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(8,571</w:t>
            </w:r>
          </w:p>
        </w:tc>
        <w:tc>
          <w:tcPr>
            <w:tcW w:w="140" w:type="dxa"/>
            <w:vAlign w:val="bottom"/>
            <w:tcBorders>
              <w:top w:val="single" w:sz="8" w:color="EEEEEE"/>
            </w:tcBorders>
            <w:shd w:val="clear" w:color="auto" w:fill="EEEEEE"/>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Shareholders' Equity</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161,394</w:t>
            </w:r>
          </w:p>
        </w:tc>
        <w:tc>
          <w:tcPr>
            <w:tcW w:w="16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128,644</w:t>
            </w:r>
          </w:p>
        </w:tc>
        <w:tc>
          <w:tcPr>
            <w:tcW w:w="2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161,394</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128,644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5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2021 are not necessarily indicative of the operating results to be expected for the full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re-evaluate the fair value of such receivables at the close of each measurement period. If the reevaluation were to yield a value materially different from the recorded value, an adjustment would be required. There are no adjustments to the carrying value of the portion of the receivables portfolio accounted for at fair value in the third quarter of 2021. Results for the third quarter of 2020 include a $3.2 million mark down. Mark downs of $4.4 million and $23.1 million were included in the results for the nine months ending September 30, 2021 and 2020, respectively. The mark down is an estimate based on our evaluation of the appropriate fair value and future earnings rate of existing receivables compared to recently acquired receivables and our assessment of potential additional future net losses. Mark downs are reflected as a reduction in revenue.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primary components of Other Income for the three-month and nine-month periods ending September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1"/>
              </w:rPr>
              <w:t>Nine Months Ended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87"/>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69"/>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ind w:right="367"/>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4"/>
          </w:tcPr>
          <w:p>
            <w:pPr>
              <w:jc w:val="center"/>
              <w:ind w:right="369"/>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779</w:t>
            </w:r>
          </w:p>
        </w:tc>
        <w:tc>
          <w:tcPr>
            <w:tcW w:w="1020" w:type="dxa"/>
            <w:vAlign w:val="bottom"/>
            <w:gridSpan w:val="2"/>
            <w:shd w:val="clear" w:color="auto" w:fill="EEEEEE"/>
          </w:tcPr>
          <w:p>
            <w:pPr>
              <w:jc w:val="right"/>
              <w:ind w:right="72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760</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7"/>
              </w:rPr>
              <w:t>2,648</w:t>
            </w:r>
          </w:p>
        </w:tc>
        <w:tc>
          <w:tcPr>
            <w:tcW w:w="880" w:type="dxa"/>
            <w:vAlign w:val="bottom"/>
            <w:gridSpan w:val="2"/>
            <w:shd w:val="clear" w:color="auto" w:fill="EEEEEE"/>
          </w:tcPr>
          <w:p>
            <w:pPr>
              <w:jc w:val="right"/>
              <w:ind w:right="74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2,444</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1,340</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w:t>
            </w:r>
          </w:p>
        </w:tc>
        <w:tc>
          <w:tcPr>
            <w:tcW w:w="8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78</w:t>
            </w:r>
          </w:p>
        </w:tc>
        <w:tc>
          <w:tcPr>
            <w:tcW w:w="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Sales tax refunds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601</w:t>
            </w: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w:t>
            </w:r>
          </w:p>
        </w:tc>
        <w:tc>
          <w:tcPr>
            <w:tcW w:w="8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623</w:t>
            </w:r>
          </w:p>
        </w:tc>
        <w:tc>
          <w:tcPr>
            <w:tcW w:w="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EEEEEE"/>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7"/>
              </w:rPr>
              <w:t>The following table presents the supplemental balance sheet information related to leases: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25,820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29"/>
        </w:trPr>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(16,238)</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63"/>
        </w:trPr>
        <w:tc>
          <w:tcPr>
            <w:tcW w:w="70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5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9,582</w:t>
            </w: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(10,471)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(12,096)</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720" w:type="dxa"/>
            <w:vAlign w:val="bottom"/>
            <w:gridSpan w:val="2"/>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3,407</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(2,069)</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7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720" w:type="dxa"/>
            <w:vAlign w:val="bottom"/>
            <w:gridSpan w:val="2"/>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lease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61"/>
        </w:trPr>
        <w:tc>
          <w:tcPr>
            <w:tcW w:w="702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25"/>
        </w:trPr>
        <w:tc>
          <w:tcPr>
            <w:tcW w:w="7020" w:type="dxa"/>
            <w:vAlign w:val="bottom"/>
          </w:tcPr>
          <w:p>
            <w:pPr>
              <w:spacing w:after="0"/>
              <w:rPr>
                <w:sz w:val="20"/>
                <w:szCs w:val="20"/>
                <w:color w:val="auto"/>
              </w:rPr>
            </w:pPr>
            <w:r>
              <w:rPr>
                <w:rFonts w:ascii="Arial" w:cs="Arial" w:eastAsia="Arial" w:hAnsi="Arial"/>
                <w:sz w:val="18"/>
                <w:szCs w:val="18"/>
                <w:color w:val="auto"/>
              </w:rPr>
              <w:t>(In thousands)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09"/>
        </w:trPr>
        <w:tc>
          <w:tcPr>
            <w:tcW w:w="7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2021 (excluding the nine months ended September 30, 2021)</w:t>
            </w:r>
          </w:p>
        </w:tc>
        <w:tc>
          <w:tcPr>
            <w:tcW w:w="5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6,433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2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1,661</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5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13,508</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5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10,471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554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02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1"/>
              </w:rPr>
              <w:t>Nine Months Ended</w:t>
            </w:r>
          </w:p>
        </w:tc>
        <w:tc>
          <w:tcPr>
            <w:tcW w:w="460" w:type="dxa"/>
            <w:vAlign w:val="bottom"/>
          </w:tcPr>
          <w:p>
            <w:pPr>
              <w:spacing w:after="0"/>
              <w:rPr>
                <w:sz w:val="19"/>
                <w:szCs w:val="19"/>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87"/>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69"/>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r>
      <w:tr>
        <w:trPr>
          <w:trHeight w:val="195"/>
        </w:trPr>
        <w:tc>
          <w:tcPr>
            <w:tcW w:w="900" w:type="dxa"/>
            <w:vAlign w:val="bottom"/>
          </w:tcPr>
          <w:p>
            <w:pPr>
              <w:spacing w:after="0"/>
              <w:rPr>
                <w:sz w:val="16"/>
                <w:szCs w:val="16"/>
                <w:color w:val="auto"/>
              </w:rPr>
            </w:pPr>
          </w:p>
        </w:tc>
        <w:tc>
          <w:tcPr>
            <w:tcW w:w="1600" w:type="dxa"/>
            <w:vAlign w:val="bottom"/>
            <w:gridSpan w:val="4"/>
          </w:tcPr>
          <w:p>
            <w:pPr>
              <w:jc w:val="center"/>
              <w:ind w:right="367"/>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4"/>
          </w:tcPr>
          <w:p>
            <w:pPr>
              <w:jc w:val="center"/>
              <w:ind w:right="369"/>
              <w:spacing w:after="0" w:line="195" w:lineRule="exact"/>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6"/>
                <w:szCs w:val="16"/>
                <w:color w:val="auto"/>
              </w:rPr>
            </w:pPr>
          </w:p>
        </w:tc>
      </w:tr>
      <w:tr>
        <w:trPr>
          <w:trHeight w:val="229"/>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1,768</w:t>
            </w:r>
          </w:p>
        </w:tc>
        <w:tc>
          <w:tcPr>
            <w:tcW w:w="10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1,885</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5,398</w:t>
            </w:r>
          </w:p>
        </w:tc>
        <w:tc>
          <w:tcPr>
            <w:tcW w:w="880" w:type="dxa"/>
            <w:vAlign w:val="bottom"/>
            <w:gridSpan w:val="2"/>
          </w:tcPr>
          <w:p>
            <w:pPr>
              <w:jc w:val="right"/>
              <w:ind w:right="749"/>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5,654</w:t>
            </w:r>
          </w:p>
        </w:tc>
      </w:tr>
      <w:tr>
        <w:trPr>
          <w:trHeight w:val="230"/>
        </w:trPr>
        <w:tc>
          <w:tcPr>
            <w:tcW w:w="9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8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23"/>
        </w:trPr>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2,184</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6,525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-462280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-179705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w w:val="97"/>
              </w:rPr>
              <w:t>Cash paid for amounts included in the measurement of lease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0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0"/>
                <w:szCs w:val="20"/>
                <w:color w:val="auto"/>
              </w:rPr>
            </w:pPr>
          </w:p>
        </w:tc>
        <w:tc>
          <w:tcPr>
            <w:tcW w:w="16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97"/>
              </w:rPr>
              <w:t>1,840</w:t>
            </w:r>
          </w:p>
        </w:tc>
        <w:tc>
          <w:tcPr>
            <w:tcW w:w="102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3"/>
              </w:rPr>
              <w:t>1,945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5,662</w:t>
            </w:r>
          </w:p>
        </w:tc>
        <w:tc>
          <w:tcPr>
            <w:tcW w:w="5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9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0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90</w:t>
            </w:r>
          </w:p>
        </w:tc>
        <w:tc>
          <w:tcPr>
            <w:tcW w:w="5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2021, we recorded stock-based compensation costs in the amount of $530,000 and $1.3 million, respectively. These stock-based compensation costs were $539,000 and $1.4 million for the three and nine months ended September 30, 2020. As of September 30, 2021, unrecognized stock-based compensation costs to be recognized over future periods equaled $5.6 million. This amount will be recognized as expense over a weighted-average period of 2.5 years.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rPr>
              <w:t>The following represents stock option activity for the nine months ended September 30, 2021:</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15,977</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EEEEE"/>
          </w:tcPr>
          <w:p>
            <w:pPr>
              <w:ind w:left="1100"/>
              <w:spacing w:after="0"/>
              <w:rPr>
                <w:sz w:val="20"/>
                <w:szCs w:val="20"/>
                <w:color w:val="auto"/>
              </w:rPr>
            </w:pPr>
            <w:r>
              <w:rPr>
                <w:rFonts w:ascii="Arial" w:cs="Arial" w:eastAsia="Arial" w:hAnsi="Arial"/>
                <w:sz w:val="18"/>
                <w:szCs w:val="18"/>
                <w:color w:val="auto"/>
                <w:w w:val="79"/>
              </w:rPr>
              <w:t>4.46</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w w:val="85"/>
              </w:rPr>
              <w:t>4.95</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(1,055)</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ind w:left="1100"/>
              <w:spacing w:after="0"/>
              <w:rPr>
                <w:sz w:val="20"/>
                <w:szCs w:val="20"/>
                <w:color w:val="auto"/>
              </w:rPr>
            </w:pPr>
            <w:r>
              <w:rPr>
                <w:rFonts w:ascii="Arial" w:cs="Arial" w:eastAsia="Arial" w:hAnsi="Arial"/>
                <w:sz w:val="18"/>
                <w:szCs w:val="18"/>
                <w:color w:val="auto"/>
                <w:w w:val="85"/>
              </w:rPr>
              <w:t>2.06</w:t>
            </w:r>
          </w:p>
        </w:tc>
        <w:tc>
          <w:tcPr>
            <w:tcW w:w="200" w:type="dxa"/>
            <w:vAlign w:val="bottom"/>
            <w:shd w:val="clear" w:color="auto" w:fill="EEEEEE"/>
          </w:tcPr>
          <w:p>
            <w:pPr>
              <w:spacing w:after="0"/>
              <w:rPr>
                <w:sz w:val="18"/>
                <w:szCs w:val="18"/>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(2,071)</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w w:val="85"/>
              </w:rPr>
              <w:t>6.31</w:t>
            </w:r>
          </w:p>
        </w:tc>
        <w:tc>
          <w:tcPr>
            <w:tcW w:w="2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14,311</w:t>
            </w:r>
          </w:p>
        </w:tc>
        <w:tc>
          <w:tcPr>
            <w:tcW w:w="220" w:type="dxa"/>
            <w:vAlign w:val="bottom"/>
            <w:tcBorders>
              <w:top w:val="single" w:sz="8" w:color="EEEEEE"/>
            </w:tcBorders>
            <w:shd w:val="clear" w:color="auto" w:fill="EEEEEE"/>
          </w:tcPr>
          <w:p>
            <w:pPr>
              <w:spacing w:after="0"/>
              <w:rPr>
                <w:sz w:val="19"/>
                <w:szCs w:val="19"/>
                <w:color w:val="auto"/>
              </w:rPr>
            </w:pPr>
          </w:p>
        </w:tc>
        <w:tc>
          <w:tcPr>
            <w:tcW w:w="16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EEEEEE"/>
            </w:tcBorders>
            <w:gridSpan w:val="2"/>
            <w:shd w:val="clear" w:color="auto" w:fill="EEEEEE"/>
          </w:tcPr>
          <w:p>
            <w:pPr>
              <w:ind w:left="1100"/>
              <w:spacing w:after="0"/>
              <w:rPr>
                <w:sz w:val="20"/>
                <w:szCs w:val="20"/>
                <w:color w:val="auto"/>
              </w:rPr>
            </w:pPr>
            <w:r>
              <w:rPr>
                <w:rFonts w:ascii="Arial" w:cs="Arial" w:eastAsia="Arial" w:hAnsi="Arial"/>
                <w:sz w:val="18"/>
                <w:szCs w:val="18"/>
                <w:color w:val="auto"/>
                <w:w w:val="85"/>
              </w:rPr>
              <w:t>4.42</w:t>
            </w:r>
          </w:p>
        </w:tc>
        <w:tc>
          <w:tcPr>
            <w:tcW w:w="200" w:type="dxa"/>
            <w:vAlign w:val="bottom"/>
            <w:tcBorders>
              <w:top w:val="single" w:sz="8" w:color="EEEEEE"/>
            </w:tcBorders>
            <w:shd w:val="clear" w:color="auto" w:fill="EEEEEE"/>
          </w:tcPr>
          <w:p>
            <w:pPr>
              <w:spacing w:after="0"/>
              <w:rPr>
                <w:sz w:val="19"/>
                <w:szCs w:val="19"/>
                <w:color w:val="auto"/>
              </w:rPr>
            </w:pPr>
          </w:p>
        </w:tc>
        <w:tc>
          <w:tcPr>
            <w:tcW w:w="168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2.89 years</w:t>
            </w:r>
          </w:p>
        </w:tc>
        <w:tc>
          <w:tcPr>
            <w:tcW w:w="0" w:type="dxa"/>
            <w:vAlign w:val="bottom"/>
          </w:tcPr>
          <w:p>
            <w:pPr>
              <w:spacing w:after="0"/>
              <w:rPr>
                <w:sz w:val="1"/>
                <w:szCs w:val="1"/>
                <w:color w:val="auto"/>
              </w:rPr>
            </w:pPr>
          </w:p>
        </w:tc>
      </w:tr>
      <w:tr>
        <w:trPr>
          <w:trHeight w:val="20"/>
        </w:trPr>
        <w:tc>
          <w:tcPr>
            <w:tcW w:w="59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Options exercisable at the end of period</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200" w:type="dxa"/>
            <w:vAlign w:val="bottom"/>
            <w:tcBorders>
              <w:top w:val="single" w:sz="8" w:color="EEEEEE"/>
              <w:bottom w:val="single" w:sz="8" w:color="EEEEEE"/>
            </w:tcBorders>
            <w:vMerge w:val="restart"/>
          </w:tcPr>
          <w:p>
            <w:pPr>
              <w:spacing w:after="0" w:line="20" w:lineRule="exact"/>
              <w:rPr>
                <w:sz w:val="1"/>
                <w:szCs w:val="1"/>
                <w:color w:val="auto"/>
              </w:rPr>
            </w:pPr>
          </w:p>
        </w:tc>
        <w:tc>
          <w:tcPr>
            <w:tcW w:w="1680" w:type="dxa"/>
            <w:vAlign w:val="bottom"/>
            <w:tcBorders>
              <w:top w:val="single" w:sz="8" w:color="EEEEEE"/>
              <w:bottom w:val="single" w:sz="8" w:color="EEEEEE"/>
            </w:tcBorders>
            <w:vMerge w:val="restart"/>
          </w:tcPr>
          <w:p>
            <w:pPr>
              <w:jc w:val="center"/>
              <w:spacing w:after="0"/>
              <w:rPr>
                <w:sz w:val="20"/>
                <w:szCs w:val="20"/>
                <w:color w:val="auto"/>
              </w:rPr>
            </w:pPr>
            <w:r>
              <w:rPr>
                <w:rFonts w:ascii="Arial" w:cs="Arial" w:eastAsia="Arial" w:hAnsi="Arial"/>
                <w:sz w:val="18"/>
                <w:szCs w:val="18"/>
                <w:color w:val="auto"/>
                <w:w w:val="87"/>
              </w:rPr>
              <w:t>1.97 years</w:t>
            </w: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10,916</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ind w:left="1100"/>
              <w:spacing w:after="0" w:line="196" w:lineRule="exact"/>
              <w:rPr>
                <w:sz w:val="20"/>
                <w:szCs w:val="20"/>
                <w:color w:val="auto"/>
              </w:rPr>
            </w:pPr>
            <w:r>
              <w:rPr>
                <w:rFonts w:ascii="Arial" w:cs="Arial" w:eastAsia="Arial" w:hAnsi="Arial"/>
                <w:sz w:val="18"/>
                <w:szCs w:val="18"/>
                <w:color w:val="auto"/>
                <w:w w:val="79"/>
              </w:rPr>
              <w:t>4.61</w:t>
            </w:r>
          </w:p>
        </w:tc>
        <w:tc>
          <w:tcPr>
            <w:tcW w:w="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price distribution of stock options outstanding and exercisable for the years ended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1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Number of shares as of</w:t>
            </w:r>
          </w:p>
        </w:tc>
        <w:tc>
          <w:tcPr>
            <w:tcW w:w="3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Number of shares as of</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31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 2021</w:t>
            </w:r>
          </w:p>
        </w:tc>
        <w:tc>
          <w:tcPr>
            <w:tcW w:w="30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62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Outstanding</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Exercisable</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2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$0.95 - $1.99</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1,257</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1,257</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1,904</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$2.00 - $2.99</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1,525</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1,570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$3.00 - $3.99</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4,479</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3,572</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4,973</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$4.00 - $4.99</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2,925</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1,465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$5.00 - $5.99</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$6.00 - $6.99</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2,935</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2,935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4,770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$7.00 - $7.99</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1,190</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1,190</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1,220</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shares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2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15,977</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2021 the aggregate intrinsic value of options outstanding and exercisable was $24.1 million and $17.4 million, respectively. There were 1,054,541 options exercised for the nine months ended September 30, 2021 compared to 269,100 for the comparable period in 2020. The total intrinsic value of options exercised was $1.1 million and $308,000 for the nine-month periods ended September 30, 2021 and 2020. There were 881,000 shares available for future stock option grants under existing plans as of September 30, 2021.</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describes the purchase of our common stock for the nine-month ended September 30, 2021 and 2020:</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Shares redeemed upon net exercise of stock options Other 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top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September 30, 2021</w:t>
            </w:r>
          </w:p>
        </w:tc>
        <w:tc>
          <w:tcPr>
            <w:tcW w:w="2900" w:type="dxa"/>
            <w:vAlign w:val="bottom"/>
            <w:tcBorders>
              <w:top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 2020</w:t>
            </w:r>
          </w:p>
        </w:tc>
        <w:tc>
          <w:tcPr>
            <w:tcW w:w="20" w:type="dxa"/>
            <w:vAlign w:val="bottom"/>
          </w:tcPr>
          <w:p>
            <w:pPr>
              <w:spacing w:after="0"/>
              <w:rPr>
                <w:sz w:val="19"/>
                <w:szCs w:val="19"/>
                <w:color w:val="auto"/>
              </w:rPr>
            </w:pPr>
          </w:p>
        </w:tc>
      </w:tr>
      <w:tr>
        <w:trPr>
          <w:trHeight w:val="223"/>
        </w:trPr>
        <w:tc>
          <w:tcPr>
            <w:tcW w:w="16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Avg. Price</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Avg. Price</w:t>
            </w:r>
          </w:p>
        </w:tc>
        <w:tc>
          <w:tcPr>
            <w:tcW w:w="20" w:type="dxa"/>
            <w:vAlign w:val="bottom"/>
          </w:tcPr>
          <w:p>
            <w:pPr>
              <w:spacing w:after="0"/>
              <w:rPr>
                <w:sz w:val="19"/>
                <w:szCs w:val="19"/>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734,700</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ind w:left="840"/>
              <w:spacing w:after="0" w:line="195" w:lineRule="exact"/>
              <w:rPr>
                <w:sz w:val="20"/>
                <w:szCs w:val="20"/>
                <w:color w:val="auto"/>
              </w:rPr>
            </w:pPr>
            <w:r>
              <w:rPr>
                <w:rFonts w:ascii="Arial" w:cs="Arial" w:eastAsia="Arial" w:hAnsi="Arial"/>
                <w:sz w:val="18"/>
                <w:szCs w:val="18"/>
                <w:color w:val="auto"/>
                <w:w w:val="79"/>
              </w:rPr>
              <w:t>5.03</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44,247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6"/>
                <w:szCs w:val="16"/>
                <w:color w:val="auto"/>
              </w:rPr>
            </w:pPr>
          </w:p>
        </w:tc>
      </w:tr>
      <w:tr>
        <w:trPr>
          <w:trHeight w:val="230"/>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56,983</w:t>
            </w:r>
          </w:p>
        </w:tc>
        <w:tc>
          <w:tcPr>
            <w:tcW w:w="180" w:type="dxa"/>
            <w:vAlign w:val="bottom"/>
          </w:tcPr>
          <w:p>
            <w:pPr>
              <w:spacing w:after="0"/>
              <w:rPr>
                <w:sz w:val="19"/>
                <w:szCs w:val="19"/>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4.47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46,909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r>
      <w:tr>
        <w:trPr>
          <w:trHeight w:val="230"/>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791,683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79"/>
              </w:rPr>
              <w:t>4.99</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-607695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-325120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2021,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significant changes in any of those inputs, which in turn may have a significant effect on our fair value measurement.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Finance Receivables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18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440" w:type="dxa"/>
            <w:vAlign w:val="bottom"/>
            <w:gridSpan w:val="2"/>
            <w:shd w:val="clear" w:color="auto" w:fill="EEEEEE"/>
          </w:tcPr>
          <w:p>
            <w:pPr>
              <w:jc w:val="right"/>
              <w:ind w:right="89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2"/>
              </w:rPr>
              <w:t>282,744</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491,307</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3"/>
        </w:trPr>
        <w:tc>
          <w:tcPr>
            <w:tcW w:w="7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9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2"/>
              </w:rPr>
              <w:t>282,640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492,133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2021 and December 31,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3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234,782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406,693</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4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33,929</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56,572</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4260" w:type="dxa"/>
            <w:vAlign w:val="bottom"/>
          </w:tcPr>
          <w:p>
            <w:pPr>
              <w:ind w:left="20"/>
              <w:spacing w:after="0"/>
              <w:rPr>
                <w:sz w:val="20"/>
                <w:szCs w:val="20"/>
                <w:color w:val="auto"/>
              </w:rPr>
            </w:pPr>
            <w:r>
              <w:rPr>
                <w:rFonts w:ascii="Arial" w:cs="Arial" w:eastAsia="Arial" w:hAnsi="Arial"/>
                <w:sz w:val="18"/>
                <w:szCs w:val="18"/>
                <w:color w:val="auto"/>
              </w:rPr>
              <w:t>- 90 days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11,734</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22,660</w:t>
            </w: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4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0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2,299</w:t>
            </w:r>
          </w:p>
        </w:tc>
        <w:tc>
          <w:tcPr>
            <w:tcW w:w="2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5,382</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282,744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receivables totaling $2.3 million and $5.4 million at September 30, 2021 and December 31, 2020, respectively, including all receivables greater than 90 days delinquent, have been placed on non-accrual status as a result of their delinquency status.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January 1, 2020, the Company adopted Accounting Standards Codification ("ASC") 326, which changes the criteria under which credit losses on financial instruments (such as the Company’s finance receivables) are measured. ASC 326 introduced a new credit reserving model known as the Current Expected Credit Loss (“CECL”) model, which replaces the incurred loss impairment methodology previously used under U.S. GAAP with a methodology that records currently the expected lifetime credit losses on financial instruments.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The offset to the addition to the allowance for finance credit losses was a tax affected reduction to retained earnings using the modified retrospective method.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amortized cost basis of our finance receivables by annual vintage as of September 30,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4780" w:type="dxa"/>
            <w:vAlign w:val="bottom"/>
            <w:gridSpan w:val="3"/>
            <w:vMerge w:val="restart"/>
          </w:tcPr>
          <w:p>
            <w:pPr>
              <w:jc w:val="right"/>
              <w:ind w:right="3187"/>
              <w:spacing w:after="0"/>
              <w:rPr>
                <w:sz w:val="20"/>
                <w:szCs w:val="20"/>
                <w:color w:val="auto"/>
              </w:rPr>
            </w:pPr>
            <w:r>
              <w:rPr>
                <w:rFonts w:ascii="Arial" w:cs="Arial" w:eastAsia="Arial" w:hAnsi="Arial"/>
                <w:sz w:val="18"/>
                <w:szCs w:val="18"/>
                <w:color w:val="auto"/>
                <w:w w:val="91"/>
              </w:rPr>
              <w:t>Annual Vintage Pool</w:t>
            </w:r>
          </w:p>
        </w:tc>
        <w:tc>
          <w:tcPr>
            <w:tcW w:w="3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478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4780" w:type="dxa"/>
            <w:vAlign w:val="bottom"/>
            <w:gridSpan w:val="3"/>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2013</w:t>
            </w: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9,382</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2015</w:t>
            </w: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38,397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78,457</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2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94,092</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163,677</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2017</w:t>
            </w:r>
          </w:p>
        </w:tc>
        <w:tc>
          <w:tcPr>
            <w:tcW w:w="1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139,095</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220,967</w:t>
            </w:r>
          </w:p>
        </w:tc>
        <w:tc>
          <w:tcPr>
            <w:tcW w:w="0" w:type="dxa"/>
            <w:vAlign w:val="bottom"/>
          </w:tcPr>
          <w:p>
            <w:pPr>
              <w:spacing w:after="0"/>
              <w:rPr>
                <w:sz w:val="1"/>
                <w:szCs w:val="1"/>
                <w:color w:val="auto"/>
              </w:rPr>
            </w:pP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0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282,744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activity for the allowance for finance credit losses for the three-month and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1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7"/>
              </w:rPr>
              <w:t>72,242</w:t>
            </w:r>
          </w:p>
        </w:tc>
        <w:tc>
          <w:tcPr>
            <w:tcW w:w="54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98,602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80,790</w:t>
            </w:r>
          </w:p>
        </w:tc>
        <w:tc>
          <w:tcPr>
            <w:tcW w:w="460" w:type="dxa"/>
            <w:vAlign w:val="bottom"/>
            <w:gridSpan w:val="2"/>
            <w:shd w:val="clear" w:color="auto" w:fill="EEEEEE"/>
          </w:tcPr>
          <w:p>
            <w:pPr>
              <w:jc w:val="right"/>
              <w:ind w:right="329"/>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11,640</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Early adoption of CECL</w:t>
            </w:r>
          </w:p>
        </w:tc>
        <w:tc>
          <w:tcPr>
            <w:tcW w:w="8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127,000</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8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(1,590)</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7,400</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(1,590)</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14,113</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Charge-offs</w:t>
            </w:r>
          </w:p>
        </w:tc>
        <w:tc>
          <w:tcPr>
            <w:tcW w:w="8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(15,574)</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(25,157)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(73,096)</w:t>
            </w: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8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3,790</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14,681</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14,561</w:t>
            </w:r>
          </w:p>
        </w:tc>
        <w:tc>
          <w:tcPr>
            <w:tcW w:w="80" w:type="dxa"/>
            <w:vAlign w:val="bottom"/>
            <w:shd w:val="clear" w:color="auto" w:fill="EEEEEE"/>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68,724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September 30, 2021, we recorded a reduction to provision for credit losses on finance receivables in the amount of $1.6 million. The reserve decrease was primarily due to a decrease in lifetime expected credit losses resulting from improved credit performance. The Company made additional provisions for credit losses of $7.4 million and $14.1 million for the three-month and nine-month periods ended September 30, 2020, respectively. Those reserve increases were made in consideration for the uncertainty associated with the pandemic.</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3160" w:type="dxa"/>
            <w:vAlign w:val="bottom"/>
            <w:gridSpan w:val="2"/>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4,642</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15,589</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9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980" w:type="dxa"/>
            <w:vAlign w:val="bottom"/>
            <w:vMerge w:val="restart"/>
          </w:tcPr>
          <w:p>
            <w:pPr>
              <w:jc w:val="right"/>
              <w:ind w:right="175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5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Securitization Trust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95"/>
              </w:rPr>
              <w:t>Final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67"/>
              <w:spacing w:after="0"/>
              <w:rPr>
                <w:sz w:val="20"/>
                <w:szCs w:val="20"/>
                <w:color w:val="auto"/>
              </w:rPr>
            </w:pPr>
            <w:r>
              <w:rPr>
                <w:rFonts w:ascii="Arial" w:cs="Arial" w:eastAsia="Arial" w:hAnsi="Arial"/>
                <w:sz w:val="18"/>
                <w:szCs w:val="18"/>
                <w:b w:val="1"/>
                <w:bCs w:val="1"/>
                <w:color w:val="auto"/>
                <w:w w:val="85"/>
              </w:rPr>
              <w:t>Scheduled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Payment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Initial</w:t>
            </w: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940" w:type="dxa"/>
            <w:vAlign w:val="bottom"/>
            <w:gridSpan w:val="2"/>
          </w:tcPr>
          <w:p>
            <w:pPr>
              <w:ind w:left="680"/>
              <w:spacing w:after="0"/>
              <w:rPr>
                <w:sz w:val="20"/>
                <w:szCs w:val="20"/>
                <w:color w:val="auto"/>
              </w:rPr>
            </w:pPr>
            <w:r>
              <w:rPr>
                <w:rFonts w:ascii="Arial" w:cs="Arial" w:eastAsia="Arial" w:hAnsi="Arial"/>
                <w:sz w:val="18"/>
                <w:szCs w:val="18"/>
                <w:b w:val="1"/>
                <w:bCs w:val="1"/>
                <w:color w:val="auto"/>
              </w:rPr>
              <w:t>Series</w:t>
            </w:r>
          </w:p>
        </w:tc>
        <w:tc>
          <w:tcPr>
            <w:tcW w:w="110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Date (1)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2021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w:t>
            </w: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2016-A</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March 2023</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329,460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2016-B</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June 2023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332,690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46,079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2016-C</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September 2023</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26,578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318,500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25,373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47,325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2016-D</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April 2024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22,636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206,325</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19,402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36,455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2017-A</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April 2024</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25,943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206,320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22,163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40,619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2017-B</w:t>
            </w:r>
          </w:p>
        </w:tc>
        <w:tc>
          <w:tcPr>
            <w:tcW w:w="1100" w:type="dxa"/>
            <w:vAlign w:val="bottom"/>
          </w:tcPr>
          <w:p>
            <w:pPr>
              <w:ind w:left="280"/>
              <w:spacing w:after="0"/>
              <w:rPr>
                <w:sz w:val="20"/>
                <w:szCs w:val="20"/>
                <w:color w:val="auto"/>
              </w:rPr>
            </w:pPr>
            <w:r>
              <w:rPr>
                <w:rFonts w:ascii="Arial" w:cs="Arial" w:eastAsia="Arial" w:hAnsi="Arial"/>
                <w:sz w:val="18"/>
                <w:szCs w:val="18"/>
                <w:color w:val="auto"/>
                <w:w w:val="96"/>
              </w:rPr>
              <w:t>December</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32,980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225,170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17,592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39,016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2017-C</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September 2024</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35,175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224,825</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30,272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47,553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2017-D</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June 2024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36,323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196,300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31,136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49,297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2018-A</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March 2025</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40,366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190,000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34,447</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53,549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2018-B</w:t>
            </w:r>
          </w:p>
        </w:tc>
        <w:tc>
          <w:tcPr>
            <w:tcW w:w="1100" w:type="dxa"/>
            <w:vAlign w:val="bottom"/>
          </w:tcPr>
          <w:p>
            <w:pPr>
              <w:ind w:left="280"/>
              <w:spacing w:after="0"/>
              <w:rPr>
                <w:sz w:val="20"/>
                <w:szCs w:val="20"/>
                <w:color w:val="auto"/>
              </w:rPr>
            </w:pPr>
            <w:r>
              <w:rPr>
                <w:rFonts w:ascii="Arial" w:cs="Arial" w:eastAsia="Arial" w:hAnsi="Arial"/>
                <w:sz w:val="18"/>
                <w:szCs w:val="18"/>
                <w:color w:val="auto"/>
                <w:w w:val="96"/>
              </w:rPr>
              <w:t>December</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49,034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201,823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42,028</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66,955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2018-C</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September 2025</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55,619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230,275</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49,803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77,345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2018-D</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June 2025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67,792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233,730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57,940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88,228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2019-A</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March 2026</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84,896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254,400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72,357</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114,373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2019-B</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June 2026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83,881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228,275</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72,804</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118,982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2019-C</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September 2026</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98,171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243,513</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88,668</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142,080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2019-D</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December 2026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126,247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274,313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115,544</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181,485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2020-A</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March 2027</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121,595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117,252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184,944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2020-B</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June 2027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127,469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202,343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104,048</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164,403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2020-C</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November 2027</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172,254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252,200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162,049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231,961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2021-A</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March 2028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186,415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230,545</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171,918</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2021-B</w:t>
            </w:r>
          </w:p>
        </w:tc>
        <w:tc>
          <w:tcPr>
            <w:tcW w:w="1700" w:type="dxa"/>
            <w:vAlign w:val="bottom"/>
            <w:gridSpan w:val="3"/>
            <w:shd w:val="clear" w:color="auto" w:fill="EEEEEE"/>
          </w:tcPr>
          <w:p>
            <w:pPr>
              <w:jc w:val="right"/>
              <w:ind w:right="147"/>
              <w:spacing w:after="0"/>
              <w:rPr>
                <w:sz w:val="20"/>
                <w:szCs w:val="20"/>
                <w:color w:val="auto"/>
              </w:rPr>
            </w:pPr>
            <w:r>
              <w:rPr>
                <w:rFonts w:ascii="Arial" w:cs="Arial" w:eastAsia="Arial" w:hAnsi="Arial"/>
                <w:sz w:val="18"/>
                <w:szCs w:val="18"/>
                <w:color w:val="auto"/>
              </w:rPr>
              <w:t>June 2028</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211,244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203,796</w:t>
            </w:r>
          </w:p>
        </w:tc>
        <w:tc>
          <w:tcPr>
            <w:tcW w:w="1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CPS 2021-C</w:t>
            </w:r>
          </w:p>
        </w:tc>
        <w:tc>
          <w:tcPr>
            <w:tcW w:w="1700" w:type="dxa"/>
            <w:vAlign w:val="bottom"/>
            <w:gridSpan w:val="3"/>
          </w:tcPr>
          <w:p>
            <w:pPr>
              <w:jc w:val="right"/>
              <w:ind w:right="147"/>
              <w:spacing w:after="0"/>
              <w:rPr>
                <w:sz w:val="20"/>
                <w:szCs w:val="20"/>
                <w:color w:val="auto"/>
              </w:rPr>
            </w:pPr>
            <w:r>
              <w:rPr>
                <w:rFonts w:ascii="Arial" w:cs="Arial" w:eastAsia="Arial" w:hAnsi="Arial"/>
                <w:sz w:val="18"/>
                <w:szCs w:val="18"/>
                <w:color w:val="auto"/>
              </w:rPr>
              <w:t>September 2028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286,516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276,228</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1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1,891,134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5,372,007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1,714,820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1,767,807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9" w:lineRule="auto"/>
        <w:tabs>
          <w:tab w:leader="none" w:pos="3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$208.3 million in 2021, $606.7 million in 2022, $516.1 million in 2023, $129.9 million in 2024, $146.5 million in 2025, $73.9 million in 2026, and $21.5 million in 2027.</w:t>
      </w:r>
    </w:p>
    <w:p>
      <w:pPr>
        <w:spacing w:after="0" w:line="171" w:lineRule="exact"/>
        <w:rPr>
          <w:rFonts w:ascii="Arial" w:cs="Arial" w:eastAsia="Arial" w:hAnsi="Arial"/>
          <w:sz w:val="17"/>
          <w:szCs w:val="17"/>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of $11.4 million and $10.6 million as of September 30, 2021 and December 31, 2020, respectively, have been excluded from the table above. These debt issuance costs are presented as a direct deduction to the carrying amount of the securitization trust debt on our Unaudited Condensed Consolidated Balance Sheets.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2021, we were in compliance with all such covenants.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2021, restricted cash under the various agreements totaled approximately $145.0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amounts of our other debt outstanding at September 30, 2021 and December 31, 2020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5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88"/>
              </w:rPr>
              <w:t>September</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40" w:type="dxa"/>
            <w:vAlign w:val="bottom"/>
            <w:gridSpan w:val="3"/>
            <w:vMerge w:val="restart"/>
          </w:tcPr>
          <w:p>
            <w:pPr>
              <w:ind w:left="840"/>
              <w:spacing w:after="0"/>
              <w:rPr>
                <w:sz w:val="20"/>
                <w:szCs w:val="20"/>
                <w:color w:val="auto"/>
              </w:rPr>
            </w:pPr>
            <w:r>
              <w:rPr>
                <w:rFonts w:ascii="Arial" w:cs="Arial" w:eastAsia="Arial" w:hAnsi="Arial"/>
                <w:sz w:val="18"/>
                <w:szCs w:val="18"/>
                <w:color w:val="auto"/>
              </w:rPr>
              <w:t>Description</w:t>
            </w:r>
          </w:p>
        </w:tc>
        <w:tc>
          <w:tcPr>
            <w:tcW w:w="960" w:type="dxa"/>
            <w:vAlign w:val="bottom"/>
          </w:tcPr>
          <w:p>
            <w:pPr>
              <w:spacing w:after="0"/>
              <w:rPr>
                <w:sz w:val="19"/>
                <w:szCs w:val="19"/>
                <w:color w:val="auto"/>
              </w:rPr>
            </w:pPr>
          </w:p>
        </w:tc>
        <w:tc>
          <w:tcPr>
            <w:tcW w:w="1740" w:type="dxa"/>
            <w:vAlign w:val="bottom"/>
            <w:gridSpan w:val="2"/>
            <w:vMerge w:val="restart"/>
          </w:tcPr>
          <w:p>
            <w:pPr>
              <w:jc w:val="center"/>
              <w:ind w:right="820"/>
              <w:spacing w:after="0"/>
              <w:rPr>
                <w:sz w:val="20"/>
                <w:szCs w:val="20"/>
                <w:color w:val="auto"/>
              </w:rPr>
            </w:pPr>
            <w:r>
              <w:rPr>
                <w:rFonts w:ascii="Arial" w:cs="Arial" w:eastAsia="Arial" w:hAnsi="Arial"/>
                <w:sz w:val="18"/>
                <w:szCs w:val="18"/>
                <w:color w:val="auto"/>
                <w:w w:val="89"/>
              </w:rPr>
              <w:t>Interest Rate</w:t>
            </w:r>
          </w:p>
        </w:tc>
        <w:tc>
          <w:tcPr>
            <w:tcW w:w="264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9"/>
              </w:rPr>
              <w:t>Maturity</w:t>
            </w:r>
          </w:p>
        </w:tc>
        <w:tc>
          <w:tcPr>
            <w:tcW w:w="240" w:type="dxa"/>
            <w:vAlign w:val="bottom"/>
          </w:tcPr>
          <w:p>
            <w:pPr>
              <w:spacing w:after="0"/>
              <w:rPr>
                <w:sz w:val="19"/>
                <w:szCs w:val="19"/>
                <w:color w:val="auto"/>
              </w:rPr>
            </w:pPr>
          </w:p>
        </w:tc>
        <w:tc>
          <w:tcPr>
            <w:tcW w:w="312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4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3"/>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700" w:type="dxa"/>
            <w:vAlign w:val="bottom"/>
            <w:gridSpan w:val="3"/>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5.50% over one month Libor</w:t>
            </w:r>
          </w:p>
        </w:tc>
        <w:tc>
          <w:tcPr>
            <w:tcW w:w="980" w:type="dxa"/>
            <w:vAlign w:val="bottom"/>
            <w:shd w:val="clear" w:color="auto" w:fill="EEEEEE"/>
          </w:tcPr>
          <w:p>
            <w:pPr>
              <w:spacing w:after="0"/>
              <w:rPr>
                <w:sz w:val="17"/>
                <w:szCs w:val="17"/>
                <w:color w:val="auto"/>
              </w:rPr>
            </w:pPr>
          </w:p>
        </w:tc>
        <w:tc>
          <w:tcPr>
            <w:tcW w:w="1660" w:type="dxa"/>
            <w:vAlign w:val="bottom"/>
            <w:gridSpan w:val="2"/>
            <w:vMerge w:val="restart"/>
            <w:shd w:val="clear" w:color="auto" w:fill="EEEEEE"/>
          </w:tcPr>
          <w:p>
            <w:pPr>
              <w:jc w:val="center"/>
              <w:ind w:right="1020"/>
              <w:spacing w:after="0"/>
              <w:rPr>
                <w:sz w:val="20"/>
                <w:szCs w:val="20"/>
                <w:color w:val="auto"/>
              </w:rPr>
            </w:pPr>
            <w:r>
              <w:rPr>
                <w:rFonts w:ascii="Arial" w:cs="Arial" w:eastAsia="Arial" w:hAnsi="Arial"/>
                <w:sz w:val="18"/>
                <w:szCs w:val="18"/>
                <w:color w:val="auto"/>
              </w:rPr>
              <w:t>N/A</w:t>
            </w:r>
          </w:p>
        </w:tc>
        <w:tc>
          <w:tcPr>
            <w:tcW w:w="240" w:type="dxa"/>
            <w:vAlign w:val="bottom"/>
            <w:vMerge w:val="restart"/>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42,558</w:t>
            </w:r>
          </w:p>
        </w:tc>
        <w:tc>
          <w:tcPr>
            <w:tcW w:w="0" w:type="dxa"/>
            <w:vAlign w:val="bottom"/>
          </w:tcPr>
          <w:p>
            <w:pPr>
              <w:spacing w:after="0"/>
              <w:rPr>
                <w:sz w:val="1"/>
                <w:szCs w:val="1"/>
                <w:color w:val="auto"/>
              </w:rPr>
            </w:pPr>
          </w:p>
        </w:tc>
      </w:tr>
      <w:tr>
        <w:trPr>
          <w:trHeight w:val="122"/>
        </w:trPr>
        <w:tc>
          <w:tcPr>
            <w:tcW w:w="2440" w:type="dxa"/>
            <w:vAlign w:val="bottom"/>
            <w:gridSpan w:val="3"/>
            <w:vMerge w:val="continue"/>
            <w:shd w:val="clear" w:color="auto" w:fill="EEEEEE"/>
          </w:tcPr>
          <w:p>
            <w:pPr>
              <w:spacing w:after="0"/>
              <w:rPr>
                <w:sz w:val="10"/>
                <w:szCs w:val="10"/>
                <w:color w:val="auto"/>
              </w:rPr>
            </w:pPr>
          </w:p>
        </w:tc>
        <w:tc>
          <w:tcPr>
            <w:tcW w:w="2700" w:type="dxa"/>
            <w:vAlign w:val="bottom"/>
            <w:gridSpan w:val="3"/>
            <w:vMerge w:val="restart"/>
            <w:shd w:val="clear" w:color="auto" w:fill="EEEEEE"/>
          </w:tcPr>
          <w:p>
            <w:pPr>
              <w:jc w:val="center"/>
              <w:ind w:left="50"/>
              <w:spacing w:after="0"/>
              <w:rPr>
                <w:sz w:val="20"/>
                <w:szCs w:val="20"/>
                <w:color w:val="auto"/>
              </w:rPr>
            </w:pPr>
            <w:r>
              <w:rPr>
                <w:rFonts w:ascii="Arial" w:cs="Arial" w:eastAsia="Arial" w:hAnsi="Arial"/>
                <w:sz w:val="18"/>
                <w:szCs w:val="18"/>
                <w:color w:val="auto"/>
                <w:w w:val="96"/>
              </w:rPr>
              <w:t>(Minimum 6.50%)</w:t>
            </w:r>
          </w:p>
        </w:tc>
        <w:tc>
          <w:tcPr>
            <w:tcW w:w="980" w:type="dxa"/>
            <w:vAlign w:val="bottom"/>
            <w:shd w:val="clear" w:color="auto" w:fill="EEEEEE"/>
          </w:tcPr>
          <w:p>
            <w:pPr>
              <w:spacing w:after="0"/>
              <w:rPr>
                <w:sz w:val="10"/>
                <w:szCs w:val="10"/>
                <w:color w:val="auto"/>
              </w:rPr>
            </w:pPr>
          </w:p>
        </w:tc>
        <w:tc>
          <w:tcPr>
            <w:tcW w:w="1660" w:type="dxa"/>
            <w:vAlign w:val="bottom"/>
            <w:gridSpan w:val="2"/>
            <w:vMerge w:val="continue"/>
            <w:shd w:val="clear" w:color="auto" w:fill="EEEEEE"/>
          </w:tcPr>
          <w:p>
            <w:pPr>
              <w:spacing w:after="0"/>
              <w:rPr>
                <w:sz w:val="10"/>
                <w:szCs w:val="10"/>
                <w:color w:val="auto"/>
              </w:rPr>
            </w:pPr>
          </w:p>
        </w:tc>
        <w:tc>
          <w:tcPr>
            <w:tcW w:w="240" w:type="dxa"/>
            <w:vAlign w:val="bottom"/>
            <w:vMerge w:val="continue"/>
            <w:shd w:val="clear" w:color="auto" w:fill="EEEEEE"/>
          </w:tcPr>
          <w:p>
            <w:pPr>
              <w:spacing w:after="0"/>
              <w:rPr>
                <w:sz w:val="10"/>
                <w:szCs w:val="10"/>
                <w:color w:val="auto"/>
              </w:rPr>
            </w:pPr>
          </w:p>
        </w:tc>
        <w:tc>
          <w:tcPr>
            <w:tcW w:w="1540" w:type="dxa"/>
            <w:vAlign w:val="bottom"/>
            <w:gridSpan w:val="2"/>
            <w:vMerge w:val="continue"/>
            <w:shd w:val="clear" w:color="auto" w:fill="EEEEEE"/>
          </w:tcPr>
          <w:p>
            <w:pPr>
              <w:spacing w:after="0"/>
              <w:rPr>
                <w:sz w:val="10"/>
                <w:szCs w:val="10"/>
                <w:color w:val="auto"/>
              </w:rPr>
            </w:pPr>
          </w:p>
        </w:tc>
        <w:tc>
          <w:tcPr>
            <w:tcW w:w="180" w:type="dxa"/>
            <w:vAlign w:val="bottom"/>
            <w:vMerge w:val="continue"/>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shd w:val="clear" w:color="auto" w:fill="EEEEEE"/>
          </w:tcPr>
          <w:p>
            <w:pPr>
              <w:spacing w:after="0"/>
              <w:rPr>
                <w:sz w:val="9"/>
                <w:szCs w:val="9"/>
                <w:color w:val="auto"/>
              </w:rPr>
            </w:pPr>
          </w:p>
        </w:tc>
        <w:tc>
          <w:tcPr>
            <w:tcW w:w="82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70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0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700" w:type="dxa"/>
            <w:vAlign w:val="bottom"/>
            <w:gridSpan w:val="3"/>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3.00% over one month Libor</w:t>
            </w:r>
          </w:p>
        </w:tc>
        <w:tc>
          <w:tcPr>
            <w:tcW w:w="2640" w:type="dxa"/>
            <w:vAlign w:val="bottom"/>
            <w:gridSpan w:val="3"/>
            <w:vMerge w:val="restart"/>
            <w:shd w:val="clear" w:color="auto" w:fill="EEEEEE"/>
          </w:tcPr>
          <w:p>
            <w:pPr>
              <w:jc w:val="center"/>
              <w:ind w:right="40"/>
              <w:spacing w:after="0"/>
              <w:rPr>
                <w:sz w:val="20"/>
                <w:szCs w:val="20"/>
                <w:color w:val="auto"/>
              </w:rPr>
            </w:pPr>
            <w:r>
              <w:rPr>
                <w:rFonts w:ascii="Arial" w:cs="Arial" w:eastAsia="Arial" w:hAnsi="Arial"/>
                <w:sz w:val="18"/>
                <w:szCs w:val="18"/>
                <w:color w:val="auto"/>
                <w:w w:val="90"/>
              </w:rPr>
              <w:t>December 2022</w:t>
            </w:r>
          </w:p>
        </w:tc>
        <w:tc>
          <w:tcPr>
            <w:tcW w:w="240" w:type="dxa"/>
            <w:vAlign w:val="bottom"/>
            <w:shd w:val="clear" w:color="auto" w:fill="EEEEEE"/>
          </w:tcPr>
          <w:p>
            <w:pPr>
              <w:spacing w:after="0"/>
              <w:rPr>
                <w:sz w:val="17"/>
                <w:szCs w:val="17"/>
                <w:color w:val="auto"/>
              </w:rPr>
            </w:pPr>
          </w:p>
        </w:tc>
        <w:tc>
          <w:tcPr>
            <w:tcW w:w="154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60,713</w:t>
            </w:r>
          </w:p>
        </w:tc>
        <w:tc>
          <w:tcPr>
            <w:tcW w:w="1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45,689</w:t>
            </w:r>
          </w:p>
        </w:tc>
        <w:tc>
          <w:tcPr>
            <w:tcW w:w="0" w:type="dxa"/>
            <w:vAlign w:val="bottom"/>
          </w:tcPr>
          <w:p>
            <w:pPr>
              <w:spacing w:after="0"/>
              <w:rPr>
                <w:sz w:val="1"/>
                <w:szCs w:val="1"/>
                <w:color w:val="auto"/>
              </w:rPr>
            </w:pPr>
          </w:p>
        </w:tc>
      </w:tr>
      <w:tr>
        <w:trPr>
          <w:trHeight w:val="122"/>
        </w:trPr>
        <w:tc>
          <w:tcPr>
            <w:tcW w:w="840" w:type="dxa"/>
            <w:vAlign w:val="bottom"/>
            <w:shd w:val="clear" w:color="auto" w:fill="EEEEEE"/>
          </w:tcPr>
          <w:p>
            <w:pPr>
              <w:spacing w:after="0"/>
              <w:rPr>
                <w:sz w:val="10"/>
                <w:szCs w:val="10"/>
                <w:color w:val="auto"/>
              </w:rPr>
            </w:pPr>
          </w:p>
        </w:tc>
        <w:tc>
          <w:tcPr>
            <w:tcW w:w="82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700" w:type="dxa"/>
            <w:vAlign w:val="bottom"/>
            <w:gridSpan w:val="3"/>
            <w:vMerge w:val="restart"/>
            <w:shd w:val="clear" w:color="auto" w:fill="EEEEEE"/>
          </w:tcPr>
          <w:p>
            <w:pPr>
              <w:jc w:val="center"/>
              <w:ind w:left="50"/>
              <w:spacing w:after="0"/>
              <w:rPr>
                <w:sz w:val="20"/>
                <w:szCs w:val="20"/>
                <w:color w:val="auto"/>
              </w:rPr>
            </w:pPr>
            <w:r>
              <w:rPr>
                <w:rFonts w:ascii="Arial" w:cs="Arial" w:eastAsia="Arial" w:hAnsi="Arial"/>
                <w:sz w:val="18"/>
                <w:szCs w:val="18"/>
                <w:color w:val="auto"/>
                <w:w w:val="96"/>
              </w:rPr>
              <w:t>(Minimum 3.75%)</w:t>
            </w:r>
          </w:p>
        </w:tc>
        <w:tc>
          <w:tcPr>
            <w:tcW w:w="2640" w:type="dxa"/>
            <w:vAlign w:val="bottom"/>
            <w:gridSpan w:val="3"/>
            <w:vMerge w:val="continue"/>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54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shd w:val="clear" w:color="auto" w:fill="EEEEEE"/>
          </w:tcPr>
          <w:p>
            <w:pPr>
              <w:spacing w:after="0"/>
              <w:rPr>
                <w:sz w:val="9"/>
                <w:szCs w:val="9"/>
                <w:color w:val="auto"/>
              </w:rPr>
            </w:pPr>
          </w:p>
        </w:tc>
        <w:tc>
          <w:tcPr>
            <w:tcW w:w="82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70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0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700" w:type="dxa"/>
            <w:vAlign w:val="bottom"/>
            <w:gridSpan w:val="3"/>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0"/>
              </w:rPr>
              <w:t>4.00% over a commercial paper</w:t>
            </w:r>
          </w:p>
        </w:tc>
        <w:tc>
          <w:tcPr>
            <w:tcW w:w="2640" w:type="dxa"/>
            <w:vAlign w:val="bottom"/>
            <w:gridSpan w:val="3"/>
            <w:vMerge w:val="restart"/>
            <w:shd w:val="clear" w:color="auto" w:fill="EEEEEE"/>
          </w:tcPr>
          <w:p>
            <w:pPr>
              <w:jc w:val="center"/>
              <w:ind w:right="40"/>
              <w:spacing w:after="0"/>
              <w:rPr>
                <w:sz w:val="20"/>
                <w:szCs w:val="20"/>
                <w:color w:val="auto"/>
              </w:rPr>
            </w:pPr>
            <w:r>
              <w:rPr>
                <w:rFonts w:ascii="Arial" w:cs="Arial" w:eastAsia="Arial" w:hAnsi="Arial"/>
                <w:sz w:val="18"/>
                <w:szCs w:val="18"/>
                <w:color w:val="auto"/>
                <w:w w:val="90"/>
              </w:rPr>
              <w:t>December 2021</w:t>
            </w:r>
          </w:p>
        </w:tc>
        <w:tc>
          <w:tcPr>
            <w:tcW w:w="240" w:type="dxa"/>
            <w:vAlign w:val="bottom"/>
            <w:shd w:val="clear" w:color="auto" w:fill="EEEEEE"/>
          </w:tcPr>
          <w:p>
            <w:pPr>
              <w:spacing w:after="0"/>
              <w:rPr>
                <w:sz w:val="17"/>
                <w:szCs w:val="17"/>
                <w:color w:val="auto"/>
              </w:rPr>
            </w:pPr>
          </w:p>
        </w:tc>
        <w:tc>
          <w:tcPr>
            <w:tcW w:w="154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37,710</w:t>
            </w:r>
          </w:p>
        </w:tc>
        <w:tc>
          <w:tcPr>
            <w:tcW w:w="1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32,265</w:t>
            </w:r>
          </w:p>
        </w:tc>
        <w:tc>
          <w:tcPr>
            <w:tcW w:w="0" w:type="dxa"/>
            <w:vAlign w:val="bottom"/>
          </w:tcPr>
          <w:p>
            <w:pPr>
              <w:spacing w:after="0"/>
              <w:rPr>
                <w:sz w:val="1"/>
                <w:szCs w:val="1"/>
                <w:color w:val="auto"/>
              </w:rPr>
            </w:pPr>
          </w:p>
        </w:tc>
      </w:tr>
      <w:tr>
        <w:trPr>
          <w:trHeight w:val="122"/>
        </w:trPr>
        <w:tc>
          <w:tcPr>
            <w:tcW w:w="840" w:type="dxa"/>
            <w:vAlign w:val="bottom"/>
            <w:shd w:val="clear" w:color="auto" w:fill="EEEEEE"/>
          </w:tcPr>
          <w:p>
            <w:pPr>
              <w:spacing w:after="0"/>
              <w:rPr>
                <w:sz w:val="10"/>
                <w:szCs w:val="10"/>
                <w:color w:val="auto"/>
              </w:rPr>
            </w:pPr>
          </w:p>
        </w:tc>
        <w:tc>
          <w:tcPr>
            <w:tcW w:w="82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700" w:type="dxa"/>
            <w:vAlign w:val="bottom"/>
            <w:gridSpan w:val="3"/>
            <w:vMerge w:val="restart"/>
            <w:shd w:val="clear" w:color="auto" w:fill="EEEEEE"/>
          </w:tcPr>
          <w:p>
            <w:pPr>
              <w:jc w:val="center"/>
              <w:ind w:left="30"/>
              <w:spacing w:after="0"/>
              <w:rPr>
                <w:sz w:val="20"/>
                <w:szCs w:val="20"/>
                <w:color w:val="auto"/>
              </w:rPr>
            </w:pPr>
            <w:r>
              <w:rPr>
                <w:rFonts w:ascii="Arial" w:cs="Arial" w:eastAsia="Arial" w:hAnsi="Arial"/>
                <w:sz w:val="18"/>
                <w:szCs w:val="18"/>
                <w:color w:val="auto"/>
                <w:w w:val="93"/>
              </w:rPr>
              <w:t>rate (Minimum 5.00%)</w:t>
            </w:r>
          </w:p>
        </w:tc>
        <w:tc>
          <w:tcPr>
            <w:tcW w:w="2640" w:type="dxa"/>
            <w:vAlign w:val="bottom"/>
            <w:gridSpan w:val="3"/>
            <w:vMerge w:val="continue"/>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54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shd w:val="clear" w:color="auto" w:fill="EEEEEE"/>
          </w:tcPr>
          <w:p>
            <w:pPr>
              <w:spacing w:after="0"/>
              <w:rPr>
                <w:sz w:val="9"/>
                <w:szCs w:val="9"/>
                <w:color w:val="auto"/>
              </w:rPr>
            </w:pPr>
          </w:p>
        </w:tc>
        <w:tc>
          <w:tcPr>
            <w:tcW w:w="82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70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0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80" w:type="dxa"/>
            <w:vAlign w:val="bottom"/>
            <w:gridSpan w:val="2"/>
            <w:shd w:val="clear" w:color="auto" w:fill="EEEEEE"/>
          </w:tcPr>
          <w:p>
            <w:pPr>
              <w:jc w:val="center"/>
              <w:ind w:left="850"/>
              <w:spacing w:after="0"/>
              <w:rPr>
                <w:sz w:val="20"/>
                <w:szCs w:val="20"/>
                <w:color w:val="auto"/>
              </w:rPr>
            </w:pPr>
            <w:r>
              <w:rPr>
                <w:rFonts w:ascii="Arial" w:cs="Arial" w:eastAsia="Arial" w:hAnsi="Arial"/>
                <w:sz w:val="18"/>
                <w:szCs w:val="18"/>
                <w:color w:val="auto"/>
                <w:w w:val="90"/>
              </w:rPr>
              <w:t>8.60%</w:t>
            </w:r>
          </w:p>
        </w:tc>
        <w:tc>
          <w:tcPr>
            <w:tcW w:w="820" w:type="dxa"/>
            <w:vAlign w:val="bottom"/>
            <w:shd w:val="clear" w:color="auto" w:fill="EEEEEE"/>
          </w:tcPr>
          <w:p>
            <w:pPr>
              <w:spacing w:after="0"/>
              <w:rPr>
                <w:sz w:val="18"/>
                <w:szCs w:val="18"/>
                <w:color w:val="auto"/>
              </w:rPr>
            </w:pPr>
          </w:p>
        </w:tc>
        <w:tc>
          <w:tcPr>
            <w:tcW w:w="264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87"/>
              </w:rPr>
              <w:t>January 2026</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15,281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25,576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center"/>
              <w:ind w:left="850"/>
              <w:spacing w:after="0"/>
              <w:rPr>
                <w:sz w:val="20"/>
                <w:szCs w:val="20"/>
                <w:color w:val="auto"/>
              </w:rPr>
            </w:pPr>
            <w:r>
              <w:rPr>
                <w:rFonts w:ascii="Arial" w:cs="Arial" w:eastAsia="Arial" w:hAnsi="Arial"/>
                <w:sz w:val="18"/>
                <w:szCs w:val="18"/>
                <w:color w:val="auto"/>
                <w:w w:val="90"/>
              </w:rPr>
              <w:t>7.86%</w:t>
            </w:r>
          </w:p>
        </w:tc>
        <w:tc>
          <w:tcPr>
            <w:tcW w:w="820" w:type="dxa"/>
            <w:vAlign w:val="bottom"/>
            <w:shd w:val="clear" w:color="auto" w:fill="EEEEEE"/>
          </w:tcPr>
          <w:p>
            <w:pPr>
              <w:spacing w:after="0"/>
              <w:rPr>
                <w:sz w:val="18"/>
                <w:szCs w:val="18"/>
                <w:color w:val="auto"/>
              </w:rPr>
            </w:pPr>
          </w:p>
        </w:tc>
        <w:tc>
          <w:tcPr>
            <w:tcW w:w="264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85"/>
              </w:rPr>
              <w:t>June 2026</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700" w:type="dxa"/>
            <w:vAlign w:val="bottom"/>
            <w:gridSpan w:val="3"/>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Weighted average rate of 9.35%</w:t>
            </w:r>
          </w:p>
        </w:tc>
        <w:tc>
          <w:tcPr>
            <w:tcW w:w="2640" w:type="dxa"/>
            <w:vAlign w:val="bottom"/>
            <w:gridSpan w:val="3"/>
            <w:shd w:val="clear" w:color="auto" w:fill="EEEEEE"/>
          </w:tcPr>
          <w:p>
            <w:pPr>
              <w:jc w:val="center"/>
              <w:ind w:right="40"/>
              <w:spacing w:after="0" w:line="201" w:lineRule="exact"/>
              <w:rPr>
                <w:sz w:val="20"/>
                <w:szCs w:val="20"/>
                <w:color w:val="auto"/>
              </w:rPr>
            </w:pPr>
            <w:r>
              <w:rPr>
                <w:rFonts w:ascii="Arial" w:cs="Arial" w:eastAsia="Arial" w:hAnsi="Arial"/>
                <w:sz w:val="18"/>
                <w:szCs w:val="18"/>
                <w:color w:val="auto"/>
                <w:w w:val="91"/>
              </w:rPr>
              <w:t>Weighted average maturity</w:t>
            </w:r>
          </w:p>
        </w:tc>
        <w:tc>
          <w:tcPr>
            <w:tcW w:w="2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3"/>
            <w:vMerge w:val="restart"/>
            <w:shd w:val="clear" w:color="auto" w:fill="EEEEEE"/>
          </w:tcPr>
          <w:p>
            <w:pPr>
              <w:spacing w:after="0"/>
              <w:rPr>
                <w:sz w:val="20"/>
                <w:szCs w:val="20"/>
                <w:color w:val="auto"/>
              </w:rPr>
            </w:pPr>
            <w:r>
              <w:rPr>
                <w:rFonts w:ascii="Arial" w:cs="Arial" w:eastAsia="Arial" w:hAnsi="Arial"/>
                <w:sz w:val="18"/>
                <w:szCs w:val="18"/>
                <w:color w:val="auto"/>
                <w:w w:val="99"/>
              </w:rPr>
              <w:t>Subordinated renewable notes</w:t>
            </w: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88"/>
              </w:rPr>
              <w:t>and 10.09% at September 30,</w:t>
            </w:r>
          </w:p>
        </w:tc>
        <w:tc>
          <w:tcPr>
            <w:tcW w:w="2640" w:type="dxa"/>
            <w:vAlign w:val="bottom"/>
            <w:gridSpan w:val="3"/>
            <w:shd w:val="clear" w:color="auto" w:fill="EEEEEE"/>
          </w:tcPr>
          <w:p>
            <w:pPr>
              <w:jc w:val="center"/>
              <w:ind w:right="20"/>
              <w:spacing w:after="0"/>
              <w:rPr>
                <w:sz w:val="20"/>
                <w:szCs w:val="20"/>
                <w:color w:val="auto"/>
              </w:rPr>
            </w:pPr>
            <w:r>
              <w:rPr>
                <w:rFonts w:ascii="Arial" w:cs="Arial" w:eastAsia="Arial" w:hAnsi="Arial"/>
                <w:sz w:val="18"/>
                <w:szCs w:val="18"/>
                <w:color w:val="auto"/>
                <w:w w:val="93"/>
              </w:rPr>
              <w:t>of October 2023 and January</w:t>
            </w:r>
          </w:p>
        </w:tc>
        <w:tc>
          <w:tcPr>
            <w:tcW w:w="240" w:type="dxa"/>
            <w:vAlign w:val="bottom"/>
            <w:shd w:val="clear" w:color="auto" w:fill="EEEEEE"/>
          </w:tcPr>
          <w:p>
            <w:pPr>
              <w:spacing w:after="0"/>
              <w:rPr>
                <w:sz w:val="18"/>
                <w:szCs w:val="18"/>
                <w:color w:val="auto"/>
              </w:rPr>
            </w:pPr>
          </w:p>
        </w:tc>
        <w:tc>
          <w:tcPr>
            <w:tcW w:w="154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27,462</w:t>
            </w:r>
          </w:p>
        </w:tc>
        <w:tc>
          <w:tcPr>
            <w:tcW w:w="180" w:type="dxa"/>
            <w:vAlign w:val="bottom"/>
            <w:shd w:val="clear" w:color="auto" w:fill="EEEEEE"/>
          </w:tcPr>
          <w:p>
            <w:pPr>
              <w:spacing w:after="0"/>
              <w:rPr>
                <w:sz w:val="18"/>
                <w:szCs w:val="18"/>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122"/>
        </w:trPr>
        <w:tc>
          <w:tcPr>
            <w:tcW w:w="2440" w:type="dxa"/>
            <w:vAlign w:val="bottom"/>
            <w:gridSpan w:val="3"/>
            <w:vMerge w:val="continue"/>
            <w:shd w:val="clear" w:color="auto" w:fill="EEEEEE"/>
          </w:tcPr>
          <w:p>
            <w:pPr>
              <w:spacing w:after="0"/>
              <w:rPr>
                <w:sz w:val="10"/>
                <w:szCs w:val="10"/>
                <w:color w:val="auto"/>
              </w:rPr>
            </w:pPr>
          </w:p>
        </w:tc>
        <w:tc>
          <w:tcPr>
            <w:tcW w:w="2700" w:type="dxa"/>
            <w:vAlign w:val="bottom"/>
            <w:gridSpan w:val="3"/>
            <w:vMerge w:val="restart"/>
            <w:shd w:val="clear" w:color="auto" w:fill="EEEEEE"/>
          </w:tcPr>
          <w:p>
            <w:pPr>
              <w:jc w:val="center"/>
              <w:ind w:left="50"/>
              <w:spacing w:after="0"/>
              <w:rPr>
                <w:sz w:val="20"/>
                <w:szCs w:val="20"/>
                <w:color w:val="auto"/>
              </w:rPr>
            </w:pPr>
            <w:r>
              <w:rPr>
                <w:rFonts w:ascii="Arial" w:cs="Arial" w:eastAsia="Arial" w:hAnsi="Arial"/>
                <w:sz w:val="18"/>
                <w:szCs w:val="18"/>
                <w:color w:val="auto"/>
                <w:w w:val="88"/>
              </w:rPr>
              <w:t>2021 and December 31, 2020,</w:t>
            </w:r>
          </w:p>
        </w:tc>
        <w:tc>
          <w:tcPr>
            <w:tcW w:w="2640" w:type="dxa"/>
            <w:vAlign w:val="bottom"/>
            <w:gridSpan w:val="3"/>
            <w:vMerge w:val="restart"/>
            <w:shd w:val="clear" w:color="auto" w:fill="EEEEEE"/>
          </w:tcPr>
          <w:p>
            <w:pPr>
              <w:jc w:val="center"/>
              <w:ind w:right="40"/>
              <w:spacing w:after="0"/>
              <w:rPr>
                <w:sz w:val="20"/>
                <w:szCs w:val="20"/>
                <w:color w:val="auto"/>
              </w:rPr>
            </w:pPr>
            <w:r>
              <w:rPr>
                <w:rFonts w:ascii="Arial" w:cs="Arial" w:eastAsia="Arial" w:hAnsi="Arial"/>
                <w:sz w:val="18"/>
                <w:szCs w:val="18"/>
                <w:color w:val="auto"/>
                <w:w w:val="88"/>
              </w:rPr>
              <w:t>2023 at September 30, 2021 and</w:t>
            </w:r>
          </w:p>
        </w:tc>
        <w:tc>
          <w:tcPr>
            <w:tcW w:w="240" w:type="dxa"/>
            <w:vAlign w:val="bottom"/>
            <w:shd w:val="clear" w:color="auto" w:fill="EEEEEE"/>
          </w:tcPr>
          <w:p>
            <w:pPr>
              <w:spacing w:after="0"/>
              <w:rPr>
                <w:sz w:val="10"/>
                <w:szCs w:val="10"/>
                <w:color w:val="auto"/>
              </w:rPr>
            </w:pPr>
          </w:p>
        </w:tc>
        <w:tc>
          <w:tcPr>
            <w:tcW w:w="154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40" w:type="dxa"/>
            <w:vAlign w:val="bottom"/>
            <w:shd w:val="clear" w:color="auto" w:fill="EEEEEE"/>
          </w:tcPr>
          <w:p>
            <w:pPr>
              <w:spacing w:after="0"/>
              <w:rPr>
                <w:sz w:val="8"/>
                <w:szCs w:val="8"/>
                <w:color w:val="auto"/>
              </w:rPr>
            </w:pPr>
          </w:p>
        </w:tc>
        <w:tc>
          <w:tcPr>
            <w:tcW w:w="82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2700" w:type="dxa"/>
            <w:vAlign w:val="bottom"/>
            <w:gridSpan w:val="3"/>
            <w:vMerge w:val="continue"/>
            <w:shd w:val="clear" w:color="auto" w:fill="EEEEEE"/>
          </w:tcPr>
          <w:p>
            <w:pPr>
              <w:spacing w:after="0"/>
              <w:rPr>
                <w:sz w:val="8"/>
                <w:szCs w:val="8"/>
                <w:color w:val="auto"/>
              </w:rPr>
            </w:pPr>
          </w:p>
        </w:tc>
        <w:tc>
          <w:tcPr>
            <w:tcW w:w="2640" w:type="dxa"/>
            <w:vAlign w:val="bottom"/>
            <w:gridSpan w:val="3"/>
            <w:vMerge w:val="continue"/>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4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740" w:type="dxa"/>
            <w:vAlign w:val="bottom"/>
            <w:gridSpan w:val="2"/>
            <w:shd w:val="clear" w:color="auto" w:fill="EEEEEE"/>
          </w:tcPr>
          <w:p>
            <w:pPr>
              <w:jc w:val="center"/>
              <w:ind w:right="820"/>
              <w:spacing w:after="0"/>
              <w:rPr>
                <w:sz w:val="20"/>
                <w:szCs w:val="20"/>
                <w:color w:val="auto"/>
              </w:rPr>
            </w:pPr>
            <w:r>
              <w:rPr>
                <w:rFonts w:ascii="Arial" w:cs="Arial" w:eastAsia="Arial" w:hAnsi="Arial"/>
                <w:sz w:val="18"/>
                <w:szCs w:val="18"/>
                <w:color w:val="auto"/>
                <w:w w:val="92"/>
              </w:rPr>
              <w:t>respectively</w:t>
            </w:r>
          </w:p>
        </w:tc>
        <w:tc>
          <w:tcPr>
            <w:tcW w:w="264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89"/>
              </w:rPr>
              <w:t>December 31, 2020, respectively</w:t>
            </w:r>
          </w:p>
        </w:tc>
        <w:tc>
          <w:tcPr>
            <w:tcW w:w="24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780" w:type="dxa"/>
            <w:vAlign w:val="bottom"/>
            <w:tcBorders>
              <w:bottom w:val="single" w:sz="8" w:color="EEEEEE"/>
            </w:tcBorders>
          </w:tcPr>
          <w:p>
            <w:pPr>
              <w:spacing w:after="0"/>
              <w:rPr>
                <w:sz w:val="19"/>
                <w:szCs w:val="19"/>
                <w:color w:val="auto"/>
              </w:rPr>
            </w:pPr>
          </w:p>
        </w:tc>
        <w:tc>
          <w:tcPr>
            <w:tcW w:w="96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980" w:type="dxa"/>
            <w:vAlign w:val="bottom"/>
            <w:tcBorders>
              <w:bottom w:val="single" w:sz="8" w:color="EEEEEE"/>
            </w:tcBorders>
          </w:tcPr>
          <w:p>
            <w:pPr>
              <w:spacing w:after="0"/>
              <w:rPr>
                <w:sz w:val="19"/>
                <w:szCs w:val="19"/>
                <w:color w:val="auto"/>
              </w:rPr>
            </w:pPr>
          </w:p>
        </w:tc>
        <w:tc>
          <w:tcPr>
            <w:tcW w:w="640" w:type="dxa"/>
            <w:vAlign w:val="bottom"/>
            <w:tcBorders>
              <w:bottom w:val="single" w:sz="8" w:color="EEEEEE"/>
            </w:tcBorders>
          </w:tcPr>
          <w:p>
            <w:pPr>
              <w:spacing w:after="0"/>
              <w:rPr>
                <w:sz w:val="19"/>
                <w:szCs w:val="19"/>
                <w:color w:val="auto"/>
              </w:rPr>
            </w:pPr>
          </w:p>
        </w:tc>
        <w:tc>
          <w:tcPr>
            <w:tcW w:w="10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EEEEEE"/>
            </w:tcBorders>
            <w:shd w:val="clear" w:color="auto" w:fill="EEEEEE"/>
          </w:tcPr>
          <w:p>
            <w:pPr>
              <w:spacing w:after="0"/>
              <w:rPr>
                <w:sz w:val="19"/>
                <w:szCs w:val="19"/>
                <w:color w:val="auto"/>
              </w:rPr>
            </w:pPr>
          </w:p>
        </w:tc>
        <w:tc>
          <w:tcPr>
            <w:tcW w:w="82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96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EEEEEE"/>
            </w:tcBorders>
            <w:shd w:val="clear" w:color="auto" w:fill="EEEEEE"/>
          </w:tcPr>
          <w:p>
            <w:pPr>
              <w:spacing w:after="0"/>
              <w:rPr>
                <w:sz w:val="19"/>
                <w:szCs w:val="19"/>
                <w:color w:val="auto"/>
              </w:rPr>
            </w:pPr>
          </w:p>
        </w:tc>
        <w:tc>
          <w:tcPr>
            <w:tcW w:w="82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EEEEEE"/>
            </w:tcBorders>
            <w:shd w:val="clear" w:color="auto" w:fill="EEEEEE"/>
          </w:tcPr>
          <w:p>
            <w:pPr>
              <w:spacing w:after="0"/>
              <w:rPr>
                <w:sz w:val="19"/>
                <w:szCs w:val="19"/>
                <w:color w:val="auto"/>
              </w:rPr>
            </w:pPr>
          </w:p>
        </w:tc>
        <w:tc>
          <w:tcPr>
            <w:tcW w:w="64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191,166</w:t>
            </w: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167,411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short-term funding capacity of $300 million, comprising three credit facilities. We repaid the outstanding balance for the facility first established in April 2015 at its maturity date in February 2021 and elected not to renew it. As of September 30, 2021, our short-term funding capacity is $200 million, comprising two credit facilities.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Unamortized debt issuance costs of $692,000 and $150,000 as of September 30, 2021 and December 31, 2020, respectively, have been excluded from the amount reported above for residual interest financing. Similarly, unamortized debt issuance costs of $655,000 and $1.5 million as of September 30, 2021 and December 31, 2020,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(5) Interest Income and Interest Expense</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w w:val="99"/>
              </w:rPr>
              <w:t>The following table presents the components of interest income:</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27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16,062</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29,753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56,652</w:t>
            </w:r>
          </w:p>
        </w:tc>
        <w:tc>
          <w:tcPr>
            <w:tcW w:w="54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101,333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50,951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42,808</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141,882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125,273</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(3,152)</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(4,417)</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interest income</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67,018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69,430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194,134</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204,220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w w:val="97"/>
              </w:rPr>
              <w:t>The following table presents the components of interest expense:</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27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15,292</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21,605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50,568</w:t>
            </w:r>
          </w:p>
        </w:tc>
        <w:tc>
          <w:tcPr>
            <w:tcW w:w="54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67,770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876</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18,334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24,901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58,260</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78,377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per share for the three-month and nine-month periods ended September 30, 2021 and 2020 were calculated using the weighted average number of shares outstanding for the related period. The following table reconciles the number of shares used in the computations of basic and diluted earnings per share for the three-month and nine-month periods ended September 30, 2021 and 2020:</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hanging="179"/>
        <w:spacing w:after="0" w:line="274" w:lineRule="auto"/>
        <w:rPr>
          <w:sz w:val="20"/>
          <w:szCs w:val="20"/>
          <w:color w:val="auto"/>
        </w:rPr>
      </w:pPr>
      <w:r>
        <w:rPr>
          <w:rFonts w:ascii="Arial" w:cs="Arial" w:eastAsia="Arial" w:hAnsi="Arial"/>
          <w:sz w:val="17"/>
          <w:szCs w:val="17"/>
          <w:color w:val="auto"/>
        </w:rPr>
        <w:t>Weighted average number of common shares outstanding during the period used to compute basic earnings per share</w:t>
      </w:r>
    </w:p>
    <w:p>
      <w:pPr>
        <w:ind w:left="180" w:right="120" w:hanging="179"/>
        <w:spacing w:after="0" w:line="250"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 w:lineRule="exact"/>
        <w:rPr>
          <w:sz w:val="20"/>
          <w:szCs w:val="20"/>
          <w:color w:val="auto"/>
        </w:rPr>
      </w:pPr>
    </w:p>
    <w:p>
      <w:pPr>
        <w:ind w:left="180" w:right="440" w:hanging="179"/>
        <w:spacing w:after="0" w:line="276"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31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7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r>
      <w:tr>
        <w:trPr>
          <w:trHeight w:val="228"/>
        </w:trPr>
        <w:tc>
          <w:tcPr>
            <w:tcW w:w="120" w:type="dxa"/>
            <w:vAlign w:val="bottom"/>
          </w:tcPr>
          <w:p>
            <w:pPr>
              <w:spacing w:after="0"/>
              <w:rPr>
                <w:sz w:val="19"/>
                <w:szCs w:val="19"/>
                <w:color w:val="auto"/>
              </w:rPr>
            </w:pPr>
          </w:p>
        </w:tc>
        <w:tc>
          <w:tcPr>
            <w:tcW w:w="19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9"/>
                <w:szCs w:val="19"/>
                <w:color w:val="auto"/>
              </w:rPr>
            </w:pPr>
          </w:p>
        </w:tc>
      </w:tr>
      <w:tr>
        <w:trPr>
          <w:trHeight w:val="414"/>
        </w:trPr>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23,011</w:t>
            </w:r>
          </w:p>
        </w:tc>
        <w:tc>
          <w:tcPr>
            <w:tcW w:w="3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22,666</w:t>
            </w: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22,866</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22,630</w:t>
            </w:r>
          </w:p>
        </w:tc>
      </w:tr>
      <w:tr>
        <w:trPr>
          <w:trHeight w:val="446"/>
        </w:trPr>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3,207</w:t>
            </w:r>
          </w:p>
        </w:tc>
        <w:tc>
          <w:tcPr>
            <w:tcW w:w="3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2,573</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26,218</w:t>
            </w:r>
          </w:p>
        </w:tc>
        <w:tc>
          <w:tcPr>
            <w:tcW w:w="3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23,908</w:t>
            </w: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25,439</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23,825</w:t>
            </w: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-873760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-316230</wp:posOffset>
            </wp:positionV>
            <wp:extent cx="71323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60"/>
            <w:col w:w="6160"/>
          </w:cols>
          <w:pgMar w:left="320" w:top="796" w:right="3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2021 would have included an additional 5.6 million and 5.8 million shares, respectively, attributable to the exercise of outstanding options and warrants. For the three-month and nine-month periods ended September 30, 2020, an additional 14.2 million and 13.5 million shares, respectively, would be included in the diluted earnings per share calculation.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of $8.8 million, which is reflected in income taxes for the nine-month period ending September 30, 2020.</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2021, and December 31, 2020,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$25.4 million as of September 30, 2021 is more likely than not based on forecasted future net earnings. Our net deferred tax asset of $25.4 million consists of approximately $14.6 million of net U.S. federal deferred tax assets and $10.8 million of net state deferred tax assets.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was $5.9 million and $12.8 million for the three months and nine months ended September 30, 2021, representing effective income tax rates of 30% and 31%, respectively. Income tax expense was $2.1 million for the three months ended September 30, 2020. Income tax benefit was $3.9 million for the nine months ended September 30, 2020, which includes net tax benefits of $8.8 million. Excluding the tax benefit, income tax expense would have been $8.7 million for the nine months ended September 30, 2020, representing an effective income tax rate of 36%.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 There are as of the date of this report two civil actions that could possibly result in a material liability, if resolved adversely and on a class basis, as the respective plaintiffs allege would be appropriate.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provides for resolution of disputes exclusively by arbitration, and exclusively on an individual basis, not a class basis. In August 2021, the court denied our motion to compel arbitration, without opinion. As of the date of this report, no motion for certification of a class has been filed or granted.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in August 2021, an obligor in Florida filed a complaint in the Circuit Court of Miami-Dade County, alleging that our assessment and computation of late fees was deceptive and unfair, and also alleging that resolution on a class basis would be appropriate. The plaintiff is bound by an agreement to arbitrate all claims, and to resolve claims on an individual basis and not on a class basis. The Company has removed the case to the federal district court, and plans to file a motion to compel arbitration, on an individual basis in accordance with the terms of the plaintiff’s agreement.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30, 2021,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September 30, 2021 is immaterial, and that the range of reasonably possible losses for the legal proceedings and contingencies we face, including those described or identified above, as of September 30, 2021 does not exceed $5.8 million.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quarter ended September 30, 2021,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 reconciliation of the finance receivables measured at fair value on a recurring basis using significant unobservable inputs: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1,582,175</w:t>
            </w:r>
          </w:p>
        </w:tc>
        <w:tc>
          <w:tcPr>
            <w:tcW w:w="54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1,537,649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1,523,726</w:t>
            </w:r>
          </w:p>
        </w:tc>
        <w:tc>
          <w:tcPr>
            <w:tcW w:w="460" w:type="dxa"/>
            <w:vAlign w:val="bottom"/>
            <w:gridSpan w:val="2"/>
            <w:shd w:val="clear" w:color="auto" w:fill="EEEEEE"/>
          </w:tcPr>
          <w:p>
            <w:pPr>
              <w:jc w:val="right"/>
              <w:ind w:right="329"/>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1,444,038</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310,340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173,209</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795,457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572,938</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(191,458)</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(132,847)</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(546,897)</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(354,910)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(33,864)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(33,904)</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(100,676)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(98,060)</w:t>
            </w: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(3,152)</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(4,417)</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(23,051)</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1,667,193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1,540,955</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1,667,193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1,540,955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286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2020</w:t>
            </w:r>
          </w:p>
        </w:tc>
      </w:tr>
      <w:tr>
        <w:trPr>
          <w:trHeight w:val="205"/>
        </w:trPr>
        <w:tc>
          <w:tcPr>
            <w:tcW w:w="5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400" w:type="dxa"/>
            <w:vAlign w:val="bottom"/>
          </w:tcPr>
          <w:p>
            <w:pPr>
              <w:spacing w:after="0"/>
              <w:rPr>
                <w:sz w:val="20"/>
                <w:szCs w:val="20"/>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1,874,111</w:t>
            </w:r>
          </w:p>
        </w:tc>
        <w:tc>
          <w:tcPr>
            <w:tcW w:w="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1,667,193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1,668,076</w:t>
            </w:r>
          </w:p>
        </w:tc>
        <w:tc>
          <w:tcPr>
            <w:tcW w:w="3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40" w:type="dxa"/>
            <w:vAlign w:val="bottom"/>
          </w:tcPr>
          <w:p>
            <w:pPr>
              <w:spacing w:after="0"/>
              <w:rPr>
                <w:sz w:val="18"/>
                <w:szCs w:val="18"/>
                <w:color w:val="auto"/>
              </w:rPr>
            </w:pPr>
          </w:p>
        </w:tc>
        <w:tc>
          <w:tcPr>
            <w:tcW w:w="212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9"/>
              </w:rPr>
              <w:t>Fair Values as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ind w:left="94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580" w:type="dxa"/>
            <w:vAlign w:val="bottom"/>
            <w:gridSpan w:val="2"/>
          </w:tcPr>
          <w:p>
            <w:pPr>
              <w:jc w:val="center"/>
              <w:ind w:left="3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September 30,</w:t>
            </w:r>
          </w:p>
        </w:tc>
        <w:tc>
          <w:tcPr>
            <w:tcW w:w="1340" w:type="dxa"/>
            <w:vAlign w:val="bottom"/>
          </w:tcPr>
          <w:p>
            <w:pPr>
              <w:ind w:left="140"/>
              <w:spacing w:after="0" w:line="205"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92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 Inputs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8"/>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2"/>
          </w:tcPr>
          <w:p>
            <w:pPr>
              <w:jc w:val="center"/>
              <w:ind w:left="71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1,667,193</w:t>
            </w:r>
          </w:p>
        </w:tc>
        <w:tc>
          <w:tcPr>
            <w:tcW w:w="66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1,523,726</w:t>
            </w:r>
          </w:p>
        </w:tc>
        <w:tc>
          <w:tcPr>
            <w:tcW w:w="19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3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10.9% - 11.3%</w:t>
            </w:r>
          </w:p>
        </w:tc>
        <w:tc>
          <w:tcPr>
            <w:tcW w:w="100" w:type="dxa"/>
            <w:vAlign w:val="bottom"/>
            <w:shd w:val="clear" w:color="auto" w:fill="EEEEEE"/>
          </w:tcPr>
          <w:p>
            <w:pPr>
              <w:spacing w:after="0"/>
              <w:rPr>
                <w:sz w:val="20"/>
                <w:szCs w:val="20"/>
                <w:color w:val="auto"/>
              </w:rPr>
            </w:pPr>
          </w:p>
        </w:tc>
        <w:tc>
          <w:tcPr>
            <w:tcW w:w="13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10.4% - 11.1%</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Cumulative net losse</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10.3% - 18.4%</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15.3% - 18.4%</w:t>
            </w:r>
          </w:p>
        </w:tc>
        <w:tc>
          <w:tcPr>
            <w:tcW w:w="0" w:type="dxa"/>
            <w:vAlign w:val="bottom"/>
          </w:tcPr>
          <w:p>
            <w:pPr>
              <w:spacing w:after="0"/>
              <w:rPr>
                <w:sz w:val="1"/>
                <w:szCs w:val="1"/>
                <w:color w:val="auto"/>
              </w:rPr>
            </w:pPr>
          </w:p>
        </w:tc>
      </w:tr>
      <w:tr>
        <w:trPr>
          <w:trHeight w:val="796"/>
        </w:trPr>
        <w:tc>
          <w:tcPr>
            <w:tcW w:w="16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89"/>
              </w:rPr>
              <w:t>23</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delinquency status of these finance receivables measured at fair value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80" w:type="dxa"/>
            <w:vAlign w:val="bottom"/>
            <w:gridSpan w:val="2"/>
            <w:vMerge w:val="continue"/>
          </w:tcPr>
          <w:p>
            <w:pPr>
              <w:spacing w:after="0"/>
              <w:rPr>
                <w:sz w:val="17"/>
                <w:szCs w:val="17"/>
                <w:color w:val="auto"/>
              </w:rPr>
            </w:pPr>
          </w:p>
        </w:tc>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338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1,722,619</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1,505,486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4260" w:type="dxa"/>
            <w:vAlign w:val="bottom"/>
          </w:tcPr>
          <w:p>
            <w:pPr>
              <w:ind w:left="20"/>
              <w:spacing w:after="0"/>
              <w:rPr>
                <w:sz w:val="20"/>
                <w:szCs w:val="20"/>
                <w:color w:val="auto"/>
              </w:rPr>
            </w:pPr>
            <w:r>
              <w:rPr>
                <w:rFonts w:ascii="Arial" w:cs="Arial" w:eastAsia="Arial" w:hAnsi="Arial"/>
                <w:sz w:val="18"/>
                <w:szCs w:val="18"/>
                <w:color w:val="auto"/>
              </w:rPr>
              <w:t>- 60 days</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93,723</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96,296</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4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31,221</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36,436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4260" w:type="dxa"/>
            <w:vAlign w:val="bottom"/>
          </w:tcPr>
          <w:p>
            <w:pPr>
              <w:ind w:left="20"/>
              <w:spacing w:after="0"/>
              <w:rPr>
                <w:sz w:val="20"/>
                <w:szCs w:val="20"/>
                <w:color w:val="auto"/>
              </w:rPr>
            </w:pPr>
            <w:r>
              <w:rPr>
                <w:rFonts w:ascii="Arial" w:cs="Arial" w:eastAsia="Arial" w:hAnsi="Arial"/>
                <w:sz w:val="18"/>
                <w:szCs w:val="18"/>
                <w:color w:val="auto"/>
              </w:rPr>
              <w:t>+ days</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9,445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Repo</w:t>
            </w:r>
          </w:p>
        </w:tc>
        <w:tc>
          <w:tcPr>
            <w:tcW w:w="30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17,103</w:t>
            </w:r>
          </w:p>
        </w:tc>
        <w:tc>
          <w:tcPr>
            <w:tcW w:w="200" w:type="dxa"/>
            <w:vAlign w:val="bottom"/>
            <w:shd w:val="clear" w:color="auto" w:fill="EEEEEE"/>
          </w:tcPr>
          <w:p>
            <w:pPr>
              <w:spacing w:after="0"/>
              <w:rPr>
                <w:sz w:val="19"/>
                <w:szCs w:val="19"/>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1,874,111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1,668,076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2021 the finance receivables related to the repossessed vehicles in inventory totaled $4.6 million. We have applied a valuation adjustment, or loss allowance, of $2.4 million, which is based on a recovery rate of approximately 48%, resulting in an estimated fair value and carrying amount of $2.2 million. The fair value and carrying amount of the repossessed inventory at December 31, 2020 was $3.8 million after applying a valuation adjustment of $11.8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1, level 2 or level 3 assets and liabilities for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financial assets and liabilities at September 30, 2021 and December 31,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b w:val="1"/>
                <w:bCs w:val="1"/>
                <w:color w:val="auto"/>
                <w:w w:val="89"/>
              </w:rPr>
              <w:t>As of September 30, 2021</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8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28,799</w:t>
            </w:r>
          </w:p>
        </w:tc>
        <w:tc>
          <w:tcPr>
            <w:tcW w:w="38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28,799</w:t>
            </w:r>
          </w:p>
        </w:tc>
        <w:tc>
          <w:tcPr>
            <w:tcW w:w="3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28,799</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144,966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144,966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144,966</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213,916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219,530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219,530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97,768</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97,768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97,768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3,888</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1,703,465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1,445,461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1,445,461</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27,462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27,462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27,462</w:t>
            </w:r>
          </w:p>
        </w:tc>
        <w:tc>
          <w:tcPr>
            <w:tcW w:w="0" w:type="dxa"/>
            <w:vAlign w:val="bottom"/>
          </w:tcPr>
          <w:p>
            <w:pPr>
              <w:spacing w:after="0"/>
              <w:rPr>
                <w:sz w:val="1"/>
                <w:szCs w:val="1"/>
                <w:color w:val="auto"/>
              </w:rPr>
            </w:pPr>
          </w:p>
        </w:tc>
      </w:tr>
      <w:tr>
        <w:trPr>
          <w:trHeight w:val="540"/>
        </w:trPr>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24</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As of December 31, 2020</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21"/>
                <w:szCs w:val="21"/>
                <w:color w:val="auto"/>
              </w:rPr>
            </w:pPr>
          </w:p>
        </w:tc>
        <w:tc>
          <w:tcPr>
            <w:tcW w:w="402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13,466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3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130,686</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411,343</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429,972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429,972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118,999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118,999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1,803,673</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1,862,630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1,862,630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21,323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Subsequent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20, 2021, the Company purchased 1,999,995 shares of its stock for a purchase price of $12.5 million. The shares were acquired by the seller in 2018 upon the exercise of a warrant that the Company issued to its lender upon the 2008 amendment and partial repayment of outstanding debt under a residual interest financing. The shares purchased, which represent approximately 8.7% of the common shares outstanding prior to the transaction, have been cancelled and retired.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September 30, 2021, we have originated a total of approximately $17.8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4"/>
          </w:tcPr>
          <w:p>
            <w:pPr>
              <w:ind w:left="13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Contracts Purchased in</w:t>
            </w:r>
          </w:p>
        </w:tc>
        <w:tc>
          <w:tcPr>
            <w:tcW w:w="18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100" w:type="dxa"/>
            <w:vAlign w:val="bottom"/>
          </w:tcPr>
          <w:p>
            <w:pPr>
              <w:spacing w:after="0"/>
              <w:rPr>
                <w:sz w:val="16"/>
                <w:szCs w:val="16"/>
                <w:color w:val="auto"/>
              </w:rPr>
            </w:pPr>
          </w:p>
        </w:tc>
      </w:tr>
      <w:tr>
        <w:trPr>
          <w:trHeight w:val="234"/>
        </w:trPr>
        <w:tc>
          <w:tcPr>
            <w:tcW w:w="7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Period</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72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20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2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1,088,785</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2,308,070</w:t>
            </w:r>
          </w:p>
        </w:tc>
      </w:tr>
      <w:tr>
        <w:trPr>
          <w:trHeight w:val="216"/>
        </w:trPr>
        <w:tc>
          <w:tcPr>
            <w:tcW w:w="7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859,069</w:t>
            </w:r>
          </w:p>
        </w:tc>
        <w:tc>
          <w:tcPr>
            <w:tcW w:w="1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2,333,530</w:t>
            </w:r>
          </w:p>
        </w:tc>
      </w:tr>
      <w:tr>
        <w:trPr>
          <w:trHeight w:val="216"/>
        </w:trPr>
        <w:tc>
          <w:tcPr>
            <w:tcW w:w="72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902,416</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2,380,847</w:t>
            </w:r>
          </w:p>
        </w:tc>
      </w:tr>
      <w:tr>
        <w:trPr>
          <w:trHeight w:val="216"/>
        </w:trPr>
        <w:tc>
          <w:tcPr>
            <w:tcW w:w="7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1,002,782</w:t>
            </w:r>
          </w:p>
        </w:tc>
        <w:tc>
          <w:tcPr>
            <w:tcW w:w="1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2,416,042</w:t>
            </w:r>
          </w:p>
        </w:tc>
      </w:tr>
      <w:tr>
        <w:trPr>
          <w:trHeight w:val="216"/>
        </w:trPr>
        <w:tc>
          <w:tcPr>
            <w:tcW w:w="72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742,584</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2,174,972</w:t>
            </w:r>
          </w:p>
        </w:tc>
      </w:tr>
      <w:tr>
        <w:trPr>
          <w:trHeight w:val="216"/>
        </w:trPr>
        <w:tc>
          <w:tcPr>
            <w:tcW w:w="73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Nine months ended September 30, 2021</w:t>
            </w:r>
          </w:p>
        </w:tc>
        <w:tc>
          <w:tcPr>
            <w:tcW w:w="2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818,341</w:t>
            </w:r>
          </w:p>
        </w:tc>
        <w:tc>
          <w:tcPr>
            <w:tcW w:w="1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2,184,142</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2021, we entered into arrangements with two non-affiliated entities for whom we originate certain receivables with the intention of selling them to the respective non-affiiliates. Depending on the program, we may or may not continue to service receivables after they are sold. Under these programs, we earn fees for originating the receivable and also servicing fees in the case where we retain the servicing. For the nine months ended September 30, 2021, we originated $23.7 million under these third-party programs. As of September 30, 2021, our managed portfolio includes $22.6 million of such third-party receivables.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 as we did during the year ended December 31, 2020 because of the uncertainty related to the pandemic.</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1994 we have conducted 90 term securitizations of automobile contracts that we originated. As of September 30, 2021, 20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and 2020, we closed only three term securitization transactions in each calendar year rather than four.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Our recent history of term securitizations is summarized in the table below:</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4000"/>
              <w:spacing w:after="0"/>
              <w:rPr>
                <w:sz w:val="20"/>
                <w:szCs w:val="20"/>
                <w:color w:val="auto"/>
              </w:rPr>
            </w:pPr>
            <w:r>
              <w:rPr>
                <w:rFonts w:ascii="Arial" w:cs="Arial" w:eastAsia="Arial" w:hAnsi="Arial"/>
                <w:sz w:val="18"/>
                <w:szCs w:val="18"/>
                <w:b w:val="1"/>
                <w:bCs w:val="1"/>
                <w:color w:val="auto"/>
                <w:w w:val="90"/>
              </w:rPr>
              <w:t>Recent Asset-Backed Term Securitizations</w:t>
            </w:r>
          </w:p>
        </w:tc>
        <w:tc>
          <w:tcPr>
            <w:tcW w:w="3920" w:type="dxa"/>
            <w:vAlign w:val="bottom"/>
            <w:gridSpan w:val="5"/>
            <w:vMerge w:val="restart"/>
          </w:tcPr>
          <w:p>
            <w:pPr>
              <w:ind w:left="1440"/>
              <w:spacing w:after="0"/>
              <w:rPr>
                <w:sz w:val="20"/>
                <w:szCs w:val="20"/>
                <w:color w:val="auto"/>
              </w:rPr>
            </w:pPr>
            <w:r>
              <w:rPr>
                <w:rFonts w:ascii="Arial" w:cs="Arial" w:eastAsia="Arial" w:hAnsi="Arial"/>
                <w:sz w:val="18"/>
                <w:szCs w:val="18"/>
                <w:i w:val="1"/>
                <w:iCs w:val="1"/>
                <w:color w:val="auto"/>
              </w:rPr>
              <w:t>$ in thousands</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Number of Term</w:t>
            </w:r>
          </w:p>
        </w:tc>
        <w:tc>
          <w:tcPr>
            <w:tcW w:w="19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2"/>
              </w:rPr>
              <w:t>Receivables Pledged in</w:t>
            </w:r>
          </w:p>
        </w:tc>
        <w:tc>
          <w:tcPr>
            <w:tcW w:w="0" w:type="dxa"/>
            <w:vAlign w:val="bottom"/>
          </w:tcPr>
          <w:p>
            <w:pPr>
              <w:spacing w:after="0"/>
              <w:rPr>
                <w:sz w:val="1"/>
                <w:szCs w:val="1"/>
                <w:color w:val="auto"/>
              </w:rPr>
            </w:pPr>
          </w:p>
        </w:tc>
      </w:tr>
      <w:tr>
        <w:trPr>
          <w:trHeight w:val="234"/>
        </w:trPr>
        <w:tc>
          <w:tcPr>
            <w:tcW w:w="7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Period</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Securitizations</w:t>
            </w:r>
          </w:p>
        </w:tc>
        <w:tc>
          <w:tcPr>
            <w:tcW w:w="10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Term Securitizations</w:t>
            </w: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EEEEEE"/>
            </w:tcBorders>
            <w:shd w:val="clear" w:color="auto" w:fill="EEEEEE"/>
          </w:tcPr>
          <w:p>
            <w:pPr>
              <w:spacing w:after="0"/>
              <w:rPr>
                <w:sz w:val="18"/>
                <w:szCs w:val="18"/>
                <w:color w:val="auto"/>
              </w:rPr>
            </w:pPr>
          </w:p>
        </w:tc>
        <w:tc>
          <w:tcPr>
            <w:tcW w:w="19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1,214,997</w:t>
            </w:r>
          </w:p>
        </w:tc>
        <w:tc>
          <w:tcPr>
            <w:tcW w:w="0" w:type="dxa"/>
            <w:vAlign w:val="bottom"/>
          </w:tcPr>
          <w:p>
            <w:pPr>
              <w:spacing w:after="0"/>
              <w:rPr>
                <w:sz w:val="1"/>
                <w:szCs w:val="1"/>
                <w:color w:val="auto"/>
              </w:rPr>
            </w:pPr>
          </w:p>
        </w:tc>
      </w:tr>
      <w:tr>
        <w:trPr>
          <w:trHeight w:val="216"/>
        </w:trPr>
        <w:tc>
          <w:tcPr>
            <w:tcW w:w="7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870,000</w:t>
            </w:r>
          </w:p>
        </w:tc>
        <w:tc>
          <w:tcPr>
            <w:tcW w:w="0" w:type="dxa"/>
            <w:vAlign w:val="bottom"/>
          </w:tcPr>
          <w:p>
            <w:pPr>
              <w:spacing w:after="0"/>
              <w:rPr>
                <w:sz w:val="1"/>
                <w:szCs w:val="1"/>
                <w:color w:val="auto"/>
              </w:rPr>
            </w:pPr>
          </w:p>
        </w:tc>
      </w:tr>
      <w:tr>
        <w:trPr>
          <w:trHeight w:val="216"/>
        </w:trPr>
        <w:tc>
          <w:tcPr>
            <w:tcW w:w="72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883,452</w:t>
            </w:r>
          </w:p>
        </w:tc>
        <w:tc>
          <w:tcPr>
            <w:tcW w:w="0" w:type="dxa"/>
            <w:vAlign w:val="bottom"/>
          </w:tcPr>
          <w:p>
            <w:pPr>
              <w:spacing w:after="0"/>
              <w:rPr>
                <w:sz w:val="1"/>
                <w:szCs w:val="1"/>
                <w:color w:val="auto"/>
              </w:rPr>
            </w:pPr>
          </w:p>
        </w:tc>
      </w:tr>
      <w:tr>
        <w:trPr>
          <w:trHeight w:val="216"/>
        </w:trPr>
        <w:tc>
          <w:tcPr>
            <w:tcW w:w="7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1,014,124</w:t>
            </w:r>
          </w:p>
        </w:tc>
        <w:tc>
          <w:tcPr>
            <w:tcW w:w="0" w:type="dxa"/>
            <w:vAlign w:val="bottom"/>
          </w:tcPr>
          <w:p>
            <w:pPr>
              <w:spacing w:after="0"/>
              <w:rPr>
                <w:sz w:val="1"/>
                <w:szCs w:val="1"/>
                <w:color w:val="auto"/>
              </w:rPr>
            </w:pPr>
          </w:p>
        </w:tc>
      </w:tr>
      <w:tr>
        <w:trPr>
          <w:trHeight w:val="216"/>
        </w:trPr>
        <w:tc>
          <w:tcPr>
            <w:tcW w:w="72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741,867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Nine months ended September 30, 2021</w:t>
            </w:r>
          </w:p>
        </w:tc>
        <w:tc>
          <w:tcPr>
            <w:tcW w:w="1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We previously had short-term funding capacity of $300 million, comprising three credit facilities. The first $100 million credit facility was established in May 2012. This facility was most recently renewed in December 2020, extending the revolving period to December 2022, with an optional amortization period through December 2023. In November 2015, we entered into another $100 million facility. This facility was renewed in November 2017 and again in December 2019, extending the revolving period to December 2021, followed by an amortization period to December 2023. In April 2015, we entered into a $100 million facility that was renewed in April 2017 and again in February 2019. We repaid the outstanding balance for this facility at its maturity date in February 2021 and elected not to renew it. We currently have short-term funding capacity of $200 million.</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2021,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2021 with the three months ended September 30, 2020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September 30, 2021, our revenues were $68.6 million, a decrease of $2.1 million, or 3.0%,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$70.7 million. The primary reason for the decrease in revenues is a decrease in interest income. Interest income for the three months ended September 30, 2021 decreased $5.6 million, or 7.7%, to $67.0 million from $72.6 million in the prior year. The primary reason for the decrease in interest income is the continued runoff of our legacy portfolio of finance receivables originated prior to January 2018, the average balance of which decreased by 51.0% from the prior period. The decrease in interest from that legacy portion of our portfolio was partially offset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three months ended September 30,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305,820</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16,067</w:t>
            </w:r>
          </w:p>
        </w:tc>
        <w:tc>
          <w:tcPr>
            <w:tcW w:w="15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624,532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29,775</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1,837,138</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50,951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1,646,022</w:t>
            </w:r>
          </w:p>
        </w:tc>
        <w:tc>
          <w:tcPr>
            <w:tcW w:w="18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42,807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2,142,958</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67,018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2,270,554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ind w:left="440"/>
              <w:spacing w:after="0"/>
              <w:rPr>
                <w:sz w:val="20"/>
                <w:szCs w:val="20"/>
                <w:color w:val="auto"/>
              </w:rPr>
            </w:pPr>
            <w:r>
              <w:rPr>
                <w:rFonts w:ascii="Arial" w:cs="Arial" w:eastAsia="Arial" w:hAnsi="Arial"/>
                <w:sz w:val="18"/>
                <w:szCs w:val="18"/>
                <w:color w:val="auto"/>
                <w:w w:val="83"/>
              </w:rPr>
              <w:t>72,582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Revenues for the three months ended September 30, 2020 are net of a mark down of $3.2 million to the recorded value of the finance receivables measured at fair value. The mark downs are estimates based on our evaluation of the appropriate fair value and future earnings rate of existing receivables compared to recently acquired receivables and our assessment of potential additional future net losses arising from the pandemic. Our evaluation of these finance receivables measured at fair value for the three months ended September 30, 2021 indicated that no adjustment was required for the period.</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Other income was $1.5 million for the three months ended September 30, 2021 compared to $1.2 million for the comparable period in 2020. This 24.9% increase was primarily driven by the origination and servicing fees we earned from third party receivables that began in May 2021. These fees were $495,000 for the quarter ended September 30,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were $49.0 million for the three months ended September 30, 2021, compared to $64.8 million for the prior period, a decrease of $15.8 million, or 24.3%. The decrease is primarily due to decreases in interest expense and provisions for credit losses.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were $18.2 million during the three months ended September 30, 2021 compared to $19.2 million for the same quarter in the prior year. The table below summarizes our employees by category as well as contract purchases and units in our managed portfolio as of, and for the three-month periods ended, September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8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5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(Dollars 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326.8</w:t>
            </w:r>
          </w:p>
        </w:tc>
        <w:tc>
          <w:tcPr>
            <w:tcW w:w="660" w:type="dxa"/>
            <w:vAlign w:val="bottom"/>
            <w:shd w:val="clear" w:color="auto" w:fill="EEEEEE"/>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14,741</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9,106</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2,184.1</w:t>
            </w:r>
          </w:p>
        </w:tc>
        <w:tc>
          <w:tcPr>
            <w:tcW w:w="660" w:type="dxa"/>
            <w:vAlign w:val="bottom"/>
            <w:shd w:val="clear" w:color="auto" w:fill="EEEEEE"/>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2,250.4</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156,456</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168,071</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30"/>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w:t>
            </w:r>
          </w:p>
        </w:tc>
        <w:tc>
          <w:tcPr>
            <w:tcW w:w="6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EEEEEE"/>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$7.5 million, a decrease from $7.8 million in the previous year and represented 15.2% of total operating expenses.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Interest expense for the three months ended September 30, 2021 were $18.3 million and represented 37.4% of total operating expenses, compared to $24.9 million in the previous year, when it was 38.4% of total operating expenses.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on securitization trust debt decreased by $6.3 million for the three months ended September 30, 2021 compared to the prior period. The average balance of securitization trust debt decreased to $1,819.8 million for the three months ended September 30, 2021 compared to $1,979.5 million for the three months ended September 30, 2020. In addition, the blended interest rates on new term securitizations have declined in 2020 and 2021. The annualized average rate on our securitization trust debt was 3.4% for the three months ended September 30, 2021 compared to 4.4%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5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Period</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39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460" w:type="dxa"/>
            <w:vAlign w:val="bottom"/>
            <w:tcBorders>
              <w:top w:val="single" w:sz="8" w:color="EEEEEE"/>
            </w:tcBorders>
            <w:shd w:val="clear" w:color="auto" w:fill="EEEEEE"/>
          </w:tcPr>
          <w:p>
            <w:pPr>
              <w:spacing w:after="0"/>
              <w:rPr>
                <w:sz w:val="18"/>
                <w:szCs w:val="18"/>
                <w:color w:val="auto"/>
              </w:rPr>
            </w:pPr>
          </w:p>
        </w:tc>
        <w:tc>
          <w:tcPr>
            <w:tcW w:w="3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April 2018</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90"/>
              </w:rPr>
              <w:t>July 2018</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October 2018</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4400" w:type="dxa"/>
            <w:vAlign w:val="bottom"/>
            <w:gridSpan w:val="2"/>
            <w:shd w:val="clear" w:color="auto" w:fill="EEEEEE"/>
          </w:tcPr>
          <w:p>
            <w:pPr>
              <w:jc w:val="center"/>
              <w:ind w:right="480"/>
              <w:spacing w:after="0"/>
              <w:rPr>
                <w:sz w:val="20"/>
                <w:szCs w:val="20"/>
                <w:color w:val="auto"/>
              </w:rPr>
            </w:pPr>
            <w:r>
              <w:rPr>
                <w:rFonts w:ascii="Arial" w:cs="Arial" w:eastAsia="Arial" w:hAnsi="Arial"/>
                <w:sz w:val="18"/>
                <w:szCs w:val="18"/>
                <w:color w:val="auto"/>
                <w:w w:val="87"/>
              </w:rPr>
              <w:t>January 2019</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April 2019</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90"/>
              </w:rPr>
              <w:t>July 2019</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October 2019</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4400" w:type="dxa"/>
            <w:vAlign w:val="bottom"/>
            <w:gridSpan w:val="2"/>
            <w:shd w:val="clear" w:color="auto" w:fill="EEEEEE"/>
          </w:tcPr>
          <w:p>
            <w:pPr>
              <w:jc w:val="center"/>
              <w:ind w:right="480"/>
              <w:spacing w:after="0"/>
              <w:rPr>
                <w:sz w:val="20"/>
                <w:szCs w:val="20"/>
                <w:color w:val="auto"/>
              </w:rPr>
            </w:pPr>
            <w:r>
              <w:rPr>
                <w:rFonts w:ascii="Arial" w:cs="Arial" w:eastAsia="Arial" w:hAnsi="Arial"/>
                <w:sz w:val="18"/>
                <w:szCs w:val="18"/>
                <w:color w:val="auto"/>
                <w:w w:val="87"/>
              </w:rPr>
              <w:t>January 2020</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June 2020</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88"/>
              </w:rPr>
              <w:t>September 2020</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440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January 2021</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96"/>
              </w:rPr>
              <w:t>April 2021</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30"/>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July 2021</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1.55%</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on warehouse credit line debt decreased by $928,000 to $929,000 for the three months ended September 30, 2021 compared to $1.9 million in the prior year period. The decrease was due to the lower utilization of our credit lines during the quarter compared to last year. The average balance of our warehouse debt was $39.4 million during the three months ended September 30, 2021 compared to $90.7 million for the same period in 2020.</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on subordinated renewable notes increased by $137,000. The average balance of the outstanding subordinated debt increased 36.1% to $26.9 million for the three months ended September 30, 2021 compared to $19.7 million for the three months ended September 30, 2020. The average yield of subordinated notes decreased to 10.4% in the three-month period ended September 30, 2021 compared to 11.4% in the prior period.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2018 and June 2021, we completed two residual interest financings of our residual interests from previously issued securitizations in the amounts of $40.0 million and $50.0 million, respectively. Interest expense on these residual interest financings was $1.4 million for the three months ended September 30, 2021 compared to $876,000 in the prior year period.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3"/>
            <w:vMerge w:val="restart"/>
          </w:tcPr>
          <w:p>
            <w:pPr>
              <w:jc w:val="center"/>
              <w:ind w:right="800"/>
              <w:spacing w:after="0"/>
              <w:rPr>
                <w:sz w:val="20"/>
                <w:szCs w:val="20"/>
                <w:color w:val="auto"/>
              </w:rPr>
            </w:pPr>
            <w:r>
              <w:rPr>
                <w:rFonts w:ascii="Arial" w:cs="Arial" w:eastAsia="Arial" w:hAnsi="Arial"/>
                <w:sz w:val="18"/>
                <w:szCs w:val="18"/>
                <w:b w:val="1"/>
                <w:bCs w:val="1"/>
                <w:color w:val="auto"/>
                <w:w w:val="89"/>
              </w:rPr>
              <w:t>Interest Earning Assets</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305,820</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16,067</w:t>
            </w:r>
          </w:p>
        </w:tc>
        <w:tc>
          <w:tcPr>
            <w:tcW w:w="15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624,532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29,775</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28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1,837,138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50,951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1,646,022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42,807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5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2,142,958</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67,018</w:t>
            </w:r>
          </w:p>
        </w:tc>
        <w:tc>
          <w:tcPr>
            <w:tcW w:w="1580" w:type="dxa"/>
            <w:vAlign w:val="bottom"/>
            <w:tcBorders>
              <w:top w:val="single" w:sz="8" w:color="EEEEEE"/>
            </w:tcBorders>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2,270,554</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72,582</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274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2"/>
              </w:rPr>
              <w:t>Interest Bearing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39,447</w:t>
            </w:r>
          </w:p>
        </w:tc>
        <w:tc>
          <w:tcPr>
            <w:tcW w:w="180" w:type="dxa"/>
            <w:vAlign w:val="bottom"/>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929</w:t>
            </w:r>
          </w:p>
        </w:tc>
        <w:tc>
          <w:tcPr>
            <w:tcW w:w="15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90,697</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1,857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66,824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36,407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1,819,789</w:t>
            </w:r>
          </w:p>
        </w:tc>
        <w:tc>
          <w:tcPr>
            <w:tcW w:w="180" w:type="dxa"/>
            <w:vAlign w:val="bottom"/>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15,292</w:t>
            </w:r>
          </w:p>
        </w:tc>
        <w:tc>
          <w:tcPr>
            <w:tcW w:w="15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1,979,491</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21,605</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2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26,868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19,737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EEEEEE"/>
            </w:tcBorders>
            <w:shd w:val="clear" w:color="auto" w:fill="000000"/>
          </w:tcPr>
          <w:p>
            <w:pPr>
              <w:spacing w:after="0" w:line="20" w:lineRule="exact"/>
              <w:rPr>
                <w:sz w:val="1"/>
                <w:szCs w:val="1"/>
                <w:color w:val="auto"/>
              </w:rPr>
            </w:pPr>
          </w:p>
        </w:tc>
        <w:tc>
          <w:tcPr>
            <w:tcW w:w="1580" w:type="dxa"/>
            <w:vAlign w:val="bottom"/>
            <w:gridSpan w:val="3"/>
            <w:vMerge w:val="restart"/>
            <w:shd w:val="clear" w:color="auto" w:fill="EEEEEE"/>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37"/>
        </w:trPr>
        <w:tc>
          <w:tcPr>
            <w:tcW w:w="5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1,952,928</w:t>
            </w:r>
          </w:p>
        </w:tc>
        <w:tc>
          <w:tcPr>
            <w:tcW w:w="180" w:type="dxa"/>
            <w:vAlign w:val="bottom"/>
            <w:shd w:val="clear" w:color="auto" w:fill="EEEEEE"/>
          </w:tcPr>
          <w:p>
            <w:pPr>
              <w:spacing w:after="0"/>
              <w:rPr>
                <w:sz w:val="20"/>
                <w:szCs w:val="20"/>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18,334</w:t>
            </w:r>
          </w:p>
        </w:tc>
        <w:tc>
          <w:tcPr>
            <w:tcW w:w="1580" w:type="dxa"/>
            <w:vAlign w:val="bottom"/>
            <w:gridSpan w:val="3"/>
            <w:vMerge w:val="continue"/>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2,126,332</w:t>
            </w: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24,901</w:t>
            </w:r>
          </w:p>
        </w:tc>
        <w:tc>
          <w:tcPr>
            <w:tcW w:w="22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6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48,684</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47,681</w:t>
            </w:r>
          </w:p>
        </w:tc>
        <w:tc>
          <w:tcPr>
            <w:tcW w:w="22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Arial" w:cs="Arial" w:eastAsia="Arial" w:hAnsi="Arial"/>
                <w:sz w:val="18"/>
                <w:szCs w:val="18"/>
                <w:color w:val="auto"/>
              </w:rPr>
              <w:t>Net interest yield (3)</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97"/>
        </w:trPr>
        <w:tc>
          <w:tcPr>
            <w:tcW w:w="32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 assets to</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tcBorders>
              <w:right w:val="single" w:sz="8" w:color="EEEEEE"/>
            </w:tcBorders>
            <w:shd w:val="clear" w:color="auto" w:fill="EEEEEE"/>
          </w:tcPr>
          <w:p>
            <w:pPr>
              <w:spacing w:after="0"/>
              <w:rPr>
                <w:sz w:val="20"/>
                <w:szCs w:val="20"/>
                <w:color w:val="auto"/>
              </w:rPr>
            </w:pPr>
          </w:p>
        </w:tc>
        <w:tc>
          <w:tcPr>
            <w:tcW w:w="15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29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60" w:hanging="29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29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Three Months Ended September 30, 2021</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Compared to September 30, 2020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82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20" w:type="dxa"/>
            <w:vAlign w:val="bottom"/>
            <w:gridSpan w:val="2"/>
          </w:tcPr>
          <w:p>
            <w:pPr>
              <w:jc w:val="center"/>
              <w:ind w:right="270"/>
              <w:spacing w:after="0" w:line="205" w:lineRule="exact"/>
              <w:rPr>
                <w:sz w:val="20"/>
                <w:szCs w:val="20"/>
                <w:color w:val="auto"/>
              </w:rPr>
            </w:pPr>
            <w:r>
              <w:rPr>
                <w:rFonts w:ascii="Arial" w:cs="Arial" w:eastAsia="Arial" w:hAnsi="Arial"/>
                <w:sz w:val="18"/>
                <w:szCs w:val="18"/>
                <w:b w:val="1"/>
                <w:bCs w:val="1"/>
                <w:color w:val="auto"/>
                <w:w w:val="89"/>
              </w:rPr>
              <w:t>Change Due</w:t>
            </w:r>
          </w:p>
        </w:tc>
        <w:tc>
          <w:tcPr>
            <w:tcW w:w="300" w:type="dxa"/>
            <w:vAlign w:val="bottom"/>
          </w:tcPr>
          <w:p>
            <w:pPr>
              <w:spacing w:after="0"/>
              <w:rPr>
                <w:sz w:val="17"/>
                <w:szCs w:val="17"/>
                <w:color w:val="auto"/>
              </w:rPr>
            </w:pPr>
          </w:p>
        </w:tc>
        <w:tc>
          <w:tcPr>
            <w:tcW w:w="12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to Volume</w:t>
            </w:r>
          </w:p>
        </w:tc>
        <w:tc>
          <w:tcPr>
            <w:tcW w:w="30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3"/>
            <w:vMerge w:val="restart"/>
          </w:tcPr>
          <w:p>
            <w:pPr>
              <w:jc w:val="center"/>
              <w:ind w:right="940"/>
              <w:spacing w:after="0"/>
              <w:rPr>
                <w:sz w:val="20"/>
                <w:szCs w:val="20"/>
                <w:color w:val="auto"/>
              </w:rPr>
            </w:pPr>
            <w:r>
              <w:rPr>
                <w:rFonts w:ascii="Arial" w:cs="Arial" w:eastAsia="Arial" w:hAnsi="Arial"/>
                <w:sz w:val="18"/>
                <w:szCs w:val="18"/>
                <w:b w:val="1"/>
                <w:bCs w:val="1"/>
                <w:color w:val="auto"/>
                <w:w w:val="88"/>
              </w:rPr>
              <w:t>Interest Earning Assets</w:t>
            </w:r>
          </w:p>
        </w:tc>
        <w:tc>
          <w:tcPr>
            <w:tcW w:w="1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52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(13,708)</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(15,161)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0"/>
        </w:trPr>
        <w:tc>
          <w:tcPr>
            <w:tcW w:w="476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8,144</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4,929</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09"/>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(5,564)</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(10,232)</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2860" w:type="dxa"/>
            <w:vAlign w:val="bottom"/>
            <w:gridSpan w:val="4"/>
          </w:tcPr>
          <w:p>
            <w:pPr>
              <w:jc w:val="center"/>
              <w:ind w:right="8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7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(6,313)</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(1,764)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30"/>
        </w:trPr>
        <w:tc>
          <w:tcPr>
            <w:tcW w:w="47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(6,567)</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0" w:type="dxa"/>
            <w:vAlign w:val="bottom"/>
            <w:tcBorders>
              <w:bottom w:val="single" w:sz="8" w:color="EEEEEE"/>
            </w:tcBorders>
          </w:tcPr>
          <w:p>
            <w:pPr>
              <w:spacing w:after="0"/>
              <w:rPr>
                <w:sz w:val="19"/>
                <w:szCs w:val="19"/>
                <w:color w:val="auto"/>
              </w:rPr>
            </w:pPr>
          </w:p>
        </w:tc>
        <w:tc>
          <w:tcPr>
            <w:tcW w:w="1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2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(8,347</w:t>
            </w:r>
          </w:p>
        </w:tc>
        <w:tc>
          <w:tcPr>
            <w:tcW w:w="220" w:type="dxa"/>
            <w:vAlign w:val="bottom"/>
            <w:tcBorders>
              <w:bottom w:val="single" w:sz="8" w:color="EEEEEE"/>
            </w:tcBorders>
            <w:shd w:val="clear" w:color="auto" w:fill="EEEEEE"/>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September 30,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$1,837.1 million for the three months ended September 30, 2021 compared to $1,646.0 million in the prior year period.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upon its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September 30, 2021, we recorded a reduction to provision for credit losses on finance receivables in the amount of $1.6 million. The reserve decrease was primarily due to a decrease in lifetime expected credit losses resulting from improved credit performance. Provision for credit losses was $7.4 million for the three months ended September 30, 2020. That provision represented our estimate in 2020 of additional forecasted losses that might be incurred as a result of the pandemic in our portfolio of finance receivables. Such losses were not considered in our initial estimate of remaining lifetime losses that we recorded upon our adoption of CECL in January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evaluation of the allowance for credit losses indicated that the reserves against future losses are adequate as of September 30, 2021. Although we have not yet seen a deterioration in the credit performance for these receivables as a result of the pandemic, we expect that the absence of any additional government stimulus payments, the expiration of the eviction moratorium and a reversion to the mean for used car pricing could negatively affect credit performance in the future.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$1.1 million to $4.3 million during the three months ended September 30, 2021 and represented 8.7% of total operating expenses. We purchased $326.8 million of new contracts during the three months ended September 30, 2021 compared to $174.0 million in the prior year period. In our second quarter of 2020, we experienced a significant reduction in contract purchases due to the pandemic and partial shutdown of the economy. Since then, our contract purchase volumes have gradually increased to pre-pandemic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was $2.0 million for the three months ending September 30, 2021 compared to $1.8 million in the prior year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decreased to $409,000 compared to $438,000 in the previous year and represented 0.8% of total operating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2021, we recorded income tax expense of $5.9 million, representing a 30% effective tax rate. In the prior period, our income tax expense was $2.1 million, representing a 36% effective tax rate.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2021 with the nine months ended September 30, 2020</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nine months ended September 30, 2021, our revenues were $198.4 million, a decrease of $10.3 million, or 4.9%,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$208.7 million. The primary reason for the decrease in revenues is a decrease in interest income. Interest income for the nine months ended September 30, 2021 decreased $28.7 million, or 12.6%, to $198.6 million from $227.3 million in the prior year. The primary reason for the decrease in interest income is the continued runoff of our legacy portfolio of finance receivables originated prior to January 2018, the average balance of which decreased by 44.4% from the prior period. The decrease in interest from that legacy portion of our portfolio was partially offset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nine months ended September 30, 2021 and 2020:</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0" w:firstLine="1012"/>
        <w:spacing w:after="0" w:line="261" w:lineRule="auto"/>
        <w:rPr>
          <w:sz w:val="20"/>
          <w:szCs w:val="20"/>
          <w:color w:val="auto"/>
        </w:rPr>
      </w:pPr>
      <w:r>
        <w:rPr>
          <w:rFonts w:ascii="Arial" w:cs="Arial" w:eastAsia="Arial" w:hAnsi="Arial"/>
          <w:sz w:val="18"/>
          <w:szCs w:val="18"/>
          <w:b w:val="1"/>
          <w:bCs w:val="1"/>
          <w:u w:val="single" w:color="auto"/>
          <w:color w:val="auto"/>
        </w:rPr>
        <w:t xml:space="preserve">Interest Earning Assets </w:t>
      </w:r>
      <w:r>
        <w:rPr>
          <w:rFonts w:ascii="Arial" w:cs="Arial" w:eastAsia="Arial" w:hAnsi="Arial"/>
          <w:sz w:val="18"/>
          <w:szCs w:val="18"/>
          <w:color w:val="auto"/>
        </w:rPr>
        <w:t>Finance receivables</w:t>
      </w:r>
    </w:p>
    <w:p>
      <w:pPr>
        <w:ind w:right="140"/>
        <w:spacing w:after="0" w:line="276" w:lineRule="auto"/>
        <w:rPr>
          <w:sz w:val="20"/>
          <w:szCs w:val="20"/>
          <w:color w:val="auto"/>
        </w:rPr>
      </w:pPr>
      <w:r>
        <w:rPr>
          <w:rFonts w:ascii="Arial" w:cs="Arial" w:eastAsia="Arial" w:hAnsi="Arial"/>
          <w:sz w:val="18"/>
          <w:szCs w:val="18"/>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r>
      <w:tr>
        <w:trPr>
          <w:trHeight w:val="191"/>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2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Interest</w:t>
            </w:r>
          </w:p>
        </w:tc>
      </w:tr>
      <w:tr>
        <w:trPr>
          <w:trHeight w:val="234"/>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Balance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Interest</w:t>
            </w:r>
          </w:p>
        </w:tc>
        <w:tc>
          <w:tcPr>
            <w:tcW w:w="24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Yield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Interest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Yield</w:t>
            </w:r>
          </w:p>
        </w:tc>
      </w:tr>
      <w:tr>
        <w:trPr>
          <w:trHeight w:val="425"/>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375,642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56,669</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20.1%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734,195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101,998</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1,757,787</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141,882</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1,619,399</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125,273</w:t>
            </w: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2,133,429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198,551</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12.4%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2,353,594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227,271</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-462280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-179070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800" w:right="339" w:bottom="1440" w:gutter="0" w:footer="0" w:header="0"/>
          <w:type w:val="continuous"/>
        </w:sectPr>
      </w:pP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for the nine months ended September 30, 2021 and 2020 are net of a mark downs of $4.4 million and $23.1 million, respectively, to the recorded value of the finance receivables measured at fair value. The mark downs are estimates based on our evaluation of the appropriate fair value and future earnings rate of existing receivables compared to recently acquired receivables and our assessment of potential additional future net losses arising from the pandemic.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Other income was $4.3 million for the nine months ended September 30, 2021 compared to $4.5 million for the nine months ended September 30, 2020.</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33" w:name="page34"/>
    <w:bookmarkEnd w:id="33"/>
    <w:p>
      <w:pPr>
        <w:jc w:val="both"/>
        <w:spacing w:after="0" w:line="308" w:lineRule="auto"/>
        <w:rPr>
          <w:sz w:val="20"/>
          <w:szCs w:val="20"/>
          <w:color w:val="auto"/>
        </w:rPr>
      </w:pPr>
      <w:r>
        <w:rPr>
          <w:rFonts w:ascii="Arial" w:cs="Arial" w:eastAsia="Arial" w:hAnsi="Arial"/>
          <w:sz w:val="17"/>
          <w:szCs w:val="17"/>
          <w:color w:val="auto"/>
        </w:rPr>
        <w:t>Total operating expenses were $157.1 million for the nine months ended September 30, 2021, compared to $195.1 million for the prior period, a decrease of $38.0 million, or 19.5%. The decrease is primarily due to decreases in interest expense, provisions for credit losses and employee costs.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decreased by $3.0 million or 5.0%, to $57.8 million during the nine months ended September 30, 2021, representing 36.8% of operating expenses, from $60.8 million for the prior year. The table below summarizes our employees by category as well as contract purchases and units in our managed portfolio as of, and for the nine-month periods ended, September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80" w:type="dxa"/>
            <w:vAlign w:val="bottom"/>
            <w:gridSpan w:val="7"/>
          </w:tcPr>
          <w:p>
            <w:pPr>
              <w:ind w:left="4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5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(Dollars 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818.3</w:t>
            </w:r>
          </w:p>
        </w:tc>
        <w:tc>
          <w:tcPr>
            <w:tcW w:w="660" w:type="dxa"/>
            <w:vAlign w:val="bottom"/>
            <w:shd w:val="clear" w:color="auto" w:fill="EEEEEE"/>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575.9</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39,929</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31,475</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2,184.1</w:t>
            </w:r>
          </w:p>
        </w:tc>
        <w:tc>
          <w:tcPr>
            <w:tcW w:w="660" w:type="dxa"/>
            <w:vAlign w:val="bottom"/>
            <w:shd w:val="clear" w:color="auto" w:fill="EEEEEE"/>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2,250.4</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156,456</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168,071</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29"/>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w:t>
            </w:r>
          </w:p>
        </w:tc>
        <w:tc>
          <w:tcPr>
            <w:tcW w:w="6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EEEEEE"/>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$23.0 million, a decrease from $24.4 million in the previous year and represented 14.7% of total operating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nine months ended September 30, 2021 were $58.3 million and represented 37.1% of total operating expenses, compared to $78.4 million in the previous year, when it was 40.2% of total operating expenses.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on securitization trust debt decreased by $17.2 million for the nine months ended September 30, 2021 compared to the prior period. The average balance of securitization trust debt decreased to $1,842.7 million for the nine months ended September 30, 2021 compared to $2,058.1 million for the nine months ended September 30, 2020. In addition, the blended interest rates on new term securitizations have declined in 2020 and 2021. The annualized average rate on our securitization trust debt was 3.7% for the nine months ended September 30, 2021 compared to 4.4%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5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Period</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39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460" w:type="dxa"/>
            <w:vAlign w:val="bottom"/>
            <w:tcBorders>
              <w:top w:val="single" w:sz="8" w:color="EEEEEE"/>
            </w:tcBorders>
            <w:shd w:val="clear" w:color="auto" w:fill="EEEEEE"/>
          </w:tcPr>
          <w:p>
            <w:pPr>
              <w:spacing w:after="0"/>
              <w:rPr>
                <w:sz w:val="18"/>
                <w:szCs w:val="18"/>
                <w:color w:val="auto"/>
              </w:rPr>
            </w:pPr>
          </w:p>
        </w:tc>
        <w:tc>
          <w:tcPr>
            <w:tcW w:w="3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April 2018</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90"/>
              </w:rPr>
              <w:t>July 2018</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October 2018</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4400" w:type="dxa"/>
            <w:vAlign w:val="bottom"/>
            <w:gridSpan w:val="2"/>
            <w:shd w:val="clear" w:color="auto" w:fill="EEEEEE"/>
          </w:tcPr>
          <w:p>
            <w:pPr>
              <w:jc w:val="center"/>
              <w:ind w:right="480"/>
              <w:spacing w:after="0"/>
              <w:rPr>
                <w:sz w:val="20"/>
                <w:szCs w:val="20"/>
                <w:color w:val="auto"/>
              </w:rPr>
            </w:pPr>
            <w:r>
              <w:rPr>
                <w:rFonts w:ascii="Arial" w:cs="Arial" w:eastAsia="Arial" w:hAnsi="Arial"/>
                <w:sz w:val="18"/>
                <w:szCs w:val="18"/>
                <w:color w:val="auto"/>
                <w:w w:val="87"/>
              </w:rPr>
              <w:t>January 2019</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April 2019</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90"/>
              </w:rPr>
              <w:t>July 2019</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October 2019</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4400" w:type="dxa"/>
            <w:vAlign w:val="bottom"/>
            <w:gridSpan w:val="2"/>
            <w:shd w:val="clear" w:color="auto" w:fill="EEEEEE"/>
          </w:tcPr>
          <w:p>
            <w:pPr>
              <w:jc w:val="center"/>
              <w:ind w:right="480"/>
              <w:spacing w:after="0"/>
              <w:rPr>
                <w:sz w:val="20"/>
                <w:szCs w:val="20"/>
                <w:color w:val="auto"/>
              </w:rPr>
            </w:pPr>
            <w:r>
              <w:rPr>
                <w:rFonts w:ascii="Arial" w:cs="Arial" w:eastAsia="Arial" w:hAnsi="Arial"/>
                <w:sz w:val="18"/>
                <w:szCs w:val="18"/>
                <w:color w:val="auto"/>
                <w:w w:val="87"/>
              </w:rPr>
              <w:t>January 2020</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June 2020</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88"/>
              </w:rPr>
              <w:t>September 2020</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440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January 2021</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440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auto"/>
                <w:w w:val="96"/>
              </w:rPr>
              <w:t>April 2021</w:t>
            </w:r>
          </w:p>
        </w:tc>
        <w:tc>
          <w:tcPr>
            <w:tcW w:w="3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30"/>
        </w:trPr>
        <w:tc>
          <w:tcPr>
            <w:tcW w:w="44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July 2021</w:t>
            </w: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1.55%</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on warehouse credit line debt decreased by $3.0 million to $3.3 million for the nine months ended September 30, 2021 compared to $6.3 million in the prior year period. The decrease was primarily due to the lower utilization of our credit lines during the quarter compared to last year. The average balance of our warehouse debt was $46.7 million during the nine months ended September 30, 2021 compared to $107.4 million for the same period in 2020.</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on subordinated renewable notes increased by $401,000. The average balance of the outstanding subordinated debt increased 30.7% to $24.6 million for the nine months ended September 30, 2021 compared to $18.8 million for the nine months ended September 30, 2020. The average yield of subordinated notes decreased to 10.7% in the nine-month period ended September 30, 2021 compared to 11.2% in the prior period.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2018 and June 2021, we completed two residual interest financings of our residual interests from previously issued securitizations in the amounts of $40.0 million and $50.0 million, respectively. Interest expense on these residual interest financings was $2.4 million for the nine months ended September 30, 2021 compared to $2.7 million in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Nine Months Ended September 30,</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520"/>
              <w:spacing w:after="0" w:line="191" w:lineRule="exact"/>
              <w:rPr>
                <w:sz w:val="20"/>
                <w:szCs w:val="20"/>
                <w:color w:val="auto"/>
              </w:rPr>
            </w:pPr>
            <w:r>
              <w:rPr>
                <w:rFonts w:ascii="Arial" w:cs="Arial" w:eastAsia="Arial" w:hAnsi="Arial"/>
                <w:sz w:val="18"/>
                <w:szCs w:val="18"/>
                <w:b w:val="1"/>
                <w:bCs w:val="1"/>
                <w:color w:val="auto"/>
                <w:w w:val="99"/>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060" w:type="dxa"/>
            <w:vAlign w:val="bottom"/>
            <w:gridSpan w:val="4"/>
            <w:vMerge w:val="restart"/>
          </w:tcPr>
          <w:p>
            <w:pPr>
              <w:jc w:val="center"/>
              <w:ind w:right="980"/>
              <w:spacing w:after="0"/>
              <w:rPr>
                <w:sz w:val="20"/>
                <w:szCs w:val="20"/>
                <w:color w:val="auto"/>
              </w:rPr>
            </w:pPr>
            <w:r>
              <w:rPr>
                <w:rFonts w:ascii="Arial" w:cs="Arial" w:eastAsia="Arial" w:hAnsi="Arial"/>
                <w:sz w:val="18"/>
                <w:szCs w:val="18"/>
                <w:b w:val="1"/>
                <w:bCs w:val="1"/>
                <w:color w:val="auto"/>
                <w:w w:val="89"/>
              </w:rPr>
              <w:t>Interest Earning Assets</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Interest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Yield/Rate</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Balance (1)</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375,642</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56,669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734,195</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101,998</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394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1,757,787</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141,882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1,619,399</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125,273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8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2,133,429</w:t>
            </w: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198,551</w:t>
            </w:r>
          </w:p>
        </w:tc>
        <w:tc>
          <w:tcPr>
            <w:tcW w:w="24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2,353,594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227,271</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92"/>
        </w:trPr>
        <w:tc>
          <w:tcPr>
            <w:tcW w:w="39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Interest Bearing Liabilities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46,709</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3,265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107,388</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6,294</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9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36,101</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37,959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2,734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1,842,694</w:t>
            </w:r>
          </w:p>
        </w:tc>
        <w:tc>
          <w:tcPr>
            <w:tcW w:w="1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50,568</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2,058,110</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67,770</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9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1,981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18,847</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36"/>
        </w:trPr>
        <w:tc>
          <w:tcPr>
            <w:tcW w:w="8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1,950,141</w:t>
            </w: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58,260</w:t>
            </w:r>
          </w:p>
        </w:tc>
        <w:tc>
          <w:tcPr>
            <w:tcW w:w="24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2,222,304</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78,378</w:t>
            </w:r>
          </w:p>
        </w:tc>
        <w:tc>
          <w:tcPr>
            <w:tcW w:w="220" w:type="dxa"/>
            <w:vAlign w:val="bottom"/>
            <w:vMerge w:val="continue"/>
            <w:shd w:val="clear" w:color="auto" w:fill="EEEEEE"/>
          </w:tcPr>
          <w:p>
            <w:pPr>
              <w:spacing w:after="0"/>
              <w:rPr>
                <w:sz w:val="20"/>
                <w:szCs w:val="20"/>
                <w:color w:val="auto"/>
              </w:rPr>
            </w:pPr>
          </w:p>
        </w:tc>
        <w:tc>
          <w:tcPr>
            <w:tcW w:w="110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140,291</w:t>
            </w:r>
          </w:p>
        </w:tc>
        <w:tc>
          <w:tcPr>
            <w:tcW w:w="24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148,893</w:t>
            </w:r>
          </w:p>
        </w:tc>
        <w:tc>
          <w:tcPr>
            <w:tcW w:w="2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5"/>
            <w:vMerge w:val="restart"/>
          </w:tcPr>
          <w:p>
            <w:pPr>
              <w:spacing w:after="0"/>
              <w:rPr>
                <w:sz w:val="20"/>
                <w:szCs w:val="20"/>
                <w:color w:val="auto"/>
              </w:rPr>
            </w:pPr>
            <w:r>
              <w:rPr>
                <w:rFonts w:ascii="Arial" w:cs="Arial" w:eastAsia="Arial" w:hAnsi="Arial"/>
                <w:sz w:val="18"/>
                <w:szCs w:val="18"/>
                <w:color w:val="auto"/>
              </w:rPr>
              <w:t>Net interest yield (3)</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96"/>
        </w:trPr>
        <w:tc>
          <w:tcPr>
            <w:tcW w:w="39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 assets to average</w:t>
            </w: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29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60" w:hanging="29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29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Nine Months Ended September 30, 2021</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Compared to September 30, 2020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741"/>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20" w:type="dxa"/>
            <w:vAlign w:val="bottom"/>
            <w:gridSpan w:val="2"/>
          </w:tcPr>
          <w:p>
            <w:pPr>
              <w:jc w:val="center"/>
              <w:ind w:right="270"/>
              <w:spacing w:after="0" w:line="205" w:lineRule="exact"/>
              <w:rPr>
                <w:sz w:val="20"/>
                <w:szCs w:val="20"/>
                <w:color w:val="auto"/>
              </w:rPr>
            </w:pPr>
            <w:r>
              <w:rPr>
                <w:rFonts w:ascii="Arial" w:cs="Arial" w:eastAsia="Arial" w:hAnsi="Arial"/>
                <w:sz w:val="18"/>
                <w:szCs w:val="18"/>
                <w:b w:val="1"/>
                <w:bCs w:val="1"/>
                <w:color w:val="auto"/>
                <w:w w:val="89"/>
              </w:rPr>
              <w:t>Change Due</w:t>
            </w:r>
          </w:p>
        </w:tc>
        <w:tc>
          <w:tcPr>
            <w:tcW w:w="300" w:type="dxa"/>
            <w:vAlign w:val="bottom"/>
          </w:tcPr>
          <w:p>
            <w:pPr>
              <w:spacing w:after="0"/>
              <w:rPr>
                <w:sz w:val="17"/>
                <w:szCs w:val="17"/>
                <w:color w:val="auto"/>
              </w:rPr>
            </w:pPr>
          </w:p>
        </w:tc>
        <w:tc>
          <w:tcPr>
            <w:tcW w:w="12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to Volume</w:t>
            </w:r>
          </w:p>
        </w:tc>
        <w:tc>
          <w:tcPr>
            <w:tcW w:w="30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40" w:type="dxa"/>
            <w:vAlign w:val="bottom"/>
            <w:gridSpan w:val="3"/>
            <w:vMerge w:val="restart"/>
          </w:tcPr>
          <w:p>
            <w:pPr>
              <w:jc w:val="center"/>
              <w:ind w:right="2160"/>
              <w:spacing w:after="0"/>
              <w:rPr>
                <w:sz w:val="20"/>
                <w:szCs w:val="20"/>
                <w:color w:val="auto"/>
              </w:rPr>
            </w:pPr>
            <w:r>
              <w:rPr>
                <w:rFonts w:ascii="Arial" w:cs="Arial" w:eastAsia="Arial" w:hAnsi="Arial"/>
                <w:sz w:val="18"/>
                <w:szCs w:val="18"/>
                <w:b w:val="1"/>
                <w:bCs w:val="1"/>
                <w:color w:val="auto"/>
                <w:w w:val="88"/>
              </w:rPr>
              <w:t>Interest Earning Assets</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300" w:type="dxa"/>
            <w:vAlign w:val="bottom"/>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(45,329)</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(51,307)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29"/>
        </w:trPr>
        <w:tc>
          <w:tcPr>
            <w:tcW w:w="598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300" w:type="dxa"/>
            <w:vAlign w:val="bottom"/>
          </w:tcPr>
          <w:p>
            <w:pPr>
              <w:spacing w:after="0"/>
              <w:rPr>
                <w:sz w:val="19"/>
                <w:szCs w:val="19"/>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16,609</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8,738</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10"/>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(28,720)</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(42,569)</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13,849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4080" w:type="dxa"/>
            <w:vAlign w:val="bottom"/>
            <w:gridSpan w:val="4"/>
          </w:tcPr>
          <w:p>
            <w:pPr>
              <w:jc w:val="center"/>
              <w:ind w:right="202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(3,029)</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(3,732)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59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(17,202)</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(3,724)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(13,478)</w:t>
            </w:r>
          </w:p>
        </w:tc>
        <w:tc>
          <w:tcPr>
            <w:tcW w:w="0" w:type="dxa"/>
            <w:vAlign w:val="bottom"/>
          </w:tcPr>
          <w:p>
            <w:pPr>
              <w:spacing w:after="0"/>
              <w:rPr>
                <w:sz w:val="1"/>
                <w:szCs w:val="1"/>
                <w:color w:val="auto"/>
              </w:rPr>
            </w:pPr>
          </w:p>
        </w:tc>
      </w:tr>
      <w:tr>
        <w:trPr>
          <w:trHeight w:val="230"/>
        </w:trPr>
        <w:tc>
          <w:tcPr>
            <w:tcW w:w="59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tcPr>
          <w:p>
            <w:pPr>
              <w:spacing w:after="0"/>
              <w:rPr>
                <w:sz w:val="19"/>
                <w:szCs w:val="19"/>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(20,118)</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(7,025)</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0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300" w:type="dxa"/>
            <w:vAlign w:val="bottom"/>
            <w:tcBorders>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(8,602</w:t>
            </w:r>
          </w:p>
        </w:tc>
        <w:tc>
          <w:tcPr>
            <w:tcW w:w="220" w:type="dxa"/>
            <w:vAlign w:val="bottom"/>
            <w:tcBorders>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(35,544</w:t>
            </w:r>
          </w:p>
        </w:tc>
        <w:tc>
          <w:tcPr>
            <w:tcW w:w="220" w:type="dxa"/>
            <w:vAlign w:val="bottom"/>
            <w:tcBorders>
              <w:bottom w:val="single" w:sz="8" w:color="EEEEEE"/>
            </w:tcBorders>
            <w:shd w:val="clear" w:color="auto" w:fill="EEEEEE"/>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26,942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nine months ended September 30,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$1,757.8 million for the nine months ended September 30, 2021 compared to $1,619.4 million in the prior year period.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upon its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nine months ended September 30, 2021, we recorded a reduction to provision for credit losses on finance receivables in the amount of $1.6 million. The reserve decrease was primarily due to a decrease in lifetime expected credit losses resulting from improved credit performance. Provision for credit losses was $14.1 million for the nine months ended September 30, 2020. That provision represented our estimate in 2020 of additional forecasted losses that might be incurred as a result of the pandemic on our portfolio of finance receivables. Such losses were not considered in our initial estimate of remaining lifetime losses that we recorded upon our adoption of CECL in January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evaluation of the allowance for credit losses indicated that the reserves against future losses are adequate as of September 30, 2021. Although we have not yet seen a deterioration in the credit performance for these receivables as a result of the pandemic, we expect that the absence of any additional government stimulus payments, the expiration of the eviction moratorium and a reversion to the mean for used car pricing could negatively affect credit performance in the future.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$1.8 million to $12.5 million during the nine months ended September 30, 2021 and represented 7.9% of total operating expenses. We purchased $818.3 million of new contracts during the nine months ended September 30, 2021 compared to $575.9 million in the prior year period. In our second quarter of 2020, we experienced a significant reduction in contract purchases due to the pandemic and partial shutdown of the economy. Since then, our contract purchase volumes have gradually increased to pre-pandemic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was $5.9 million for the nine months ending September 30, 2021 compared to $5.4 million in the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expenses decreased by $90,000 to $1.3 million and represented 0.8% of total operating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2021 we recorded income tax expense of $12.8 million, representing a 31% effective tax rate. For the nine months ended September 30, 2020, we recorded a net income tax benefit of $3.9 million.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for the nine months ended September 30, 2020 would have been $4.9 million, representing an effective income tax rate of 36%.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Experience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Recent effects of the pandemic include higher volumes of payment extensions requested by our customers and, in some states, temporary suspension of our rights to repossess automobiles. The pandemic may have a negative effect on our delinquency and charge off experience in the future, which is not yet reflected in the tables below.</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 2021</w:t>
            </w:r>
          </w:p>
        </w:tc>
        <w:tc>
          <w:tcPr>
            <w:tcW w:w="24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 2020</w:t>
            </w:r>
          </w:p>
        </w:tc>
        <w:tc>
          <w:tcPr>
            <w:tcW w:w="23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9"/>
              </w:rPr>
              <w:t>Number of</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Contracts</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3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9"/>
              </w:rPr>
              <w:t>(Dollars in thousands)</w:t>
            </w: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156,456</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2,184,142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168,071</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2,250,395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163,117</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2,174,972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31-60 days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9,621</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127,900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9,883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133,671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11,357</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152,868</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61-90 days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3,371</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42,997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3,771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49,376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4,525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59,096</w:t>
            </w:r>
          </w:p>
        </w:tc>
        <w:tc>
          <w:tcPr>
            <w:tcW w:w="0" w:type="dxa"/>
            <w:vAlign w:val="bottom"/>
          </w:tcPr>
          <w:p>
            <w:pPr>
              <w:spacing w:after="0"/>
              <w:rPr>
                <w:sz w:val="1"/>
                <w:szCs w:val="1"/>
                <w:color w:val="auto"/>
              </w:rPr>
            </w:pPr>
          </w:p>
        </w:tc>
      </w:tr>
      <w:tr>
        <w:trPr>
          <w:trHeight w:val="230"/>
        </w:trPr>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91+ days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11,745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16,067</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14,989</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Total delinquencies (2)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13,953</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182,642</w:t>
            </w: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199,114</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1,792</w:t>
            </w:r>
          </w:p>
        </w:tc>
        <w:tc>
          <w:tcPr>
            <w:tcW w:w="14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21,803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2,733</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32,383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2,979</w:t>
            </w:r>
          </w:p>
        </w:tc>
        <w:tc>
          <w:tcPr>
            <w:tcW w:w="14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35,839</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w w:val="95"/>
              </w:rPr>
              <w:t>Total delinquencies and amount in repossession (2)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15,745</w:t>
            </w:r>
          </w:p>
        </w:tc>
        <w:tc>
          <w:tcPr>
            <w:tcW w:w="24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204,445</w:t>
            </w:r>
          </w:p>
        </w:tc>
        <w:tc>
          <w:tcPr>
            <w:tcW w:w="240" w:type="dxa"/>
            <w:vAlign w:val="bottom"/>
            <w:tcBorders>
              <w:bottom w:val="single" w:sz="8" w:color="EEEEEE"/>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17,800</w:t>
            </w:r>
          </w:p>
        </w:tc>
        <w:tc>
          <w:tcPr>
            <w:tcW w:w="2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231,497</w:t>
            </w:r>
          </w:p>
        </w:tc>
        <w:tc>
          <w:tcPr>
            <w:tcW w:w="220" w:type="dxa"/>
            <w:vAlign w:val="bottom"/>
            <w:tcBorders>
              <w:bottom w:val="single" w:sz="8" w:color="EEEEEE"/>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20,151</w:t>
            </w:r>
          </w:p>
        </w:tc>
        <w:tc>
          <w:tcPr>
            <w:tcW w:w="2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262,792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9"/>
              </w:rPr>
              <w:t>Delinquencies as a percentage of gross servicing</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portfolio</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2"/>
              </w:rPr>
              <w:t>Total delinquencies and amount in repossession as a</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percentage of gross servicing portfolio</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 accruing</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23,730</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320,330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30,912</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441,306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29,709</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417,347</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Contracts with two or more extensions, accruing</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48,840</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548,609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56,204</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675,607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55,885</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665,572</w:t>
            </w:r>
          </w:p>
        </w:tc>
        <w:tc>
          <w:tcPr>
            <w:tcW w:w="0" w:type="dxa"/>
            <w:vAlign w:val="bottom"/>
          </w:tcPr>
          <w:p>
            <w:pPr>
              <w:spacing w:after="0"/>
              <w:rPr>
                <w:sz w:val="1"/>
                <w:szCs w:val="1"/>
                <w:color w:val="auto"/>
              </w:rPr>
            </w:pPr>
          </w:p>
        </w:tc>
      </w:tr>
      <w:tr>
        <w:trPr>
          <w:trHeight w:val="210"/>
        </w:trPr>
        <w:tc>
          <w:tcPr>
            <w:tcW w:w="39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72,570</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868,939</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87,116</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1,116,913</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85,594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1,082,919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 non-accrual (4)</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6,440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9,872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5"/>
              </w:rPr>
              <w:t>Contracts with two or more extensions, non-accrual</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18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1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13,376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28,126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2,502</w:t>
            </w:r>
          </w:p>
        </w:tc>
        <w:tc>
          <w:tcPr>
            <w:tcW w:w="1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09"/>
        </w:trPr>
        <w:tc>
          <w:tcPr>
            <w:tcW w:w="39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19,816</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3,266</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37,998</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3,417</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40,597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74,310</w:t>
            </w:r>
          </w:p>
        </w:tc>
        <w:tc>
          <w:tcPr>
            <w:tcW w:w="2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888,755</w:t>
            </w:r>
          </w:p>
        </w:tc>
        <w:tc>
          <w:tcPr>
            <w:tcW w:w="24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90,382</w:t>
            </w: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1,154,911</w:t>
            </w:r>
          </w:p>
        </w:tc>
        <w:tc>
          <w:tcPr>
            <w:tcW w:w="2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89"/>
              </w:rPr>
              <w:t>Finance Receivables Portfolio</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9"/>
                <w:szCs w:val="19"/>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305,820</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624,532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684,259</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w w:val="96"/>
              </w:rPr>
              <w:t>Annualized net charge-offs as a percentage of average servicing portfolio (2)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426"/>
        </w:trPr>
        <w:tc>
          <w:tcPr>
            <w:tcW w:w="5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Fair Value Receivables Portfolio</w:t>
            </w:r>
          </w:p>
        </w:tc>
      </w:tr>
      <w:tr>
        <w:trPr>
          <w:trHeight w:val="230"/>
        </w:trPr>
        <w:tc>
          <w:tcPr>
            <w:tcW w:w="5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9"/>
                <w:szCs w:val="19"/>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1,837,138</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1,646,022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1,631,491</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w w:val="96"/>
              </w:rPr>
              <w:t>Annualized net charge-offs as a percentage of average servicing portfolio (2)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426"/>
        </w:trPr>
        <w:tc>
          <w:tcPr>
            <w:tcW w:w="5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3"/>
          </w:tcPr>
          <w:p>
            <w:pPr>
              <w:jc w:val="center"/>
              <w:ind w:left="1210"/>
              <w:spacing w:after="0"/>
              <w:rPr>
                <w:sz w:val="20"/>
                <w:szCs w:val="20"/>
                <w:color w:val="auto"/>
              </w:rPr>
            </w:pPr>
            <w:r>
              <w:rPr>
                <w:rFonts w:ascii="Arial" w:cs="Arial" w:eastAsia="Arial" w:hAnsi="Arial"/>
                <w:sz w:val="18"/>
                <w:szCs w:val="18"/>
                <w:b w:val="1"/>
                <w:bCs w:val="1"/>
                <w:color w:val="auto"/>
                <w:w w:val="91"/>
              </w:rPr>
              <w:t>Total Managed Portfolio</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9"/>
                <w:szCs w:val="19"/>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2,142,958</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2,270,554</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2,315,750</w:t>
            </w: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w w:val="96"/>
              </w:rPr>
              <w:t>Annualized net charge-offs as a percentage of average servicing portfolio (2)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c>
          <w:tcPr>
            <w:tcW w:w="340" w:type="dxa"/>
            <w:vAlign w:val="bottom"/>
          </w:tcPr>
          <w:p>
            <w:pPr>
              <w:spacing w:after="0"/>
              <w:rPr>
                <w:sz w:val="17"/>
                <w:szCs w:val="17"/>
                <w:color w:val="auto"/>
              </w:rPr>
            </w:pPr>
          </w:p>
        </w:tc>
        <w:tc>
          <w:tcPr>
            <w:tcW w:w="15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7"/>
                <w:szCs w:val="17"/>
                <w:color w:val="auto"/>
              </w:rPr>
            </w:pPr>
          </w:p>
        </w:tc>
        <w:tc>
          <w:tcPr>
            <w:tcW w:w="13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6.5%</w:t>
            </w:r>
          </w:p>
        </w:tc>
      </w:tr>
      <w:tr>
        <w:trPr>
          <w:trHeight w:val="230"/>
        </w:trPr>
        <w:tc>
          <w:tcPr>
            <w:tcW w:w="592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95" w:lineRule="auto"/>
        <w:tabs>
          <w:tab w:leader="none" w:pos="257"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2021 and September 30, 2020 percentages represent three months ended September 30, 2021 and September 30, 2020 annualized. December 31, 2020 represents 12 months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0" w:lineRule="auto"/>
        <w:tabs>
          <w:tab w:leader="none" w:pos="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a prudent extension program is an integral component to mitigating losses in our portfolio of sub-prime automobile receivables. The table below summarizes the status, as of September 30, 2021, for accounts that received extensions from 2008 through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Active 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Active or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Charged Off</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 Charged</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Charged Off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Charged</w:t>
            </w:r>
          </w:p>
        </w:tc>
        <w:tc>
          <w:tcPr>
            <w:tcW w:w="11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Paid Off at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Paid Off at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&gt; 6 Months</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Off &gt; 6</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&lt;= 6 Months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 &lt;= 6</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Avg Months to</w:t>
            </w:r>
          </w:p>
        </w:tc>
      </w:tr>
      <w:tr>
        <w:trPr>
          <w:trHeight w:val="216"/>
        </w:trPr>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Period of</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 Extensions</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September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September</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After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Months 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Months After</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Charge Off</w:t>
            </w:r>
          </w:p>
        </w:tc>
      </w:tr>
      <w:tr>
        <w:trPr>
          <w:trHeight w:val="230"/>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Granted</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30, 2021</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30, 2021</w:t>
            </w: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Post Extension</w:t>
            </w:r>
          </w:p>
        </w:tc>
      </w:tr>
      <w:tr>
        <w:trPr>
          <w:trHeight w:val="209"/>
        </w:trPr>
        <w:tc>
          <w:tcPr>
            <w:tcW w:w="13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35,588</w:t>
            </w:r>
          </w:p>
        </w:tc>
        <w:tc>
          <w:tcPr>
            <w:tcW w:w="2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10,708</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20,061</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32,226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10,274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16,170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26,167</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12,165</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12,009</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18,786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10,972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6,882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18,783</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11,320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6,667</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23,398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11,165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11,257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25,773</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10,564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14,383</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55.8%</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53,319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22,770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29,467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80,897</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38,161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40,803</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50.4%</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133,881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64,944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61,977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121,531</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70,569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44,955</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6,007</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71,548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54,700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14,906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83,170</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72,769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87.5%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8,302</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2,099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9</w:t>
            </w:r>
          </w:p>
        </w:tc>
      </w:tr>
    </w:tbl>
    <w:p>
      <w:pPr>
        <w:ind w:left="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2018, 59.2% were either paid in full or active and performing September 30, 2021.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right="20"/>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Nine Months Ended</w:t>
            </w:r>
          </w:p>
        </w:tc>
        <w:tc>
          <w:tcPr>
            <w:tcW w:w="1720" w:type="dxa"/>
            <w:vAlign w:val="bottom"/>
            <w:gridSpan w:val="7"/>
          </w:tcPr>
          <w:p>
            <w:pPr>
              <w:jc w:val="right"/>
              <w:ind w:right="60"/>
              <w:spacing w:after="0"/>
              <w:rPr>
                <w:sz w:val="20"/>
                <w:szCs w:val="20"/>
                <w:color w:val="auto"/>
              </w:rPr>
            </w:pPr>
            <w:r>
              <w:rPr>
                <w:rFonts w:ascii="Arial" w:cs="Arial" w:eastAsia="Arial" w:hAnsi="Arial"/>
                <w:sz w:val="18"/>
                <w:szCs w:val="18"/>
                <w:color w:val="auto"/>
                <w:w w:val="89"/>
              </w:rPr>
              <w:t>Year Ended December</w:t>
            </w:r>
          </w:p>
        </w:tc>
        <w:tc>
          <w:tcPr>
            <w:tcW w:w="180" w:type="dxa"/>
            <w:vAlign w:val="bottom"/>
          </w:tcPr>
          <w:p>
            <w:pPr>
              <w:spacing w:after="0"/>
              <w:rPr>
                <w:sz w:val="18"/>
                <w:szCs w:val="18"/>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Nine Months Ended</w:t>
            </w:r>
          </w:p>
        </w:tc>
      </w:tr>
      <w:tr>
        <w:trPr>
          <w:trHeight w:val="229"/>
        </w:trPr>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September 30,</w:t>
            </w:r>
          </w:p>
        </w:tc>
      </w:tr>
      <w:tr>
        <w:trPr>
          <w:trHeight w:val="230"/>
        </w:trPr>
        <w:tc>
          <w:tcPr>
            <w:tcW w:w="3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w w:val="98"/>
              </w:rPr>
              <w:t>Average number of extensions granted per month</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3,656</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6,931</w:t>
            </w: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7,256</w:t>
            </w: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157,976</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172,129</w:t>
            </w: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174,549</w:t>
            </w:r>
          </w:p>
        </w:tc>
      </w:tr>
      <w:tr>
        <w:trPr>
          <w:trHeight w:val="216"/>
        </w:trPr>
        <w:tc>
          <w:tcPr>
            <w:tcW w:w="4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w:t>
            </w:r>
          </w:p>
        </w:tc>
      </w:tr>
      <w:tr>
        <w:trPr>
          <w:trHeight w:val="202"/>
        </w:trPr>
        <w:tc>
          <w:tcPr>
            <w:tcW w:w="3940" w:type="dxa"/>
            <w:vAlign w:val="bottom"/>
          </w:tcPr>
          <w:p>
            <w:pPr>
              <w:ind w:left="60"/>
              <w:spacing w:after="0" w:line="201" w:lineRule="exact"/>
              <w:rPr>
                <w:sz w:val="20"/>
                <w:szCs w:val="20"/>
                <w:color w:val="auto"/>
              </w:rPr>
            </w:pPr>
            <w:r>
              <w:rPr>
                <w:rFonts w:ascii="Arial" w:cs="Arial" w:eastAsia="Arial" w:hAnsi="Arial"/>
                <w:sz w:val="18"/>
                <w:szCs w:val="18"/>
                <w:color w:val="auto"/>
              </w:rPr>
              <w:t>______________________</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20" w:type="dxa"/>
            <w:vAlign w:val="bottom"/>
            <w:gridSpan w:val="3"/>
          </w:tcPr>
          <w:p>
            <w:pPr>
              <w:spacing w:after="0"/>
              <w:rPr>
                <w:sz w:val="20"/>
                <w:szCs w:val="20"/>
                <w:color w:val="auto"/>
              </w:rPr>
            </w:pPr>
            <w:r>
              <w:rPr>
                <w:rFonts w:ascii="Arial" w:cs="Arial" w:eastAsia="Arial" w:hAnsi="Arial"/>
                <w:sz w:val="18"/>
                <w:szCs w:val="18"/>
                <w:i w:val="1"/>
                <w:iCs w:val="1"/>
                <w:color w:val="auto"/>
                <w:w w:val="95"/>
              </w:rPr>
              <w:t>Note: Table excludes portfolios originated and owned by third parties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2"/>
        </w:trPr>
        <w:tc>
          <w:tcPr>
            <w:tcW w:w="3940" w:type="dxa"/>
            <w:vAlign w:val="bottom"/>
          </w:tcPr>
          <w:p>
            <w:pPr>
              <w:spacing w:after="0"/>
              <w:rPr>
                <w:sz w:val="24"/>
                <w:szCs w:val="24"/>
                <w:color w:val="auto"/>
              </w:rPr>
            </w:pPr>
          </w:p>
        </w:tc>
        <w:tc>
          <w:tcPr>
            <w:tcW w:w="2340" w:type="dxa"/>
            <w:vAlign w:val="bottom"/>
            <w:gridSpan w:val="6"/>
          </w:tcPr>
          <w:p>
            <w:pPr>
              <w:jc w:val="right"/>
              <w:ind w:right="46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4"/>
                <w:szCs w:val="24"/>
                <w:color w:val="auto"/>
              </w:rPr>
            </w:pPr>
          </w:p>
        </w:tc>
        <w:tc>
          <w:tcPr>
            <w:tcW w:w="2280" w:type="dxa"/>
            <w:vAlign w:val="bottom"/>
            <w:gridSpan w:val="7"/>
          </w:tcPr>
          <w:p>
            <w:pPr>
              <w:jc w:val="right"/>
              <w:ind w:right="44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7"/>
          </w:tcPr>
          <w:p>
            <w:pPr>
              <w:ind w:left="40"/>
              <w:spacing w:after="0"/>
              <w:rPr>
                <w:sz w:val="20"/>
                <w:szCs w:val="20"/>
                <w:color w:val="auto"/>
              </w:rPr>
            </w:pPr>
            <w:r>
              <w:rPr>
                <w:rFonts w:ascii="Arial" w:cs="Arial" w:eastAsia="Arial" w:hAnsi="Arial"/>
                <w:sz w:val="18"/>
                <w:szCs w:val="18"/>
                <w:color w:val="auto"/>
              </w:rPr>
              <w:t>December 31, 2020</w:t>
            </w:r>
          </w:p>
        </w:tc>
      </w:tr>
      <w:tr>
        <w:trPr>
          <w:trHeight w:val="195"/>
        </w:trPr>
        <w:tc>
          <w:tcPr>
            <w:tcW w:w="394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gridSpan w:val="3"/>
          </w:tcPr>
          <w:p>
            <w:pPr>
              <w:jc w:val="right"/>
              <w:ind w:right="180"/>
              <w:spacing w:after="0" w:line="195" w:lineRule="exact"/>
              <w:rPr>
                <w:sz w:val="20"/>
                <w:szCs w:val="20"/>
                <w:color w:val="auto"/>
              </w:rPr>
            </w:pPr>
            <w:r>
              <w:rPr>
                <w:rFonts w:ascii="Arial" w:cs="Arial" w:eastAsia="Arial" w:hAnsi="Arial"/>
                <w:sz w:val="18"/>
                <w:szCs w:val="18"/>
                <w:color w:val="auto"/>
              </w:rPr>
              <w:t>Number of</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gridSpan w:val="5"/>
          </w:tcPr>
          <w:p>
            <w:pPr>
              <w:jc w:val="center"/>
              <w:ind w:right="12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20"/>
                <w:szCs w:val="20"/>
                <w:color w:val="auto"/>
              </w:rPr>
            </w:pPr>
          </w:p>
        </w:tc>
        <w:tc>
          <w:tcPr>
            <w:tcW w:w="1100" w:type="dxa"/>
            <w:vAlign w:val="bottom"/>
            <w:gridSpan w:val="5"/>
          </w:tcPr>
          <w:p>
            <w:pPr>
              <w:jc w:val="center"/>
              <w:ind w:right="100"/>
              <w:spacing w:after="0"/>
              <w:rPr>
                <w:sz w:val="20"/>
                <w:szCs w:val="20"/>
                <w:color w:val="auto"/>
              </w:rPr>
            </w:pPr>
            <w:r>
              <w:rPr>
                <w:rFonts w:ascii="Arial" w:cs="Arial" w:eastAsia="Arial" w:hAnsi="Arial"/>
                <w:sz w:val="18"/>
                <w:szCs w:val="18"/>
                <w:color w:val="auto"/>
                <w:w w:val="88"/>
              </w:rPr>
              <w:t>Contracts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Amount</w:t>
            </w:r>
          </w:p>
        </w:tc>
      </w:tr>
      <w:tr>
        <w:trPr>
          <w:trHeight w:val="224"/>
        </w:trPr>
        <w:tc>
          <w:tcPr>
            <w:tcW w:w="39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7"/>
          </w:tcPr>
          <w:p>
            <w:pPr>
              <w:jc w:val="right"/>
              <w:ind w:right="420"/>
              <w:spacing w:after="0"/>
              <w:rPr>
                <w:sz w:val="20"/>
                <w:szCs w:val="20"/>
                <w:color w:val="auto"/>
              </w:rPr>
            </w:pPr>
            <w:r>
              <w:rPr>
                <w:rFonts w:ascii="Arial" w:cs="Arial" w:eastAsia="Arial" w:hAnsi="Arial"/>
                <w:sz w:val="18"/>
                <w:szCs w:val="18"/>
                <w:color w:val="auto"/>
              </w:rPr>
              <w:t>(Dollars in thousands)</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24,260</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326,770</w:t>
            </w:r>
          </w:p>
        </w:tc>
        <w:tc>
          <w:tcPr>
            <w:tcW w:w="12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31,673</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451,178</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30,624</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429,754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16,888</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216,878</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19,028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252,189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259,236</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12,155</w:t>
            </w: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144,035</w:t>
            </w:r>
          </w:p>
        </w:tc>
        <w:tc>
          <w:tcPr>
            <w:tcW w:w="12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13,228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161,303</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159,447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9,379</w:t>
            </w: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97,391</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11,281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130,279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10,868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122,469</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6,782</w:t>
            </w: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63,531</w:t>
            </w:r>
          </w:p>
        </w:tc>
        <w:tc>
          <w:tcPr>
            <w:tcW w:w="12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8,801</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95,481</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8,548</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90,322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4,846</w:t>
            </w:r>
          </w:p>
        </w:tc>
        <w:tc>
          <w:tcPr>
            <w:tcW w:w="16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40,149</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6,371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64,481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62,288</w:t>
            </w:r>
          </w:p>
        </w:tc>
      </w:tr>
      <w:tr>
        <w:trPr>
          <w:trHeight w:val="223"/>
        </w:trPr>
        <w:tc>
          <w:tcPr>
            <w:tcW w:w="39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74,310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888,754</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90,382</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1,154,911</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40" w:type="dxa"/>
            <w:vAlign w:val="bottom"/>
            <w:tcBorders>
              <w:top w:val="single" w:sz="8" w:color="auto"/>
              <w:bottom w:val="single" w:sz="8" w:color="auto"/>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Managed portfolio (excluding originated and owned</w:t>
            </w:r>
          </w:p>
        </w:tc>
        <w:tc>
          <w:tcPr>
            <w:tcW w:w="10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3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by 3rd parties)</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156,456</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2,184,142</w:t>
            </w:r>
          </w:p>
        </w:tc>
        <w:tc>
          <w:tcPr>
            <w:tcW w:w="12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168,071</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2,250,395</w:t>
            </w:r>
          </w:p>
        </w:tc>
        <w:tc>
          <w:tcPr>
            <w:tcW w:w="1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7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w w:val="95"/>
              </w:rPr>
              <w:t>163,117</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2,174,972</w:t>
            </w:r>
          </w:p>
        </w:tc>
      </w:tr>
      <w:tr>
        <w:trPr>
          <w:trHeight w:val="218"/>
        </w:trPr>
        <w:tc>
          <w:tcPr>
            <w:tcW w:w="3940" w:type="dxa"/>
            <w:vAlign w:val="bottom"/>
          </w:tcPr>
          <w:p>
            <w:pPr>
              <w:ind w:left="60"/>
              <w:spacing w:after="0"/>
              <w:rPr>
                <w:sz w:val="20"/>
                <w:szCs w:val="20"/>
                <w:color w:val="auto"/>
              </w:rPr>
            </w:pPr>
            <w:r>
              <w:rPr>
                <w:rFonts w:ascii="Arial" w:cs="Arial" w:eastAsia="Arial" w:hAnsi="Arial"/>
                <w:sz w:val="18"/>
                <w:szCs w:val="18"/>
                <w:color w:val="auto"/>
              </w:rPr>
              <w:t>_____________________</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nine-month period ended September 30, 2021 was $163.1 million, a decrease of $27.5 million, compared to net cash provided by operating activities for the nine-month period ended September 30, 2020 of $190.6 million. Net cash from operating activities is generally provided by net income from operations adjusted for significant non-cash items such as our provision for credit losses and marks to finance receivables measured at fair value.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investing activities was $50.2 million for the nine months ended September 30, 2021. Net cash provided by investing activities for the nine-month period ended September 30, 2020 was $45.4 million.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$818.3 million and $572.9 million during the first nine months of 2021 and 2020, respectively.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6"/>
          <w:szCs w:val="16"/>
          <w:color w:val="auto"/>
        </w:rPr>
        <w:t>Net cash used in financing activities for the nine months ended September 30, 2021 was $83.3 million compared to $164.6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2021, we issued $761.5 million in new securitization trust debt compared to $714.5 million in the same period of 2020. We repaid $861.0 million in securitization trust debt in the nine months ended September 30, 2021 compared to repayments of securitization trust debt of $764.1 million in the prior year period. In the nine months ended September 30, 2021, we had net repayments on warehouse lines of credit of $22.1 million, compared to $104.7 million in the prior year’s period.</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September 30, 2021, we had unrestricted cash of $28.8 million and $102.2 million aggregate available borrowings under our two warehouse credit facilities (assuming the availability of sufficient eligible collateral). As of September 30, 2021, we had approximately $95.6 million of such eligible collateral. Our plans to manage our liquidity include maintaining our rate of automobile contract purchases at a level that matches our available capital, and, as appropriate, minimizing our operating costs. During the nine-month period ended September 30, 2021, we completed three securitizations aggregating $761.5 million of notes sold.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2021, we were in compliance with all such financial covenants.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8"/>
          <w:szCs w:val="18"/>
          <w:color w:val="auto"/>
        </w:rPr>
        <w:t>We have and will continue to have a substantial amount of indebtedness. At September 30, 2021, we had approximately $1,893.3 million of debt outstanding. Such debt consisted primarily of $1,703.5 million of securitization trust debt and $97.8 million of debt from warehouse lines of credit. Our securitization trust debt has decreased by $100.2 million while our warehouse lines of credit debt has decreased by $21.2 million since December 31, 2020 (each net of deferred financing costs). Since 2005, we have offered renewable subordinated notes to the public on a continuous basis, and such notes have maturities that range from six months to 10 years. We had $27.5 million and $21.3 million in subordinated renewable notes outstanding at September 30, 2021 and December 31, 2020, respectively. On May 16, 2018, we completed a $40.0 million securitization of residual interests from previously issued securitizations. At September 30, 2021, $15.3 million of this residual interest financing debt remains outstanding. On June 30, 2021, we completed a $50.0 million securitization of residual interests from other previously issued securitizations. As of September 30, 2021, $50.0 million of this debt remains outstanding.</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10, 2021.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and will continue to have a substantial amount of indebtedness. At September 30, 2021, we had approximately $1,893.3 million of debt outstanding. Such debt consisted primarily of $1,703.5 million of securitization trust debt and $97.8 million of debt from warehouse lines of credit. Our securitization trust debt has decreased by $100.2 million while our warehouse lines of credit debt has decreased by $21.2 million since December 31, 2020 (each net of deferred financing costs). Since 2005, we have offered renewable subordinated notes to the public on a continuous basis, and such notes have maturities that range from six months to 10 years. We had $27.5 million and $21.3 million in subordinated renewable notes outstanding at September 30, 2021 and December 31, 2020, respectively. On May 16, 2018, we completed a $40.0 million securitization of residual interests from previously issued securitizations. At September 30, 2021, $15.3 million of this residual interest financing debt remains outstanding. On June 30, 2021, we completed a $50.0 million securitization of residual interests from other previously issued securitizations. As of September 30, 2021, $50.0 million of this debt remains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2021, we repurchased 433,612 shares from existing shareholders, as reflected in the table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Total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Shares Purchased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Price Paid</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400" w:type="dxa"/>
            <w:vAlign w:val="bottom"/>
            <w:gridSpan w:val="2"/>
          </w:tcPr>
          <w:p>
            <w:pPr>
              <w:ind w:left="720"/>
              <w:spacing w:after="0"/>
              <w:rPr>
                <w:sz w:val="20"/>
                <w:szCs w:val="20"/>
                <w:color w:val="auto"/>
              </w:rPr>
            </w:pPr>
            <w:r>
              <w:rPr>
                <w:rFonts w:ascii="Arial" w:cs="Arial" w:eastAsia="Arial" w:hAnsi="Arial"/>
                <w:sz w:val="18"/>
                <w:szCs w:val="18"/>
                <w:b w:val="1"/>
                <w:bCs w:val="1"/>
                <w:color w:val="auto"/>
              </w:rPr>
              <w:t>Period(1)</w:t>
            </w:r>
          </w:p>
        </w:tc>
        <w:tc>
          <w:tcPr>
            <w:tcW w:w="144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Purchased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per Share</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July 2021</w:t>
            </w:r>
          </w:p>
        </w:tc>
        <w:tc>
          <w:tcPr>
            <w:tcW w:w="1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94,800</w:t>
            </w:r>
          </w:p>
        </w:tc>
        <w:tc>
          <w:tcPr>
            <w:tcW w:w="4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4.82</w:t>
            </w:r>
          </w:p>
        </w:tc>
        <w:tc>
          <w:tcPr>
            <w:tcW w:w="2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94,800</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3,207,203</w:t>
            </w:r>
          </w:p>
        </w:tc>
        <w:tc>
          <w:tcPr>
            <w:tcW w:w="0" w:type="dxa"/>
            <w:vAlign w:val="bottom"/>
          </w:tcPr>
          <w:p>
            <w:pPr>
              <w:spacing w:after="0"/>
              <w:rPr>
                <w:sz w:val="1"/>
                <w:szCs w:val="1"/>
                <w:color w:val="auto"/>
              </w:rPr>
            </w:pPr>
          </w:p>
        </w:tc>
      </w:tr>
      <w:tr>
        <w:trPr>
          <w:trHeight w:val="216"/>
        </w:trPr>
        <w:tc>
          <w:tcPr>
            <w:tcW w:w="2400" w:type="dxa"/>
            <w:vAlign w:val="bottom"/>
            <w:gridSpan w:val="2"/>
          </w:tcPr>
          <w:p>
            <w:pPr>
              <w:ind w:left="120"/>
              <w:spacing w:after="0"/>
              <w:rPr>
                <w:sz w:val="20"/>
                <w:szCs w:val="20"/>
                <w:color w:val="auto"/>
              </w:rPr>
            </w:pPr>
            <w:r>
              <w:rPr>
                <w:rFonts w:ascii="Arial" w:cs="Arial" w:eastAsia="Arial" w:hAnsi="Arial"/>
                <w:sz w:val="18"/>
                <w:szCs w:val="18"/>
                <w:color w:val="auto"/>
              </w:rPr>
              <w:t>August 2021</w:t>
            </w:r>
          </w:p>
        </w:tc>
        <w:tc>
          <w:tcPr>
            <w:tcW w:w="14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150,825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150,825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2,370,949</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September 2021</w:t>
            </w:r>
          </w:p>
        </w:tc>
        <w:tc>
          <w:tcPr>
            <w:tcW w:w="144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9"/>
              </w:rPr>
              <w:t>187,987</w:t>
            </w:r>
          </w:p>
        </w:tc>
        <w:tc>
          <w:tcPr>
            <w:tcW w:w="4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5.73</w:t>
            </w:r>
          </w:p>
        </w:tc>
        <w:tc>
          <w:tcPr>
            <w:tcW w:w="2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187,987</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1,292,953</w:t>
            </w:r>
          </w:p>
        </w:tc>
        <w:tc>
          <w:tcPr>
            <w:tcW w:w="0" w:type="dxa"/>
            <w:vAlign w:val="bottom"/>
          </w:tcPr>
          <w:p>
            <w:pPr>
              <w:spacing w:after="0"/>
              <w:rPr>
                <w:sz w:val="1"/>
                <w:szCs w:val="1"/>
                <w:color w:val="auto"/>
              </w:rPr>
            </w:pPr>
          </w:p>
        </w:tc>
      </w:tr>
      <w:tr>
        <w:trPr>
          <w:trHeight w:val="223"/>
        </w:trPr>
        <w:tc>
          <w:tcPr>
            <w:tcW w:w="24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433,612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w:t>
            </w:r>
          </w:p>
        </w:tc>
        <w:tc>
          <w:tcPr>
            <w:tcW w:w="24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2021,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Outside of the program described above, and after the end of the quarter (on October 20, 2021), we purchased 1,999,995 shares of our outstanding common stock for a purchase price of $12.5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4.14</w:t>
            </w:r>
          </w:p>
        </w:tc>
        <w:tc>
          <w:tcPr>
            <w:tcW w:w="10000" w:type="dxa"/>
            <w:vAlign w:val="bottom"/>
            <w:gridSpan w:val="3"/>
          </w:tcPr>
          <w:p>
            <w:pPr>
              <w:ind w:left="20"/>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1240" w:type="dxa"/>
            <w:vAlign w:val="bottom"/>
          </w:tcPr>
          <w:p>
            <w:pPr>
              <w:spacing w:after="0"/>
              <w:rPr>
                <w:sz w:val="18"/>
                <w:szCs w:val="18"/>
                <w:color w:val="auto"/>
              </w:rPr>
            </w:pPr>
          </w:p>
        </w:tc>
        <w:tc>
          <w:tcPr>
            <w:tcW w:w="10000" w:type="dxa"/>
            <w:vAlign w:val="bottom"/>
            <w:gridSpan w:val="3"/>
          </w:tcPr>
          <w:p>
            <w:pPr>
              <w:ind w:left="20"/>
              <w:spacing w:after="0"/>
              <w:rPr>
                <w:sz w:val="20"/>
                <w:szCs w:val="20"/>
                <w:color w:val="auto"/>
              </w:rPr>
            </w:pPr>
            <w:r>
              <w:rPr>
                <w:rFonts w:ascii="Arial" w:cs="Arial" w:eastAsia="Arial" w:hAnsi="Arial"/>
                <w:sz w:val="18"/>
                <w:szCs w:val="18"/>
                <w:color w:val="auto"/>
                <w:w w:val="92"/>
              </w:rPr>
              <w:t>the exclusion set forth in subdivisions (b)(iv)(iii)(A) and (b)(v) of Item 601 of Regulation S-K (17 CFR 229.601). The registrant agrees to</w:t>
            </w:r>
          </w:p>
        </w:tc>
      </w:tr>
      <w:tr>
        <w:trPr>
          <w:trHeight w:val="216"/>
        </w:trPr>
        <w:tc>
          <w:tcPr>
            <w:tcW w:w="1240" w:type="dxa"/>
            <w:vAlign w:val="bottom"/>
          </w:tcPr>
          <w:p>
            <w:pPr>
              <w:spacing w:after="0"/>
              <w:rPr>
                <w:sz w:val="18"/>
                <w:szCs w:val="18"/>
                <w:color w:val="auto"/>
              </w:rPr>
            </w:pPr>
          </w:p>
        </w:tc>
        <w:tc>
          <w:tcPr>
            <w:tcW w:w="10000" w:type="dxa"/>
            <w:vAlign w:val="bottom"/>
            <w:gridSpan w:val="3"/>
          </w:tcPr>
          <w:p>
            <w:pPr>
              <w:ind w:left="2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1240" w:type="dxa"/>
            <w:vAlign w:val="bottom"/>
          </w:tcPr>
          <w:p>
            <w:pPr>
              <w:jc w:val="right"/>
              <w:ind w:right="830"/>
              <w:spacing w:after="0" w:line="190" w:lineRule="exact"/>
              <w:rPr>
                <w:sz w:val="20"/>
                <w:szCs w:val="20"/>
                <w:color w:val="auto"/>
              </w:rPr>
            </w:pPr>
            <w:r>
              <w:rPr>
                <w:rFonts w:ascii="Arial" w:cs="Arial" w:eastAsia="Arial" w:hAnsi="Arial"/>
                <w:sz w:val="18"/>
                <w:szCs w:val="18"/>
                <w:color w:val="auto"/>
                <w:w w:val="85"/>
              </w:rPr>
              <w:t>31.1</w:t>
            </w:r>
          </w:p>
        </w:tc>
        <w:tc>
          <w:tcPr>
            <w:tcW w:w="10000" w:type="dxa"/>
            <w:vAlign w:val="bottom"/>
            <w:gridSpan w:val="3"/>
          </w:tcPr>
          <w:p>
            <w:pPr>
              <w:ind w:left="20"/>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Rule 13a-14(a) Certification of the Chief Executive Officer of the registrant.</w:t>
              </w:r>
            </w:hyperlink>
          </w:p>
        </w:tc>
      </w:tr>
      <w:tr>
        <w:trPr>
          <w:trHeight w:val="196"/>
        </w:trPr>
        <w:tc>
          <w:tcPr>
            <w:tcW w:w="1240" w:type="dxa"/>
            <w:vAlign w:val="bottom"/>
          </w:tcPr>
          <w:p>
            <w:pPr>
              <w:jc w:val="right"/>
              <w:ind w:right="830"/>
              <w:spacing w:after="0" w:line="196" w:lineRule="exact"/>
              <w:rPr>
                <w:sz w:val="20"/>
                <w:szCs w:val="20"/>
                <w:color w:val="auto"/>
              </w:rPr>
            </w:pPr>
            <w:r>
              <w:rPr>
                <w:rFonts w:ascii="Arial" w:cs="Arial" w:eastAsia="Arial" w:hAnsi="Arial"/>
                <w:sz w:val="18"/>
                <w:szCs w:val="18"/>
                <w:color w:val="auto"/>
                <w:w w:val="85"/>
              </w:rPr>
              <w:t>31.2</w:t>
            </w:r>
          </w:p>
        </w:tc>
        <w:tc>
          <w:tcPr>
            <w:tcW w:w="54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00" w:type="dxa"/>
            <w:vAlign w:val="bottom"/>
          </w:tcPr>
          <w:p>
            <w:pPr>
              <w:spacing w:after="0"/>
              <w:rPr>
                <w:sz w:val="17"/>
                <w:szCs w:val="17"/>
                <w:color w:val="auto"/>
              </w:rPr>
            </w:pPr>
          </w:p>
        </w:tc>
      </w:tr>
    </w:tbl>
    <w:p>
      <w:pPr>
        <w:spacing w:after="0" w:line="13" w:lineRule="exact"/>
        <w:rPr>
          <w:sz w:val="20"/>
          <w:szCs w:val="20"/>
          <w:color w:val="auto"/>
        </w:rPr>
      </w:pPr>
    </w:p>
    <w:p>
      <w:pPr>
        <w:ind w:left="1260" w:hanging="1252"/>
        <w:spacing w:after="0"/>
        <w:tabs>
          <w:tab w:leader="none" w:pos="1260" w:val="left"/>
        </w:tabs>
        <w:numPr>
          <w:ilvl w:val="0"/>
          <w:numId w:val="13"/>
        </w:numPr>
        <w:rPr>
          <w:rFonts w:ascii="Arial" w:cs="Arial" w:eastAsia="Arial" w:hAnsi="Arial"/>
          <w:sz w:val="18"/>
          <w:szCs w:val="18"/>
          <w:color w:val="0000EE"/>
        </w:rPr>
      </w:pPr>
      <w:hyperlink w:anchor="page51">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260" w:hanging="1252"/>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included in exhibit 101).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both"/>
        <w:ind w:left="260" w:firstLine="311"/>
        <w:spacing w:after="0" w:line="259" w:lineRule="auto"/>
        <w:rPr>
          <w:rFonts w:ascii="Arial" w:cs="Arial" w:eastAsia="Arial" w:hAnsi="Arial"/>
          <w:sz w:val="18"/>
          <w:szCs w:val="18"/>
          <w:color w:val="auto"/>
        </w:rPr>
      </w:pPr>
      <w:r>
        <w:rPr>
          <w:rFonts w:ascii="Arial" w:cs="Arial" w:eastAsia="Arial" w:hAnsi="Arial"/>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5000" w:type="dxa"/>
            <w:vAlign w:val="bottom"/>
            <w:gridSpan w:val="2"/>
          </w:tcPr>
          <w:p>
            <w:pPr>
              <w:ind w:left="680"/>
              <w:spacing w:after="0" w:line="184" w:lineRule="exact"/>
              <w:rPr>
                <w:sz w:val="20"/>
                <w:szCs w:val="20"/>
                <w:color w:val="auto"/>
              </w:rPr>
            </w:pPr>
            <w:r>
              <w:rPr>
                <w:rFonts w:ascii="Arial" w:cs="Arial" w:eastAsia="Arial" w:hAnsi="Arial"/>
                <w:sz w:val="18"/>
                <w:szCs w:val="18"/>
                <w:color w:val="auto"/>
              </w:rPr>
              <w:t>By: /s/  CHARLES E. BRADLEY, JR.</w:t>
            </w:r>
          </w:p>
        </w:tc>
      </w:tr>
      <w:tr>
        <w:trPr>
          <w:trHeight w:val="20"/>
        </w:trPr>
        <w:tc>
          <w:tcPr>
            <w:tcW w:w="25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560" w:type="dxa"/>
            <w:vAlign w:val="bottom"/>
          </w:tcPr>
          <w:p>
            <w:pPr>
              <w:spacing w:after="0"/>
              <w:rPr>
                <w:sz w:val="19"/>
                <w:szCs w:val="19"/>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Charles E. Bradley, Jr.</w:t>
            </w:r>
          </w:p>
        </w:tc>
      </w:tr>
      <w:tr>
        <w:trPr>
          <w:trHeight w:val="216"/>
        </w:trPr>
        <w:tc>
          <w:tcPr>
            <w:tcW w:w="2560" w:type="dxa"/>
            <w:vAlign w:val="bottom"/>
          </w:tcPr>
          <w:p>
            <w:pPr>
              <w:spacing w:after="0"/>
              <w:rPr>
                <w:sz w:val="18"/>
                <w:szCs w:val="18"/>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2560" w:type="dxa"/>
            <w:vAlign w:val="bottom"/>
          </w:tcPr>
          <w:p>
            <w:pPr>
              <w:spacing w:after="0"/>
              <w:rPr>
                <w:sz w:val="20"/>
                <w:szCs w:val="20"/>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560" w:type="dxa"/>
            <w:vAlign w:val="bottom"/>
          </w:tcPr>
          <w:p>
            <w:pPr>
              <w:spacing w:after="0"/>
              <w:rPr>
                <w:sz w:val="20"/>
                <w:szCs w:val="20"/>
                <w:color w:val="auto"/>
              </w:rPr>
            </w:pPr>
            <w:r>
              <w:rPr>
                <w:rFonts w:ascii="Arial" w:cs="Arial" w:eastAsia="Arial" w:hAnsi="Arial"/>
                <w:sz w:val="18"/>
                <w:szCs w:val="18"/>
                <w:color w:val="auto"/>
              </w:rPr>
              <w:t>Date: November 10, 2021</w:t>
            </w: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By: /s/  JEFFREY P. FRITZ</w:t>
            </w:r>
          </w:p>
        </w:tc>
      </w:tr>
      <w:tr>
        <w:trPr>
          <w:trHeight w:val="20"/>
        </w:trPr>
        <w:tc>
          <w:tcPr>
            <w:tcW w:w="2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560" w:type="dxa"/>
            <w:vAlign w:val="bottom"/>
          </w:tcPr>
          <w:p>
            <w:pPr>
              <w:spacing w:after="0"/>
              <w:rPr>
                <w:sz w:val="19"/>
                <w:szCs w:val="19"/>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Jeffrey P. Fritz</w:t>
            </w:r>
          </w:p>
        </w:tc>
      </w:tr>
      <w:tr>
        <w:trPr>
          <w:trHeight w:val="216"/>
        </w:trPr>
        <w:tc>
          <w:tcPr>
            <w:tcW w:w="2560" w:type="dxa"/>
            <w:vAlign w:val="bottom"/>
          </w:tcPr>
          <w:p>
            <w:pPr>
              <w:spacing w:after="0"/>
              <w:rPr>
                <w:sz w:val="18"/>
                <w:szCs w:val="18"/>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2560" w:type="dxa"/>
            <w:vAlign w:val="bottom"/>
          </w:tcPr>
          <w:p>
            <w:pPr>
              <w:spacing w:after="0"/>
              <w:rPr>
                <w:sz w:val="20"/>
                <w:szCs w:val="20"/>
                <w:color w:val="auto"/>
              </w:rPr>
            </w:pPr>
          </w:p>
        </w:tc>
        <w:tc>
          <w:tcPr>
            <w:tcW w:w="5000" w:type="dxa"/>
            <w:vAlign w:val="bottom"/>
            <w:gridSpan w:val="2"/>
          </w:tcPr>
          <w:p>
            <w:pPr>
              <w:ind w:left="6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2021 of Consumer Portfolio Services, Inc.;</w:t>
      </w:r>
    </w:p>
    <w:p>
      <w:pPr>
        <w:spacing w:after="0" w:line="236" w:lineRule="exact"/>
        <w:rPr>
          <w:rFonts w:ascii="Arial" w:cs="Arial" w:eastAsia="Arial" w:hAnsi="Arial"/>
          <w:sz w:val="17"/>
          <w:szCs w:val="17"/>
          <w:color w:val="auto"/>
        </w:rPr>
      </w:pPr>
    </w:p>
    <w:p>
      <w:pPr>
        <w:ind w:firstLine="8"/>
        <w:spacing w:after="0" w:line="342" w:lineRule="auto"/>
        <w:tabs>
          <w:tab w:leader="none" w:pos="2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2021 of Consumer Portfolio Services, Inc.;</w:t>
      </w:r>
    </w:p>
    <w:p>
      <w:pPr>
        <w:spacing w:after="0" w:line="236" w:lineRule="exact"/>
        <w:rPr>
          <w:rFonts w:ascii="Arial" w:cs="Arial" w:eastAsia="Arial" w:hAnsi="Arial"/>
          <w:sz w:val="17"/>
          <w:szCs w:val="17"/>
          <w:color w:val="auto"/>
        </w:rPr>
      </w:pPr>
    </w:p>
    <w:p>
      <w:pPr>
        <w:ind w:firstLine="8"/>
        <w:spacing w:after="0" w:line="342" w:lineRule="auto"/>
        <w:tabs>
          <w:tab w:leader="none" w:pos="2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2021,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332"/>
        <w:spacing w:after="0" w:line="527" w:lineRule="auto"/>
        <w:tabs>
          <w:tab w:leader="none" w:pos="6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104"/>
    </w:lvl>
    <w:lvl w:ilvl="1">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2021-11-10T14:30:24Z</dcterms:created>
  <dcterms:modified xsi:type="dcterms:W3CDTF">2021-11-10T14:30:24Z</dcterms:modified>
</cp:coreProperties>
</file>