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57" w:lineRule="exact"/>
        <w:rPr>
          <w:sz w:val="24"/>
          <w:szCs w:val="24"/>
          <w:color w:val="auto"/>
        </w:rPr>
      </w:pPr>
    </w:p>
    <w:p>
      <w:pPr>
        <w:ind w:left="3880" w:right="1520" w:hanging="3872"/>
        <w:spacing w:after="0" w:line="484" w:lineRule="auto"/>
        <w:tabs>
          <w:tab w:leader="none" w:pos="5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spacing w:after="0" w:line="33" w:lineRule="exact"/>
        <w:rPr>
          <w:sz w:val="24"/>
          <w:szCs w:val="24"/>
          <w:color w:val="auto"/>
        </w:rPr>
      </w:pPr>
    </w:p>
    <w:p>
      <w:pPr>
        <w:ind w:left="3240" w:right="2120" w:hanging="3232"/>
        <w:spacing w:after="0" w:line="527" w:lineRule="auto"/>
        <w:tabs>
          <w:tab w:leader="none" w:pos="429"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 to ______________</w:t>
      </w:r>
    </w:p>
    <w:p>
      <w:pPr>
        <w:spacing w:after="0" w:line="1" w:lineRule="exact"/>
        <w:rPr>
          <w:rFonts w:ascii="MS PGothic" w:cs="MS PGothic" w:eastAsia="MS PGothic" w:hAnsi="MS PGothic"/>
          <w:sz w:val="17"/>
          <w:szCs w:val="17"/>
          <w:color w:val="auto"/>
        </w:rPr>
      </w:pPr>
    </w:p>
    <w:p>
      <w:pPr>
        <w:ind w:left="434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Commission file number: 1-11416</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CONSUMER PORTFOLIO SERVICES,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94"/>
              </w:rPr>
              <w:t>California</w:t>
            </w:r>
          </w:p>
        </w:tc>
        <w:tc>
          <w:tcPr>
            <w:tcW w:w="360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0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20" w:type="dxa"/>
            <w:vAlign w:val="bottom"/>
          </w:tcPr>
          <w:p>
            <w:pPr>
              <w:jc w:val="center"/>
              <w:ind w:right="1010"/>
              <w:spacing w:after="0"/>
              <w:rPr>
                <w:sz w:val="20"/>
                <w:szCs w:val="20"/>
                <w:color w:val="auto"/>
              </w:rPr>
            </w:pPr>
            <w:r>
              <w:rPr>
                <w:rFonts w:ascii="Arial" w:cs="Arial" w:eastAsia="Arial" w:hAnsi="Arial"/>
                <w:sz w:val="18"/>
                <w:szCs w:val="18"/>
                <w:color w:val="auto"/>
                <w:w w:val="90"/>
              </w:rPr>
              <w:t>3800 Howard Hughes Parkway, Suite 1400,</w:t>
            </w:r>
          </w:p>
        </w:tc>
        <w:tc>
          <w:tcPr>
            <w:tcW w:w="3600" w:type="dxa"/>
            <w:vAlign w:val="bottom"/>
          </w:tcPr>
          <w:p>
            <w:pPr>
              <w:spacing w:after="0"/>
              <w:rPr>
                <w:sz w:val="24"/>
                <w:szCs w:val="24"/>
                <w:color w:val="auto"/>
              </w:rPr>
            </w:pPr>
          </w:p>
        </w:tc>
      </w:t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87"/>
              </w:rPr>
              <w:t>Las Vegas, Nevada</w:t>
            </w:r>
          </w:p>
        </w:tc>
        <w:tc>
          <w:tcPr>
            <w:tcW w:w="360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600" w:type="dxa"/>
            <w:vAlign w:val="bottom"/>
          </w:tcPr>
          <w:p>
            <w:pPr>
              <w:jc w:val="center"/>
              <w:ind w:left="101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91"/>
        </w:trPr>
        <w:tc>
          <w:tcPr>
            <w:tcW w:w="11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2220" w:type="dxa"/>
            <w:vAlign w:val="bottom"/>
          </w:tcPr>
          <w:p>
            <w:pPr>
              <w:spacing w:after="0"/>
              <w:rPr>
                <w:sz w:val="24"/>
                <w:szCs w:val="24"/>
                <w:color w:val="auto"/>
              </w:rPr>
            </w:pPr>
          </w:p>
        </w:tc>
        <w:tc>
          <w:tcPr>
            <w:tcW w:w="1840" w:type="dxa"/>
            <w:vAlign w:val="bottom"/>
            <w:gridSpan w:val="2"/>
          </w:tcPr>
          <w:p>
            <w:pPr>
              <w:jc w:val="center"/>
              <w:ind w:right="680"/>
              <w:spacing w:after="0"/>
              <w:rPr>
                <w:sz w:val="20"/>
                <w:szCs w:val="20"/>
                <w:color w:val="auto"/>
              </w:rPr>
            </w:pPr>
            <w:r>
              <w:rPr>
                <w:rFonts w:ascii="Arial" w:cs="Arial" w:eastAsia="Arial" w:hAnsi="Arial"/>
                <w:sz w:val="18"/>
                <w:szCs w:val="18"/>
                <w:color w:val="auto"/>
                <w:w w:val="91"/>
              </w:rPr>
              <w:t>Trading Symbol</w:t>
            </w:r>
          </w:p>
        </w:tc>
        <w:tc>
          <w:tcPr>
            <w:tcW w:w="4400" w:type="dxa"/>
            <w:vAlign w:val="bottom"/>
            <w:gridSpan w:val="3"/>
          </w:tcPr>
          <w:p>
            <w:pPr>
              <w:jc w:val="center"/>
              <w:ind w:left="6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1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4720" w:type="dxa"/>
            <w:vAlign w:val="bottom"/>
            <w:gridSpan w:val="3"/>
          </w:tcPr>
          <w:p>
            <w:pPr>
              <w:jc w:val="center"/>
              <w:ind w:right="1100"/>
              <w:spacing w:after="0"/>
              <w:rPr>
                <w:sz w:val="20"/>
                <w:szCs w:val="20"/>
                <w:color w:val="auto"/>
              </w:rPr>
            </w:pPr>
            <w:r>
              <w:rPr>
                <w:rFonts w:ascii="Arial" w:cs="Arial" w:eastAsia="Arial" w:hAnsi="Arial"/>
                <w:sz w:val="18"/>
                <w:szCs w:val="18"/>
                <w:color w:val="auto"/>
                <w:w w:val="90"/>
              </w:rPr>
              <w:t>Common Stock, no par value</w:t>
            </w:r>
          </w:p>
        </w:tc>
        <w:tc>
          <w:tcPr>
            <w:tcW w:w="1840" w:type="dxa"/>
            <w:vAlign w:val="bottom"/>
            <w:gridSpan w:val="2"/>
          </w:tcPr>
          <w:p>
            <w:pPr>
              <w:jc w:val="center"/>
              <w:ind w:right="700"/>
              <w:spacing w:after="0"/>
              <w:rPr>
                <w:sz w:val="20"/>
                <w:szCs w:val="20"/>
                <w:color w:val="auto"/>
              </w:rPr>
            </w:pPr>
            <w:r>
              <w:rPr>
                <w:rFonts w:ascii="Arial" w:cs="Arial" w:eastAsia="Arial" w:hAnsi="Arial"/>
                <w:sz w:val="18"/>
                <w:szCs w:val="18"/>
                <w:color w:val="auto"/>
                <w:w w:val="85"/>
              </w:rPr>
              <w:t>CPSS</w:t>
            </w:r>
          </w:p>
        </w:tc>
        <w:tc>
          <w:tcPr>
            <w:tcW w:w="4400" w:type="dxa"/>
            <w:vAlign w:val="bottom"/>
            <w:gridSpan w:val="3"/>
          </w:tcPr>
          <w:p>
            <w:pPr>
              <w:jc w:val="center"/>
              <w:ind w:left="610"/>
              <w:spacing w:after="0"/>
              <w:rPr>
                <w:sz w:val="20"/>
                <w:szCs w:val="20"/>
                <w:color w:val="auto"/>
              </w:rPr>
            </w:pPr>
            <w:r>
              <w:rPr>
                <w:rFonts w:ascii="Arial" w:cs="Arial" w:eastAsia="Arial" w:hAnsi="Arial"/>
                <w:sz w:val="18"/>
                <w:szCs w:val="18"/>
                <w:color w:val="auto"/>
                <w:w w:val="95"/>
              </w:rPr>
              <w:t>The NASDAQ Stock Market LLC (Global Market)</w:t>
            </w:r>
          </w:p>
        </w:tc>
      </w:tr>
    </w:tbl>
    <w:p>
      <w:pPr>
        <w:spacing w:after="0" w:line="229"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660" w:type="dxa"/>
            <w:vAlign w:val="bottom"/>
          </w:tcPr>
          <w:p>
            <w:pPr>
              <w:ind w:left="1200"/>
              <w:spacing w:after="0" w:line="207" w:lineRule="exact"/>
              <w:rPr>
                <w:sz w:val="20"/>
                <w:szCs w:val="20"/>
                <w:color w:val="auto"/>
              </w:rPr>
            </w:pPr>
            <w:r>
              <w:rPr>
                <w:rFonts w:ascii="Arial" w:cs="Arial" w:eastAsia="Arial" w:hAnsi="Arial"/>
                <w:sz w:val="18"/>
                <w:szCs w:val="18"/>
                <w:color w:val="auto"/>
                <w:w w:val="91"/>
              </w:rPr>
              <w:t xml:space="preserve">Accelerated Filer </w:t>
            </w:r>
            <w:r>
              <w:rPr>
                <w:rFonts w:ascii="MS PGothic" w:cs="MS PGothic" w:eastAsia="MS PGothic" w:hAnsi="MS PGothic"/>
                <w:sz w:val="18"/>
                <w:szCs w:val="18"/>
                <w:color w:val="auto"/>
                <w:w w:val="91"/>
              </w:rPr>
              <w:t>☐</w:t>
            </w:r>
          </w:p>
        </w:tc>
        <w:tc>
          <w:tcPr>
            <w:tcW w:w="0" w:type="dxa"/>
            <w:vAlign w:val="bottom"/>
          </w:tcPr>
          <w:p>
            <w:pPr>
              <w:spacing w:after="0"/>
              <w:rPr>
                <w:sz w:val="1"/>
                <w:szCs w:val="1"/>
                <w:color w:val="auto"/>
              </w:rPr>
            </w:pPr>
          </w:p>
        </w:tc>
      </w:tr>
      <w:tr>
        <w:trPr>
          <w:trHeight w:val="216"/>
        </w:trPr>
        <w:tc>
          <w:tcPr>
            <w:tcW w:w="34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2660" w:type="dxa"/>
            <w:vAlign w:val="bottom"/>
          </w:tcPr>
          <w:p>
            <w:pPr>
              <w:ind w:left="1200"/>
              <w:spacing w:after="0"/>
              <w:rPr>
                <w:sz w:val="20"/>
                <w:szCs w:val="20"/>
                <w:color w:val="auto"/>
              </w:rPr>
            </w:pPr>
            <w:r>
              <w:rPr>
                <w:rFonts w:ascii="Arial" w:cs="Arial" w:eastAsia="Arial" w:hAnsi="Arial"/>
                <w:sz w:val="18"/>
                <w:szCs w:val="18"/>
                <w:color w:val="auto"/>
              </w:rPr>
              <w:t>Smaller reporting</w:t>
            </w:r>
          </w:p>
        </w:tc>
        <w:tc>
          <w:tcPr>
            <w:tcW w:w="0" w:type="dxa"/>
            <w:vAlign w:val="bottom"/>
          </w:tcPr>
          <w:p>
            <w:pPr>
              <w:spacing w:after="0"/>
              <w:rPr>
                <w:sz w:val="1"/>
                <w:szCs w:val="1"/>
                <w:color w:val="auto"/>
              </w:rPr>
            </w:pPr>
          </w:p>
        </w:tc>
      </w:tr>
      <w:tr>
        <w:trPr>
          <w:trHeight w:val="283"/>
        </w:trPr>
        <w:tc>
          <w:tcPr>
            <w:tcW w:w="34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c>
          <w:tcPr>
            <w:tcW w:w="2660" w:type="dxa"/>
            <w:vAlign w:val="bottom"/>
          </w:tcPr>
          <w:p>
            <w:pPr>
              <w:ind w:left="1200"/>
              <w:spacing w:after="0" w:line="207" w:lineRule="exact"/>
              <w:rPr>
                <w:sz w:val="20"/>
                <w:szCs w:val="20"/>
                <w:color w:val="auto"/>
              </w:rPr>
            </w:pPr>
            <w:r>
              <w:rPr>
                <w:rFonts w:ascii="Arial" w:cs="Arial" w:eastAsia="Arial" w:hAnsi="Arial"/>
                <w:sz w:val="18"/>
                <w:szCs w:val="18"/>
                <w:color w:val="auto"/>
              </w:rPr>
              <w:t xml:space="preserve">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vMerge w:val="continue"/>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August 3, 2022 the registrant had 20,860,328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ind w:right="-25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60" w:type="dxa"/>
            <w:vAlign w:val="bottom"/>
            <w:gridSpan w:val="2"/>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3440" w:type="dxa"/>
            <w:vAlign w:val="bottom"/>
            <w:gridSpan w:val="7"/>
            <w:vMerge w:val="restart"/>
          </w:tcPr>
          <w:p>
            <w:pPr>
              <w:spacing w:after="0"/>
              <w:rPr>
                <w:sz w:val="17"/>
                <w:szCs w:val="17"/>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60" w:type="dxa"/>
            <w:vAlign w:val="bottom"/>
            <w:tcBorders>
              <w:bottom w:val="single" w:sz="8" w:color="0000EE"/>
            </w:tcBorders>
            <w:gridSpan w:val="2"/>
            <w:vMerge w:val="continue"/>
          </w:tcPr>
          <w:p>
            <w:pPr>
              <w:spacing w:after="0"/>
              <w:rPr>
                <w:sz w:val="17"/>
                <w:szCs w:val="17"/>
                <w:color w:val="auto"/>
              </w:rPr>
            </w:pPr>
          </w:p>
        </w:tc>
        <w:tc>
          <w:tcPr>
            <w:tcW w:w="3440" w:type="dxa"/>
            <w:vAlign w:val="bottom"/>
            <w:gridSpan w:val="7"/>
            <w:vMerge w:val="continue"/>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bottom w:val="single" w:sz="8" w:color="0000EE"/>
            </w:tcBorders>
            <w:gridSpan w:val="2"/>
          </w:tcPr>
          <w:p>
            <w:pPr>
              <w:ind w:left="20"/>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840" w:type="dxa"/>
            <w:vAlign w:val="bottom"/>
            <w:gridSpan w:val="12"/>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4"/>
          </w:tcPr>
          <w:p>
            <w:pPr>
              <w:ind w:left="20"/>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June 30, 2022 and December 31, 2021</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4"/>
          </w:tcPr>
          <w:p>
            <w:pPr>
              <w:ind w:left="20"/>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Unaudited Condensed Consolidated Statements of Operations for the three-month and six-month periods ended June 30, 2022</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680" w:type="dxa"/>
            <w:vAlign w:val="bottom"/>
            <w:tcBorders>
              <w:top w:val="single" w:sz="8" w:color="0000EE"/>
              <w:bottom w:val="single" w:sz="8" w:color="0000EE"/>
            </w:tcBorders>
          </w:tcPr>
          <w:p>
            <w:pPr>
              <w:ind w:left="20"/>
              <w:spacing w:after="0" w:line="196" w:lineRule="exact"/>
              <w:rPr>
                <w:rFonts w:ascii="Arial" w:cs="Arial" w:eastAsia="Arial" w:hAnsi="Arial"/>
                <w:sz w:val="18"/>
                <w:szCs w:val="18"/>
                <w:color w:val="0000EE"/>
                <w:w w:val="85"/>
              </w:rPr>
            </w:pPr>
            <w:hyperlink w:anchor="page4">
              <w:r>
                <w:rPr>
                  <w:rFonts w:ascii="Arial" w:cs="Arial" w:eastAsia="Arial" w:hAnsi="Arial"/>
                  <w:sz w:val="18"/>
                  <w:szCs w:val="18"/>
                  <w:color w:val="0000EE"/>
                  <w:w w:val="85"/>
                </w:rPr>
                <w:t>and 2021</w:t>
              </w:r>
            </w:hyperlink>
          </w:p>
        </w:tc>
        <w:tc>
          <w:tcPr>
            <w:tcW w:w="8400" w:type="dxa"/>
            <w:vAlign w:val="bottom"/>
            <w:tcBorders>
              <w:top w:val="single" w:sz="8" w:color="0000EE"/>
            </w:tcBorders>
            <w:gridSpan w:val="12"/>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960" w:type="dxa"/>
            <w:vAlign w:val="bottom"/>
            <w:tcBorders>
              <w:bottom w:val="single" w:sz="8" w:color="0000EE"/>
            </w:tcBorders>
            <w:gridSpan w:val="12"/>
          </w:tcPr>
          <w:p>
            <w:pPr>
              <w:ind w:left="20"/>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Comprehensive Income for the three-month and six-month periods ended</w:t>
              </w:r>
            </w:hyperlink>
          </w:p>
        </w:tc>
        <w:tc>
          <w:tcPr>
            <w:tcW w:w="40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4"/>
          </w:tcPr>
          <w:p>
            <w:pPr>
              <w:ind w:left="20"/>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June 30, 2022 and 2021</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4"/>
          </w:tcPr>
          <w:p>
            <w:pPr>
              <w:ind w:left="20"/>
              <w:spacing w:after="0" w:line="196"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Unaudited Condensed Consolidated Statements of Cash Flows for the six-month periods ended June 30, 2022 and 2021</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gridSpan w:val="14"/>
          </w:tcPr>
          <w:p>
            <w:pPr>
              <w:ind w:left="20"/>
              <w:spacing w:after="0" w:line="196" w:lineRule="exact"/>
              <w:rPr>
                <w:rFonts w:ascii="Arial" w:cs="Arial" w:eastAsia="Arial" w:hAnsi="Arial"/>
                <w:sz w:val="18"/>
                <w:szCs w:val="18"/>
                <w:color w:val="0000EE"/>
                <w:w w:val="95"/>
              </w:rPr>
            </w:pPr>
            <w:hyperlink w:anchor="page7">
              <w:r>
                <w:rPr>
                  <w:rFonts w:ascii="Arial" w:cs="Arial" w:eastAsia="Arial" w:hAnsi="Arial"/>
                  <w:sz w:val="18"/>
                  <w:szCs w:val="18"/>
                  <w:color w:val="0000EE"/>
                  <w:w w:val="95"/>
                </w:rPr>
                <w:t>Unaudited Condensed Consolidated Statements of Shareholders’ Equity for the three-month and six-month periods ended</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tcBorders>
              <w:top w:val="single" w:sz="8" w:color="0000EE"/>
            </w:tcBorders>
            <w:gridSpan w:val="11"/>
          </w:tcPr>
          <w:p>
            <w:pPr>
              <w:ind w:left="2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June 30, 2022 and 2021</w:t>
              </w:r>
            </w:hyperlink>
          </w:p>
        </w:tc>
        <w:tc>
          <w:tcPr>
            <w:tcW w:w="600" w:type="dxa"/>
            <w:vAlign w:val="bottom"/>
            <w:gridSpan w:val="3"/>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480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Condensed Consolidated Financial Statements</w:t>
              </w:r>
            </w:hyperlink>
          </w:p>
        </w:tc>
        <w:tc>
          <w:tcPr>
            <w:tcW w:w="4560" w:type="dxa"/>
            <w:vAlign w:val="bottom"/>
            <w:gridSpan w:val="8"/>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60" w:type="dxa"/>
            <w:vAlign w:val="bottom"/>
            <w:gridSpan w:val="14"/>
          </w:tcPr>
          <w:p>
            <w:pPr>
              <w:ind w:left="20"/>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4"/>
          </w:tcPr>
          <w:p>
            <w:pPr>
              <w:ind w:left="20"/>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Controls and Procedures</w:t>
              </w:r>
            </w:hyperlink>
          </w:p>
        </w:tc>
        <w:tc>
          <w:tcPr>
            <w:tcW w:w="4680" w:type="dxa"/>
            <w:vAlign w:val="bottom"/>
            <w:tcBorders>
              <w:top w:val="single" w:sz="8" w:color="0000EE"/>
            </w:tcBorders>
            <w:gridSpan w:val="4"/>
          </w:tcPr>
          <w:p>
            <w:pPr>
              <w:spacing w:after="0"/>
              <w:rPr>
                <w:sz w:val="17"/>
                <w:szCs w:val="17"/>
                <w:color w:val="auto"/>
              </w:rPr>
            </w:pPr>
          </w:p>
        </w:tc>
        <w:tc>
          <w:tcPr>
            <w:tcW w:w="2900" w:type="dxa"/>
            <w:vAlign w:val="bottom"/>
            <w:gridSpan w:val="6"/>
          </w:tcPr>
          <w:p>
            <w:pPr>
              <w:spacing w:after="0"/>
              <w:rPr>
                <w:sz w:val="17"/>
                <w:szCs w:val="17"/>
                <w:color w:val="auto"/>
              </w:rPr>
            </w:pPr>
          </w:p>
        </w:tc>
        <w:tc>
          <w:tcPr>
            <w:tcW w:w="380" w:type="dxa"/>
            <w:vAlign w:val="bottom"/>
          </w:tcPr>
          <w:p>
            <w:pPr>
              <w:jc w:val="center"/>
              <w:spacing w:after="0" w:line="19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4620" w:type="dxa"/>
            <w:vAlign w:val="bottom"/>
            <w:gridSpan w:val="3"/>
          </w:tcPr>
          <w:p>
            <w:pPr>
              <w:spacing w:after="0"/>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PART II. OTHER INFORMATION</w:t>
              </w:r>
            </w:hyperlink>
          </w:p>
        </w:tc>
        <w:tc>
          <w:tcPr>
            <w:tcW w:w="2020" w:type="dxa"/>
            <w:vAlign w:val="bottom"/>
          </w:tcPr>
          <w:p>
            <w:pPr>
              <w:spacing w:after="0"/>
              <w:rPr>
                <w:sz w:val="17"/>
                <w:szCs w:val="17"/>
                <w:color w:val="auto"/>
              </w:rPr>
            </w:pPr>
          </w:p>
        </w:tc>
      </w:tr>
      <w:tr>
        <w:trPr>
          <w:trHeight w:val="412"/>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3000" w:type="dxa"/>
            <w:vAlign w:val="bottom"/>
            <w:gridSpan w:val="5"/>
          </w:tcPr>
          <w:p>
            <w:pPr>
              <w:ind w:left="20"/>
              <w:spacing w:after="0"/>
              <w:rPr>
                <w:rFonts w:ascii="Arial" w:cs="Arial" w:eastAsia="Arial" w:hAnsi="Arial"/>
                <w:sz w:val="18"/>
                <w:szCs w:val="18"/>
                <w:color w:val="0000EE"/>
              </w:rPr>
            </w:pPr>
            <w:hyperlink w:anchor="page49">
              <w:r>
                <w:rPr>
                  <w:rFonts w:ascii="Arial" w:cs="Arial" w:eastAsia="Arial" w:hAnsi="Arial"/>
                  <w:sz w:val="18"/>
                  <w:szCs w:val="18"/>
                  <w:color w:val="0000EE"/>
                </w:rPr>
                <w:t>Legal Proceedings</w:t>
              </w:r>
            </w:hyperlink>
          </w:p>
        </w:tc>
        <w:tc>
          <w:tcPr>
            <w:tcW w:w="2760" w:type="dxa"/>
            <w:vAlign w:val="bottom"/>
            <w:tcBorders>
              <w:top w:val="single" w:sz="8" w:color="0000EE"/>
            </w:tcBorders>
            <w:gridSpan w:val="2"/>
          </w:tcPr>
          <w:p>
            <w:pPr>
              <w:spacing w:after="0"/>
              <w:rPr>
                <w:sz w:val="24"/>
                <w:szCs w:val="24"/>
                <w:color w:val="auto"/>
              </w:rPr>
            </w:pPr>
          </w:p>
        </w:tc>
        <w:tc>
          <w:tcPr>
            <w:tcW w:w="18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87"/>
              </w:rPr>
            </w:pPr>
            <w:hyperlink w:anchor="page49">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17"/>
                <w:szCs w:val="17"/>
                <w:color w:val="auto"/>
              </w:rPr>
            </w:pPr>
          </w:p>
        </w:tc>
        <w:tc>
          <w:tcPr>
            <w:tcW w:w="6280" w:type="dxa"/>
            <w:vAlign w:val="bottom"/>
            <w:gridSpan w:val="4"/>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Unregistered Sales of Equity Securities and Use of Proceeds</w:t>
              </w:r>
            </w:hyperlink>
          </w:p>
        </w:tc>
        <w:tc>
          <w:tcPr>
            <w:tcW w:w="3260" w:type="dxa"/>
            <w:vAlign w:val="bottom"/>
            <w:gridSpan w:val="2"/>
          </w:tcPr>
          <w:p>
            <w:pPr>
              <w:spacing w:after="0"/>
              <w:rPr>
                <w:sz w:val="17"/>
                <w:szCs w:val="17"/>
                <w:color w:val="auto"/>
              </w:rPr>
            </w:pPr>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7620" w:type="dxa"/>
            <w:vAlign w:val="bottom"/>
            <w:gridSpan w:val="8"/>
          </w:tcPr>
          <w:p>
            <w:pPr>
              <w:ind w:left="20"/>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Exhibits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6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7620" w:type="dxa"/>
            <w:vAlign w:val="bottom"/>
            <w:gridSpan w:val="8"/>
          </w:tcPr>
          <w:p>
            <w:pPr>
              <w:ind w:left="20"/>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20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1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796"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9"/>
                <w:szCs w:val="19"/>
                <w:color w:val="auto"/>
              </w:rPr>
            </w:pPr>
          </w:p>
        </w:tc>
        <w:tc>
          <w:tcPr>
            <w:tcW w:w="15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744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EEEEE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09"/>
        </w:trPr>
        <w:tc>
          <w:tcPr>
            <w:tcW w:w="7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11,348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29,928</w:t>
            </w: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157,021</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146,620</w:t>
            </w:r>
          </w:p>
        </w:tc>
        <w:tc>
          <w:tcPr>
            <w:tcW w:w="8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Finance receivables measured at fair value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2,174,133</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1,749,098</w:t>
            </w:r>
          </w:p>
        </w:tc>
        <w:tc>
          <w:tcPr>
            <w:tcW w:w="8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Finance receivables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149,010</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232,390</w:t>
            </w:r>
          </w:p>
        </w:tc>
        <w:tc>
          <w:tcPr>
            <w:tcW w:w="80" w:type="dxa"/>
            <w:vAlign w:val="bottom"/>
          </w:tcPr>
          <w:p>
            <w:pPr>
              <w:spacing w:after="0"/>
              <w:rPr>
                <w:sz w:val="18"/>
                <w:szCs w:val="18"/>
                <w:color w:val="auto"/>
              </w:rPr>
            </w:pPr>
          </w:p>
        </w:tc>
      </w:tr>
      <w:tr>
        <w:trPr>
          <w:trHeight w:val="229"/>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Less: Allowance for finance credit losses</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(35,672)</w:t>
            </w:r>
          </w:p>
        </w:tc>
        <w:tc>
          <w:tcPr>
            <w:tcW w:w="200" w:type="dxa"/>
            <w:vAlign w:val="bottom"/>
            <w:shd w:val="clear" w:color="auto" w:fill="EEEEEE"/>
          </w:tcPr>
          <w:p>
            <w:pPr>
              <w:spacing w:after="0"/>
              <w:rPr>
                <w:sz w:val="19"/>
                <w:szCs w:val="19"/>
                <w:color w:val="auto"/>
              </w:rPr>
            </w:pPr>
          </w:p>
        </w:tc>
        <w:tc>
          <w:tcPr>
            <w:tcW w:w="15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(56,206)</w:t>
            </w: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Finance receivables, net</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113,338</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176,184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1,355</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1,129</w:t>
            </w:r>
          </w:p>
        </w:tc>
        <w:tc>
          <w:tcPr>
            <w:tcW w:w="8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17,523</w:t>
            </w:r>
          </w:p>
        </w:tc>
        <w:tc>
          <w:tcPr>
            <w:tcW w:w="20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19,575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1,383</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2,269</w:t>
            </w:r>
          </w:p>
        </w:tc>
        <w:tc>
          <w:tcPr>
            <w:tcW w:w="80" w:type="dxa"/>
            <w:vAlign w:val="bottom"/>
          </w:tcPr>
          <w:p>
            <w:pPr>
              <w:spacing w:after="0"/>
              <w:rPr>
                <w:sz w:val="18"/>
                <w:szCs w:val="18"/>
                <w:color w:val="auto"/>
              </w:rPr>
            </w:pPr>
          </w:p>
        </w:tc>
      </w:tr>
      <w:tr>
        <w:trPr>
          <w:trHeight w:val="230"/>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24,372</w:t>
            </w:r>
          </w:p>
        </w:tc>
        <w:tc>
          <w:tcPr>
            <w:tcW w:w="200" w:type="dxa"/>
            <w:vAlign w:val="bottom"/>
            <w:shd w:val="clear" w:color="auto" w:fill="EEEEEE"/>
          </w:tcPr>
          <w:p>
            <w:pPr>
              <w:spacing w:after="0"/>
              <w:rPr>
                <w:sz w:val="19"/>
                <w:szCs w:val="19"/>
                <w:color w:val="auto"/>
              </w:rPr>
            </w:pPr>
          </w:p>
        </w:tc>
        <w:tc>
          <w:tcPr>
            <w:tcW w:w="1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34,775</w:t>
            </w:r>
          </w:p>
        </w:tc>
      </w:tr>
      <w:tr>
        <w:trPr>
          <w:trHeight w:val="263"/>
        </w:trPr>
        <w:tc>
          <w:tcPr>
            <w:tcW w:w="744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2,500,473</w:t>
            </w:r>
          </w:p>
        </w:tc>
        <w:tc>
          <w:tcPr>
            <w:tcW w:w="220" w:type="dxa"/>
            <w:vAlign w:val="bottom"/>
            <w:tcBorders>
              <w:bottom w:val="single" w:sz="8" w:color="EEEEEE"/>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2,159,578</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74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62,415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43,648</w:t>
            </w: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228,906</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105,610</w:t>
            </w:r>
          </w:p>
        </w:tc>
        <w:tc>
          <w:tcPr>
            <w:tcW w:w="8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49,497</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53,682</w:t>
            </w: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1,934,156</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1,759,972</w:t>
            </w:r>
          </w:p>
        </w:tc>
        <w:tc>
          <w:tcPr>
            <w:tcW w:w="80" w:type="dxa"/>
            <w:vAlign w:val="bottom"/>
            <w:shd w:val="clear" w:color="auto" w:fill="EEEEEE"/>
          </w:tcPr>
          <w:p>
            <w:pPr>
              <w:spacing w:after="0"/>
              <w:rPr>
                <w:sz w:val="18"/>
                <w:szCs w:val="18"/>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27,208</w:t>
            </w:r>
          </w:p>
        </w:tc>
        <w:tc>
          <w:tcPr>
            <w:tcW w:w="200" w:type="dxa"/>
            <w:vAlign w:val="bottom"/>
          </w:tcPr>
          <w:p>
            <w:pPr>
              <w:spacing w:after="0"/>
              <w:rPr>
                <w:sz w:val="19"/>
                <w:szCs w:val="19"/>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26,459</w:t>
            </w:r>
          </w:p>
        </w:tc>
      </w:tr>
      <w:tr>
        <w:trPr>
          <w:trHeight w:val="210"/>
        </w:trPr>
        <w:tc>
          <w:tcPr>
            <w:tcW w:w="74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3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2,302,182</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1,989,371</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4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0"/>
              </w:rPr>
              <w:t>Common stock, no par value; authorized 75,000,000 shares; 21,206,839 and 21,143,764 shares issued</w:t>
            </w:r>
          </w:p>
        </w:tc>
        <w:tc>
          <w:tcPr>
            <w:tcW w:w="1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3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74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and outstanding at June 30, 2022 and December 31, 2021, respectively</w:t>
            </w:r>
          </w:p>
        </w:tc>
        <w:tc>
          <w:tcPr>
            <w:tcW w:w="12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36,947</w:t>
            </w:r>
          </w:p>
        </w:tc>
        <w:tc>
          <w:tcPr>
            <w:tcW w:w="200" w:type="dxa"/>
            <w:vAlign w:val="bottom"/>
            <w:shd w:val="clear" w:color="auto" w:fill="EEEEEE"/>
          </w:tcPr>
          <w:p>
            <w:pPr>
              <w:spacing w:after="0"/>
              <w:rPr>
                <w:sz w:val="20"/>
                <w:szCs w:val="20"/>
                <w:color w:val="auto"/>
              </w:rPr>
            </w:pPr>
          </w:p>
        </w:tc>
        <w:tc>
          <w:tcPr>
            <w:tcW w:w="1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55,298</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162,966</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116,531</w:t>
            </w:r>
          </w:p>
        </w:tc>
      </w:tr>
      <w:tr>
        <w:trPr>
          <w:trHeight w:val="229"/>
        </w:trPr>
        <w:tc>
          <w:tcPr>
            <w:tcW w:w="744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(1,622)</w:t>
            </w:r>
          </w:p>
        </w:tc>
        <w:tc>
          <w:tcPr>
            <w:tcW w:w="200" w:type="dxa"/>
            <w:vAlign w:val="bottom"/>
            <w:shd w:val="clear" w:color="auto" w:fill="EEEEEE"/>
          </w:tcPr>
          <w:p>
            <w:pPr>
              <w:spacing w:after="0"/>
              <w:rPr>
                <w:sz w:val="19"/>
                <w:szCs w:val="19"/>
                <w:color w:val="auto"/>
              </w:rPr>
            </w:pPr>
          </w:p>
        </w:tc>
        <w:tc>
          <w:tcPr>
            <w:tcW w:w="15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(1,622)</w:t>
            </w:r>
          </w:p>
        </w:tc>
      </w:tr>
      <w:tr>
        <w:trPr>
          <w:trHeight w:val="210"/>
        </w:trPr>
        <w:tc>
          <w:tcPr>
            <w:tcW w:w="7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198,291</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spacing w:after="0"/>
              <w:rPr>
                <w:sz w:val="19"/>
                <w:szCs w:val="19"/>
                <w:color w:val="auto"/>
              </w:rPr>
            </w:pPr>
          </w:p>
        </w:tc>
        <w:tc>
          <w:tcPr>
            <w:tcW w:w="138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00" w:type="dxa"/>
            <w:vAlign w:val="bottom"/>
            <w:tcBorders>
              <w:bottom w:val="single" w:sz="8" w:color="auto"/>
            </w:tcBorders>
            <w:shd w:val="clear" w:color="auto" w:fill="EEEEEE"/>
          </w:tcPr>
          <w:p>
            <w:pPr>
              <w:spacing w:after="0"/>
              <w:rPr>
                <w:sz w:val="19"/>
                <w:szCs w:val="19"/>
                <w:color w:val="auto"/>
              </w:rPr>
            </w:pPr>
          </w:p>
        </w:tc>
        <w:tc>
          <w:tcPr>
            <w:tcW w:w="148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23"/>
        </w:trPr>
        <w:tc>
          <w:tcPr>
            <w:tcW w:w="7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2,500,473</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2,159,578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80" w:type="dxa"/>
            <w:vAlign w:val="bottom"/>
            <w:gridSpan w:val="6"/>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9"/>
                <w:szCs w:val="19"/>
                <w:color w:val="auto"/>
              </w:rPr>
            </w:pPr>
          </w:p>
        </w:tc>
        <w:tc>
          <w:tcPr>
            <w:tcW w:w="290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07"/>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EEEEEE"/>
            </w:tcBorders>
          </w:tcPr>
          <w:p>
            <w:pPr>
              <w:spacing w:after="0"/>
              <w:rPr>
                <w:sz w:val="19"/>
                <w:szCs w:val="19"/>
                <w:color w:val="auto"/>
              </w:rPr>
            </w:pPr>
          </w:p>
        </w:tc>
      </w:tr>
      <w:tr>
        <w:trPr>
          <w:trHeight w:val="209"/>
        </w:trPr>
        <w:tc>
          <w:tcPr>
            <w:tcW w:w="4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75,670</w:t>
            </w:r>
          </w:p>
        </w:tc>
        <w:tc>
          <w:tcPr>
            <w:tcW w:w="48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65,440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145,730</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131,533</w:t>
            </w: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Mark to finance receivables measured at fair value</w:t>
            </w:r>
          </w:p>
        </w:tc>
        <w:tc>
          <w:tcPr>
            <w:tcW w:w="3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7,100</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(4,417)</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1,329</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3,554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2,765</w:t>
            </w:r>
          </w:p>
        </w:tc>
      </w:tr>
      <w:tr>
        <w:trPr>
          <w:trHeight w:val="209"/>
        </w:trPr>
        <w:tc>
          <w:tcPr>
            <w:tcW w:w="46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82,018</w:t>
            </w: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66,769</w:t>
            </w:r>
          </w:p>
        </w:tc>
        <w:tc>
          <w:tcPr>
            <w:tcW w:w="2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156,384</w:t>
            </w:r>
          </w:p>
        </w:tc>
        <w:tc>
          <w:tcPr>
            <w:tcW w:w="1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129,881</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4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Employee costs</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20,591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19,448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42,743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39,607</w:t>
            </w: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8,280</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7,831</w:t>
            </w: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16,511</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15,579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Interest</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18,771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18,980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35,171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39,925</w:t>
            </w: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3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(17,400)</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Sales</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5,838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4,201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11,224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8,187</w:t>
            </w: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1,937</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2,016</w:t>
            </w: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3,789</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3,918</w:t>
            </w:r>
          </w:p>
        </w:tc>
      </w:tr>
      <w:tr>
        <w:trPr>
          <w:trHeight w:val="229"/>
        </w:trPr>
        <w:tc>
          <w:tcPr>
            <w:tcW w:w="46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417</w:t>
            </w:r>
          </w:p>
        </w:tc>
        <w:tc>
          <w:tcPr>
            <w:tcW w:w="32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r>
      <w:tr>
        <w:trPr>
          <w:trHeight w:val="209"/>
        </w:trPr>
        <w:tc>
          <w:tcPr>
            <w:tcW w:w="46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47,802</w:t>
            </w: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52,893</w:t>
            </w:r>
          </w:p>
        </w:tc>
        <w:tc>
          <w:tcPr>
            <w:tcW w:w="2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92,840</w:t>
            </w:r>
          </w:p>
        </w:tc>
        <w:tc>
          <w:tcPr>
            <w:tcW w:w="1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108,061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Income before income tax expense (benefit)</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13,876</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63,544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21,820</w:t>
            </w:r>
          </w:p>
        </w:tc>
        <w:tc>
          <w:tcPr>
            <w:tcW w:w="100" w:type="dxa"/>
            <w:vAlign w:val="bottom"/>
          </w:tcPr>
          <w:p>
            <w:pPr>
              <w:spacing w:after="0"/>
              <w:rPr>
                <w:sz w:val="18"/>
                <w:szCs w:val="18"/>
                <w:color w:val="auto"/>
              </w:rPr>
            </w:pPr>
          </w:p>
        </w:tc>
      </w:tr>
      <w:tr>
        <w:trPr>
          <w:trHeight w:val="229"/>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 (benefit)</w:t>
            </w:r>
          </w:p>
        </w:tc>
        <w:tc>
          <w:tcPr>
            <w:tcW w:w="32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8,896</w:t>
            </w:r>
          </w:p>
        </w:tc>
        <w:tc>
          <w:tcPr>
            <w:tcW w:w="10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4,163</w:t>
            </w:r>
          </w:p>
        </w:tc>
        <w:tc>
          <w:tcPr>
            <w:tcW w:w="32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17,109</w:t>
            </w:r>
          </w:p>
        </w:tc>
        <w:tc>
          <w:tcPr>
            <w:tcW w:w="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6,943</w:t>
            </w:r>
          </w:p>
        </w:tc>
      </w:tr>
      <w:tr>
        <w:trPr>
          <w:trHeight w:val="263"/>
        </w:trPr>
        <w:tc>
          <w:tcPr>
            <w:tcW w:w="46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25,320</w:t>
            </w:r>
          </w:p>
        </w:tc>
        <w:tc>
          <w:tcPr>
            <w:tcW w:w="14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9,713</w:t>
            </w:r>
          </w:p>
        </w:tc>
        <w:tc>
          <w:tcPr>
            <w:tcW w:w="200" w:type="dxa"/>
            <w:vAlign w:val="bottom"/>
            <w:tcBorders>
              <w:bottom w:val="single" w:sz="8" w:color="EEEEEE"/>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46,435</w:t>
            </w:r>
          </w:p>
        </w:tc>
        <w:tc>
          <w:tcPr>
            <w:tcW w:w="1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14,877</w:t>
            </w:r>
          </w:p>
        </w:tc>
        <w:tc>
          <w:tcPr>
            <w:tcW w:w="100" w:type="dxa"/>
            <w:vAlign w:val="bottom"/>
            <w:tcBorders>
              <w:bottom w:val="single" w:sz="8" w:color="EEEEEE"/>
            </w:tcBorders>
          </w:tcPr>
          <w:p>
            <w:pPr>
              <w:spacing w:after="0"/>
              <w:rPr>
                <w:sz w:val="22"/>
                <w:szCs w:val="22"/>
                <w:color w:val="auto"/>
              </w:rPr>
            </w:pPr>
          </w:p>
        </w:tc>
      </w:tr>
      <w:tr>
        <w:trPr>
          <w:trHeight w:val="196"/>
        </w:trPr>
        <w:tc>
          <w:tcPr>
            <w:tcW w:w="46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1.18</w:t>
            </w:r>
          </w:p>
        </w:tc>
        <w:tc>
          <w:tcPr>
            <w:tcW w:w="480" w:type="dxa"/>
            <w:vAlign w:val="bottom"/>
            <w:gridSpan w:val="2"/>
            <w:shd w:val="clear" w:color="auto" w:fill="EEEEEE"/>
          </w:tcPr>
          <w:p>
            <w:pPr>
              <w:jc w:val="right"/>
              <w:ind w:right="22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0.43</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2.18</w:t>
            </w:r>
          </w:p>
        </w:tc>
        <w:tc>
          <w:tcPr>
            <w:tcW w:w="460" w:type="dxa"/>
            <w:vAlign w:val="bottom"/>
            <w:gridSpan w:val="2"/>
            <w:shd w:val="clear" w:color="auto" w:fill="EEEEEE"/>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0.65</w:t>
            </w: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0.39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0.59</w:t>
            </w:r>
          </w:p>
        </w:tc>
      </w:tr>
      <w:tr>
        <w:trPr>
          <w:trHeight w:val="216"/>
        </w:trPr>
        <w:tc>
          <w:tcPr>
            <w:tcW w:w="46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Number of shares used in computing earnings per share:</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21,370</w:t>
            </w:r>
          </w:p>
        </w:tc>
        <w:tc>
          <w:tcPr>
            <w:tcW w:w="10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22,842</w:t>
            </w:r>
          </w:p>
        </w:tc>
        <w:tc>
          <w:tcPr>
            <w:tcW w:w="3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21,296</w:t>
            </w:r>
          </w:p>
        </w:tc>
        <w:tc>
          <w:tcPr>
            <w:tcW w:w="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22,791</w:t>
            </w:r>
          </w:p>
        </w:tc>
      </w:tr>
      <w:tr>
        <w:trPr>
          <w:trHeight w:val="230"/>
        </w:trPr>
        <w:tc>
          <w:tcPr>
            <w:tcW w:w="46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27,687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25,130</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27,943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25,048</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720" w:type="dxa"/>
            <w:vAlign w:val="bottom"/>
            <w:gridSpan w:val="5"/>
          </w:tcPr>
          <w:p>
            <w:pPr>
              <w:jc w:val="right"/>
              <w:ind w:right="227"/>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7"/>
          </w:tcPr>
          <w:p>
            <w:pPr>
              <w:ind w:left="5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6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87"/>
              <w:spacing w:after="0"/>
              <w:rPr>
                <w:sz w:val="20"/>
                <w:szCs w:val="20"/>
                <w:color w:val="auto"/>
              </w:rPr>
            </w:pPr>
            <w:r>
              <w:rPr>
                <w:rFonts w:ascii="Arial" w:cs="Arial" w:eastAsia="Arial" w:hAnsi="Arial"/>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rPr>
              <w:t>2021</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462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960" w:type="dxa"/>
            <w:vAlign w:val="bottom"/>
            <w:shd w:val="clear" w:color="auto" w:fill="EEEEEE"/>
          </w:tcPr>
          <w:p>
            <w:pPr>
              <w:jc w:val="right"/>
              <w:ind w:right="77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0"/>
              </w:rPr>
              <w:t>25,320</w:t>
            </w:r>
          </w:p>
        </w:tc>
        <w:tc>
          <w:tcPr>
            <w:tcW w:w="1120" w:type="dxa"/>
            <w:vAlign w:val="bottom"/>
            <w:gridSpan w:val="2"/>
            <w:shd w:val="clear" w:color="auto" w:fill="EEEEEE"/>
          </w:tcPr>
          <w:p>
            <w:pPr>
              <w:jc w:val="right"/>
              <w:ind w:right="847"/>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9,713</w:t>
            </w:r>
          </w:p>
        </w:tc>
        <w:tc>
          <w:tcPr>
            <w:tcW w:w="320" w:type="dxa"/>
            <w:vAlign w:val="bottom"/>
            <w:shd w:val="clear" w:color="auto" w:fill="EEEEEE"/>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46,435</w:t>
            </w:r>
          </w:p>
        </w:tc>
        <w:tc>
          <w:tcPr>
            <w:tcW w:w="380" w:type="dxa"/>
            <w:vAlign w:val="bottom"/>
            <w:gridSpan w:val="2"/>
            <w:shd w:val="clear" w:color="auto" w:fill="EEEEEE"/>
          </w:tcPr>
          <w:p>
            <w:pPr>
              <w:jc w:val="right"/>
              <w:ind w:right="207"/>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14,877</w:t>
            </w:r>
          </w:p>
        </w:tc>
        <w:tc>
          <w:tcPr>
            <w:tcW w:w="80" w:type="dxa"/>
            <w:vAlign w:val="bottom"/>
            <w:shd w:val="clear" w:color="auto" w:fill="EEEEEE"/>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6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4"/>
              </w:rPr>
              <w:t>Other comprehensive income/(loss); change in funded status</w:t>
            </w:r>
          </w:p>
        </w:tc>
        <w:tc>
          <w:tcPr>
            <w:tcW w:w="96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0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4"/>
        </w:trPr>
        <w:tc>
          <w:tcPr>
            <w:tcW w:w="4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of pension plan</w:t>
            </w:r>
          </w:p>
        </w:tc>
        <w:tc>
          <w:tcPr>
            <w:tcW w:w="960" w:type="dxa"/>
            <w:vAlign w:val="bottom"/>
            <w:shd w:val="clear" w:color="auto" w:fill="EEEEEE"/>
          </w:tcPr>
          <w:p>
            <w:pPr>
              <w:spacing w:after="0"/>
              <w:rPr>
                <w:sz w:val="21"/>
                <w:szCs w:val="21"/>
                <w:color w:val="auto"/>
              </w:rPr>
            </w:pPr>
          </w:p>
        </w:tc>
        <w:tc>
          <w:tcPr>
            <w:tcW w:w="6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21"/>
                <w:szCs w:val="21"/>
                <w:color w:val="auto"/>
              </w:rPr>
            </w:pPr>
          </w:p>
        </w:tc>
        <w:tc>
          <w:tcPr>
            <w:tcW w:w="1000" w:type="dxa"/>
            <w:vAlign w:val="bottom"/>
            <w:shd w:val="clear" w:color="auto" w:fill="EEEEEE"/>
          </w:tcPr>
          <w:p>
            <w:pPr>
              <w:spacing w:after="0"/>
              <w:rPr>
                <w:sz w:val="21"/>
                <w:szCs w:val="21"/>
                <w:color w:val="auto"/>
              </w:rPr>
            </w:pPr>
          </w:p>
        </w:tc>
        <w:tc>
          <w:tcPr>
            <w:tcW w:w="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EEEEEE"/>
          </w:tcPr>
          <w:p>
            <w:pPr>
              <w:spacing w:after="0"/>
              <w:rPr>
                <w:sz w:val="21"/>
                <w:szCs w:val="21"/>
                <w:color w:val="auto"/>
              </w:rPr>
            </w:pPr>
          </w:p>
        </w:tc>
        <w:tc>
          <w:tcPr>
            <w:tcW w:w="13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360" w:type="dxa"/>
            <w:vAlign w:val="bottom"/>
            <w:shd w:val="clear" w:color="auto" w:fill="EEEEEE"/>
          </w:tcPr>
          <w:p>
            <w:pPr>
              <w:spacing w:after="0"/>
              <w:rPr>
                <w:sz w:val="21"/>
                <w:szCs w:val="21"/>
                <w:color w:val="auto"/>
              </w:rPr>
            </w:pPr>
          </w:p>
        </w:tc>
        <w:tc>
          <w:tcPr>
            <w:tcW w:w="11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Comprehensive income</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25,320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9,713</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46,435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 w:name="page6"/>
    <w:bookmarkEnd w:id="5"/>
    <w:p>
      <w:pPr>
        <w:jc w:val="center"/>
        <w:ind w:left="340" w:right="23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Six Months Ended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6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47"/>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780" w:type="dxa"/>
            <w:vAlign w:val="bottom"/>
            <w:tcBorders>
              <w:bottom w:val="single" w:sz="8" w:color="EEEEEE"/>
            </w:tcBorders>
          </w:tcPr>
          <w:p>
            <w:pPr>
              <w:spacing w:after="0"/>
              <w:rPr>
                <w:sz w:val="19"/>
                <w:szCs w:val="19"/>
                <w:color w:val="auto"/>
              </w:rPr>
            </w:pPr>
          </w:p>
        </w:tc>
        <w:tc>
          <w:tcPr>
            <w:tcW w:w="780" w:type="dxa"/>
            <w:vAlign w:val="bottom"/>
            <w:tcBorders>
              <w:bottom w:val="single" w:sz="8" w:color="EEEEEE"/>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Borders>
              <w:bottom w:val="single" w:sz="8" w:color="EEEEEE"/>
            </w:tcBorders>
          </w:tcPr>
          <w:p>
            <w:pPr>
              <w:spacing w:after="0"/>
              <w:rPr>
                <w:sz w:val="19"/>
                <w:szCs w:val="19"/>
                <w:color w:val="auto"/>
              </w:rPr>
            </w:pPr>
          </w:p>
        </w:tc>
      </w:tr>
      <w:tr>
        <w:trPr>
          <w:trHeight w:val="210"/>
        </w:trPr>
        <w:tc>
          <w:tcPr>
            <w:tcW w:w="678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0" w:type="dxa"/>
            <w:vAlign w:val="bottom"/>
            <w:gridSpan w:val="2"/>
          </w:tcPr>
          <w:p>
            <w:pPr>
              <w:jc w:val="right"/>
              <w:ind w:right="85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46,435</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14,877</w:t>
            </w: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Accretion of deferred acquisition fees and origination costs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651</w:t>
            </w: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interest income accretion on fair value receivables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60,766</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66,812</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802</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845</w:t>
            </w: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Amortization of deferred financing costs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3,628</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3,598</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Mark to finance receivables measured at fair value</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(7,100)</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4,417</w:t>
            </w: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Provision for credit losses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(17,400)</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1,518</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735</w:t>
            </w: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Changes in assets and liabilities: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Accrued interest receivable</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886</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1,416</w:t>
            </w:r>
          </w:p>
        </w:tc>
      </w:tr>
      <w:tr>
        <w:trPr>
          <w:trHeight w:val="216"/>
        </w:trPr>
        <w:tc>
          <w:tcPr>
            <w:tcW w:w="67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Deferred tax assets, net</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2,052</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1,381</w:t>
            </w: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9,316</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8,644</w:t>
            </w:r>
          </w:p>
        </w:tc>
      </w:tr>
      <w:tr>
        <w:trPr>
          <w:trHeight w:val="230"/>
        </w:trPr>
        <w:tc>
          <w:tcPr>
            <w:tcW w:w="67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Accounts payable and accrued expenses</w:t>
            </w:r>
          </w:p>
        </w:tc>
        <w:tc>
          <w:tcPr>
            <w:tcW w:w="78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18,767</w:t>
            </w:r>
          </w:p>
        </w:tc>
        <w:tc>
          <w:tcPr>
            <w:tcW w:w="6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9,030</w:t>
            </w:r>
          </w:p>
        </w:tc>
      </w:tr>
      <w:tr>
        <w:trPr>
          <w:trHeight w:val="209"/>
        </w:trPr>
        <w:tc>
          <w:tcPr>
            <w:tcW w:w="6780" w:type="dxa"/>
            <w:vAlign w:val="bottom"/>
            <w:tcBorders>
              <w:bottom w:val="single" w:sz="8" w:color="EEEEEE"/>
            </w:tcBorders>
          </w:tcPr>
          <w:p>
            <w:pPr>
              <w:ind w:left="540"/>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119,670</w:t>
            </w:r>
          </w:p>
        </w:tc>
        <w:tc>
          <w:tcPr>
            <w:tcW w:w="220" w:type="dxa"/>
            <w:vAlign w:val="bottom"/>
            <w:tcBorders>
              <w:bottom w:val="single" w:sz="8" w:color="EEEEEE"/>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112,406</w:t>
            </w:r>
          </w:p>
        </w:tc>
        <w:tc>
          <w:tcPr>
            <w:tcW w:w="100" w:type="dxa"/>
            <w:vAlign w:val="bottom"/>
            <w:tcBorders>
              <w:bottom w:val="single" w:sz="8" w:color="EEEEEE"/>
            </w:tcBorders>
          </w:tcPr>
          <w:p>
            <w:pPr>
              <w:spacing w:after="0"/>
              <w:rPr>
                <w:sz w:val="18"/>
                <w:szCs w:val="18"/>
                <w:color w:val="auto"/>
              </w:rPr>
            </w:pPr>
          </w:p>
        </w:tc>
      </w:tr>
      <w:tr>
        <w:trPr>
          <w:trHeight w:val="209"/>
        </w:trPr>
        <w:tc>
          <w:tcPr>
            <w:tcW w:w="67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held for investment</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80,246</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142,464</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Purchases of finance receivables measured at fair value</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w w:val="90"/>
              </w:rPr>
              <w:t>(904,475)</w:t>
            </w:r>
          </w:p>
        </w:tc>
        <w:tc>
          <w:tcPr>
            <w:tcW w:w="6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(485,117)</w:t>
            </w: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received on finance receivables at fair value</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w w:val="98"/>
              </w:rPr>
              <w:t>425,774</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355,439</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Change in repossessions held in inventory</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1,087</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982</w:t>
            </w:r>
          </w:p>
        </w:tc>
      </w:tr>
      <w:tr>
        <w:trPr>
          <w:trHeight w:val="230"/>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furniture and equipment</w:t>
            </w:r>
          </w:p>
        </w:tc>
        <w:tc>
          <w:tcPr>
            <w:tcW w:w="78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(1,028)</w:t>
            </w:r>
          </w:p>
        </w:tc>
        <w:tc>
          <w:tcPr>
            <w:tcW w:w="6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(1,024)</w:t>
            </w:r>
          </w:p>
        </w:tc>
      </w:tr>
      <w:tr>
        <w:trPr>
          <w:trHeight w:val="210"/>
        </w:trPr>
        <w:tc>
          <w:tcPr>
            <w:tcW w:w="6780" w:type="dxa"/>
            <w:vAlign w:val="bottom"/>
            <w:tcBorders>
              <w:bottom w:val="single" w:sz="8" w:color="EEEEEE"/>
            </w:tcBorders>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78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(398,396</w:t>
            </w:r>
          </w:p>
        </w:tc>
        <w:tc>
          <w:tcPr>
            <w:tcW w:w="220" w:type="dxa"/>
            <w:vAlign w:val="bottom"/>
            <w:tcBorders>
              <w:bottom w:val="single" w:sz="8" w:color="EEEEEE"/>
            </w:tcBorders>
          </w:tcPr>
          <w:p>
            <w:pPr>
              <w:jc w:val="right"/>
              <w:ind w:right="81"/>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12,744</w:t>
            </w:r>
          </w:p>
        </w:tc>
        <w:tc>
          <w:tcPr>
            <w:tcW w:w="100" w:type="dxa"/>
            <w:vAlign w:val="bottom"/>
            <w:tcBorders>
              <w:bottom w:val="single" w:sz="8" w:color="EEEEEE"/>
            </w:tcBorders>
          </w:tcPr>
          <w:p>
            <w:pPr>
              <w:spacing w:after="0"/>
              <w:rPr>
                <w:sz w:val="18"/>
                <w:szCs w:val="18"/>
                <w:color w:val="auto"/>
              </w:rPr>
            </w:pPr>
          </w:p>
        </w:tc>
      </w:tr>
      <w:tr>
        <w:trPr>
          <w:trHeight w:val="210"/>
        </w:trPr>
        <w:tc>
          <w:tcPr>
            <w:tcW w:w="6780" w:type="dxa"/>
            <w:vAlign w:val="bottom"/>
            <w:shd w:val="clear" w:color="auto" w:fill="EEEEEE"/>
          </w:tcPr>
          <w:p>
            <w:pPr>
              <w:spacing w:after="0"/>
              <w:rPr>
                <w:sz w:val="18"/>
                <w:szCs w:val="18"/>
                <w:color w:val="auto"/>
              </w:rPr>
            </w:pP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issuance of securitization trust debt</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w w:val="98"/>
              </w:rPr>
              <w:t>712,400</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470,545</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Proceeds from issuance of subordinated renewable notes</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2,682</w:t>
            </w:r>
          </w:p>
        </w:tc>
        <w:tc>
          <w:tcPr>
            <w:tcW w:w="62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5,684</w:t>
            </w: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subordinated renewable notes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(1,933)</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(1,002)</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Net proceeds from (repayments of) warehouse lines of credit</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w w:val="98"/>
              </w:rPr>
              <w:t>124,606</w:t>
            </w:r>
          </w:p>
        </w:tc>
        <w:tc>
          <w:tcPr>
            <w:tcW w:w="6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(42,560)</w:t>
            </w: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Net proceeds from (repayment of) residual interest financing debt</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(4,311)</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42,332</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Repayment of securitization trust debt</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w w:val="90"/>
              </w:rPr>
              <w:t>(536,824)</w:t>
            </w:r>
          </w:p>
        </w:tc>
        <w:tc>
          <w:tcPr>
            <w:tcW w:w="6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(541,065)</w:t>
            </w:r>
          </w:p>
        </w:tc>
      </w:tr>
      <w:tr>
        <w:trPr>
          <w:trHeight w:val="216"/>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 of financing costs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(6,204)</w:t>
            </w:r>
          </w:p>
        </w:tc>
        <w:tc>
          <w:tcPr>
            <w:tcW w:w="6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(3,872)</w:t>
            </w: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Purchase of common stock</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81"/>
              <w:spacing w:after="0"/>
              <w:rPr>
                <w:sz w:val="20"/>
                <w:szCs w:val="20"/>
                <w:color w:val="auto"/>
              </w:rPr>
            </w:pPr>
            <w:r>
              <w:rPr>
                <w:rFonts w:ascii="Arial" w:cs="Arial" w:eastAsia="Arial" w:hAnsi="Arial"/>
                <w:sz w:val="18"/>
                <w:szCs w:val="18"/>
                <w:color w:val="auto"/>
              </w:rPr>
              <w:t>(34,285)</w:t>
            </w:r>
          </w:p>
        </w:tc>
        <w:tc>
          <w:tcPr>
            <w:tcW w:w="6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(1,582)</w:t>
            </w:r>
          </w:p>
        </w:tc>
      </w:tr>
      <w:tr>
        <w:trPr>
          <w:trHeight w:val="230"/>
        </w:trPr>
        <w:tc>
          <w:tcPr>
            <w:tcW w:w="6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 of options and warrants</w:t>
            </w:r>
          </w:p>
        </w:tc>
        <w:tc>
          <w:tcPr>
            <w:tcW w:w="78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14,416</w:t>
            </w:r>
          </w:p>
        </w:tc>
        <w:tc>
          <w:tcPr>
            <w:tcW w:w="6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1,125</w:t>
            </w:r>
          </w:p>
        </w:tc>
      </w:tr>
      <w:tr>
        <w:trPr>
          <w:trHeight w:val="209"/>
        </w:trPr>
        <w:tc>
          <w:tcPr>
            <w:tcW w:w="6780" w:type="dxa"/>
            <w:vAlign w:val="bottom"/>
            <w:tcBorders>
              <w:bottom w:val="single" w:sz="8" w:color="EEEEEE"/>
            </w:tcBorders>
          </w:tcPr>
          <w:p>
            <w:pPr>
              <w:ind w:left="360"/>
              <w:spacing w:after="0"/>
              <w:rPr>
                <w:sz w:val="20"/>
                <w:szCs w:val="20"/>
                <w:color w:val="auto"/>
              </w:rPr>
            </w:pPr>
            <w:r>
              <w:rPr>
                <w:rFonts w:ascii="Arial" w:cs="Arial" w:eastAsia="Arial" w:hAnsi="Arial"/>
                <w:sz w:val="18"/>
                <w:szCs w:val="18"/>
                <w:color w:val="auto"/>
              </w:rPr>
              <w:t>Net cash provided by (used in) financing activities</w:t>
            </w:r>
          </w:p>
        </w:tc>
        <w:tc>
          <w:tcPr>
            <w:tcW w:w="78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270,547</w:t>
            </w:r>
          </w:p>
        </w:tc>
        <w:tc>
          <w:tcPr>
            <w:tcW w:w="220" w:type="dxa"/>
            <w:vAlign w:val="bottom"/>
            <w:tcBorders>
              <w:bottom w:val="single" w:sz="8" w:color="EEEEEE"/>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(70,395</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78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(8,179)</w:t>
            </w: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54,755</w:t>
            </w:r>
          </w:p>
        </w:tc>
        <w:tc>
          <w:tcPr>
            <w:tcW w:w="100" w:type="dxa"/>
            <w:vAlign w:val="bottom"/>
            <w:shd w:val="clear" w:color="auto" w:fill="EEEEEE"/>
          </w:tcPr>
          <w:p>
            <w:pPr>
              <w:spacing w:after="0"/>
              <w:rPr>
                <w:sz w:val="18"/>
                <w:szCs w:val="18"/>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Cash and restricted cash at beginning of period</w:t>
            </w:r>
          </w:p>
        </w:tc>
        <w:tc>
          <w:tcPr>
            <w:tcW w:w="7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w w:val="98"/>
              </w:rPr>
              <w:t>176,548</w:t>
            </w:r>
          </w:p>
        </w:tc>
        <w:tc>
          <w:tcPr>
            <w:tcW w:w="62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144,152</w:t>
            </w:r>
          </w:p>
        </w:tc>
      </w:tr>
      <w:tr>
        <w:trPr>
          <w:trHeight w:val="223"/>
        </w:trPr>
        <w:tc>
          <w:tcPr>
            <w:tcW w:w="67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restricted cash at end of period</w:t>
            </w:r>
          </w:p>
        </w:tc>
        <w:tc>
          <w:tcPr>
            <w:tcW w:w="780" w:type="dxa"/>
            <w:vAlign w:val="bottom"/>
            <w:tcBorders>
              <w:top w:val="single" w:sz="8" w:color="EEEEEE"/>
              <w:bottom w:val="single" w:sz="8" w:color="EEEEEE"/>
            </w:tcBorders>
            <w:shd w:val="clear" w:color="auto" w:fill="EEEEEE"/>
          </w:tcPr>
          <w:p>
            <w:pPr>
              <w:spacing w:after="0"/>
              <w:rPr>
                <w:sz w:val="19"/>
                <w:szCs w:val="19"/>
                <w:color w:val="auto"/>
              </w:rPr>
            </w:pPr>
          </w:p>
        </w:tc>
        <w:tc>
          <w:tcPr>
            <w:tcW w:w="1020" w:type="dxa"/>
            <w:vAlign w:val="bottom"/>
            <w:tcBorders>
              <w:top w:val="single" w:sz="8" w:color="auto"/>
              <w:bottom w:val="single" w:sz="8" w:color="auto"/>
            </w:tcBorders>
            <w:shd w:val="clear" w:color="auto" w:fill="EEEEEE"/>
          </w:tcPr>
          <w:p>
            <w:pPr>
              <w:jc w:val="right"/>
              <w:ind w:right="85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8"/>
              </w:rPr>
              <w:t>168,369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620" w:type="dxa"/>
            <w:vAlign w:val="bottom"/>
            <w:tcBorders>
              <w:top w:val="single" w:sz="8" w:color="auto"/>
              <w:bottom w:val="single" w:sz="8" w:color="auto"/>
            </w:tcBorders>
            <w:shd w:val="clear" w:color="auto" w:fill="EEEEEE"/>
          </w:tcPr>
          <w:p>
            <w:pPr>
              <w:jc w:val="right"/>
              <w:ind w:right="4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198,907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78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78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6780" w:type="dxa"/>
            <w:vAlign w:val="bottom"/>
          </w:tcPr>
          <w:p>
            <w:pPr>
              <w:ind w:left="180"/>
              <w:spacing w:after="0"/>
              <w:rPr>
                <w:sz w:val="20"/>
                <w:szCs w:val="20"/>
                <w:color w:val="auto"/>
              </w:rPr>
            </w:pPr>
            <w:r>
              <w:rPr>
                <w:rFonts w:ascii="Arial" w:cs="Arial" w:eastAsia="Arial" w:hAnsi="Arial"/>
                <w:sz w:val="18"/>
                <w:szCs w:val="18"/>
                <w:color w:val="auto"/>
              </w:rPr>
              <w:t>Cash paid (received) during the period for:</w:t>
            </w: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Interest</w:t>
            </w:r>
          </w:p>
        </w:tc>
        <w:tc>
          <w:tcPr>
            <w:tcW w:w="1800" w:type="dxa"/>
            <w:vAlign w:val="bottom"/>
            <w:gridSpan w:val="2"/>
            <w:shd w:val="clear" w:color="auto" w:fill="EEEEEE"/>
          </w:tcPr>
          <w:p>
            <w:pPr>
              <w:jc w:val="right"/>
              <w:ind w:right="858"/>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30,809</w:t>
            </w:r>
          </w:p>
        </w:tc>
        <w:tc>
          <w:tcPr>
            <w:tcW w:w="620" w:type="dxa"/>
            <w:vAlign w:val="bottom"/>
            <w:shd w:val="clear" w:color="auto" w:fill="EEEEEE"/>
          </w:tcPr>
          <w:p>
            <w:pPr>
              <w:jc w:val="right"/>
              <w:ind w:right="4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1"/>
              <w:spacing w:after="0"/>
              <w:rPr>
                <w:sz w:val="20"/>
                <w:szCs w:val="20"/>
                <w:color w:val="auto"/>
              </w:rPr>
            </w:pPr>
            <w:r>
              <w:rPr>
                <w:rFonts w:ascii="Arial" w:cs="Arial" w:eastAsia="Arial" w:hAnsi="Arial"/>
                <w:sz w:val="18"/>
                <w:szCs w:val="18"/>
                <w:color w:val="auto"/>
              </w:rPr>
              <w:t>36,665</w:t>
            </w:r>
          </w:p>
        </w:tc>
      </w:tr>
      <w:tr>
        <w:trPr>
          <w:trHeight w:val="230"/>
        </w:trPr>
        <w:tc>
          <w:tcPr>
            <w:tcW w:w="678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1800" w:type="dxa"/>
            <w:vAlign w:val="bottom"/>
            <w:gridSpan w:val="2"/>
          </w:tcPr>
          <w:p>
            <w:pPr>
              <w:jc w:val="right"/>
              <w:ind w:right="858"/>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1"/>
              <w:spacing w:after="0"/>
              <w:rPr>
                <w:sz w:val="20"/>
                <w:szCs w:val="20"/>
                <w:color w:val="auto"/>
              </w:rPr>
            </w:pPr>
            <w:r>
              <w:rPr>
                <w:rFonts w:ascii="Arial" w:cs="Arial" w:eastAsia="Arial" w:hAnsi="Arial"/>
                <w:sz w:val="18"/>
                <w:szCs w:val="18"/>
                <w:color w:val="auto"/>
              </w:rPr>
              <w:t>4,796</w:t>
            </w: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2,962</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right"/>
              <w:ind w:right="781"/>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9"/>
                <w:szCs w:val="19"/>
                <w:color w:val="auto"/>
              </w:rPr>
            </w:pPr>
          </w:p>
        </w:tc>
        <w:tc>
          <w:tcPr>
            <w:tcW w:w="2700" w:type="dxa"/>
            <w:vAlign w:val="bottom"/>
            <w:gridSpan w:val="7"/>
          </w:tcPr>
          <w:p>
            <w:pPr>
              <w:jc w:val="right"/>
              <w:ind w:right="84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EEEEEE"/>
            </w:tcBorders>
          </w:tcPr>
          <w:p>
            <w:pPr>
              <w:spacing w:after="0"/>
              <w:rPr>
                <w:sz w:val="19"/>
                <w:szCs w:val="19"/>
                <w:color w:val="auto"/>
              </w:rPr>
            </w:pPr>
          </w:p>
        </w:tc>
        <w:tc>
          <w:tcPr>
            <w:tcW w:w="20" w:type="dxa"/>
            <w:vAlign w:val="bottom"/>
            <w:tcBorders>
              <w:bottom w:val="single" w:sz="8" w:color="EEEEEE"/>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5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Common Stock (Shares Outstanding)</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21,292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22,656</w:t>
            </w:r>
          </w:p>
        </w:tc>
        <w:tc>
          <w:tcPr>
            <w:tcW w:w="30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21,144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22,737</w:t>
            </w: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1,529</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578</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2,895</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676</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19"/>
                <w:szCs w:val="19"/>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(1,614)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(2,832)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(358)</w:t>
            </w: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21,207</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23,055</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21,207</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23,055</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Common Stock</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47,844</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72,877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55,298</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72,926</w:t>
            </w: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Common stock issued upon exercise of options and warrants</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8,556</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827</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14,416</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(20,181)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(827)</w:t>
            </w:r>
          </w:p>
        </w:tc>
        <w:tc>
          <w:tcPr>
            <w:tcW w:w="30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(34,285)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(1,582)</w:t>
            </w:r>
          </w:p>
        </w:tc>
      </w:tr>
      <w:tr>
        <w:trPr>
          <w:trHeight w:val="229"/>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327</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1,518</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735</w:t>
            </w:r>
          </w:p>
        </w:tc>
      </w:tr>
      <w:tr>
        <w:trPr>
          <w:trHeight w:val="210"/>
        </w:trPr>
        <w:tc>
          <w:tcPr>
            <w:tcW w:w="50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36,947</w:t>
            </w:r>
          </w:p>
        </w:tc>
        <w:tc>
          <w:tcPr>
            <w:tcW w:w="16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73,204</w:t>
            </w:r>
          </w:p>
        </w:tc>
        <w:tc>
          <w:tcPr>
            <w:tcW w:w="2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36,947</w:t>
            </w:r>
          </w:p>
        </w:tc>
        <w:tc>
          <w:tcPr>
            <w:tcW w:w="2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73,204</w:t>
            </w:r>
          </w:p>
        </w:tc>
        <w:tc>
          <w:tcPr>
            <w:tcW w:w="100" w:type="dxa"/>
            <w:vAlign w:val="bottom"/>
            <w:tcBorders>
              <w:bottom w:val="single" w:sz="8" w:color="EEEEEE"/>
            </w:tcBorders>
            <w:gridSpan w:val="2"/>
          </w:tcPr>
          <w:p>
            <w:pPr>
              <w:spacing w:after="0"/>
              <w:rPr>
                <w:sz w:val="18"/>
                <w:szCs w:val="18"/>
                <w:color w:val="auto"/>
              </w:rPr>
            </w:pPr>
          </w:p>
        </w:tc>
      </w:tr>
      <w:tr>
        <w:trPr>
          <w:trHeight w:val="209"/>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137,646</w:t>
            </w:r>
          </w:p>
        </w:tc>
        <w:tc>
          <w:tcPr>
            <w:tcW w:w="420" w:type="dxa"/>
            <w:vAlign w:val="bottom"/>
            <w:gridSpan w:val="2"/>
            <w:shd w:val="clear" w:color="auto" w:fill="EEEEEE"/>
          </w:tcPr>
          <w:p>
            <w:pPr>
              <w:jc w:val="right"/>
              <w:ind w:right="1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74,171</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116,531</w:t>
            </w:r>
          </w:p>
        </w:tc>
        <w:tc>
          <w:tcPr>
            <w:tcW w:w="340" w:type="dxa"/>
            <w:vAlign w:val="bottom"/>
            <w:gridSpan w:val="2"/>
            <w:shd w:val="clear" w:color="auto" w:fill="EEEEEE"/>
          </w:tcPr>
          <w:p>
            <w:pPr>
              <w:jc w:val="right"/>
              <w:ind w:right="209"/>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69,007</w:t>
            </w: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25,320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9,713</w:t>
            </w:r>
          </w:p>
        </w:tc>
        <w:tc>
          <w:tcPr>
            <w:tcW w:w="30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46,435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14,877</w:t>
            </w: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162,966</w:t>
            </w:r>
          </w:p>
        </w:tc>
        <w:tc>
          <w:tcPr>
            <w:tcW w:w="1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83,884</w:t>
            </w:r>
          </w:p>
        </w:tc>
        <w:tc>
          <w:tcPr>
            <w:tcW w:w="2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162,966</w:t>
            </w:r>
          </w:p>
        </w:tc>
        <w:tc>
          <w:tcPr>
            <w:tcW w:w="2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jc w:val="right"/>
              <w:ind w:right="20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83,884</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(1,622)</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(8,571)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1"/>
              <w:spacing w:after="0"/>
              <w:rPr>
                <w:sz w:val="20"/>
                <w:szCs w:val="20"/>
                <w:color w:val="auto"/>
              </w:rPr>
            </w:pPr>
            <w:r>
              <w:rPr>
                <w:rFonts w:ascii="Arial" w:cs="Arial" w:eastAsia="Arial" w:hAnsi="Arial"/>
                <w:sz w:val="18"/>
                <w:szCs w:val="18"/>
                <w:color w:val="auto"/>
              </w:rPr>
              <w:t>(1,622)</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(8,571)</w:t>
            </w:r>
          </w:p>
        </w:tc>
      </w:tr>
      <w:tr>
        <w:trPr>
          <w:trHeight w:val="230"/>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Pension benefit obligation</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0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160" w:type="dxa"/>
            <w:vAlign w:val="bottom"/>
            <w:tcBorders>
              <w:bottom w:val="single" w:sz="8" w:color="EEEEEE"/>
            </w:tcBorders>
          </w:tcPr>
          <w:p>
            <w:pPr>
              <w:jc w:val="right"/>
              <w:ind w:right="2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(8,571</w:t>
            </w:r>
          </w:p>
        </w:tc>
        <w:tc>
          <w:tcPr>
            <w:tcW w:w="220" w:type="dxa"/>
            <w:vAlign w:val="bottom"/>
            <w:tcBorders>
              <w:bottom w:val="single" w:sz="8" w:color="EEEEEE"/>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w:t>
            </w:r>
          </w:p>
        </w:tc>
        <w:tc>
          <w:tcPr>
            <w:tcW w:w="220" w:type="dxa"/>
            <w:vAlign w:val="bottom"/>
            <w:tcBorders>
              <w:bottom w:val="single" w:sz="8" w:color="EEEEEE"/>
            </w:tcBorders>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EEEEEE"/>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(8,571</w:t>
            </w:r>
          </w:p>
        </w:tc>
        <w:tc>
          <w:tcPr>
            <w:tcW w:w="100" w:type="dxa"/>
            <w:vAlign w:val="bottom"/>
            <w:tcBorders>
              <w:bottom w:val="single" w:sz="8" w:color="EEEEEE"/>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5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198,291</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1"/>
              <w:spacing w:after="0"/>
              <w:rPr>
                <w:sz w:val="20"/>
                <w:szCs w:val="20"/>
                <w:color w:val="auto"/>
              </w:rPr>
            </w:pPr>
            <w:r>
              <w:rPr>
                <w:rFonts w:ascii="Arial" w:cs="Arial" w:eastAsia="Arial" w:hAnsi="Arial"/>
                <w:sz w:val="18"/>
                <w:szCs w:val="18"/>
                <w:color w:val="auto"/>
              </w:rPr>
              <w:t>148,517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198,291</w:t>
            </w:r>
          </w:p>
        </w:tc>
        <w:tc>
          <w:tcPr>
            <w:tcW w:w="340" w:type="dxa"/>
            <w:vAlign w:val="bottom"/>
            <w:gridSpan w:val="2"/>
          </w:tcPr>
          <w:p>
            <w:pPr>
              <w:jc w:val="right"/>
              <w:ind w:right="209"/>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148,517</w:t>
            </w:r>
          </w:p>
        </w:tc>
        <w:tc>
          <w:tcPr>
            <w:tcW w:w="80" w:type="dxa"/>
            <w:vAlign w:val="bottom"/>
          </w:tcPr>
          <w:p>
            <w:pPr>
              <w:spacing w:after="0"/>
              <w:rPr>
                <w:sz w:val="21"/>
                <w:szCs w:val="21"/>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lent money directly to consumers for loans secured by vehicles, (ii) purchased immaterial amounts of vehicle purchase money loans from non-affiliated lenders, and</w:t>
      </w:r>
    </w:p>
    <w:p>
      <w:pPr>
        <w:spacing w:after="0" w:line="4" w:lineRule="exact"/>
        <w:rPr>
          <w:sz w:val="20"/>
          <w:szCs w:val="20"/>
          <w:color w:val="auto"/>
        </w:rPr>
      </w:pPr>
    </w:p>
    <w:p>
      <w:pPr>
        <w:ind w:firstLine="8"/>
        <w:spacing w:after="0" w:line="260" w:lineRule="auto"/>
        <w:tabs>
          <w:tab w:leader="none" w:pos="343"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installment purchase contracts in four merger and acquisition transactions. In this report, we refer to all of such contracts and loans as "automobile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six-month period ended June 30, 2022 are not necessarily indicative of the operating results to be expected for the full year.</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Measured at Fair Value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Effective January 1, 2018, we adopted the fair value method of accounting for finance receivables acquired on or after that date. For each finance receivable acquired after 2017, we consider the price paid on the purchase date as the fair value for such receivable. We estimate the cash to be received in the future with respect to such receivables, based on our experience with similar receivables acquired in the past. We then compute the internal rate of return that results in the present value of those estimated cash receipts being equal to the purchase date fair value. Thereafter, we recognize interest income on such receivables on a level yield basis using that internal rate of return as the applicable interest rate. Cash received with respect to such receivables is applied first against such interest income, and then to reduce the recorded value of the receivables.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re-evaluate the fair value of such receivables at the close of each measurement period. If the reevaluation were to yield a value materially different from the recorded value, an adjustment would be required. Results for the three-month and six-month periods ending June 30, 2022 include a $4.7 million and $7.1 million positive mark to the carrying value of the portion of the receivables portfolio accounted for at fair value. Mark downs of $4.4 million were included in the results for the six months ending June 30, 2021, and the mark down is reflected as a reduction in revenue.</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Anticipated credit losses are included in our estimation of cash to be received with respect to receivables. Because such credit losses are included in our computation of the appropriate level yield, we do not thereafter make periodic provision for credit losses, as our best estimate of the lifetime aggregate of credit losses is included in that initial computation. Also, because we include anticipated credit losses in our computation of the level yield, the computed level yield is materially lower than the average contractual rate applicable to the receivables. Because our initial recorded value is fixed as the price we pay for the receivable, rather than as the contractual principal balance, we do not record acquisition fees as an amortizing asset related to the receivables, nor do we capitalize costs of acquiring the receivables. Rather we recognize the costs of acquisition as expenses in the period incurred.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primary components of Other Income for the three-month and six-month periods ending June 30, 2022 and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500" w:type="dxa"/>
            <w:vAlign w:val="bottom"/>
            <w:gridSpan w:val="5"/>
          </w:tcPr>
          <w:p>
            <w:pPr>
              <w:jc w:val="center"/>
              <w:ind w:left="37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center"/>
              <w:ind w:left="370"/>
              <w:spacing w:after="0"/>
              <w:rPr>
                <w:sz w:val="20"/>
                <w:szCs w:val="20"/>
                <w:color w:val="auto"/>
              </w:rPr>
            </w:pPr>
            <w:r>
              <w:rPr>
                <w:rFonts w:ascii="Arial" w:cs="Arial" w:eastAsia="Arial" w:hAnsi="Arial"/>
                <w:sz w:val="18"/>
                <w:szCs w:val="18"/>
                <w:b w:val="1"/>
                <w:bCs w:val="1"/>
                <w:color w:val="auto"/>
                <w:w w:val="90"/>
              </w:rPr>
              <w:t>Six Months Ended</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367"/>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367"/>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5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0" w:type="dxa"/>
            <w:vAlign w:val="bottom"/>
            <w:gridSpan w:val="4"/>
          </w:tcPr>
          <w:p>
            <w:pPr>
              <w:jc w:val="center"/>
              <w:ind w:right="367"/>
              <w:spacing w:after="0"/>
              <w:rPr>
                <w:sz w:val="20"/>
                <w:szCs w:val="20"/>
                <w:color w:val="auto"/>
              </w:rPr>
            </w:pPr>
            <w:r>
              <w:rPr>
                <w:rFonts w:ascii="Arial" w:cs="Arial" w:eastAsia="Arial" w:hAnsi="Arial"/>
                <w:sz w:val="18"/>
                <w:szCs w:val="18"/>
                <w:b w:val="1"/>
                <w:bCs w:val="1"/>
                <w:color w:val="auto"/>
                <w:w w:val="90"/>
              </w:rPr>
              <w:t>(In thousands)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60" w:type="dxa"/>
            <w:vAlign w:val="bottom"/>
            <w:gridSpan w:val="4"/>
          </w:tcPr>
          <w:p>
            <w:pPr>
              <w:jc w:val="center"/>
              <w:ind w:right="347"/>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Origination and servicing fees from third party receivables</w:t>
            </w:r>
          </w:p>
        </w:tc>
        <w:tc>
          <w:tcPr>
            <w:tcW w:w="90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97"/>
              </w:rPr>
              <w:t>1,408</w:t>
            </w:r>
          </w:p>
        </w:tc>
        <w:tc>
          <w:tcPr>
            <w:tcW w:w="1020" w:type="dxa"/>
            <w:vAlign w:val="bottom"/>
            <w:gridSpan w:val="2"/>
            <w:shd w:val="clear" w:color="auto" w:fill="EEEEEE"/>
          </w:tcPr>
          <w:p>
            <w:pPr>
              <w:jc w:val="right"/>
              <w:ind w:right="727"/>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7"/>
              </w:rPr>
              <w:t>2,252</w:t>
            </w:r>
          </w:p>
        </w:tc>
        <w:tc>
          <w:tcPr>
            <w:tcW w:w="1000" w:type="dxa"/>
            <w:vAlign w:val="bottom"/>
            <w:gridSpan w:val="2"/>
            <w:shd w:val="clear" w:color="auto" w:fill="EEEEEE"/>
          </w:tcPr>
          <w:p>
            <w:pPr>
              <w:jc w:val="right"/>
              <w:ind w:right="727"/>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Direct mail revenues</w:t>
            </w:r>
          </w:p>
        </w:tc>
        <w:tc>
          <w:tcPr>
            <w:tcW w:w="9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890</w:t>
            </w:r>
          </w:p>
        </w:tc>
        <w:tc>
          <w:tcPr>
            <w:tcW w:w="8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1,869</w:t>
            </w: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Convenience fee revenue</w:t>
            </w:r>
          </w:p>
        </w:tc>
        <w:tc>
          <w:tcPr>
            <w:tcW w:w="9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180</w:t>
            </w:r>
          </w:p>
        </w:tc>
        <w:tc>
          <w:tcPr>
            <w:tcW w:w="8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Recoveries on previously charged-off contracts</w:t>
            </w:r>
          </w:p>
        </w:tc>
        <w:tc>
          <w:tcPr>
            <w:tcW w:w="9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Sales tax refunds</w:t>
            </w:r>
          </w:p>
        </w:tc>
        <w:tc>
          <w:tcPr>
            <w:tcW w:w="900" w:type="dxa"/>
            <w:vAlign w:val="bottom"/>
            <w:shd w:val="clear" w:color="auto" w:fill="EEEEEE"/>
          </w:tcPr>
          <w:p>
            <w:pPr>
              <w:spacing w:after="0"/>
              <w:rPr>
                <w:sz w:val="18"/>
                <w:szCs w:val="18"/>
                <w:color w:val="auto"/>
              </w:rPr>
            </w:pPr>
          </w:p>
        </w:tc>
        <w:tc>
          <w:tcPr>
            <w:tcW w:w="5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118</w:t>
            </w:r>
          </w:p>
        </w:tc>
        <w:tc>
          <w:tcPr>
            <w:tcW w:w="8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289</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96</w:t>
            </w:r>
          </w:p>
        </w:tc>
        <w:tc>
          <w:tcPr>
            <w:tcW w:w="8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Other income for the period</w:t>
            </w:r>
          </w:p>
        </w:tc>
        <w:tc>
          <w:tcPr>
            <w:tcW w:w="900" w:type="dxa"/>
            <w:vAlign w:val="bottom"/>
            <w:tcBorders>
              <w:top w:val="single" w:sz="8" w:color="auto"/>
              <w:bottom w:val="single" w:sz="8" w:color="auto"/>
            </w:tcBorders>
            <w:shd w:val="clear" w:color="auto" w:fill="EEEEEE"/>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1,648</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3"/>
              </w:rPr>
              <w:t>1,329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3,554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72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7"/>
              </w:rPr>
              <w:t>2,765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operating leases for corporate offices, equipment, software and hardware. The Company has entered into operating leases for the majority of its real estate locations, primarily office space. These leases are generally for periods of three to seven years with various renewal options. The depreciable life of leased assets is limited by the expected lease term. Leases with an initial term of 12 months or less are not recorded on the balance sheet and the related lease expense is recognized on a straight-line basis over the lease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balance sheet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June 30,</w:t>
            </w:r>
          </w:p>
        </w:tc>
        <w:tc>
          <w:tcPr>
            <w:tcW w:w="200" w:type="dxa"/>
            <w:vAlign w:val="bottom"/>
          </w:tcPr>
          <w:p>
            <w:pPr>
              <w:spacing w:after="0"/>
              <w:rPr>
                <w:sz w:val="19"/>
                <w:szCs w:val="19"/>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Leases</w:t>
            </w:r>
          </w:p>
        </w:tc>
        <w:tc>
          <w:tcPr>
            <w:tcW w:w="2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20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25,819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25,819</w:t>
            </w:r>
          </w:p>
        </w:tc>
        <w:tc>
          <w:tcPr>
            <w:tcW w:w="0" w:type="dxa"/>
            <w:vAlign w:val="bottom"/>
          </w:tcPr>
          <w:p>
            <w:pPr>
              <w:spacing w:after="0"/>
              <w:rPr>
                <w:sz w:val="1"/>
                <w:szCs w:val="1"/>
                <w:color w:val="auto"/>
              </w:rPr>
            </w:pPr>
          </w:p>
        </w:tc>
      </w:tr>
      <w:tr>
        <w:trPr>
          <w:trHeight w:val="229"/>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Less: Accumulated amortization right-of-use assets</w:t>
            </w:r>
          </w:p>
        </w:tc>
        <w:tc>
          <w:tcPr>
            <w:tcW w:w="28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(20,296)</w:t>
            </w:r>
          </w:p>
        </w:tc>
        <w:tc>
          <w:tcPr>
            <w:tcW w:w="20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(17,624)</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Operating lease right-of-use assets, net</w:t>
            </w:r>
          </w:p>
        </w:tc>
        <w:tc>
          <w:tcPr>
            <w:tcW w:w="2820" w:type="dxa"/>
            <w:vAlign w:val="bottom"/>
            <w:tcBorders>
              <w:bottom w:val="single" w:sz="8" w:color="EEEEEE"/>
            </w:tcBorders>
          </w:tcPr>
          <w:p>
            <w:pPr>
              <w:spacing w:after="0"/>
              <w:rPr>
                <w:sz w:val="22"/>
                <w:szCs w:val="22"/>
                <w:color w:val="auto"/>
              </w:rPr>
            </w:pPr>
          </w:p>
        </w:tc>
        <w:tc>
          <w:tcPr>
            <w:tcW w:w="120" w:type="dxa"/>
            <w:vAlign w:val="bottom"/>
            <w:tcBorders>
              <w:bottom w:val="single" w:sz="8" w:color="EEEEEE"/>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5,523</w:t>
            </w:r>
          </w:p>
        </w:tc>
        <w:tc>
          <w:tcPr>
            <w:tcW w:w="220" w:type="dxa"/>
            <w:vAlign w:val="bottom"/>
            <w:tcBorders>
              <w:bottom w:val="single" w:sz="8" w:color="EEEEEE"/>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8,195</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20" w:type="dxa"/>
            <w:vAlign w:val="bottom"/>
            <w:shd w:val="clear" w:color="auto" w:fill="EEEEEE"/>
          </w:tcPr>
          <w:p>
            <w:pPr>
              <w:spacing w:after="0"/>
              <w:rPr>
                <w:sz w:val="17"/>
                <w:szCs w:val="17"/>
                <w:color w:val="auto"/>
              </w:rPr>
            </w:pPr>
          </w:p>
        </w:tc>
        <w:tc>
          <w:tcPr>
            <w:tcW w:w="2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3200" w:type="dxa"/>
            <w:vAlign w:val="bottom"/>
            <w:gridSpan w:val="3"/>
          </w:tcPr>
          <w:p>
            <w:pPr>
              <w:jc w:val="right"/>
              <w:ind w:right="107"/>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(6,213)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(9,058)</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18"/>
                <w:szCs w:val="18"/>
                <w:color w:val="auto"/>
              </w:rPr>
            </w:pPr>
          </w:p>
        </w:tc>
        <w:tc>
          <w:tcPr>
            <w:tcW w:w="2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Finance Leases</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Property and equipment, at cost</w:t>
            </w:r>
          </w:p>
        </w:tc>
        <w:tc>
          <w:tcPr>
            <w:tcW w:w="3200" w:type="dxa"/>
            <w:vAlign w:val="bottom"/>
            <w:gridSpan w:val="3"/>
            <w:shd w:val="clear" w:color="auto" w:fill="EEEEEE"/>
          </w:tcPr>
          <w:p>
            <w:pPr>
              <w:jc w:val="right"/>
              <w:ind w:right="10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3,407</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3,407</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(2,853)</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23"/>
        </w:trPr>
        <w:tc>
          <w:tcPr>
            <w:tcW w:w="46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Property and equipment, net</w:t>
            </w:r>
          </w:p>
        </w:tc>
        <w:tc>
          <w:tcPr>
            <w:tcW w:w="28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Finance lease liabilities</w:t>
            </w:r>
          </w:p>
        </w:tc>
        <w:tc>
          <w:tcPr>
            <w:tcW w:w="3200" w:type="dxa"/>
            <w:vAlign w:val="bottom"/>
            <w:gridSpan w:val="3"/>
            <w:shd w:val="clear" w:color="auto" w:fill="EEEEEE"/>
          </w:tcPr>
          <w:p>
            <w:pPr>
              <w:jc w:val="right"/>
              <w:ind w:right="107"/>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(597)</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Weighted Average Discount Rate</w:t>
            </w:r>
          </w:p>
        </w:tc>
        <w:tc>
          <w:tcPr>
            <w:tcW w:w="2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Operating lease</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Finance lease</w:t>
            </w:r>
          </w:p>
        </w:tc>
        <w:tc>
          <w:tcPr>
            <w:tcW w:w="2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6.5%</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661"/>
        </w:trPr>
        <w:tc>
          <w:tcPr>
            <w:tcW w:w="4620" w:type="dxa"/>
            <w:vAlign w:val="bottom"/>
          </w:tcPr>
          <w:p>
            <w:pPr>
              <w:spacing w:after="0"/>
              <w:rPr>
                <w:sz w:val="20"/>
                <w:szCs w:val="20"/>
                <w:color w:val="auto"/>
              </w:rPr>
            </w:pPr>
            <w:r>
              <w:rPr>
                <w:rFonts w:ascii="Arial" w:cs="Arial" w:eastAsia="Arial" w:hAnsi="Arial"/>
                <w:sz w:val="18"/>
                <w:szCs w:val="18"/>
                <w:b w:val="1"/>
                <w:bCs w:val="1"/>
                <w:color w:val="auto"/>
              </w:rPr>
              <w:t>Maturities of lease liabilities were as follows:</w:t>
            </w:r>
          </w:p>
        </w:tc>
        <w:tc>
          <w:tcPr>
            <w:tcW w:w="2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vMerge w:val="restart"/>
          </w:tcPr>
          <w:p>
            <w:pPr>
              <w:jc w:val="center"/>
              <w:ind w:right="480"/>
              <w:spacing w:after="0"/>
              <w:rPr>
                <w:sz w:val="20"/>
                <w:szCs w:val="20"/>
                <w:color w:val="auto"/>
              </w:rPr>
            </w:pPr>
            <w:r>
              <w:rPr>
                <w:rFonts w:ascii="Arial" w:cs="Arial" w:eastAsia="Arial" w:hAnsi="Arial"/>
                <w:sz w:val="18"/>
                <w:szCs w:val="18"/>
                <w:b w:val="1"/>
                <w:bCs w:val="1"/>
                <w:color w:val="auto"/>
                <w:w w:val="94"/>
              </w:rPr>
              <w:t>Operating</w:t>
            </w:r>
          </w:p>
        </w:tc>
        <w:tc>
          <w:tcPr>
            <w:tcW w:w="200" w:type="dxa"/>
            <w:vAlign w:val="bottom"/>
          </w:tcPr>
          <w:p>
            <w:pPr>
              <w:spacing w:after="0"/>
              <w:rPr>
                <w:sz w:val="24"/>
                <w:szCs w:val="24"/>
                <w:color w:val="auto"/>
              </w:rPr>
            </w:pPr>
          </w:p>
        </w:tc>
        <w:tc>
          <w:tcPr>
            <w:tcW w:w="15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8"/>
              </w:rPr>
              <w:t>Finance</w:t>
            </w:r>
          </w:p>
        </w:tc>
        <w:tc>
          <w:tcPr>
            <w:tcW w:w="0" w:type="dxa"/>
            <w:vAlign w:val="bottom"/>
          </w:tcPr>
          <w:p>
            <w:pPr>
              <w:spacing w:after="0"/>
              <w:rPr>
                <w:sz w:val="1"/>
                <w:szCs w:val="1"/>
                <w:color w:val="auto"/>
              </w:rPr>
            </w:pPr>
          </w:p>
        </w:tc>
      </w:tr>
      <w:tr>
        <w:trPr>
          <w:trHeight w:val="225"/>
        </w:trPr>
        <w:tc>
          <w:tcPr>
            <w:tcW w:w="4620" w:type="dxa"/>
            <w:vAlign w:val="bottom"/>
          </w:tcPr>
          <w:p>
            <w:pPr>
              <w:spacing w:after="0"/>
              <w:rPr>
                <w:sz w:val="20"/>
                <w:szCs w:val="20"/>
                <w:color w:val="auto"/>
              </w:rPr>
            </w:pPr>
            <w:r>
              <w:rPr>
                <w:rFonts w:ascii="Arial" w:cs="Arial" w:eastAsia="Arial" w:hAnsi="Arial"/>
                <w:sz w:val="18"/>
                <w:szCs w:val="18"/>
                <w:color w:val="auto"/>
              </w:rPr>
              <w:t>(In thousands)</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color w:val="auto"/>
              </w:rPr>
              <w:t>Year Ending June 30,</w:t>
            </w:r>
          </w:p>
        </w:tc>
        <w:tc>
          <w:tcPr>
            <w:tcW w:w="2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6"/>
              </w:rPr>
              <w:t>Lease</w:t>
            </w:r>
          </w:p>
        </w:tc>
        <w:tc>
          <w:tcPr>
            <w:tcW w:w="200" w:type="dxa"/>
            <w:vAlign w:val="bottom"/>
          </w:tcPr>
          <w:p>
            <w:pPr>
              <w:spacing w:after="0"/>
              <w:rPr>
                <w:sz w:val="20"/>
                <w:szCs w:val="20"/>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Lease</w:t>
            </w:r>
          </w:p>
        </w:tc>
        <w:tc>
          <w:tcPr>
            <w:tcW w:w="0" w:type="dxa"/>
            <w:vAlign w:val="bottom"/>
          </w:tcPr>
          <w:p>
            <w:pPr>
              <w:spacing w:after="0"/>
              <w:rPr>
                <w:sz w:val="1"/>
                <w:szCs w:val="1"/>
                <w:color w:val="auto"/>
              </w:rPr>
            </w:pPr>
          </w:p>
        </w:tc>
      </w:tr>
      <w:tr>
        <w:trPr>
          <w:trHeight w:val="209"/>
        </w:trPr>
        <w:tc>
          <w:tcPr>
            <w:tcW w:w="462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2022</w:t>
            </w:r>
          </w:p>
        </w:tc>
        <w:tc>
          <w:tcPr>
            <w:tcW w:w="28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2,738</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2023</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1,888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2024</w:t>
            </w:r>
          </w:p>
        </w:tc>
        <w:tc>
          <w:tcPr>
            <w:tcW w:w="2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920</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2025</w:t>
            </w:r>
          </w:p>
        </w:tc>
        <w:tc>
          <w:tcPr>
            <w:tcW w:w="2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2026</w:t>
            </w:r>
          </w:p>
        </w:tc>
        <w:tc>
          <w:tcPr>
            <w:tcW w:w="28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Thereafter</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1,160</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undiscounted lease payments</w:t>
            </w:r>
          </w:p>
        </w:tc>
        <w:tc>
          <w:tcPr>
            <w:tcW w:w="28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8,002</w:t>
            </w:r>
          </w:p>
        </w:tc>
        <w:tc>
          <w:tcPr>
            <w:tcW w:w="2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Less amounts representing interest</w:t>
            </w:r>
          </w:p>
        </w:tc>
        <w:tc>
          <w:tcPr>
            <w:tcW w:w="2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(1,789)</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3"/>
        </w:trPr>
        <w:tc>
          <w:tcPr>
            <w:tcW w:w="46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Lease Liability</w:t>
            </w:r>
          </w:p>
        </w:tc>
        <w:tc>
          <w:tcPr>
            <w:tcW w:w="28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6,213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820" w:type="dxa"/>
            <w:vAlign w:val="bottom"/>
            <w:vMerge w:val="restart"/>
          </w:tcPr>
          <w:p>
            <w:pPr>
              <w:jc w:val="right"/>
              <w:ind w:right="16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6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lease expense included in General and administrative and Occupancy expense on our Unaudited Condensed Consolidated Statement of Operations:</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Operating lease cost</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Finance lease cost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500" w:type="dxa"/>
            <w:vAlign w:val="bottom"/>
            <w:gridSpan w:val="5"/>
          </w:tcPr>
          <w:p>
            <w:pPr>
              <w:jc w:val="center"/>
              <w:ind w:left="37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center"/>
              <w:ind w:left="370"/>
              <w:spacing w:after="0"/>
              <w:rPr>
                <w:sz w:val="20"/>
                <w:szCs w:val="20"/>
                <w:color w:val="auto"/>
              </w:rPr>
            </w:pPr>
            <w:r>
              <w:rPr>
                <w:rFonts w:ascii="Arial" w:cs="Arial" w:eastAsia="Arial" w:hAnsi="Arial"/>
                <w:sz w:val="18"/>
                <w:szCs w:val="18"/>
                <w:b w:val="1"/>
                <w:bCs w:val="1"/>
                <w:color w:val="auto"/>
                <w:w w:val="90"/>
              </w:rPr>
              <w:t>Six Months Ended</w:t>
            </w:r>
          </w:p>
        </w:tc>
        <w:tc>
          <w:tcPr>
            <w:tcW w:w="460" w:type="dxa"/>
            <w:vAlign w:val="bottom"/>
          </w:tcPr>
          <w:p>
            <w:pPr>
              <w:spacing w:after="0"/>
              <w:rPr>
                <w:sz w:val="19"/>
                <w:szCs w:val="19"/>
                <w:color w:val="auto"/>
              </w:rPr>
            </w:pPr>
          </w:p>
        </w:tc>
      </w:tr>
      <w:tr>
        <w:trPr>
          <w:trHeight w:val="234"/>
        </w:trPr>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367"/>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389"/>
              <w:spacing w:after="0"/>
              <w:rPr>
                <w:sz w:val="20"/>
                <w:szCs w:val="20"/>
                <w:color w:val="auto"/>
              </w:rPr>
            </w:pPr>
            <w:r>
              <w:rPr>
                <w:rFonts w:ascii="Arial" w:cs="Arial" w:eastAsia="Arial" w:hAnsi="Arial"/>
                <w:sz w:val="18"/>
                <w:szCs w:val="18"/>
                <w:b w:val="1"/>
                <w:bCs w:val="1"/>
                <w:color w:val="auto"/>
                <w:w w:val="88"/>
              </w:rPr>
              <w:t>June 30,</w:t>
            </w:r>
          </w:p>
        </w:tc>
        <w:tc>
          <w:tcPr>
            <w:tcW w:w="460" w:type="dxa"/>
            <w:vAlign w:val="bottom"/>
            <w:tcBorders>
              <w:bottom w:val="single" w:sz="8" w:color="auto"/>
            </w:tcBorders>
          </w:tcPr>
          <w:p>
            <w:pPr>
              <w:spacing w:after="0"/>
              <w:rPr>
                <w:sz w:val="20"/>
                <w:szCs w:val="20"/>
                <w:color w:val="auto"/>
              </w:rPr>
            </w:pPr>
          </w:p>
        </w:tc>
      </w:tr>
      <w:tr>
        <w:trPr>
          <w:trHeight w:val="223"/>
        </w:trPr>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r>
      <w:tr>
        <w:trPr>
          <w:trHeight w:val="195"/>
        </w:trPr>
        <w:tc>
          <w:tcPr>
            <w:tcW w:w="900" w:type="dxa"/>
            <w:vAlign w:val="bottom"/>
          </w:tcPr>
          <w:p>
            <w:pPr>
              <w:spacing w:after="0"/>
              <w:rPr>
                <w:sz w:val="16"/>
                <w:szCs w:val="16"/>
                <w:color w:val="auto"/>
              </w:rPr>
            </w:pPr>
          </w:p>
        </w:tc>
        <w:tc>
          <w:tcPr>
            <w:tcW w:w="1600" w:type="dxa"/>
            <w:vAlign w:val="bottom"/>
            <w:gridSpan w:val="4"/>
          </w:tcPr>
          <w:p>
            <w:pPr>
              <w:jc w:val="center"/>
              <w:ind w:right="367"/>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60" w:type="dxa"/>
            <w:vAlign w:val="bottom"/>
            <w:gridSpan w:val="4"/>
          </w:tcPr>
          <w:p>
            <w:pPr>
              <w:jc w:val="center"/>
              <w:ind w:right="369"/>
              <w:spacing w:after="0" w:line="195" w:lineRule="exact"/>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16"/>
                <w:szCs w:val="16"/>
                <w:color w:val="auto"/>
              </w:rPr>
            </w:pPr>
          </w:p>
        </w:tc>
      </w:tr>
      <w:tr>
        <w:trPr>
          <w:trHeight w:val="229"/>
        </w:trPr>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1,760</w:t>
            </w:r>
          </w:p>
        </w:tc>
        <w:tc>
          <w:tcPr>
            <w:tcW w:w="1020" w:type="dxa"/>
            <w:vAlign w:val="bottom"/>
            <w:gridSpan w:val="2"/>
          </w:tcPr>
          <w:p>
            <w:pPr>
              <w:jc w:val="right"/>
              <w:ind w:right="727"/>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1,793</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3,630</w:t>
            </w:r>
          </w:p>
        </w:tc>
        <w:tc>
          <w:tcPr>
            <w:tcW w:w="880" w:type="dxa"/>
            <w:vAlign w:val="bottom"/>
            <w:gridSpan w:val="2"/>
          </w:tcPr>
          <w:p>
            <w:pPr>
              <w:jc w:val="right"/>
              <w:ind w:right="749"/>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3,630</w:t>
            </w:r>
          </w:p>
        </w:tc>
      </w:tr>
      <w:tr>
        <w:trPr>
          <w:trHeight w:val="230"/>
        </w:trPr>
        <w:tc>
          <w:tcPr>
            <w:tcW w:w="90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8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555</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23"/>
        </w:trPr>
        <w:tc>
          <w:tcPr>
            <w:tcW w:w="90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72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2,101</w:t>
            </w:r>
          </w:p>
        </w:tc>
        <w:tc>
          <w:tcPr>
            <w:tcW w:w="2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4,185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749"/>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4,246</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-462280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-179070</wp:posOffset>
            </wp:positionV>
            <wp:extent cx="7132320" cy="1631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0" w:space="720"/>
            <w:col w:w="6160"/>
          </w:cols>
          <w:pgMar w:left="320" w:top="823"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supplemental cash flow information related to leases: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500" w:type="dxa"/>
            <w:vAlign w:val="bottom"/>
            <w:gridSpan w:val="3"/>
          </w:tcPr>
          <w:p>
            <w:pPr>
              <w:jc w:val="center"/>
              <w:ind w:left="37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350"/>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w w:val="97"/>
              </w:rPr>
              <w:t>Cash paid for amounts included in the measurement of lease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0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Pr>
          <w:p>
            <w:pPr>
              <w:spacing w:after="0"/>
              <w:rPr>
                <w:sz w:val="20"/>
                <w:szCs w:val="20"/>
                <w:color w:val="auto"/>
              </w:rPr>
            </w:pPr>
          </w:p>
        </w:tc>
        <w:tc>
          <w:tcPr>
            <w:tcW w:w="1600" w:type="dxa"/>
            <w:vAlign w:val="bottom"/>
            <w:gridSpan w:val="2"/>
          </w:tcPr>
          <w:p>
            <w:pPr>
              <w:jc w:val="center"/>
              <w:ind w:right="350"/>
              <w:spacing w:after="0"/>
              <w:rPr>
                <w:sz w:val="20"/>
                <w:szCs w:val="20"/>
                <w:color w:val="auto"/>
              </w:rPr>
            </w:pPr>
            <w:r>
              <w:rPr>
                <w:rFonts w:ascii="Arial" w:cs="Arial" w:eastAsia="Arial" w:hAnsi="Arial"/>
                <w:sz w:val="18"/>
                <w:szCs w:val="18"/>
                <w:b w:val="1"/>
                <w:bCs w:val="1"/>
                <w:color w:val="auto"/>
                <w:w w:val="90"/>
              </w:rPr>
              <w:t>(In thousands)</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Operating cash flows from operating leases</w:t>
            </w:r>
          </w:p>
        </w:tc>
        <w:tc>
          <w:tcPr>
            <w:tcW w:w="90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97"/>
              </w:rPr>
              <w:t>1,907</w:t>
            </w:r>
          </w:p>
        </w:tc>
        <w:tc>
          <w:tcPr>
            <w:tcW w:w="1020" w:type="dxa"/>
            <w:vAlign w:val="bottom"/>
            <w:shd w:val="clear" w:color="auto" w:fill="EEEEEE"/>
          </w:tcPr>
          <w:p>
            <w:pPr>
              <w:jc w:val="right"/>
              <w:ind w:right="71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3"/>
              </w:rPr>
              <w:t>1,892</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3,965</w:t>
            </w:r>
          </w:p>
        </w:tc>
        <w:tc>
          <w:tcPr>
            <w:tcW w:w="58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Operating cash flows from finance leases</w:t>
            </w:r>
          </w:p>
        </w:tc>
        <w:tc>
          <w:tcPr>
            <w:tcW w:w="90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02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278</w:t>
            </w:r>
          </w:p>
        </w:tc>
        <w:tc>
          <w:tcPr>
            <w:tcW w:w="3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527</w:t>
            </w: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Financing cash flows from finance leases</w:t>
            </w:r>
          </w:p>
        </w:tc>
        <w:tc>
          <w:tcPr>
            <w:tcW w:w="900" w:type="dxa"/>
            <w:vAlign w:val="bottom"/>
            <w:shd w:val="clear" w:color="auto" w:fill="EEEEEE"/>
          </w:tcPr>
          <w:p>
            <w:pPr>
              <w:spacing w:after="0"/>
              <w:rPr>
                <w:sz w:val="18"/>
                <w:szCs w:val="18"/>
                <w:color w:val="auto"/>
              </w:rPr>
            </w:pPr>
          </w:p>
        </w:tc>
        <w:tc>
          <w:tcPr>
            <w:tcW w:w="58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12</w:t>
            </w:r>
          </w:p>
        </w:tc>
        <w:tc>
          <w:tcPr>
            <w:tcW w:w="10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28</w:t>
            </w:r>
          </w:p>
        </w:tc>
        <w:tc>
          <w:tcPr>
            <w:tcW w:w="5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six months ended June 30, 2022, we recorded stock-based compensation costs in the amount of $1.5 million and $728,000, respectively. These stock-based compensation costs were $327,000 and $735,000 for the three and six months ended June 30, 2021. As of June 30, 2022, unrecognized stock-based compensation costs to be recognized over future periods equaled $12.4 million. This amount will be recognized as expense over a weighted-average period of 2.7 years.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20" w:type="dxa"/>
            <w:vAlign w:val="bottom"/>
          </w:tcPr>
          <w:p>
            <w:pPr>
              <w:spacing w:after="0"/>
              <w:rPr>
                <w:sz w:val="20"/>
                <w:szCs w:val="20"/>
                <w:color w:val="auto"/>
              </w:rPr>
            </w:pPr>
            <w:r>
              <w:rPr>
                <w:rFonts w:ascii="Arial" w:cs="Arial" w:eastAsia="Arial" w:hAnsi="Arial"/>
                <w:sz w:val="18"/>
                <w:szCs w:val="18"/>
                <w:color w:val="auto"/>
                <w:w w:val="92"/>
              </w:rPr>
              <w:t>The following represents stock option activity for the six months ended June 30, 2022: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29"/>
        </w:trPr>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34"/>
        </w:trPr>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Price</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0"/>
              </w:rPr>
              <w:t>Term</w:t>
            </w:r>
          </w:p>
        </w:tc>
        <w:tc>
          <w:tcPr>
            <w:tcW w:w="0" w:type="dxa"/>
            <w:vAlign w:val="bottom"/>
          </w:tcPr>
          <w:p>
            <w:pPr>
              <w:spacing w:after="0"/>
              <w:rPr>
                <w:sz w:val="1"/>
                <w:szCs w:val="1"/>
                <w:color w:val="auto"/>
              </w:rPr>
            </w:pPr>
          </w:p>
        </w:tc>
      </w:tr>
      <w:tr>
        <w:trPr>
          <w:trHeight w:val="210"/>
        </w:trPr>
        <w:tc>
          <w:tcPr>
            <w:tcW w:w="63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460" w:type="dxa"/>
            <w:vAlign w:val="bottom"/>
            <w:tcBorders>
              <w:top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13,075</w:t>
            </w:r>
          </w:p>
        </w:tc>
        <w:tc>
          <w:tcPr>
            <w:tcW w:w="14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4.54</w:t>
            </w:r>
          </w:p>
        </w:tc>
        <w:tc>
          <w:tcPr>
            <w:tcW w:w="22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10.28</w:t>
            </w:r>
          </w:p>
        </w:tc>
        <w:tc>
          <w:tcPr>
            <w:tcW w:w="15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63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Exercised</w:t>
            </w:r>
          </w:p>
        </w:tc>
        <w:tc>
          <w:tcPr>
            <w:tcW w:w="1600" w:type="dxa"/>
            <w:vAlign w:val="bottom"/>
            <w:gridSpan w:val="3"/>
            <w:shd w:val="clear" w:color="auto" w:fill="EEEEEE"/>
          </w:tcPr>
          <w:p>
            <w:pPr>
              <w:jc w:val="right"/>
              <w:ind w:right="80"/>
              <w:spacing w:after="0"/>
              <w:rPr>
                <w:sz w:val="20"/>
                <w:szCs w:val="20"/>
                <w:color w:val="auto"/>
              </w:rPr>
            </w:pPr>
            <w:r>
              <w:rPr>
                <w:rFonts w:ascii="Arial" w:cs="Arial" w:eastAsia="Arial" w:hAnsi="Arial"/>
                <w:sz w:val="18"/>
                <w:szCs w:val="18"/>
                <w:color w:val="auto"/>
              </w:rPr>
              <w:t>(2,895)</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4.98</w:t>
            </w: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9"/>
        </w:trPr>
        <w:tc>
          <w:tcPr>
            <w:tcW w:w="63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156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6320" w:type="dxa"/>
            <w:vAlign w:val="bottom"/>
            <w:vMerge w:val="restart"/>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220" w:type="dxa"/>
            <w:vAlign w:val="bottom"/>
            <w:gridSpan w:val="2"/>
            <w:shd w:val="clear" w:color="auto" w:fill="EEEEEE"/>
          </w:tcPr>
          <w:p>
            <w:pPr>
              <w:spacing w:after="0" w:line="20" w:lineRule="exact"/>
              <w:rPr>
                <w:sz w:val="1"/>
                <w:szCs w:val="1"/>
                <w:color w:val="auto"/>
              </w:rPr>
            </w:pPr>
          </w:p>
        </w:tc>
        <w:tc>
          <w:tcPr>
            <w:tcW w:w="1540" w:type="dxa"/>
            <w:vAlign w:val="bottom"/>
            <w:gridSpan w:val="2"/>
            <w:shd w:val="clear" w:color="auto" w:fill="EEEEEE"/>
          </w:tcPr>
          <w:p>
            <w:pPr>
              <w:spacing w:after="0" w:line="20" w:lineRule="exact"/>
              <w:rPr>
                <w:sz w:val="1"/>
                <w:szCs w:val="1"/>
                <w:color w:val="auto"/>
              </w:rPr>
            </w:pPr>
          </w:p>
        </w:tc>
        <w:tc>
          <w:tcPr>
            <w:tcW w:w="156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320" w:type="dxa"/>
            <w:vAlign w:val="bottom"/>
            <w:vMerge w:val="continue"/>
            <w:shd w:val="clear" w:color="auto" w:fill="EEEEEE"/>
          </w:tcPr>
          <w:p>
            <w:pPr>
              <w:spacing w:after="0"/>
              <w:rPr>
                <w:sz w:val="20"/>
                <w:szCs w:val="20"/>
                <w:color w:val="auto"/>
              </w:rPr>
            </w:pPr>
          </w:p>
        </w:tc>
        <w:tc>
          <w:tcPr>
            <w:tcW w:w="16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11,400</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5.18</w:t>
            </w: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3.59 years</w:t>
            </w:r>
          </w:p>
        </w:tc>
        <w:tc>
          <w:tcPr>
            <w:tcW w:w="0" w:type="dxa"/>
            <w:vAlign w:val="bottom"/>
          </w:tcPr>
          <w:p>
            <w:pPr>
              <w:spacing w:after="0"/>
              <w:rPr>
                <w:sz w:val="1"/>
                <w:szCs w:val="1"/>
                <w:color w:val="auto"/>
              </w:rPr>
            </w:pPr>
          </w:p>
        </w:tc>
      </w:tr>
      <w:tr>
        <w:trPr>
          <w:trHeight w:val="20"/>
        </w:trPr>
        <w:tc>
          <w:tcPr>
            <w:tcW w:w="63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600" w:type="dxa"/>
            <w:vAlign w:val="bottom"/>
            <w:gridSpan w:val="3"/>
            <w:shd w:val="clear" w:color="auto" w:fill="EEEEEE"/>
          </w:tcPr>
          <w:p>
            <w:pPr>
              <w:jc w:val="right"/>
              <w:ind w:right="140"/>
              <w:spacing w:after="0"/>
              <w:rPr>
                <w:sz w:val="20"/>
                <w:szCs w:val="20"/>
                <w:color w:val="auto"/>
              </w:rPr>
            </w:pPr>
            <w:r>
              <w:rPr>
                <w:rFonts w:ascii="Arial" w:cs="Arial" w:eastAsia="Arial" w:hAnsi="Arial"/>
                <w:sz w:val="18"/>
                <w:szCs w:val="18"/>
                <w:color w:val="auto"/>
              </w:rPr>
              <w:t>7,185</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4.40</w:t>
            </w:r>
          </w:p>
        </w:tc>
        <w:tc>
          <w:tcPr>
            <w:tcW w:w="1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2.23 years</w:t>
            </w:r>
          </w:p>
        </w:tc>
        <w:tc>
          <w:tcPr>
            <w:tcW w:w="0" w:type="dxa"/>
            <w:vAlign w:val="bottom"/>
          </w:tcPr>
          <w:p>
            <w:pPr>
              <w:spacing w:after="0"/>
              <w:rPr>
                <w:sz w:val="1"/>
                <w:szCs w:val="1"/>
                <w:color w:val="auto"/>
              </w:rPr>
            </w:pPr>
          </w:p>
        </w:tc>
      </w:tr>
      <w:tr>
        <w:trPr>
          <w:trHeight w:val="20"/>
        </w:trPr>
        <w:tc>
          <w:tcPr>
            <w:tcW w:w="63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price distribution of stock options outstanding and exercisable as of June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34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7"/>
              </w:rPr>
              <w:t>Number of shares as of</w:t>
            </w:r>
          </w:p>
        </w:tc>
        <w:tc>
          <w:tcPr>
            <w:tcW w:w="32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7"/>
              </w:rPr>
              <w:t>Number of shares as of</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40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8"/>
              </w:rPr>
              <w:t>June 30, 2022</w:t>
            </w:r>
          </w:p>
        </w:tc>
        <w:tc>
          <w:tcPr>
            <w:tcW w:w="32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88"/>
              </w:rPr>
              <w:t>December 31, 2021</w:t>
            </w:r>
          </w:p>
        </w:tc>
        <w:tc>
          <w:tcPr>
            <w:tcW w:w="0" w:type="dxa"/>
            <w:vAlign w:val="bottom"/>
          </w:tcPr>
          <w:p>
            <w:pPr>
              <w:spacing w:after="0"/>
              <w:rPr>
                <w:sz w:val="1"/>
                <w:szCs w:val="1"/>
                <w:color w:val="auto"/>
              </w:rPr>
            </w:pPr>
          </w:p>
        </w:tc>
      </w:tr>
      <w:tr>
        <w:trPr>
          <w:trHeight w:val="223"/>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Range of exercise prices:</w:t>
            </w:r>
          </w:p>
        </w:tc>
        <w:tc>
          <w:tcPr>
            <w:tcW w:w="172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rPr>
              <w:t>Outstanding</w:t>
            </w:r>
          </w:p>
        </w:tc>
        <w:tc>
          <w:tcPr>
            <w:tcW w:w="14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Exercisable</w:t>
            </w:r>
          </w:p>
        </w:tc>
        <w:tc>
          <w:tcPr>
            <w:tcW w:w="200" w:type="dxa"/>
            <w:vAlign w:val="bottom"/>
          </w:tcPr>
          <w:p>
            <w:pPr>
              <w:spacing w:after="0"/>
              <w:rPr>
                <w:sz w:val="19"/>
                <w:szCs w:val="19"/>
                <w:color w:val="auto"/>
              </w:rPr>
            </w:pPr>
          </w:p>
        </w:tc>
        <w:tc>
          <w:tcPr>
            <w:tcW w:w="1660" w:type="dxa"/>
            <w:vAlign w:val="bottom"/>
            <w:tcBorders>
              <w:top w:val="single" w:sz="8" w:color="auto"/>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Outstanding</w:t>
            </w:r>
          </w:p>
        </w:tc>
        <w:tc>
          <w:tcPr>
            <w:tcW w:w="14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Exercisable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gridSpan w:val="2"/>
            <w:vMerge w:val="continue"/>
          </w:tcPr>
          <w:p>
            <w:pPr>
              <w:spacing w:after="0"/>
              <w:rPr>
                <w:sz w:val="18"/>
                <w:szCs w:val="18"/>
                <w:color w:val="auto"/>
              </w:rPr>
            </w:pPr>
          </w:p>
        </w:tc>
        <w:tc>
          <w:tcPr>
            <w:tcW w:w="32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18"/>
                <w:szCs w:val="18"/>
                <w:color w:val="auto"/>
              </w:rPr>
            </w:pPr>
          </w:p>
        </w:tc>
        <w:tc>
          <w:tcPr>
            <w:tcW w:w="31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$0.95 - $1.99</w:t>
            </w:r>
          </w:p>
        </w:tc>
        <w:tc>
          <w:tcPr>
            <w:tcW w:w="1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32</w:t>
            </w:r>
          </w:p>
        </w:tc>
        <w:tc>
          <w:tcPr>
            <w:tcW w:w="1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32</w:t>
            </w: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577</w:t>
            </w:r>
          </w:p>
        </w:tc>
        <w:tc>
          <w:tcPr>
            <w:tcW w:w="15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$2.00 - $2.99</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1,453</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783</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1,517</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$3.00 - $3.99</w:t>
            </w:r>
          </w:p>
        </w:tc>
        <w:tc>
          <w:tcPr>
            <w:tcW w:w="1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3,952</w:t>
            </w:r>
          </w:p>
        </w:tc>
        <w:tc>
          <w:tcPr>
            <w:tcW w:w="1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3,367</w:t>
            </w: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4,285</w:t>
            </w:r>
          </w:p>
        </w:tc>
        <w:tc>
          <w:tcPr>
            <w:tcW w:w="1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3,382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$4.00 - $4.99</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2,745</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1,495</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2,870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1,410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EEEEEE"/>
          </w:tcPr>
          <w:p>
            <w:pPr>
              <w:spacing w:after="0"/>
              <w:rPr>
                <w:sz w:val="20"/>
                <w:szCs w:val="20"/>
                <w:color w:val="auto"/>
              </w:rPr>
            </w:pPr>
            <w:r>
              <w:rPr>
                <w:rFonts w:ascii="Arial" w:cs="Arial" w:eastAsia="Arial" w:hAnsi="Arial"/>
                <w:sz w:val="18"/>
                <w:szCs w:val="18"/>
                <w:color w:val="auto"/>
                <w:w w:val="93"/>
              </w:rPr>
              <w:t>$5.00</w:t>
            </w:r>
          </w:p>
        </w:tc>
        <w:tc>
          <w:tcPr>
            <w:tcW w:w="41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$5.99</w:t>
            </w:r>
          </w:p>
        </w:tc>
        <w:tc>
          <w:tcPr>
            <w:tcW w:w="1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20"/>
                <w:szCs w:val="20"/>
                <w:color w:val="auto"/>
              </w:rPr>
            </w:pPr>
            <w:r>
              <w:rPr>
                <w:rFonts w:ascii="Arial" w:cs="Arial" w:eastAsia="Arial" w:hAnsi="Arial"/>
                <w:sz w:val="18"/>
                <w:szCs w:val="18"/>
                <w:color w:val="auto"/>
                <w:w w:val="93"/>
              </w:rPr>
              <w:t>$6.00</w:t>
            </w:r>
          </w:p>
        </w:tc>
        <w:tc>
          <w:tcPr>
            <w:tcW w:w="4180" w:type="dxa"/>
            <w:vAlign w:val="bottom"/>
          </w:tcPr>
          <w:p>
            <w:pPr>
              <w:ind w:left="20"/>
              <w:spacing w:after="0"/>
              <w:rPr>
                <w:sz w:val="20"/>
                <w:szCs w:val="20"/>
                <w:color w:val="auto"/>
              </w:rPr>
            </w:pPr>
            <w:r>
              <w:rPr>
                <w:rFonts w:ascii="Arial" w:cs="Arial" w:eastAsia="Arial" w:hAnsi="Arial"/>
                <w:sz w:val="18"/>
                <w:szCs w:val="18"/>
                <w:color w:val="auto"/>
              </w:rPr>
              <w:t>- $6.99</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753</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753</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2,651</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2,652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shd w:val="clear" w:color="auto" w:fill="EEEEEE"/>
          </w:tcPr>
          <w:p>
            <w:pPr>
              <w:spacing w:after="0"/>
              <w:rPr>
                <w:sz w:val="20"/>
                <w:szCs w:val="20"/>
                <w:color w:val="auto"/>
              </w:rPr>
            </w:pPr>
            <w:r>
              <w:rPr>
                <w:rFonts w:ascii="Arial" w:cs="Arial" w:eastAsia="Arial" w:hAnsi="Arial"/>
                <w:sz w:val="18"/>
                <w:szCs w:val="18"/>
                <w:color w:val="auto"/>
                <w:w w:val="93"/>
              </w:rPr>
              <w:t>$7.00</w:t>
            </w:r>
          </w:p>
        </w:tc>
        <w:tc>
          <w:tcPr>
            <w:tcW w:w="4180" w:type="dxa"/>
            <w:vAlign w:val="bottom"/>
            <w:shd w:val="clear" w:color="auto" w:fill="EEEEEE"/>
          </w:tcPr>
          <w:p>
            <w:pPr>
              <w:ind w:left="20"/>
              <w:spacing w:after="0"/>
              <w:rPr>
                <w:sz w:val="20"/>
                <w:szCs w:val="20"/>
                <w:color w:val="auto"/>
              </w:rPr>
            </w:pPr>
            <w:r>
              <w:rPr>
                <w:rFonts w:ascii="Arial" w:cs="Arial" w:eastAsia="Arial" w:hAnsi="Arial"/>
                <w:sz w:val="18"/>
                <w:szCs w:val="18"/>
                <w:color w:val="auto"/>
              </w:rPr>
              <w:t>- $7.99</w:t>
            </w:r>
          </w:p>
        </w:tc>
        <w:tc>
          <w:tcPr>
            <w:tcW w:w="17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755</w:t>
            </w:r>
          </w:p>
        </w:tc>
        <w:tc>
          <w:tcPr>
            <w:tcW w:w="16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755</w:t>
            </w:r>
          </w:p>
        </w:tc>
        <w:tc>
          <w:tcPr>
            <w:tcW w:w="16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1,175</w:t>
            </w:r>
          </w:p>
        </w:tc>
        <w:tc>
          <w:tcPr>
            <w:tcW w:w="14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w w:val="93"/>
              </w:rPr>
              <w:t>$8.00</w:t>
            </w:r>
          </w:p>
        </w:tc>
        <w:tc>
          <w:tcPr>
            <w:tcW w:w="4180" w:type="dxa"/>
            <w:vAlign w:val="bottom"/>
          </w:tcPr>
          <w:p>
            <w:pPr>
              <w:ind w:left="20"/>
              <w:spacing w:after="0"/>
              <w:rPr>
                <w:sz w:val="20"/>
                <w:szCs w:val="20"/>
                <w:color w:val="auto"/>
              </w:rPr>
            </w:pPr>
            <w:r>
              <w:rPr>
                <w:rFonts w:ascii="Arial" w:cs="Arial" w:eastAsia="Arial" w:hAnsi="Arial"/>
                <w:sz w:val="18"/>
                <w:szCs w:val="18"/>
                <w:color w:val="auto"/>
              </w:rPr>
              <w:t>- $11.00</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1,710</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40" w:type="dxa"/>
            <w:vAlign w:val="bottom"/>
            <w:tcBorders>
              <w:top w:val="single" w:sz="8" w:color="EEEEEE"/>
            </w:tcBorders>
            <w:shd w:val="clear" w:color="auto" w:fill="EEEEEE"/>
          </w:tcPr>
          <w:p>
            <w:pPr>
              <w:spacing w:after="0"/>
              <w:rPr>
                <w:sz w:val="18"/>
                <w:szCs w:val="18"/>
                <w:color w:val="auto"/>
              </w:rPr>
            </w:pPr>
          </w:p>
        </w:tc>
        <w:tc>
          <w:tcPr>
            <w:tcW w:w="418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spacing w:after="0"/>
              <w:rPr>
                <w:sz w:val="20"/>
                <w:szCs w:val="20"/>
                <w:color w:val="auto"/>
              </w:rPr>
            </w:pPr>
            <w:r>
              <w:rPr>
                <w:rFonts w:ascii="Arial" w:cs="Arial" w:eastAsia="Arial" w:hAnsi="Arial"/>
                <w:sz w:val="18"/>
                <w:szCs w:val="18"/>
                <w:color w:val="auto"/>
              </w:rPr>
              <w:t>Total shares</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11,400</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7,185</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13,075</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9,685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June 30, 2022 the aggregate intrinsic value of options outstanding and exercisable was $57.8 million and $42.1 million, respectively. There were 2.9 million options exercised for the six months ended June 30, 2022 compared to 676,000 for the comparable period in 2021. The total intrinsic value of options exercised was $12.2 million and $1.9 million for the six-month periods ended June 30, 2022 and 2021. There were 2,661,000 shares available for future stock option grants under existing plans as of June 30, 2022.</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describes the purchase of our common stock for the six months ended June 30,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20" w:type="dxa"/>
            <w:vAlign w:val="bottom"/>
            <w:gridSpan w:val="4"/>
          </w:tcPr>
          <w:p>
            <w:pPr>
              <w:ind w:left="52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080" w:type="dxa"/>
            <w:vAlign w:val="bottom"/>
          </w:tcPr>
          <w:p>
            <w:pPr>
              <w:spacing w:after="0"/>
              <w:rPr>
                <w:sz w:val="20"/>
                <w:szCs w:val="20"/>
                <w:color w:val="auto"/>
              </w:rPr>
            </w:pPr>
          </w:p>
        </w:tc>
        <w:tc>
          <w:tcPr>
            <w:tcW w:w="3160" w:type="dxa"/>
            <w:vAlign w:val="bottom"/>
            <w:gridSpan w:val="5"/>
          </w:tcPr>
          <w:p>
            <w:pPr>
              <w:ind w:left="960"/>
              <w:spacing w:after="0"/>
              <w:rPr>
                <w:sz w:val="20"/>
                <w:szCs w:val="20"/>
                <w:color w:val="auto"/>
              </w:rPr>
            </w:pPr>
            <w:r>
              <w:rPr>
                <w:rFonts w:ascii="Arial" w:cs="Arial" w:eastAsia="Arial" w:hAnsi="Arial"/>
                <w:sz w:val="18"/>
                <w:szCs w:val="18"/>
                <w:b w:val="1"/>
                <w:bCs w:val="1"/>
                <w:color w:val="auto"/>
              </w:rPr>
              <w:t>June 30, 2022</w:t>
            </w:r>
          </w:p>
        </w:tc>
        <w:tc>
          <w:tcPr>
            <w:tcW w:w="3000" w:type="dxa"/>
            <w:vAlign w:val="bottom"/>
            <w:gridSpan w:val="5"/>
          </w:tcPr>
          <w:p>
            <w:pPr>
              <w:ind w:left="920"/>
              <w:spacing w:after="0"/>
              <w:rPr>
                <w:sz w:val="20"/>
                <w:szCs w:val="20"/>
                <w:color w:val="auto"/>
              </w:rPr>
            </w:pPr>
            <w:r>
              <w:rPr>
                <w:rFonts w:ascii="Arial" w:cs="Arial" w:eastAsia="Arial" w:hAnsi="Arial"/>
                <w:sz w:val="18"/>
                <w:szCs w:val="18"/>
                <w:b w:val="1"/>
                <w:bCs w:val="1"/>
                <w:color w:val="auto"/>
              </w:rPr>
              <w:t>June 30, 2021</w:t>
            </w:r>
          </w:p>
        </w:tc>
      </w:tr>
      <w:tr>
        <w:trPr>
          <w:trHeight w:val="223"/>
        </w:trPr>
        <w:tc>
          <w:tcPr>
            <w:tcW w:w="5080" w:type="dxa"/>
            <w:vAlign w:val="bottom"/>
          </w:tcPr>
          <w:p>
            <w:pPr>
              <w:spacing w:after="0"/>
              <w:rPr>
                <w:sz w:val="19"/>
                <w:szCs w:val="19"/>
                <w:color w:val="auto"/>
              </w:rPr>
            </w:pPr>
          </w:p>
        </w:tc>
        <w:tc>
          <w:tcPr>
            <w:tcW w:w="162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Avg. Price</w:t>
            </w:r>
          </w:p>
        </w:tc>
        <w:tc>
          <w:tcPr>
            <w:tcW w:w="220" w:type="dxa"/>
            <w:vAlign w:val="bottom"/>
          </w:tcPr>
          <w:p>
            <w:pPr>
              <w:spacing w:after="0"/>
              <w:rPr>
                <w:sz w:val="19"/>
                <w:szCs w:val="19"/>
                <w:color w:val="auto"/>
              </w:rPr>
            </w:pPr>
          </w:p>
        </w:tc>
        <w:tc>
          <w:tcPr>
            <w:tcW w:w="1560" w:type="dxa"/>
            <w:vAlign w:val="bottom"/>
            <w:tcBorders>
              <w:top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7"/>
              </w:rPr>
              <w:t>Avg. Price</w:t>
            </w:r>
          </w:p>
        </w:tc>
        <w:tc>
          <w:tcPr>
            <w:tcW w:w="100" w:type="dxa"/>
            <w:vAlign w:val="bottom"/>
          </w:tcPr>
          <w:p>
            <w:pPr>
              <w:spacing w:after="0"/>
              <w:rPr>
                <w:sz w:val="19"/>
                <w:szCs w:val="19"/>
                <w:color w:val="auto"/>
              </w:rPr>
            </w:pPr>
          </w:p>
        </w:tc>
      </w:tr>
      <w:tr>
        <w:trPr>
          <w:trHeight w:val="209"/>
        </w:trPr>
        <w:tc>
          <w:tcPr>
            <w:tcW w:w="50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Open market purchases</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1,938,637</w:t>
            </w: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EEEEEE"/>
          </w:tcPr>
          <w:p>
            <w:pPr>
              <w:ind w:left="740"/>
              <w:spacing w:after="0"/>
              <w:rPr>
                <w:sz w:val="20"/>
                <w:szCs w:val="20"/>
                <w:color w:val="auto"/>
              </w:rPr>
            </w:pPr>
            <w:r>
              <w:rPr>
                <w:rFonts w:ascii="Arial" w:cs="Arial" w:eastAsia="Arial" w:hAnsi="Arial"/>
                <w:sz w:val="18"/>
                <w:szCs w:val="18"/>
                <w:color w:val="auto"/>
                <w:w w:val="84"/>
              </w:rPr>
              <w:t>11.42</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301,088</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Shares redeemed upon net exercise of stock options</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893,153</w:t>
            </w:r>
          </w:p>
        </w:tc>
        <w:tc>
          <w:tcPr>
            <w:tcW w:w="180" w:type="dxa"/>
            <w:vAlign w:val="bottom"/>
          </w:tcPr>
          <w:p>
            <w:pPr>
              <w:spacing w:after="0"/>
              <w:rPr>
                <w:sz w:val="19"/>
                <w:szCs w:val="19"/>
                <w:color w:val="auto"/>
              </w:rPr>
            </w:pPr>
          </w:p>
        </w:tc>
        <w:tc>
          <w:tcPr>
            <w:tcW w:w="1360" w:type="dxa"/>
            <w:vAlign w:val="bottom"/>
            <w:gridSpan w:val="2"/>
          </w:tcPr>
          <w:p>
            <w:pPr>
              <w:ind w:left="740"/>
              <w:spacing w:after="0"/>
              <w:rPr>
                <w:sz w:val="20"/>
                <w:szCs w:val="20"/>
                <w:color w:val="auto"/>
              </w:rPr>
            </w:pPr>
            <w:r>
              <w:rPr>
                <w:rFonts w:ascii="Arial" w:cs="Arial" w:eastAsia="Arial" w:hAnsi="Arial"/>
                <w:sz w:val="18"/>
                <w:szCs w:val="18"/>
                <w:color w:val="auto"/>
              </w:rPr>
              <w:t>13.56</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56,983</w:t>
            </w:r>
          </w:p>
        </w:tc>
        <w:tc>
          <w:tcPr>
            <w:tcW w:w="1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stock purchases</w:t>
            </w: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2,831,790</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EEEEEE"/>
          </w:tcPr>
          <w:p>
            <w:pPr>
              <w:ind w:left="740"/>
              <w:spacing w:after="0"/>
              <w:rPr>
                <w:sz w:val="20"/>
                <w:szCs w:val="20"/>
                <w:color w:val="auto"/>
              </w:rPr>
            </w:pPr>
            <w:r>
              <w:rPr>
                <w:rFonts w:ascii="Arial" w:cs="Arial" w:eastAsia="Arial" w:hAnsi="Arial"/>
                <w:sz w:val="18"/>
                <w:szCs w:val="18"/>
                <w:color w:val="auto"/>
                <w:w w:val="84"/>
              </w:rPr>
              <w:t>12.09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358,071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net income or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2022, we were in compliance with all such covenants.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2018 the Company adopted the fair value method of accounting for finance receivables acquired after 2017. Finance receivables measured at fair value are recorded separately on the Company’s Balance Sheet and are excluded from all tables in this footnote.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Automobile finance receivables, net of unearned interest was $149.0 million and $232.4 million as of June 30, 2022 and December 31, 2021, respectively. The following table summarizes the delinquency status of finance receivables as of June 30, 2022 and December 31,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44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3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444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115,721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186,625</w:t>
            </w:r>
          </w:p>
        </w:tc>
        <w:tc>
          <w:tcPr>
            <w:tcW w:w="8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42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3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21,866</w:t>
            </w:r>
          </w:p>
        </w:tc>
        <w:tc>
          <w:tcPr>
            <w:tcW w:w="20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30,980</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4220" w:type="dxa"/>
            <w:vAlign w:val="bottom"/>
          </w:tcPr>
          <w:p>
            <w:pPr>
              <w:ind w:left="20"/>
              <w:spacing w:after="0"/>
              <w:rPr>
                <w:sz w:val="20"/>
                <w:szCs w:val="20"/>
                <w:color w:val="auto"/>
              </w:rPr>
            </w:pPr>
            <w:r>
              <w:rPr>
                <w:rFonts w:ascii="Arial" w:cs="Arial" w:eastAsia="Arial" w:hAnsi="Arial"/>
                <w:sz w:val="18"/>
                <w:szCs w:val="18"/>
                <w:color w:val="auto"/>
              </w:rPr>
              <w:t>- 90 days</w:t>
            </w:r>
          </w:p>
        </w:tc>
        <w:tc>
          <w:tcPr>
            <w:tcW w:w="3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9,247</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12,070</w:t>
            </w: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422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3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2,176</w:t>
            </w:r>
          </w:p>
        </w:tc>
        <w:tc>
          <w:tcPr>
            <w:tcW w:w="20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2,715</w:t>
            </w:r>
          </w:p>
        </w:tc>
        <w:tc>
          <w:tcPr>
            <w:tcW w:w="8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149,010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Finance receivables totaling $2.2 million and $2.7 million at June 30, 2022 and December 31, 2021, respectively, including all receivables greater than 90 days delinquent, have been placed on non-accrual status as a result of their delinquency status.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Credit Losses – Finance Receivables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allowance for credit losses is a valuation account that is deducted from the amortized cost basis of finance receivables to present the net amount expected to be collected. Charge offs are deducted from the allowance when management believes that collectability is unlikely.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estimates the allowance using relevant available information, from internal and external sources, relating to past events, current conditions and, reasonable and supportable forecasts. We believe our historical credit loss experience provides the best basis for the estimation of expected credit losses. Consequently, we use historical loss experience for older receivables, aggregated into vintage pools based on their calendar quarter of origination, to forecast expected losses for less seasoned quarterly vintage pools.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measure the weighted average monthly incremental change in cumulative net losses for the vintage pools in the relevant historical period. For the pools in the relevant historical period, we consider each pool’s performance from its inception through the end of the current period. We then apply the results of the historical analysis to less seasoned vintage pools beginning with each vintage pool’s most recent actual cumulative net loss experience and extrapolating from that point based on the historical data. We believe the pattern and magnitude of losses on older vintages allows us to establish a reasonable and supportable forecast of less seasoned vintages.</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contract purchase guidelines are designed to produce a homogenous portfolio. For key credit characteristics of individual contracts such as obligor credit history, job stability, residence stability and ability to pay, there is relatively little variation from the average for the portfolio. Similarly, for key structural characteristics such as loan-to-value, length of contract, monthly payment and amount financed, there is relatively little variation from the average for the portfolio. Consequently, we do not believe there are significant differences in risk characteristics between various segments of our portfolio.</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methodology incorporates historical pools that are sufficiently seasoned to capture the magnitude and trends of losses within those vintage pools. Furthermore, the historical period encompasses a substantial volume of receivables over periods that include fluctuations in the competitive landscape, the Company’s rates of growth, size of our managed portfolio and fluctuations in economic growth and unemployment.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consideration of the depth and breadth of the historical period, and the homogeneity of our portfolio, we generally do not adjust historical loss information for differences in risk characteristics such as credit or structural composition of segments of the portfolio or for changes in environmental conditions such as changes in unemployment rates, collateral values or other factors. However, we have considered how certain qualitative factors may affect future credit losses and have incorporated our judgement of the effect of such factors into our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amortized cost basis of our finance receivables by annual vintage as of June 30, 2022 and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580" w:type="dxa"/>
            <w:vAlign w:val="bottom"/>
            <w:gridSpan w:val="3"/>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2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9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196"/>
        </w:trPr>
        <w:tc>
          <w:tcPr>
            <w:tcW w:w="2960" w:type="dxa"/>
            <w:vAlign w:val="bottom"/>
            <w:tcBorders>
              <w:bottom w:val="single" w:sz="8" w:color="EEEEEE"/>
            </w:tcBorders>
            <w:shd w:val="clear" w:color="auto" w:fill="EEEEEE"/>
          </w:tcPr>
          <w:p>
            <w:pPr>
              <w:spacing w:after="0"/>
              <w:rPr>
                <w:sz w:val="17"/>
                <w:szCs w:val="17"/>
                <w:color w:val="auto"/>
              </w:rPr>
            </w:pPr>
          </w:p>
        </w:tc>
        <w:tc>
          <w:tcPr>
            <w:tcW w:w="152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91"/>
              </w:rPr>
              <w:t>Annual Vintage Pool</w:t>
            </w:r>
          </w:p>
        </w:tc>
        <w:tc>
          <w:tcPr>
            <w:tcW w:w="3380" w:type="dxa"/>
            <w:vAlign w:val="bottom"/>
            <w:tcBorders>
              <w:bottom w:val="single" w:sz="8" w:color="EEEEEE"/>
            </w:tcBorders>
            <w:gridSpan w:val="2"/>
            <w:shd w:val="clear" w:color="auto" w:fill="EEEEEE"/>
          </w:tcPr>
          <w:p>
            <w:pPr>
              <w:spacing w:after="0"/>
              <w:rPr>
                <w:sz w:val="17"/>
                <w:szCs w:val="17"/>
                <w:color w:val="auto"/>
              </w:rPr>
            </w:pPr>
          </w:p>
        </w:tc>
        <w:tc>
          <w:tcPr>
            <w:tcW w:w="138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148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2012 and prior</w:t>
            </w:r>
          </w:p>
        </w:tc>
        <w:tc>
          <w:tcPr>
            <w:tcW w:w="4900" w:type="dxa"/>
            <w:vAlign w:val="bottom"/>
            <w:gridSpan w:val="3"/>
          </w:tcPr>
          <w:p>
            <w:pPr>
              <w:jc w:val="right"/>
              <w:ind w:right="14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131</w:t>
            </w: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2013</w:t>
            </w:r>
          </w:p>
        </w:tc>
        <w:tc>
          <w:tcPr>
            <w:tcW w:w="1520" w:type="dxa"/>
            <w:vAlign w:val="bottom"/>
            <w:shd w:val="clear" w:color="auto" w:fill="EEEEEE"/>
          </w:tcPr>
          <w:p>
            <w:pPr>
              <w:spacing w:after="0"/>
              <w:rPr>
                <w:sz w:val="18"/>
                <w:szCs w:val="18"/>
                <w:color w:val="auto"/>
              </w:rPr>
            </w:pPr>
          </w:p>
        </w:tc>
        <w:tc>
          <w:tcPr>
            <w:tcW w:w="3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485</w:t>
            </w:r>
          </w:p>
        </w:tc>
        <w:tc>
          <w:tcPr>
            <w:tcW w:w="20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1,091</w:t>
            </w:r>
          </w:p>
        </w:tc>
        <w:tc>
          <w:tcPr>
            <w:tcW w:w="80" w:type="dxa"/>
            <w:vAlign w:val="bottom"/>
            <w:shd w:val="clear" w:color="auto" w:fill="EEEEEE"/>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2014</w:t>
            </w:r>
          </w:p>
        </w:tc>
        <w:tc>
          <w:tcPr>
            <w:tcW w:w="1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3,434</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6,881</w:t>
            </w:r>
          </w:p>
        </w:tc>
        <w:tc>
          <w:tcPr>
            <w:tcW w:w="80" w:type="dxa"/>
            <w:vAlign w:val="bottom"/>
          </w:tcPr>
          <w:p>
            <w:pPr>
              <w:spacing w:after="0"/>
              <w:rPr>
                <w:sz w:val="18"/>
                <w:szCs w:val="18"/>
                <w:color w:val="auto"/>
              </w:rPr>
            </w:pPr>
          </w:p>
        </w:tc>
      </w:tr>
      <w:tr>
        <w:trPr>
          <w:trHeight w:val="216"/>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2015</w:t>
            </w:r>
          </w:p>
        </w:tc>
        <w:tc>
          <w:tcPr>
            <w:tcW w:w="1520" w:type="dxa"/>
            <w:vAlign w:val="bottom"/>
            <w:shd w:val="clear" w:color="auto" w:fill="EEEEEE"/>
          </w:tcPr>
          <w:p>
            <w:pPr>
              <w:spacing w:after="0"/>
              <w:rPr>
                <w:sz w:val="18"/>
                <w:szCs w:val="18"/>
                <w:color w:val="auto"/>
              </w:rPr>
            </w:pPr>
          </w:p>
        </w:tc>
        <w:tc>
          <w:tcPr>
            <w:tcW w:w="3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16,467</w:t>
            </w:r>
          </w:p>
        </w:tc>
        <w:tc>
          <w:tcPr>
            <w:tcW w:w="20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29,695</w:t>
            </w: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2016</w:t>
            </w:r>
          </w:p>
        </w:tc>
        <w:tc>
          <w:tcPr>
            <w:tcW w:w="15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48,088</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Arial" w:cs="Arial" w:eastAsia="Arial" w:hAnsi="Arial"/>
                <w:sz w:val="18"/>
                <w:szCs w:val="18"/>
                <w:color w:val="auto"/>
              </w:rPr>
              <w:t>76,728</w:t>
            </w:r>
          </w:p>
        </w:tc>
      </w:tr>
      <w:tr>
        <w:trPr>
          <w:trHeight w:val="230"/>
        </w:trPr>
        <w:tc>
          <w:tcPr>
            <w:tcW w:w="2960" w:type="dxa"/>
            <w:vAlign w:val="bottom"/>
            <w:shd w:val="clear" w:color="auto" w:fill="EEEEEE"/>
          </w:tcPr>
          <w:p>
            <w:pPr>
              <w:spacing w:after="0"/>
              <w:rPr>
                <w:sz w:val="20"/>
                <w:szCs w:val="20"/>
                <w:color w:val="auto"/>
              </w:rPr>
            </w:pPr>
            <w:r>
              <w:rPr>
                <w:rFonts w:ascii="Arial" w:cs="Arial" w:eastAsia="Arial" w:hAnsi="Arial"/>
                <w:sz w:val="18"/>
                <w:szCs w:val="18"/>
                <w:color w:val="auto"/>
              </w:rPr>
              <w:t>2017</w:t>
            </w:r>
          </w:p>
        </w:tc>
        <w:tc>
          <w:tcPr>
            <w:tcW w:w="1520" w:type="dxa"/>
            <w:vAlign w:val="bottom"/>
            <w:shd w:val="clear" w:color="auto" w:fill="EEEEEE"/>
          </w:tcPr>
          <w:p>
            <w:pPr>
              <w:spacing w:after="0"/>
              <w:rPr>
                <w:sz w:val="19"/>
                <w:szCs w:val="19"/>
                <w:color w:val="auto"/>
              </w:rPr>
            </w:pPr>
          </w:p>
        </w:tc>
        <w:tc>
          <w:tcPr>
            <w:tcW w:w="30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80,434</w:t>
            </w:r>
          </w:p>
        </w:tc>
        <w:tc>
          <w:tcPr>
            <w:tcW w:w="200" w:type="dxa"/>
            <w:vAlign w:val="bottom"/>
            <w:shd w:val="clear" w:color="auto" w:fill="EEEEEE"/>
          </w:tcPr>
          <w:p>
            <w:pPr>
              <w:spacing w:after="0"/>
              <w:rPr>
                <w:sz w:val="19"/>
                <w:szCs w:val="19"/>
                <w:color w:val="auto"/>
              </w:rPr>
            </w:pPr>
          </w:p>
        </w:tc>
        <w:tc>
          <w:tcPr>
            <w:tcW w:w="158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117,864</w:t>
            </w:r>
          </w:p>
        </w:tc>
      </w:tr>
      <w:tr>
        <w:trPr>
          <w:trHeight w:val="223"/>
        </w:trPr>
        <w:tc>
          <w:tcPr>
            <w:tcW w:w="2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149,010</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232,390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summary of the activity for the allowance for finance credit losses for the three-month periods ended June 30,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16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9"/>
                <w:szCs w:val="19"/>
                <w:color w:val="auto"/>
              </w:rPr>
            </w:pPr>
          </w:p>
        </w:tc>
        <w:tc>
          <w:tcPr>
            <w:tcW w:w="27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r>
      <w:tr>
        <w:trPr>
          <w:trHeight w:val="210"/>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86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87"/>
              </w:rPr>
              <w:t>45,001</w:t>
            </w:r>
          </w:p>
        </w:tc>
        <w:tc>
          <w:tcPr>
            <w:tcW w:w="54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73,497</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56,206</w:t>
            </w:r>
          </w:p>
        </w:tc>
        <w:tc>
          <w:tcPr>
            <w:tcW w:w="540" w:type="dxa"/>
            <w:vAlign w:val="bottom"/>
            <w:gridSpan w:val="2"/>
            <w:shd w:val="clear" w:color="auto" w:fill="EEEEEE"/>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80,790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Provision for credit losses on finance receivables</w:t>
            </w:r>
          </w:p>
        </w:tc>
        <w:tc>
          <w:tcPr>
            <w:tcW w:w="8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(8,000)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(17,400)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86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4"/>
              </w:rPr>
              <w:t>(4,446)</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(6,699)</w:t>
            </w:r>
          </w:p>
        </w:tc>
        <w:tc>
          <w:tcPr>
            <w:tcW w:w="3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(9,805)</w:t>
            </w:r>
          </w:p>
        </w:tc>
        <w:tc>
          <w:tcPr>
            <w:tcW w:w="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(18,820)</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Recoveries</w:t>
            </w:r>
          </w:p>
        </w:tc>
        <w:tc>
          <w:tcPr>
            <w:tcW w:w="86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5,444</w:t>
            </w:r>
          </w:p>
        </w:tc>
        <w:tc>
          <w:tcPr>
            <w:tcW w:w="3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6,671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10,272</w:t>
            </w: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35,672</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72,242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35,672</w:t>
            </w: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72,242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December 31,</w:t>
            </w:r>
          </w:p>
        </w:tc>
      </w:tr>
      <w:tr>
        <w:trPr>
          <w:trHeight w:val="210"/>
        </w:trPr>
        <w:tc>
          <w:tcPr>
            <w:tcW w:w="56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6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w w:val="91"/>
              </w:rPr>
              <w:t>(In thousands)</w:t>
            </w:r>
          </w:p>
        </w:tc>
        <w:tc>
          <w:tcPr>
            <w:tcW w:w="100" w:type="dxa"/>
            <w:vAlign w:val="bottom"/>
          </w:tcPr>
          <w:p>
            <w:pPr>
              <w:spacing w:after="0"/>
              <w:rPr>
                <w:sz w:val="18"/>
                <w:szCs w:val="18"/>
                <w:color w:val="auto"/>
              </w:rPr>
            </w:pPr>
          </w:p>
        </w:tc>
      </w:tr>
      <w:tr>
        <w:trPr>
          <w:trHeight w:val="216"/>
        </w:trPr>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Gross balance of repossessions in inventory</w:t>
            </w:r>
          </w:p>
        </w:tc>
        <w:tc>
          <w:tcPr>
            <w:tcW w:w="3140" w:type="dxa"/>
            <w:vAlign w:val="bottom"/>
            <w:gridSpan w:val="2"/>
            <w:shd w:val="clear" w:color="auto" w:fill="EEEEEE"/>
          </w:tcPr>
          <w:p>
            <w:pPr>
              <w:jc w:val="right"/>
              <w:ind w:right="1016"/>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3,015</w:t>
            </w:r>
          </w:p>
        </w:tc>
        <w:tc>
          <w:tcPr>
            <w:tcW w:w="200" w:type="dxa"/>
            <w:vAlign w:val="bottom"/>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4,341</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Allowance for losses on repossessed inventory</w:t>
            </w: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(1,632)</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(1,871)</w:t>
            </w:r>
          </w:p>
        </w:tc>
      </w:tr>
      <w:tr>
        <w:trPr>
          <w:trHeight w:val="223"/>
        </w:trPr>
        <w:tc>
          <w:tcPr>
            <w:tcW w:w="56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repossessed inventory included in other assets</w:t>
            </w:r>
          </w:p>
        </w:tc>
        <w:tc>
          <w:tcPr>
            <w:tcW w:w="1960" w:type="dxa"/>
            <w:vAlign w:val="bottom"/>
            <w:tcBorders>
              <w:top w:val="single" w:sz="8" w:color="EEEEEE"/>
              <w:bottom w:val="single" w:sz="8" w:color="EEEEEE"/>
            </w:tcBorders>
            <w:shd w:val="clear" w:color="auto" w:fill="EEEEEE"/>
          </w:tcPr>
          <w:p>
            <w:pPr>
              <w:spacing w:after="0"/>
              <w:rPr>
                <w:sz w:val="19"/>
                <w:szCs w:val="19"/>
                <w:color w:val="auto"/>
              </w:rPr>
            </w:pPr>
          </w:p>
        </w:tc>
        <w:tc>
          <w:tcPr>
            <w:tcW w:w="1180" w:type="dxa"/>
            <w:vAlign w:val="bottom"/>
            <w:tcBorders>
              <w:top w:val="single" w:sz="8" w:color="auto"/>
              <w:bottom w:val="single" w:sz="8" w:color="auto"/>
            </w:tcBorders>
            <w:shd w:val="clear" w:color="auto" w:fill="EEEEEE"/>
          </w:tcPr>
          <w:p>
            <w:pPr>
              <w:jc w:val="right"/>
              <w:ind w:right="1016"/>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1,383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2,470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Securitization Trust Debt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tbl>
      <w:tblPr>
        <w:tblLayout w:type="fixed"/>
        <w:tblInd w:w="0" w:type="dxa"/>
        <w:tblCellMar>
          <w:top w:w="0" w:type="dxa"/>
          <w:left w:w="0" w:type="dxa"/>
          <w:bottom w:w="0" w:type="dxa"/>
          <w:right w:w="0" w:type="dxa"/>
        </w:tblCellMar>
      </w:tblPr>
      <w:tr>
        <w:trPr>
          <w:trHeight w:val="200"/>
        </w:trPr>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100"/>
              <w:spacing w:after="0" w:line="201"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5"/>
              </w:rPr>
              <w:t>Final</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Receivables</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3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Outstanding</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Debt</w:t>
            </w:r>
          </w:p>
        </w:tc>
        <w:tc>
          <w:tcPr>
            <w:tcW w:w="0" w:type="dxa"/>
            <w:vAlign w:val="bottom"/>
          </w:tcPr>
          <w:p>
            <w:pPr>
              <w:spacing w:after="0"/>
              <w:rPr>
                <w:sz w:val="1"/>
                <w:szCs w:val="1"/>
                <w:color w:val="auto"/>
              </w:rPr>
            </w:pPr>
          </w:p>
        </w:tc>
      </w:tr>
      <w:tr>
        <w:trPr>
          <w:trHeight w:val="216"/>
        </w:trPr>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7"/>
              </w:rPr>
              <w:t>Scheduled</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Pledged at</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Principal at</w:t>
            </w:r>
          </w:p>
        </w:tc>
        <w:tc>
          <w:tcPr>
            <w:tcW w:w="80" w:type="dxa"/>
            <w:vAlign w:val="bottom"/>
          </w:tcPr>
          <w:p>
            <w:pPr>
              <w:spacing w:after="0"/>
              <w:rPr>
                <w:sz w:val="18"/>
                <w:szCs w:val="18"/>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Principal at</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229"/>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Payment</w:t>
            </w: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9"/>
                <w:szCs w:val="19"/>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rPr>
              <w:t>Initial</w:t>
            </w:r>
          </w:p>
        </w:tc>
        <w:tc>
          <w:tcPr>
            <w:tcW w:w="100" w:type="dxa"/>
            <w:vAlign w:val="bottom"/>
          </w:tcPr>
          <w:p>
            <w:pPr>
              <w:spacing w:after="0"/>
              <w:rPr>
                <w:sz w:val="19"/>
                <w:szCs w:val="19"/>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9"/>
                <w:szCs w:val="19"/>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at June 30,</w:t>
            </w:r>
          </w:p>
        </w:tc>
        <w:tc>
          <w:tcPr>
            <w:tcW w:w="0" w:type="dxa"/>
            <w:vAlign w:val="bottom"/>
          </w:tcPr>
          <w:p>
            <w:pPr>
              <w:spacing w:after="0"/>
              <w:rPr>
                <w:sz w:val="1"/>
                <w:szCs w:val="1"/>
                <w:color w:val="auto"/>
              </w:rPr>
            </w:pPr>
          </w:p>
        </w:tc>
      </w:tr>
      <w:tr>
        <w:trPr>
          <w:trHeight w:val="234"/>
        </w:trPr>
        <w:tc>
          <w:tcPr>
            <w:tcW w:w="2280" w:type="dxa"/>
            <w:vAlign w:val="bottom"/>
            <w:gridSpan w:val="2"/>
          </w:tcPr>
          <w:p>
            <w:pPr>
              <w:ind w:left="860"/>
              <w:spacing w:after="0"/>
              <w:rPr>
                <w:sz w:val="20"/>
                <w:szCs w:val="20"/>
                <w:color w:val="auto"/>
              </w:rPr>
            </w:pPr>
            <w:r>
              <w:rPr>
                <w:rFonts w:ascii="Arial" w:cs="Arial" w:eastAsia="Arial" w:hAnsi="Arial"/>
                <w:sz w:val="18"/>
                <w:szCs w:val="18"/>
                <w:b w:val="1"/>
                <w:bCs w:val="1"/>
                <w:color w:val="auto"/>
              </w:rPr>
              <w:t>Series</w:t>
            </w:r>
          </w:p>
        </w:tc>
        <w:tc>
          <w:tcPr>
            <w:tcW w:w="194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0"/>
              </w:rPr>
              <w:t>Date (1)</w:t>
            </w:r>
          </w:p>
        </w:tc>
        <w:tc>
          <w:tcPr>
            <w:tcW w:w="11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2022 (2)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0" w:type="dxa"/>
            <w:vAlign w:val="bottom"/>
            <w:tcBorders>
              <w:top w:val="single" w:sz="8" w:color="auto"/>
            </w:tcBorders>
            <w:gridSpan w:val="5"/>
          </w:tcPr>
          <w:p>
            <w:pPr>
              <w:ind w:left="960"/>
              <w:spacing w:after="0"/>
              <w:rPr>
                <w:sz w:val="20"/>
                <w:szCs w:val="20"/>
                <w:color w:val="auto"/>
              </w:rPr>
            </w:pPr>
            <w:r>
              <w:rPr>
                <w:rFonts w:ascii="Arial" w:cs="Arial" w:eastAsia="Arial" w:hAnsi="Arial"/>
                <w:sz w:val="18"/>
                <w:szCs w:val="18"/>
                <w:b w:val="1"/>
                <w:bCs w:val="1"/>
                <w:color w:val="auto"/>
                <w:w w:val="95"/>
              </w:rPr>
              <w:t>(Dollars in thousands)</w:t>
            </w: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2017-A</w:t>
            </w:r>
          </w:p>
        </w:tc>
        <w:tc>
          <w:tcPr>
            <w:tcW w:w="19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April 2024</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206,320</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17,644</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CPS 2017-B</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December 2023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225,170</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12,491</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2017-C</w:t>
            </w:r>
          </w:p>
        </w:tc>
        <w:tc>
          <w:tcPr>
            <w:tcW w:w="19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September 2024</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20,386</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224,825</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16,045</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25,846</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CPS 2017-D</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June 2024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21,508</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196,300</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17,940</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26,744</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2018-A</w:t>
            </w:r>
          </w:p>
        </w:tc>
        <w:tc>
          <w:tcPr>
            <w:tcW w:w="19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March 2025</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24,446</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190,000</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21,109</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29,518</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CPS 2018-B</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December 2024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29,676</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201,823</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25,645</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36,092</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2018-C</w:t>
            </w:r>
          </w:p>
        </w:tc>
        <w:tc>
          <w:tcPr>
            <w:tcW w:w="19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September 2025</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34,544</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230,275</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30,613</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42,765</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CPS 2018-D</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June 2025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42,143</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233,730</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36,179</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49,634</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2019-A</w:t>
            </w:r>
          </w:p>
        </w:tc>
        <w:tc>
          <w:tcPr>
            <w:tcW w:w="19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March 2026</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52,883</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254,400</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45,191</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62,667</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CPS 2019-B</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June 2026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53,660</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228,275</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45,691</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61,730</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2019-C</w:t>
            </w:r>
          </w:p>
        </w:tc>
        <w:tc>
          <w:tcPr>
            <w:tcW w:w="19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September 2026</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62,999</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243,513</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55,760</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75,065</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CPS 2019-D</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December 2026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80,677</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274,313</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71,050</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98,625</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2020-A</w:t>
            </w:r>
          </w:p>
        </w:tc>
        <w:tc>
          <w:tcPr>
            <w:tcW w:w="19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March 2027</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75,756</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260,000</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71,236</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99,485</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CPS 2020-B</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June 2027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83,602</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202,343</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59,024</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87,048</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2020-C</w:t>
            </w:r>
          </w:p>
        </w:tc>
        <w:tc>
          <w:tcPr>
            <w:tcW w:w="19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November 2027</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112,313</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252,200</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99,770</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138,899</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CPS 2021-A</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March 2028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119,399</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230,545</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102,679</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147,516</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2021-B</w:t>
            </w:r>
          </w:p>
        </w:tc>
        <w:tc>
          <w:tcPr>
            <w:tcW w:w="19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June 2028</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144,642</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240,000</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134,085</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179,856</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CPS 2021-C</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September 2028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208,515</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291,000</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193,836</w:t>
            </w:r>
          </w:p>
        </w:tc>
        <w:tc>
          <w:tcPr>
            <w:tcW w:w="8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250,003</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2021-D</w:t>
            </w:r>
          </w:p>
        </w:tc>
        <w:tc>
          <w:tcPr>
            <w:tcW w:w="19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December 2028</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279,643</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349,202</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267,832</w:t>
            </w:r>
          </w:p>
        </w:tc>
        <w:tc>
          <w:tcPr>
            <w:tcW w:w="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330,325</w:t>
            </w:r>
          </w:p>
        </w:tc>
        <w:tc>
          <w:tcPr>
            <w:tcW w:w="10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280" w:type="dxa"/>
            <w:vAlign w:val="bottom"/>
            <w:gridSpan w:val="2"/>
          </w:tcPr>
          <w:p>
            <w:pPr>
              <w:spacing w:after="0"/>
              <w:rPr>
                <w:sz w:val="20"/>
                <w:szCs w:val="20"/>
                <w:color w:val="auto"/>
              </w:rPr>
            </w:pPr>
            <w:r>
              <w:rPr>
                <w:rFonts w:ascii="Arial" w:cs="Arial" w:eastAsia="Arial" w:hAnsi="Arial"/>
                <w:sz w:val="18"/>
                <w:szCs w:val="18"/>
                <w:color w:val="auto"/>
              </w:rPr>
              <w:t>CPS 2022-A</w:t>
            </w:r>
          </w:p>
        </w:tc>
        <w:tc>
          <w:tcPr>
            <w:tcW w:w="1940" w:type="dxa"/>
            <w:vAlign w:val="bottom"/>
            <w:gridSpan w:val="2"/>
          </w:tcPr>
          <w:p>
            <w:pPr>
              <w:jc w:val="right"/>
              <w:ind w:right="170"/>
              <w:spacing w:after="0"/>
              <w:rPr>
                <w:sz w:val="20"/>
                <w:szCs w:val="20"/>
                <w:color w:val="auto"/>
              </w:rPr>
            </w:pPr>
            <w:r>
              <w:rPr>
                <w:rFonts w:ascii="Arial" w:cs="Arial" w:eastAsia="Arial" w:hAnsi="Arial"/>
                <w:sz w:val="18"/>
                <w:szCs w:val="18"/>
                <w:color w:val="auto"/>
              </w:rPr>
              <w:t>April 2029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293,039</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316,800</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273,751</w:t>
            </w:r>
          </w:p>
        </w:tc>
        <w:tc>
          <w:tcPr>
            <w:tcW w:w="80" w:type="dxa"/>
            <w:vAlign w:val="bottom"/>
          </w:tcPr>
          <w:p>
            <w:pPr>
              <w:spacing w:after="0"/>
              <w:rPr>
                <w:sz w:val="18"/>
                <w:szCs w:val="18"/>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CPS 2022-B</w:t>
            </w:r>
          </w:p>
        </w:tc>
        <w:tc>
          <w:tcPr>
            <w:tcW w:w="1940" w:type="dxa"/>
            <w:vAlign w:val="bottom"/>
            <w:gridSpan w:val="2"/>
            <w:shd w:val="clear" w:color="auto" w:fill="EEEEEE"/>
          </w:tcPr>
          <w:p>
            <w:pPr>
              <w:jc w:val="right"/>
              <w:ind w:right="170"/>
              <w:spacing w:after="0"/>
              <w:rPr>
                <w:sz w:val="20"/>
                <w:szCs w:val="20"/>
                <w:color w:val="auto"/>
              </w:rPr>
            </w:pPr>
            <w:r>
              <w:rPr>
                <w:rFonts w:ascii="Arial" w:cs="Arial" w:eastAsia="Arial" w:hAnsi="Arial"/>
                <w:sz w:val="18"/>
                <w:szCs w:val="18"/>
                <w:color w:val="auto"/>
              </w:rPr>
              <w:t>October 2029</w:t>
            </w: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411,728</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395,600</w:t>
            </w:r>
          </w:p>
        </w:tc>
        <w:tc>
          <w:tcPr>
            <w:tcW w:w="100" w:type="dxa"/>
            <w:vAlign w:val="bottom"/>
            <w:shd w:val="clear" w:color="auto" w:fill="EEEEEE"/>
          </w:tcPr>
          <w:p>
            <w:pPr>
              <w:spacing w:after="0"/>
              <w:rPr>
                <w:sz w:val="19"/>
                <w:szCs w:val="19"/>
                <w:color w:val="auto"/>
              </w:rPr>
            </w:pPr>
          </w:p>
        </w:tc>
        <w:tc>
          <w:tcPr>
            <w:tcW w:w="1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380,095</w:t>
            </w:r>
          </w:p>
        </w:tc>
        <w:tc>
          <w:tcPr>
            <w:tcW w:w="80" w:type="dxa"/>
            <w:vAlign w:val="bottom"/>
            <w:shd w:val="clear" w:color="auto" w:fill="EEEEEE"/>
          </w:tcPr>
          <w:p>
            <w:pPr>
              <w:spacing w:after="0"/>
              <w:rPr>
                <w:sz w:val="19"/>
                <w:szCs w:val="19"/>
                <w:color w:val="auto"/>
              </w:rPr>
            </w:pPr>
          </w:p>
        </w:tc>
        <w:tc>
          <w:tcPr>
            <w:tcW w:w="136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2,151,560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5,246,634</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1,947,529</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1,771,953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vMerge w:val="restart"/>
          </w:tcPr>
          <w:p>
            <w:pPr>
              <w:spacing w:after="0"/>
              <w:rPr>
                <w:sz w:val="20"/>
                <w:szCs w:val="20"/>
                <w:color w:val="auto"/>
              </w:rPr>
            </w:pPr>
            <w:r>
              <w:rPr>
                <w:rFonts w:ascii="Arial" w:cs="Arial" w:eastAsia="Arial" w:hAnsi="Arial"/>
                <w:sz w:val="18"/>
                <w:szCs w:val="18"/>
                <w:color w:val="auto"/>
              </w:rPr>
              <w:t>_________________</w:t>
            </w:r>
          </w:p>
        </w:tc>
        <w:tc>
          <w:tcPr>
            <w:tcW w:w="120" w:type="dxa"/>
            <w:vAlign w:val="bottom"/>
            <w:vMerge w:val="restart"/>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73" w:lineRule="auto"/>
        <w:tabs>
          <w:tab w:leader="none" w:pos="3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$377.6 million in 2022, $801.4 million in 2023, $256.8 million in 2024, $249.2 million in 2025, $146.4 million in 2026, $85.8 million in 2027, and $16.9 million in 2028.</w:t>
      </w:r>
    </w:p>
    <w:p>
      <w:pPr>
        <w:spacing w:after="0" w:line="176" w:lineRule="exact"/>
        <w:rPr>
          <w:rFonts w:ascii="Arial" w:cs="Arial" w:eastAsia="Arial" w:hAnsi="Arial"/>
          <w:sz w:val="17"/>
          <w:szCs w:val="17"/>
          <w:i w:val="1"/>
          <w:iCs w:val="1"/>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Debt issuance costs of $13.4 million and $12.0 million as of June 30, 2022 and December 31, 2021, respectively, have been excluded from the table above.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debt issuance costs are presented as a direct deduction to the carrying amount of the Securitization trust debt on our Consolidated Balance Sheets.</w:t>
      </w:r>
    </w:p>
    <w:p>
      <w:pPr>
        <w:spacing w:after="0" w:line="2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June 30, 2022, we were in compliance with all such covenants.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June 30, 2022, restricted cash under the various agreements totaled approximately $157.0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terms and amounts of our other debt outstanding at June 30, 2022 and December 31, 2021 are summarized below:</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5"/>
          </w:tcPr>
          <w:p>
            <w:pPr>
              <w:ind w:left="48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41"/>
        </w:trPr>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60" w:type="dxa"/>
            <w:vAlign w:val="bottom"/>
            <w:gridSpan w:val="2"/>
            <w:vMerge w:val="restart"/>
          </w:tcPr>
          <w:p>
            <w:pPr>
              <w:ind w:left="1060"/>
              <w:spacing w:after="0"/>
              <w:rPr>
                <w:sz w:val="20"/>
                <w:szCs w:val="20"/>
                <w:color w:val="auto"/>
              </w:rPr>
            </w:pPr>
            <w:r>
              <w:rPr>
                <w:rFonts w:ascii="Arial" w:cs="Arial" w:eastAsia="Arial" w:hAnsi="Arial"/>
                <w:sz w:val="18"/>
                <w:szCs w:val="18"/>
                <w:color w:val="auto"/>
              </w:rPr>
              <w:t>Description</w:t>
            </w:r>
          </w:p>
        </w:tc>
        <w:tc>
          <w:tcPr>
            <w:tcW w:w="238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Interest Rate</w:t>
            </w:r>
          </w:p>
        </w:tc>
        <w:tc>
          <w:tcPr>
            <w:tcW w:w="2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Maturity</w:t>
            </w:r>
          </w:p>
        </w:tc>
        <w:tc>
          <w:tcPr>
            <w:tcW w:w="280" w:type="dxa"/>
            <w:vAlign w:val="bottom"/>
          </w:tcPr>
          <w:p>
            <w:pPr>
              <w:spacing w:after="0"/>
              <w:rPr>
                <w:sz w:val="19"/>
                <w:szCs w:val="19"/>
                <w:color w:val="auto"/>
              </w:rPr>
            </w:pPr>
          </w:p>
        </w:tc>
        <w:tc>
          <w:tcPr>
            <w:tcW w:w="308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060" w:type="dxa"/>
            <w:vAlign w:val="bottom"/>
            <w:gridSpan w:val="2"/>
            <w:vMerge w:val="continue"/>
          </w:tcPr>
          <w:p>
            <w:pPr>
              <w:spacing w:after="0"/>
              <w:rPr>
                <w:sz w:val="17"/>
                <w:szCs w:val="17"/>
                <w:color w:val="auto"/>
              </w:rPr>
            </w:pPr>
          </w:p>
        </w:tc>
        <w:tc>
          <w:tcPr>
            <w:tcW w:w="2380" w:type="dxa"/>
            <w:vAlign w:val="bottom"/>
            <w:gridSpan w:val="2"/>
            <w:vMerge w:val="continue"/>
          </w:tcPr>
          <w:p>
            <w:pPr>
              <w:spacing w:after="0"/>
              <w:rPr>
                <w:sz w:val="17"/>
                <w:szCs w:val="17"/>
                <w:color w:val="auto"/>
              </w:rPr>
            </w:pPr>
          </w:p>
        </w:tc>
        <w:tc>
          <w:tcPr>
            <w:tcW w:w="23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6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38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91"/>
              </w:rPr>
              <w:t>3.00% over one month Libor</w:t>
            </w:r>
          </w:p>
        </w:tc>
        <w:tc>
          <w:tcPr>
            <w:tcW w:w="2340" w:type="dxa"/>
            <w:vAlign w:val="bottom"/>
            <w:gridSpan w:val="2"/>
            <w:vMerge w:val="restart"/>
            <w:shd w:val="clear" w:color="auto" w:fill="EEEEEE"/>
          </w:tcPr>
          <w:p>
            <w:pPr>
              <w:jc w:val="center"/>
              <w:ind w:right="120"/>
              <w:spacing w:after="0"/>
              <w:rPr>
                <w:sz w:val="20"/>
                <w:szCs w:val="20"/>
                <w:color w:val="auto"/>
              </w:rPr>
            </w:pPr>
            <w:r>
              <w:rPr>
                <w:rFonts w:ascii="Arial" w:cs="Arial" w:eastAsia="Arial" w:hAnsi="Arial"/>
                <w:sz w:val="18"/>
                <w:szCs w:val="18"/>
                <w:color w:val="auto"/>
                <w:w w:val="90"/>
              </w:rPr>
              <w:t>July 2024</w:t>
            </w:r>
          </w:p>
        </w:tc>
        <w:tc>
          <w:tcPr>
            <w:tcW w:w="280" w:type="dxa"/>
            <w:vAlign w:val="bottom"/>
            <w:vMerge w:val="restart"/>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gridSpan w:val="2"/>
            <w:vMerge w:val="restart"/>
            <w:shd w:val="clear" w:color="auto" w:fill="EEEEEE"/>
          </w:tcPr>
          <w:p>
            <w:pPr>
              <w:jc w:val="right"/>
              <w:ind w:right="200"/>
              <w:spacing w:after="0"/>
              <w:rPr>
                <w:sz w:val="20"/>
                <w:szCs w:val="20"/>
                <w:color w:val="auto"/>
              </w:rPr>
            </w:pPr>
            <w:r>
              <w:rPr>
                <w:rFonts w:ascii="Arial" w:cs="Arial" w:eastAsia="Arial" w:hAnsi="Arial"/>
                <w:sz w:val="18"/>
                <w:szCs w:val="18"/>
                <w:color w:val="auto"/>
              </w:rPr>
              <w:t>99,866</w:t>
            </w:r>
          </w:p>
        </w:tc>
        <w:tc>
          <w:tcPr>
            <w:tcW w:w="180" w:type="dxa"/>
            <w:vAlign w:val="bottom"/>
            <w:vMerge w:val="restart"/>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70,590</w:t>
            </w:r>
          </w:p>
        </w:tc>
        <w:tc>
          <w:tcPr>
            <w:tcW w:w="0" w:type="dxa"/>
            <w:vAlign w:val="bottom"/>
          </w:tcPr>
          <w:p>
            <w:pPr>
              <w:spacing w:after="0"/>
              <w:rPr>
                <w:sz w:val="1"/>
                <w:szCs w:val="1"/>
                <w:color w:val="auto"/>
              </w:rPr>
            </w:pPr>
          </w:p>
        </w:tc>
      </w:tr>
      <w:tr>
        <w:trPr>
          <w:trHeight w:val="122"/>
        </w:trPr>
        <w:tc>
          <w:tcPr>
            <w:tcW w:w="3060" w:type="dxa"/>
            <w:vAlign w:val="bottom"/>
            <w:gridSpan w:val="2"/>
            <w:vMerge w:val="continue"/>
            <w:shd w:val="clear" w:color="auto" w:fill="EEEEEE"/>
          </w:tcPr>
          <w:p>
            <w:pPr>
              <w:spacing w:after="0"/>
              <w:rPr>
                <w:sz w:val="10"/>
                <w:szCs w:val="10"/>
                <w:color w:val="auto"/>
              </w:rPr>
            </w:pPr>
          </w:p>
        </w:tc>
        <w:tc>
          <w:tcPr>
            <w:tcW w:w="2380" w:type="dxa"/>
            <w:vAlign w:val="bottom"/>
            <w:gridSpan w:val="2"/>
            <w:vMerge w:val="restart"/>
            <w:shd w:val="clear" w:color="auto" w:fill="EEEEEE"/>
          </w:tcPr>
          <w:p>
            <w:pPr>
              <w:jc w:val="center"/>
              <w:ind w:right="120"/>
              <w:spacing w:after="0"/>
              <w:rPr>
                <w:sz w:val="20"/>
                <w:szCs w:val="20"/>
                <w:color w:val="auto"/>
              </w:rPr>
            </w:pPr>
            <w:r>
              <w:rPr>
                <w:rFonts w:ascii="Arial" w:cs="Arial" w:eastAsia="Arial" w:hAnsi="Arial"/>
                <w:sz w:val="18"/>
                <w:szCs w:val="18"/>
                <w:color w:val="auto"/>
                <w:w w:val="94"/>
              </w:rPr>
              <w:t>(Minimum 3.75%)</w:t>
            </w:r>
          </w:p>
        </w:tc>
        <w:tc>
          <w:tcPr>
            <w:tcW w:w="2340" w:type="dxa"/>
            <w:vAlign w:val="bottom"/>
            <w:gridSpan w:val="2"/>
            <w:vMerge w:val="continue"/>
            <w:shd w:val="clear" w:color="auto" w:fill="EEEEEE"/>
          </w:tcPr>
          <w:p>
            <w:pPr>
              <w:spacing w:after="0"/>
              <w:rPr>
                <w:sz w:val="10"/>
                <w:szCs w:val="10"/>
                <w:color w:val="auto"/>
              </w:rPr>
            </w:pPr>
          </w:p>
        </w:tc>
        <w:tc>
          <w:tcPr>
            <w:tcW w:w="280" w:type="dxa"/>
            <w:vAlign w:val="bottom"/>
            <w:vMerge w:val="continue"/>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180" w:type="dxa"/>
            <w:vAlign w:val="bottom"/>
            <w:vMerge w:val="continue"/>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380" w:type="dxa"/>
            <w:vAlign w:val="bottom"/>
            <w:gridSpan w:val="2"/>
            <w:vMerge w:val="continue"/>
            <w:shd w:val="clear" w:color="auto" w:fill="EEEEEE"/>
          </w:tcPr>
          <w:p>
            <w:pPr>
              <w:spacing w:after="0"/>
              <w:rPr>
                <w:sz w:val="9"/>
                <w:szCs w:val="9"/>
                <w:color w:val="auto"/>
              </w:rPr>
            </w:pPr>
          </w:p>
        </w:tc>
        <w:tc>
          <w:tcPr>
            <w:tcW w:w="22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4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38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1"/>
              </w:rPr>
              <w:t>4.15% over a commercial</w:t>
            </w:r>
          </w:p>
        </w:tc>
        <w:tc>
          <w:tcPr>
            <w:tcW w:w="2340" w:type="dxa"/>
            <w:vAlign w:val="bottom"/>
            <w:gridSpan w:val="2"/>
            <w:vMerge w:val="restart"/>
            <w:shd w:val="clear" w:color="auto" w:fill="EEEEEE"/>
          </w:tcPr>
          <w:p>
            <w:pPr>
              <w:jc w:val="center"/>
              <w:ind w:right="100"/>
              <w:spacing w:after="0"/>
              <w:rPr>
                <w:sz w:val="20"/>
                <w:szCs w:val="20"/>
                <w:color w:val="auto"/>
              </w:rPr>
            </w:pPr>
            <w:r>
              <w:rPr>
                <w:rFonts w:ascii="Arial" w:cs="Arial" w:eastAsia="Arial" w:hAnsi="Arial"/>
                <w:sz w:val="18"/>
                <w:szCs w:val="18"/>
                <w:color w:val="auto"/>
                <w:w w:val="87"/>
              </w:rPr>
              <w:t>January 2024</w:t>
            </w:r>
          </w:p>
        </w:tc>
        <w:tc>
          <w:tcPr>
            <w:tcW w:w="280" w:type="dxa"/>
            <w:vAlign w:val="bottom"/>
            <w:shd w:val="clear" w:color="auto" w:fill="EEEEEE"/>
          </w:tcPr>
          <w:p>
            <w:pPr>
              <w:spacing w:after="0"/>
              <w:rPr>
                <w:sz w:val="17"/>
                <w:szCs w:val="17"/>
                <w:color w:val="auto"/>
              </w:rPr>
            </w:pPr>
          </w:p>
        </w:tc>
        <w:tc>
          <w:tcPr>
            <w:tcW w:w="1500" w:type="dxa"/>
            <w:vAlign w:val="bottom"/>
            <w:gridSpan w:val="2"/>
            <w:vMerge w:val="restart"/>
            <w:shd w:val="clear" w:color="auto" w:fill="EEEEEE"/>
          </w:tcPr>
          <w:p>
            <w:pPr>
              <w:jc w:val="right"/>
              <w:ind w:right="200"/>
              <w:spacing w:after="0"/>
              <w:rPr>
                <w:sz w:val="20"/>
                <w:szCs w:val="20"/>
                <w:color w:val="auto"/>
              </w:rPr>
            </w:pPr>
            <w:r>
              <w:rPr>
                <w:rFonts w:ascii="Arial" w:cs="Arial" w:eastAsia="Arial" w:hAnsi="Arial"/>
                <w:sz w:val="18"/>
                <w:szCs w:val="18"/>
                <w:color w:val="auto"/>
              </w:rPr>
              <w:t>130,750</w:t>
            </w:r>
          </w:p>
        </w:tc>
        <w:tc>
          <w:tcPr>
            <w:tcW w:w="180" w:type="dxa"/>
            <w:vAlign w:val="bottom"/>
            <w:shd w:val="clear" w:color="auto" w:fill="EEEEEE"/>
          </w:tcPr>
          <w:p>
            <w:pPr>
              <w:spacing w:after="0"/>
              <w:rPr>
                <w:sz w:val="17"/>
                <w:szCs w:val="17"/>
                <w:color w:val="auto"/>
              </w:rPr>
            </w:pPr>
          </w:p>
        </w:tc>
        <w:tc>
          <w:tcPr>
            <w:tcW w:w="15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35,420</w:t>
            </w:r>
          </w:p>
        </w:tc>
        <w:tc>
          <w:tcPr>
            <w:tcW w:w="0" w:type="dxa"/>
            <w:vAlign w:val="bottom"/>
          </w:tcPr>
          <w:p>
            <w:pPr>
              <w:spacing w:after="0"/>
              <w:rPr>
                <w:sz w:val="1"/>
                <w:szCs w:val="1"/>
                <w:color w:val="auto"/>
              </w:rPr>
            </w:pPr>
          </w:p>
        </w:tc>
      </w:tr>
      <w:tr>
        <w:trPr>
          <w:trHeight w:val="122"/>
        </w:trPr>
        <w:tc>
          <w:tcPr>
            <w:tcW w:w="29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2380" w:type="dxa"/>
            <w:vAlign w:val="bottom"/>
            <w:gridSpan w:val="2"/>
            <w:vMerge w:val="restart"/>
            <w:shd w:val="clear" w:color="auto" w:fill="EEEEEE"/>
          </w:tcPr>
          <w:p>
            <w:pPr>
              <w:jc w:val="center"/>
              <w:ind w:right="120"/>
              <w:spacing w:after="0"/>
              <w:rPr>
                <w:sz w:val="20"/>
                <w:szCs w:val="20"/>
                <w:color w:val="auto"/>
              </w:rPr>
            </w:pPr>
            <w:r>
              <w:rPr>
                <w:rFonts w:ascii="Arial" w:cs="Arial" w:eastAsia="Arial" w:hAnsi="Arial"/>
                <w:sz w:val="18"/>
                <w:szCs w:val="18"/>
                <w:color w:val="auto"/>
                <w:w w:val="92"/>
              </w:rPr>
              <w:t>paper rate (Minimum 5.15%)</w:t>
            </w:r>
          </w:p>
        </w:tc>
        <w:tc>
          <w:tcPr>
            <w:tcW w:w="2340" w:type="dxa"/>
            <w:vAlign w:val="bottom"/>
            <w:gridSpan w:val="2"/>
            <w:vMerge w:val="continue"/>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9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2380" w:type="dxa"/>
            <w:vAlign w:val="bottom"/>
            <w:gridSpan w:val="2"/>
            <w:vMerge w:val="continue"/>
            <w:shd w:val="clear" w:color="auto" w:fill="EEEEEE"/>
          </w:tcPr>
          <w:p>
            <w:pPr>
              <w:spacing w:after="0"/>
              <w:rPr>
                <w:sz w:val="9"/>
                <w:szCs w:val="9"/>
                <w:color w:val="auto"/>
              </w:rPr>
            </w:pPr>
          </w:p>
        </w:tc>
        <w:tc>
          <w:tcPr>
            <w:tcW w:w="22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80" w:type="dxa"/>
            <w:vAlign w:val="bottom"/>
            <w:shd w:val="clear" w:color="auto" w:fill="EEEEEE"/>
          </w:tcPr>
          <w:p>
            <w:pPr>
              <w:spacing w:after="0"/>
              <w:rPr>
                <w:sz w:val="9"/>
                <w:szCs w:val="9"/>
                <w:color w:val="auto"/>
              </w:rPr>
            </w:pPr>
          </w:p>
        </w:tc>
        <w:tc>
          <w:tcPr>
            <w:tcW w:w="12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40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8.60%</w:t>
            </w:r>
          </w:p>
        </w:tc>
        <w:tc>
          <w:tcPr>
            <w:tcW w:w="120" w:type="dxa"/>
            <w:vAlign w:val="bottom"/>
            <w:shd w:val="clear" w:color="auto" w:fill="EEEEEE"/>
          </w:tcPr>
          <w:p>
            <w:pPr>
              <w:spacing w:after="0"/>
              <w:rPr>
                <w:sz w:val="18"/>
                <w:szCs w:val="18"/>
                <w:color w:val="auto"/>
              </w:rPr>
            </w:pPr>
          </w:p>
        </w:tc>
        <w:tc>
          <w:tcPr>
            <w:tcW w:w="234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7"/>
              </w:rPr>
              <w:t>January 2026</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4,311</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2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7.86%</w:t>
            </w:r>
          </w:p>
        </w:tc>
        <w:tc>
          <w:tcPr>
            <w:tcW w:w="120" w:type="dxa"/>
            <w:vAlign w:val="bottom"/>
            <w:shd w:val="clear" w:color="auto" w:fill="EEEEEE"/>
          </w:tcPr>
          <w:p>
            <w:pPr>
              <w:spacing w:after="0"/>
              <w:rPr>
                <w:sz w:val="18"/>
                <w:szCs w:val="18"/>
                <w:color w:val="auto"/>
              </w:rPr>
            </w:pPr>
          </w:p>
        </w:tc>
        <w:tc>
          <w:tcPr>
            <w:tcW w:w="234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7"/>
              </w:rPr>
              <w:t>June 2026</w:t>
            </w:r>
          </w:p>
        </w:tc>
        <w:tc>
          <w:tcPr>
            <w:tcW w:w="2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380" w:type="dxa"/>
            <w:vAlign w:val="bottom"/>
            <w:gridSpan w:val="2"/>
            <w:shd w:val="clear" w:color="auto" w:fill="EEEEEE"/>
          </w:tcPr>
          <w:p>
            <w:pPr>
              <w:jc w:val="center"/>
              <w:ind w:right="140"/>
              <w:spacing w:after="0" w:line="201" w:lineRule="exact"/>
              <w:rPr>
                <w:sz w:val="20"/>
                <w:szCs w:val="20"/>
                <w:color w:val="auto"/>
              </w:rPr>
            </w:pPr>
            <w:r>
              <w:rPr>
                <w:rFonts w:ascii="Arial" w:cs="Arial" w:eastAsia="Arial" w:hAnsi="Arial"/>
                <w:sz w:val="18"/>
                <w:szCs w:val="18"/>
                <w:color w:val="auto"/>
                <w:w w:val="89"/>
              </w:rPr>
              <w:t>Weighted average rate of</w:t>
            </w:r>
          </w:p>
        </w:tc>
        <w:tc>
          <w:tcPr>
            <w:tcW w:w="2340" w:type="dxa"/>
            <w:vAlign w:val="bottom"/>
            <w:gridSpan w:val="2"/>
            <w:shd w:val="clear" w:color="auto" w:fill="EEEEEE"/>
          </w:tcPr>
          <w:p>
            <w:pPr>
              <w:jc w:val="center"/>
              <w:ind w:right="120"/>
              <w:spacing w:after="0" w:line="201" w:lineRule="exact"/>
              <w:rPr>
                <w:sz w:val="20"/>
                <w:szCs w:val="20"/>
                <w:color w:val="auto"/>
              </w:rPr>
            </w:pPr>
            <w:r>
              <w:rPr>
                <w:rFonts w:ascii="Arial" w:cs="Arial" w:eastAsia="Arial" w:hAnsi="Arial"/>
                <w:sz w:val="18"/>
                <w:szCs w:val="18"/>
                <w:color w:val="auto"/>
                <w:w w:val="91"/>
              </w:rPr>
              <w:t>Weighted average maturity of</w:t>
            </w:r>
          </w:p>
        </w:tc>
        <w:tc>
          <w:tcPr>
            <w:tcW w:w="28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2"/>
            <w:vMerge w:val="restart"/>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3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8"/>
              </w:rPr>
              <w:t>7.97% and 8.93% at June 30,</w:t>
            </w:r>
          </w:p>
        </w:tc>
        <w:tc>
          <w:tcPr>
            <w:tcW w:w="234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87"/>
              </w:rPr>
              <w:t>June 2024 and January 2024 at</w:t>
            </w:r>
          </w:p>
        </w:tc>
        <w:tc>
          <w:tcPr>
            <w:tcW w:w="280" w:type="dxa"/>
            <w:vAlign w:val="bottom"/>
            <w:shd w:val="clear" w:color="auto" w:fill="EEEEEE"/>
          </w:tcPr>
          <w:p>
            <w:pPr>
              <w:spacing w:after="0"/>
              <w:rPr>
                <w:sz w:val="18"/>
                <w:szCs w:val="18"/>
                <w:color w:val="auto"/>
              </w:rPr>
            </w:pPr>
          </w:p>
        </w:tc>
        <w:tc>
          <w:tcPr>
            <w:tcW w:w="1500" w:type="dxa"/>
            <w:vAlign w:val="bottom"/>
            <w:gridSpan w:val="2"/>
            <w:vMerge w:val="restart"/>
            <w:shd w:val="clear" w:color="auto" w:fill="EEEEEE"/>
          </w:tcPr>
          <w:p>
            <w:pPr>
              <w:jc w:val="right"/>
              <w:ind w:right="200"/>
              <w:spacing w:after="0"/>
              <w:rPr>
                <w:sz w:val="20"/>
                <w:szCs w:val="20"/>
                <w:color w:val="auto"/>
              </w:rPr>
            </w:pPr>
            <w:r>
              <w:rPr>
                <w:rFonts w:ascii="Arial" w:cs="Arial" w:eastAsia="Arial" w:hAnsi="Arial"/>
                <w:sz w:val="18"/>
                <w:szCs w:val="18"/>
                <w:color w:val="auto"/>
              </w:rPr>
              <w:t>27,208</w:t>
            </w:r>
          </w:p>
        </w:tc>
        <w:tc>
          <w:tcPr>
            <w:tcW w:w="180" w:type="dxa"/>
            <w:vAlign w:val="bottom"/>
            <w:shd w:val="clear" w:color="auto" w:fill="EEEEEE"/>
          </w:tcPr>
          <w:p>
            <w:pPr>
              <w:spacing w:after="0"/>
              <w:rPr>
                <w:sz w:val="18"/>
                <w:szCs w:val="18"/>
                <w:color w:val="auto"/>
              </w:rPr>
            </w:pPr>
          </w:p>
        </w:tc>
        <w:tc>
          <w:tcPr>
            <w:tcW w:w="1500" w:type="dxa"/>
            <w:vAlign w:val="bottom"/>
            <w:gridSpan w:val="2"/>
            <w:vMerge w:val="restart"/>
            <w:shd w:val="clear" w:color="auto" w:fill="EEEEEE"/>
          </w:tcPr>
          <w:p>
            <w:pPr>
              <w:jc w:val="right"/>
              <w:ind w:right="100"/>
              <w:spacing w:after="0"/>
              <w:rPr>
                <w:sz w:val="20"/>
                <w:szCs w:val="20"/>
                <w:color w:val="auto"/>
              </w:rPr>
            </w:pPr>
            <w:r>
              <w:rPr>
                <w:rFonts w:ascii="Arial" w:cs="Arial" w:eastAsia="Arial" w:hAnsi="Arial"/>
                <w:sz w:val="18"/>
                <w:szCs w:val="18"/>
                <w:color w:val="auto"/>
              </w:rPr>
              <w:t>26,459</w:t>
            </w:r>
          </w:p>
        </w:tc>
        <w:tc>
          <w:tcPr>
            <w:tcW w:w="0" w:type="dxa"/>
            <w:vAlign w:val="bottom"/>
          </w:tcPr>
          <w:p>
            <w:pPr>
              <w:spacing w:after="0"/>
              <w:rPr>
                <w:sz w:val="1"/>
                <w:szCs w:val="1"/>
                <w:color w:val="auto"/>
              </w:rPr>
            </w:pPr>
          </w:p>
        </w:tc>
      </w:tr>
      <w:tr>
        <w:trPr>
          <w:trHeight w:val="122"/>
        </w:trPr>
        <w:tc>
          <w:tcPr>
            <w:tcW w:w="3060" w:type="dxa"/>
            <w:vAlign w:val="bottom"/>
            <w:gridSpan w:val="2"/>
            <w:vMerge w:val="continue"/>
            <w:shd w:val="clear" w:color="auto" w:fill="EEEEEE"/>
          </w:tcPr>
          <w:p>
            <w:pPr>
              <w:spacing w:after="0"/>
              <w:rPr>
                <w:sz w:val="10"/>
                <w:szCs w:val="10"/>
                <w:color w:val="auto"/>
              </w:rPr>
            </w:pPr>
          </w:p>
        </w:tc>
        <w:tc>
          <w:tcPr>
            <w:tcW w:w="2380" w:type="dxa"/>
            <w:vAlign w:val="bottom"/>
            <w:gridSpan w:val="2"/>
            <w:vMerge w:val="restart"/>
            <w:shd w:val="clear" w:color="auto" w:fill="EEEEEE"/>
          </w:tcPr>
          <w:p>
            <w:pPr>
              <w:jc w:val="center"/>
              <w:ind w:right="120"/>
              <w:spacing w:after="0"/>
              <w:rPr>
                <w:sz w:val="20"/>
                <w:szCs w:val="20"/>
                <w:color w:val="auto"/>
              </w:rPr>
            </w:pPr>
            <w:r>
              <w:rPr>
                <w:rFonts w:ascii="Arial" w:cs="Arial" w:eastAsia="Arial" w:hAnsi="Arial"/>
                <w:sz w:val="18"/>
                <w:szCs w:val="18"/>
                <w:color w:val="auto"/>
                <w:w w:val="89"/>
              </w:rPr>
              <w:t>2022 and December 31, 2021,</w:t>
            </w:r>
          </w:p>
        </w:tc>
        <w:tc>
          <w:tcPr>
            <w:tcW w:w="2340" w:type="dxa"/>
            <w:vAlign w:val="bottom"/>
            <w:gridSpan w:val="2"/>
            <w:vMerge w:val="restart"/>
            <w:shd w:val="clear" w:color="auto" w:fill="EEEEEE"/>
          </w:tcPr>
          <w:p>
            <w:pPr>
              <w:jc w:val="center"/>
              <w:ind w:right="120"/>
              <w:spacing w:after="0"/>
              <w:rPr>
                <w:sz w:val="20"/>
                <w:szCs w:val="20"/>
                <w:color w:val="auto"/>
              </w:rPr>
            </w:pPr>
            <w:r>
              <w:rPr>
                <w:rFonts w:ascii="Arial" w:cs="Arial" w:eastAsia="Arial" w:hAnsi="Arial"/>
                <w:sz w:val="18"/>
                <w:szCs w:val="18"/>
                <w:color w:val="auto"/>
                <w:w w:val="88"/>
              </w:rPr>
              <w:t>June 30, 2022 and December</w:t>
            </w:r>
          </w:p>
        </w:tc>
        <w:tc>
          <w:tcPr>
            <w:tcW w:w="280" w:type="dxa"/>
            <w:vAlign w:val="bottom"/>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500" w:type="dxa"/>
            <w:vAlign w:val="bottom"/>
            <w:gridSpan w:val="2"/>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940" w:type="dxa"/>
            <w:vAlign w:val="bottom"/>
            <w:shd w:val="clear" w:color="auto" w:fill="EEEEEE"/>
          </w:tcPr>
          <w:p>
            <w:pPr>
              <w:spacing w:after="0"/>
              <w:rPr>
                <w:sz w:val="8"/>
                <w:szCs w:val="8"/>
                <w:color w:val="auto"/>
              </w:rPr>
            </w:pPr>
          </w:p>
        </w:tc>
        <w:tc>
          <w:tcPr>
            <w:tcW w:w="120" w:type="dxa"/>
            <w:vAlign w:val="bottom"/>
            <w:shd w:val="clear" w:color="auto" w:fill="EEEEEE"/>
          </w:tcPr>
          <w:p>
            <w:pPr>
              <w:spacing w:after="0"/>
              <w:rPr>
                <w:sz w:val="8"/>
                <w:szCs w:val="8"/>
                <w:color w:val="auto"/>
              </w:rPr>
            </w:pPr>
          </w:p>
        </w:tc>
        <w:tc>
          <w:tcPr>
            <w:tcW w:w="2380" w:type="dxa"/>
            <w:vAlign w:val="bottom"/>
            <w:gridSpan w:val="2"/>
            <w:vMerge w:val="continue"/>
            <w:shd w:val="clear" w:color="auto" w:fill="EEEEEE"/>
          </w:tcPr>
          <w:p>
            <w:pPr>
              <w:spacing w:after="0"/>
              <w:rPr>
                <w:sz w:val="8"/>
                <w:szCs w:val="8"/>
                <w:color w:val="auto"/>
              </w:rPr>
            </w:pPr>
          </w:p>
        </w:tc>
        <w:tc>
          <w:tcPr>
            <w:tcW w:w="2340" w:type="dxa"/>
            <w:vAlign w:val="bottom"/>
            <w:gridSpan w:val="2"/>
            <w:vMerge w:val="continue"/>
            <w:shd w:val="clear" w:color="auto" w:fill="EEEEEE"/>
          </w:tcPr>
          <w:p>
            <w:pPr>
              <w:spacing w:after="0"/>
              <w:rPr>
                <w:sz w:val="8"/>
                <w:szCs w:val="8"/>
                <w:color w:val="auto"/>
              </w:rPr>
            </w:pPr>
          </w:p>
        </w:tc>
        <w:tc>
          <w:tcPr>
            <w:tcW w:w="280" w:type="dxa"/>
            <w:vAlign w:val="bottom"/>
            <w:shd w:val="clear" w:color="auto" w:fill="EEEEEE"/>
          </w:tcPr>
          <w:p>
            <w:pPr>
              <w:spacing w:after="0"/>
              <w:rPr>
                <w:sz w:val="8"/>
                <w:szCs w:val="8"/>
                <w:color w:val="auto"/>
              </w:rPr>
            </w:pPr>
          </w:p>
        </w:tc>
        <w:tc>
          <w:tcPr>
            <w:tcW w:w="1280" w:type="dxa"/>
            <w:vAlign w:val="bottom"/>
            <w:shd w:val="clear" w:color="auto" w:fill="EEEEEE"/>
          </w:tcPr>
          <w:p>
            <w:pPr>
              <w:spacing w:after="0"/>
              <w:rPr>
                <w:sz w:val="8"/>
                <w:szCs w:val="8"/>
                <w:color w:val="auto"/>
              </w:rPr>
            </w:pPr>
          </w:p>
        </w:tc>
        <w:tc>
          <w:tcPr>
            <w:tcW w:w="220" w:type="dxa"/>
            <w:vAlign w:val="bottom"/>
            <w:shd w:val="clear" w:color="auto" w:fill="EEEEEE"/>
          </w:tcPr>
          <w:p>
            <w:pPr>
              <w:spacing w:after="0"/>
              <w:rPr>
                <w:sz w:val="8"/>
                <w:szCs w:val="8"/>
                <w:color w:val="auto"/>
              </w:rPr>
            </w:pPr>
          </w:p>
        </w:tc>
        <w:tc>
          <w:tcPr>
            <w:tcW w:w="180" w:type="dxa"/>
            <w:vAlign w:val="bottom"/>
            <w:shd w:val="clear" w:color="auto" w:fill="EEEEEE"/>
          </w:tcPr>
          <w:p>
            <w:pPr>
              <w:spacing w:after="0"/>
              <w:rPr>
                <w:sz w:val="8"/>
                <w:szCs w:val="8"/>
                <w:color w:val="auto"/>
              </w:rPr>
            </w:pPr>
          </w:p>
        </w:tc>
        <w:tc>
          <w:tcPr>
            <w:tcW w:w="1400" w:type="dxa"/>
            <w:vAlign w:val="bottom"/>
            <w:shd w:val="clear" w:color="auto" w:fill="EEEEEE"/>
          </w:tcPr>
          <w:p>
            <w:pPr>
              <w:spacing w:after="0"/>
              <w:rPr>
                <w:sz w:val="8"/>
                <w:szCs w:val="8"/>
                <w:color w:val="auto"/>
              </w:rPr>
            </w:pPr>
          </w:p>
        </w:tc>
        <w:tc>
          <w:tcPr>
            <w:tcW w:w="100" w:type="dxa"/>
            <w:vAlign w:val="bottom"/>
            <w:shd w:val="clear" w:color="auto" w:fill="EEEEE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9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380" w:type="dxa"/>
            <w:vAlign w:val="bottom"/>
            <w:gridSpan w:val="2"/>
            <w:shd w:val="clear" w:color="auto" w:fill="EEEEEE"/>
          </w:tcPr>
          <w:p>
            <w:pPr>
              <w:jc w:val="center"/>
              <w:ind w:right="120"/>
              <w:spacing w:after="0"/>
              <w:rPr>
                <w:sz w:val="20"/>
                <w:szCs w:val="20"/>
                <w:color w:val="auto"/>
              </w:rPr>
            </w:pPr>
            <w:r>
              <w:rPr>
                <w:rFonts w:ascii="Arial" w:cs="Arial" w:eastAsia="Arial" w:hAnsi="Arial"/>
                <w:sz w:val="18"/>
                <w:szCs w:val="18"/>
                <w:color w:val="auto"/>
                <w:w w:val="90"/>
              </w:rPr>
              <w:t>respectively</w:t>
            </w:r>
          </w:p>
        </w:tc>
        <w:tc>
          <w:tcPr>
            <w:tcW w:w="234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1"/>
              </w:rPr>
              <w:t>31, 2021, respectively</w:t>
            </w:r>
          </w:p>
        </w:tc>
        <w:tc>
          <w:tcPr>
            <w:tcW w:w="28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4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4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260" w:type="dxa"/>
            <w:vAlign w:val="bottom"/>
            <w:tcBorders>
              <w:bottom w:val="single" w:sz="8" w:color="EEEEEE"/>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2240" w:type="dxa"/>
            <w:vAlign w:val="bottom"/>
            <w:tcBorders>
              <w:bottom w:val="single" w:sz="8" w:color="EEEEEE"/>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4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226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22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307,824</w:t>
            </w:r>
          </w:p>
        </w:tc>
        <w:tc>
          <w:tcPr>
            <w:tcW w:w="2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186,780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 2022, we renewed our two-year revolving credit agreement with Ares Agent Services, L.P. There was $130.8 million outstanding under this facility at June 30, 2022. On June 28, 2022, we increased the capacity of its credit agreement with Ares Agent Services, L.P. from $100 million to $200 million. The revolving period for this facility was extended to January 2024 followed by an amortization period through January 2028 for any receivables pledged at the end of the revolving period.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Unamortized debt issuance costs of $503,000 and $629,000 as of June 30, 2022 and December 31, 2021, respectively, have been excluded from the amount reported above for residual interest financing. Similarly, unamortized debt issuance costs of $1.7 million and $400,000 as of June 30, 2022 and December 31, 2021, respectively, have been excluded from the Warehouse lines of credit amounts in the table above. These debt issuance costs are presented as a direct deduction to the carrying amount of the debt on our Unaudited Condensed Consolidated Balance Sheets.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 xml:space="preserve">(5) </w:t>
            </w:r>
            <w:r>
              <w:rPr>
                <w:rFonts w:ascii="Arial" w:cs="Arial" w:eastAsia="Arial" w:hAnsi="Arial"/>
                <w:sz w:val="18"/>
                <w:szCs w:val="18"/>
                <w:b w:val="1"/>
                <w:bCs w:val="1"/>
                <w:i w:val="1"/>
                <w:iCs w:val="1"/>
                <w:color w:val="auto"/>
              </w:rPr>
              <w:t>Interest Income and Interest Expense</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tcPr>
          <w:p>
            <w:pPr>
              <w:spacing w:after="0"/>
              <w:rPr>
                <w:sz w:val="20"/>
                <w:szCs w:val="20"/>
                <w:color w:val="auto"/>
              </w:rPr>
            </w:pPr>
            <w:r>
              <w:rPr>
                <w:rFonts w:ascii="Arial" w:cs="Arial" w:eastAsia="Arial" w:hAnsi="Arial"/>
                <w:sz w:val="18"/>
                <w:szCs w:val="18"/>
                <w:color w:val="auto"/>
                <w:w w:val="99"/>
              </w:rPr>
              <w:t>The following table presents the components of interest income:</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080" w:type="dxa"/>
            <w:vAlign w:val="bottom"/>
          </w:tcPr>
          <w:p>
            <w:pPr>
              <w:spacing w:after="0"/>
              <w:rPr>
                <w:sz w:val="24"/>
                <w:szCs w:val="24"/>
                <w:color w:val="auto"/>
              </w:rPr>
            </w:pPr>
          </w:p>
        </w:tc>
        <w:tc>
          <w:tcPr>
            <w:tcW w:w="3160" w:type="dxa"/>
            <w:vAlign w:val="bottom"/>
            <w:gridSpan w:val="7"/>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4"/>
                <w:szCs w:val="24"/>
                <w:color w:val="auto"/>
              </w:rPr>
            </w:pPr>
          </w:p>
        </w:tc>
        <w:tc>
          <w:tcPr>
            <w:tcW w:w="2700" w:type="dxa"/>
            <w:vAlign w:val="bottom"/>
            <w:gridSpan w:val="6"/>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Interest on finance receivables</w:t>
            </w:r>
          </w:p>
        </w:tc>
        <w:tc>
          <w:tcPr>
            <w:tcW w:w="86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9,832</w:t>
            </w:r>
          </w:p>
        </w:tc>
        <w:tc>
          <w:tcPr>
            <w:tcW w:w="58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18,491</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21,146</w:t>
            </w:r>
          </w:p>
        </w:tc>
        <w:tc>
          <w:tcPr>
            <w:tcW w:w="580" w:type="dxa"/>
            <w:vAlign w:val="bottom"/>
            <w:gridSpan w:val="2"/>
            <w:shd w:val="clear" w:color="auto" w:fill="EEEEEE"/>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40,590</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Interest on finance receivables at fair value</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65,730</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46,943</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124,470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90,931</w:t>
            </w:r>
          </w:p>
        </w:tc>
        <w:tc>
          <w:tcPr>
            <w:tcW w:w="0" w:type="dxa"/>
            <w:vAlign w:val="bottom"/>
          </w:tcPr>
          <w:p>
            <w:pPr>
              <w:spacing w:after="0"/>
              <w:rPr>
                <w:sz w:val="1"/>
                <w:szCs w:val="1"/>
                <w:color w:val="auto"/>
              </w:rPr>
            </w:pPr>
          </w:p>
        </w:tc>
      </w:tr>
      <w:tr>
        <w:trPr>
          <w:trHeight w:val="230"/>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Other interest income</w:t>
            </w:r>
          </w:p>
        </w:tc>
        <w:tc>
          <w:tcPr>
            <w:tcW w:w="860" w:type="dxa"/>
            <w:vAlign w:val="bottom"/>
            <w:shd w:val="clear" w:color="auto" w:fill="EEEEEE"/>
          </w:tcPr>
          <w:p>
            <w:pPr>
              <w:spacing w:after="0"/>
              <w:rPr>
                <w:sz w:val="19"/>
                <w:szCs w:val="19"/>
                <w:color w:val="auto"/>
              </w:rPr>
            </w:pPr>
          </w:p>
        </w:tc>
        <w:tc>
          <w:tcPr>
            <w:tcW w:w="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108</w:t>
            </w:r>
          </w:p>
        </w:tc>
        <w:tc>
          <w:tcPr>
            <w:tcW w:w="14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w:t>
            </w:r>
          </w:p>
        </w:tc>
        <w:tc>
          <w:tcPr>
            <w:tcW w:w="3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Interest income</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75,670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65,440</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145,730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w w:val="97"/>
              </w:rPr>
              <w:t>The following table presents the components of interest expense:</w:t>
            </w: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tcPr>
          <w:p>
            <w:pPr>
              <w:spacing w:after="0"/>
              <w:rPr>
                <w:sz w:val="24"/>
                <w:szCs w:val="24"/>
                <w:color w:val="auto"/>
              </w:rPr>
            </w:pPr>
          </w:p>
        </w:tc>
        <w:tc>
          <w:tcPr>
            <w:tcW w:w="3160" w:type="dxa"/>
            <w:vAlign w:val="bottom"/>
            <w:gridSpan w:val="7"/>
            <w:vMerge w:val="restart"/>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24"/>
                <w:szCs w:val="24"/>
                <w:color w:val="auto"/>
              </w:rPr>
            </w:pPr>
          </w:p>
        </w:tc>
        <w:tc>
          <w:tcPr>
            <w:tcW w:w="2700" w:type="dxa"/>
            <w:vAlign w:val="bottom"/>
            <w:gridSpan w:val="6"/>
            <w:vMerge w:val="restart"/>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11"/>
        </w:trPr>
        <w:tc>
          <w:tcPr>
            <w:tcW w:w="5080" w:type="dxa"/>
            <w:vAlign w:val="bottom"/>
          </w:tcPr>
          <w:p>
            <w:pPr>
              <w:spacing w:after="0"/>
              <w:rPr>
                <w:sz w:val="18"/>
                <w:szCs w:val="18"/>
                <w:color w:val="auto"/>
              </w:rPr>
            </w:pPr>
          </w:p>
        </w:tc>
        <w:tc>
          <w:tcPr>
            <w:tcW w:w="3160" w:type="dxa"/>
            <w:vAlign w:val="bottom"/>
            <w:gridSpan w:val="7"/>
            <w:vMerge w:val="continue"/>
          </w:tcPr>
          <w:p>
            <w:pPr>
              <w:spacing w:after="0"/>
              <w:rPr>
                <w:sz w:val="18"/>
                <w:szCs w:val="18"/>
                <w:color w:val="auto"/>
              </w:rPr>
            </w:pPr>
          </w:p>
        </w:tc>
        <w:tc>
          <w:tcPr>
            <w:tcW w:w="300" w:type="dxa"/>
            <w:vAlign w:val="bottom"/>
          </w:tcPr>
          <w:p>
            <w:pPr>
              <w:spacing w:after="0"/>
              <w:rPr>
                <w:sz w:val="18"/>
                <w:szCs w:val="18"/>
                <w:color w:val="auto"/>
              </w:rPr>
            </w:pPr>
          </w:p>
        </w:tc>
        <w:tc>
          <w:tcPr>
            <w:tcW w:w="270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860" w:type="dxa"/>
            <w:vAlign w:val="bottom"/>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w w:val="87"/>
              </w:rPr>
              <w:t>15,745</w:t>
            </w:r>
          </w:p>
        </w:tc>
        <w:tc>
          <w:tcPr>
            <w:tcW w:w="58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16,823</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29,273</w:t>
            </w:r>
          </w:p>
        </w:tc>
        <w:tc>
          <w:tcPr>
            <w:tcW w:w="580" w:type="dxa"/>
            <w:vAlign w:val="bottom"/>
            <w:gridSpan w:val="2"/>
            <w:shd w:val="clear" w:color="auto" w:fill="EEEEEE"/>
          </w:tcPr>
          <w:p>
            <w:pPr>
              <w:jc w:val="right"/>
              <w:ind w:right="30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35,276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Warehouse lines of credit</w:t>
            </w:r>
          </w:p>
        </w:tc>
        <w:tc>
          <w:tcPr>
            <w:tcW w:w="86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1,386</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1,021</w:t>
            </w:r>
          </w:p>
        </w:tc>
        <w:tc>
          <w:tcPr>
            <w:tcW w:w="3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2,335</w:t>
            </w:r>
          </w:p>
        </w:tc>
        <w:tc>
          <w:tcPr>
            <w:tcW w:w="0" w:type="dxa"/>
            <w:vAlign w:val="bottom"/>
          </w:tcPr>
          <w:p>
            <w:pPr>
              <w:spacing w:after="0"/>
              <w:rPr>
                <w:sz w:val="1"/>
                <w:szCs w:val="1"/>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86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1,050</w:t>
            </w:r>
          </w:p>
        </w:tc>
        <w:tc>
          <w:tcPr>
            <w:tcW w:w="14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467</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2,144</w:t>
            </w: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86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590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669</w:t>
            </w:r>
          </w:p>
        </w:tc>
        <w:tc>
          <w:tcPr>
            <w:tcW w:w="3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23"/>
        </w:trPr>
        <w:tc>
          <w:tcPr>
            <w:tcW w:w="508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860" w:type="dxa"/>
            <w:vAlign w:val="bottom"/>
            <w:tcBorders>
              <w:top w:val="single" w:sz="8" w:color="auto"/>
              <w:bottom w:val="single" w:sz="8" w:color="auto"/>
            </w:tcBorders>
            <w:shd w:val="clear" w:color="auto" w:fill="EEEEEE"/>
          </w:tcPr>
          <w:p>
            <w:pPr>
              <w:jc w:val="right"/>
              <w:ind w:right="6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18,771</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18,980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35,171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jc w:val="right"/>
              <w:ind w:right="3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39,925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per share for the three-month and six-month periods ended June 30, 2022 and 2021 were calculated using the weighted average number of shares outstanding for the related period. The following table reconciles the number of shares used in the computations of basic and diluted earnings per share for the three-month and six-month periods ended June 30, 2022 and 2021:</w:t>
      </w:r>
    </w:p>
    <w:p>
      <w:pPr>
        <w:sectPr>
          <w:pgSz w:w="11900" w:h="16838" w:orient="portrait"/>
          <w:cols w:equalWidth="0" w:num="1">
            <w:col w:w="11240"/>
          </w:cols>
          <w:pgMar w:left="320" w:top="8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0" w:hanging="179"/>
        <w:spacing w:after="0" w:line="308" w:lineRule="auto"/>
        <w:rPr>
          <w:sz w:val="20"/>
          <w:szCs w:val="20"/>
          <w:color w:val="auto"/>
        </w:rPr>
      </w:pPr>
      <w:r>
        <w:rPr>
          <w:rFonts w:ascii="Arial" w:cs="Arial" w:eastAsia="Arial" w:hAnsi="Arial"/>
          <w:sz w:val="17"/>
          <w:szCs w:val="17"/>
          <w:color w:val="auto"/>
        </w:rPr>
        <w:t>Weighted average number of common shares outstanding during the period used to compute basic earnings per share</w:t>
      </w:r>
    </w:p>
    <w:p>
      <w:pPr>
        <w:spacing w:after="0" w:line="146" w:lineRule="exact"/>
        <w:rPr>
          <w:sz w:val="20"/>
          <w:szCs w:val="20"/>
          <w:color w:val="auto"/>
        </w:rPr>
      </w:pPr>
    </w:p>
    <w:p>
      <w:pPr>
        <w:ind w:left="180" w:right="120" w:hanging="179"/>
        <w:spacing w:after="0" w:line="277" w:lineRule="auto"/>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197" w:lineRule="exact"/>
        <w:rPr>
          <w:sz w:val="20"/>
          <w:szCs w:val="20"/>
          <w:color w:val="auto"/>
        </w:rPr>
      </w:pPr>
    </w:p>
    <w:p>
      <w:pPr>
        <w:ind w:left="180" w:right="440" w:hanging="179"/>
        <w:spacing w:after="0" w:line="277" w:lineRule="auto"/>
        <w:rPr>
          <w:sz w:val="20"/>
          <w:szCs w:val="20"/>
          <w:color w:val="auto"/>
        </w:rPr>
      </w:pPr>
      <w:r>
        <w:rPr>
          <w:rFonts w:ascii="Arial" w:cs="Arial" w:eastAsia="Arial" w:hAnsi="Arial"/>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16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2"/>
              </w:rPr>
              <w:t>Three Months Ended</w:t>
            </w:r>
          </w:p>
        </w:tc>
        <w:tc>
          <w:tcPr>
            <w:tcW w:w="2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060" w:type="dxa"/>
            <w:vAlign w:val="bottom"/>
            <w:tcBorders>
              <w:bottom w:val="single" w:sz="8" w:color="auto"/>
            </w:tcBorders>
            <w:gridSpan w:val="3"/>
          </w:tcPr>
          <w:p>
            <w:pPr>
              <w:jc w:val="center"/>
              <w:ind w:left="8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7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r>
      <w:tr>
        <w:trPr>
          <w:trHeight w:val="223"/>
        </w:trPr>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9"/>
                <w:szCs w:val="19"/>
                <w:color w:val="auto"/>
              </w:rPr>
            </w:pPr>
          </w:p>
        </w:tc>
        <w:tc>
          <w:tcPr>
            <w:tcW w:w="13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r>
      <w:tr>
        <w:trPr>
          <w:trHeight w:val="228"/>
        </w:trPr>
        <w:tc>
          <w:tcPr>
            <w:tcW w:w="2060" w:type="dxa"/>
            <w:vAlign w:val="bottom"/>
            <w:gridSpan w:val="3"/>
          </w:tcPr>
          <w:p>
            <w:pPr>
              <w:jc w:val="center"/>
              <w:ind w:left="810"/>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19"/>
                <w:szCs w:val="19"/>
                <w:color w:val="auto"/>
              </w:rPr>
            </w:pPr>
          </w:p>
        </w:tc>
      </w:tr>
      <w:tr>
        <w:trPr>
          <w:trHeight w:val="414"/>
        </w:trPr>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21,370</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22,842</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21,296</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22,791</w:t>
            </w:r>
          </w:p>
        </w:tc>
      </w:tr>
      <w:tr>
        <w:trPr>
          <w:trHeight w:val="662"/>
        </w:trPr>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6,317</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2,288</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6,647</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2,257</w:t>
            </w:r>
          </w:p>
        </w:tc>
      </w:tr>
      <w:tr>
        <w:trPr>
          <w:trHeight w:val="20"/>
        </w:trPr>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668"/>
        </w:trPr>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27,687</w:t>
            </w:r>
          </w:p>
        </w:tc>
        <w:tc>
          <w:tcPr>
            <w:tcW w:w="44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25,130</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27,943</w:t>
            </w:r>
          </w:p>
        </w:tc>
        <w:tc>
          <w:tcPr>
            <w:tcW w:w="4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25,048</w:t>
            </w: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-1156335</wp:posOffset>
            </wp:positionV>
            <wp:extent cx="7132320" cy="274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-744855</wp:posOffset>
            </wp:positionV>
            <wp:extent cx="7132320"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-316230</wp:posOffset>
            </wp:positionV>
            <wp:extent cx="713232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160"/>
            <w:col w:w="6160"/>
          </w:cols>
          <w:pgMar w:left="320" w:top="823" w:right="339" w:bottom="1440" w:gutter="0" w:footer="0" w:header="0"/>
          <w:type w:val="continuous"/>
        </w:sectPr>
      </w:pP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six-month periods ended June 30, 2022 would have included an additional 824,000 and 692,000 shares, respectively, attributable to the exercise of outstanding options and warrants. For the three-month and six-month periods ended June 30, 2021, an additional 6.0 million and 6.9 million shares, respectively, would be included in the diluted earnings per share calculation.</w:t>
      </w:r>
    </w:p>
    <w:p>
      <w:pPr>
        <w:spacing w:after="0" w:line="187"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2015.</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June 30, 2022, and December 31, 2021,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type w:val="continuous"/>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$17.5 million as of June 30, 2022 is more likely than not based on forecasted future net earnings. Our net deferred tax asset of $17.5 million consists of approximately $10.5 million of net U.S. federal deferred tax assets and $7.0 million of net state deferred tax assets.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Income tax expense was $8.9 million and $17.1 million for the three months and six months ended June 30, 2022, representing effective income tax rates of 26% and 27%, respectively, compared to income tax expense of $4.2 million and $6.9 million for the three months and six months ended June 30, 2021, and represents an effective income tax rates of 30% and 32% respectively.</w:t>
      </w:r>
    </w:p>
    <w:p>
      <w:pPr>
        <w:spacing w:after="0" w:line="184"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 continuing</w:t>
      </w:r>
      <w:r>
        <w:rPr>
          <w:rFonts w:ascii="Arial" w:cs="Arial" w:eastAsia="Arial" w:hAnsi="Arial"/>
          <w:sz w:val="18"/>
          <w:szCs w:val="18"/>
          <w:i w:val="1"/>
          <w:iCs w:val="1"/>
          <w:color w:val="auto"/>
        </w:rPr>
        <w:t xml:space="preserve"> </w:t>
      </w:r>
      <w:r>
        <w:rPr>
          <w:rFonts w:ascii="Arial" w:cs="Arial" w:eastAsia="Arial" w:hAnsi="Arial"/>
          <w:sz w:val="18"/>
          <w:szCs w:val="18"/>
          <w:color w:val="auto"/>
        </w:rPr>
        <w:t>and discontinued. Consumers can and do initiate lawsuits against us alleging violations of law applicable to collection of receivables, and such lawsuits sometimes allege that resolution as a class action is appropriate.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most part, we have legal and factual defenses to consumer claims, which we routinely contest or settle (for immaterial amounts) depending on the particular circumstances of each case. There are as of the date of this report two civil actions that could possibly result in a material liability, if resolved adversely and on a class basis, as the respective plaintiffs allege would be appropriate.</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Following our filing of a complaint for a deficiency judgment in the Superior Court at Waterbury, Connecticut, the defendant filed a cross-claim alleging that our deficiency notices were not compliant with Connecticut law, and seeking relief on behalf of a class of Connecticut obligors whose vehicles we had repossessed. The defendant’s contract provided for resolution of disputes exclusively by arbitration, and exclusively on an individual basis, not a class basis. Nevertheless, in August 2021, the court denied our motion to compel arbitration, without opinion. In April 2022, a motion for certification of a class was filed but has not been ruled upon. It is reasonable to expect that resolution of these claims will be on a class basis.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Wage and Hour Claim. </w:t>
      </w:r>
      <w:r>
        <w:rPr>
          <w:rFonts w:ascii="Arial" w:cs="Arial" w:eastAsia="Arial" w:hAnsi="Arial"/>
          <w:sz w:val="17"/>
          <w:szCs w:val="17"/>
          <w:color w:val="auto"/>
        </w:rPr>
        <w:t>On September 24, 2018, a former employee filed a lawsuit against us in the Superior Court of Orange County, California, alleging</w:t>
      </w:r>
      <w:r>
        <w:rPr>
          <w:rFonts w:ascii="Arial" w:cs="Arial" w:eastAsia="Arial" w:hAnsi="Arial"/>
          <w:sz w:val="17"/>
          <w:szCs w:val="17"/>
          <w:i w:val="1"/>
          <w:iCs w:val="1"/>
          <w:color w:val="auto"/>
        </w:rPr>
        <w:t xml:space="preserve"> </w:t>
      </w:r>
      <w:r>
        <w:rPr>
          <w:rFonts w:ascii="Arial" w:cs="Arial" w:eastAsia="Arial" w:hAnsi="Arial"/>
          <w:sz w:val="17"/>
          <w:szCs w:val="17"/>
          <w:color w:val="auto"/>
        </w:rPr>
        <w:t>that we incorrectly classified our sales representatives as outside salespersons exempt from overtime wages, mandatory break periods and certain other employee protective provisions of California and federal law. The complaint seeks injunctive relief, an award of unpaid wages, liquidated damages, and attorney fees and interest. The plaintiff purports to act on behalf of a class of similarly situated employees and ex-employees. As of the date of this report, no motion for class certification has been filed or granted. We believe that our compensation practices with respect to our sales representatives are compliant with applicable law. Accordingly, we have defended and intend to continue to defend this lawsuit.</w:t>
      </w:r>
    </w:p>
    <w:p>
      <w:pPr>
        <w:spacing w:after="0" w:line="17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Massachusetts Civil Investigative Demand</w:t>
      </w:r>
      <w:r>
        <w:rPr>
          <w:rFonts w:ascii="Arial" w:cs="Arial" w:eastAsia="Arial" w:hAnsi="Arial"/>
          <w:sz w:val="17"/>
          <w:szCs w:val="17"/>
          <w:color w:val="auto"/>
        </w:rPr>
        <w:t>. In September 2021, we received a civil investigative demand from the Office of the Attorney General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Commonwealth of Massachusetts relating to the Company’s communications with and repossession notices sent to Massachusetts customers. We are cooperating with the inquiry. At this time, it is not possible to determine any amount of loss that is probable and measurable.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In General. </w:t>
      </w:r>
      <w:r>
        <w:rPr>
          <w:rFonts w:ascii="Arial" w:cs="Arial" w:eastAsia="Arial" w:hAnsi="Arial"/>
          <w:sz w:val="16"/>
          <w:szCs w:val="16"/>
          <w:color w:val="auto"/>
        </w:rPr>
        <w:t>There can be no assurance as to the outcomes of the matters described or referenced above. We record at each measurement date, most recently</w:t>
      </w:r>
      <w:r>
        <w:rPr>
          <w:rFonts w:ascii="Arial" w:cs="Arial" w:eastAsia="Arial" w:hAnsi="Arial"/>
          <w:sz w:val="16"/>
          <w:szCs w:val="16"/>
          <w:i w:val="1"/>
          <w:iCs w:val="1"/>
          <w:color w:val="auto"/>
        </w:rPr>
        <w:t xml:space="preserve"> </w:t>
      </w:r>
      <w:r>
        <w:rPr>
          <w:rFonts w:ascii="Arial" w:cs="Arial" w:eastAsia="Arial" w:hAnsi="Arial"/>
          <w:sz w:val="16"/>
          <w:szCs w:val="16"/>
          <w:color w:val="auto"/>
        </w:rPr>
        <w:t>as of June 30, 2022, our best estimate of probable incurred losses for legal contingencies, including the matters identified above, and consumer claims. The amount of losses that may ultimately be incurred cannot be estimated with certainty. However, based on such information as is available to us, we believe that the total of probable incurred losses for legal contingencies as of June 30, 2022 is $3.4 million, and that the range of reasonably possible losses for the legal proceedings and contingencies we face, including those described or identified above, as of June 30, 2022 does not exceed $11.3 million.</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Accordingly, we believe that the ultimate resolution of such legal proceedings and contingencies should not have a material adverse effect on our consolidated financial condition. We note, however, that in light of the uncertainties inherent in contested proceedings there can be no assurance that the ultimate resolution of these matters will not be material to our operating results for a particular period, depending on, among other factors, the size of the loss or liability imposed and the level of our income for that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Fair Value Measurements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Effective January 2018 we have elected to use the fair value method to value our portfolio of finance receivables acquired in January 2018 and thereafter.</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valuation policies and procedures have been developed by our Accounting department in conjunction with our Risk department and with consultation with outside valuation experts. Our policies and procedures have been approved by our Chief Executive and our Board of Directors and include methodologies for valuation, internal reporting, calibration and back testing. Our periodic review of valuations includes an analysis of changes in fair value measurements and documentation of the reasons for such changes. There is little available third-party information such as broker quotes or pricing services available to assist us in our valuation process.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level 3, unobservable inputs reflect our own assumptions about the factors that market participants use in pricing similar receivables and are based on the best information available in the circumstances. They include such inputs as estimates for the magnitude and timing of net charge-offs and the rate of amortization of the portfolio of finance receivable. Significant changes in any of those inputs in isolation would have a significant effect on our fair value measurement.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quarter ended June 30, 2022, the Company evaluated the appropriate fair value and future earnings rate of existing receivables compared to recently acquired receivables and our assessment of potential additional future net losses on the portfolio of finance receivables carried at fair value and did not record a mark down to that portfolio.</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a reconciliation of the finance receivables measured at fair value on a recurring basis using significant unobservable inputs: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6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300" w:type="dxa"/>
            <w:vAlign w:val="bottom"/>
          </w:tcPr>
          <w:p>
            <w:pPr>
              <w:spacing w:after="0"/>
              <w:rPr>
                <w:sz w:val="19"/>
                <w:szCs w:val="19"/>
                <w:color w:val="auto"/>
              </w:rPr>
            </w:pPr>
          </w:p>
        </w:tc>
        <w:tc>
          <w:tcPr>
            <w:tcW w:w="27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0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4"/>
              </w:rPr>
              <w:t>2021</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6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90"/>
              </w:rPr>
              <w:t>(In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4"/>
          </w:tcPr>
          <w:p>
            <w:pPr>
              <w:jc w:val="center"/>
              <w:ind w:left="490"/>
              <w:spacing w:after="0"/>
              <w:rPr>
                <w:sz w:val="20"/>
                <w:szCs w:val="20"/>
                <w:color w:val="auto"/>
              </w:rPr>
            </w:pPr>
            <w:r>
              <w:rPr>
                <w:rFonts w:ascii="Arial" w:cs="Arial" w:eastAsia="Arial" w:hAnsi="Arial"/>
                <w:sz w:val="18"/>
                <w:szCs w:val="18"/>
                <w:b w:val="1"/>
                <w:bCs w:val="1"/>
                <w:color w:val="auto"/>
                <w:w w:val="88"/>
              </w:rPr>
              <w:t>(In thousands)</w:t>
            </w: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1,903,857</w:t>
            </w:r>
          </w:p>
        </w:tc>
        <w:tc>
          <w:tcPr>
            <w:tcW w:w="540" w:type="dxa"/>
            <w:vAlign w:val="bottom"/>
            <w:gridSpan w:val="2"/>
            <w:shd w:val="clear" w:color="auto" w:fill="EEEEEE"/>
          </w:tcPr>
          <w:p>
            <w:pPr>
              <w:jc w:val="right"/>
              <w:ind w:right="28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1,533,723</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1,749,098</w:t>
            </w:r>
          </w:p>
        </w:tc>
        <w:tc>
          <w:tcPr>
            <w:tcW w:w="460" w:type="dxa"/>
            <w:vAlign w:val="bottom"/>
            <w:gridSpan w:val="2"/>
            <w:shd w:val="clear" w:color="auto" w:fill="EEEEEE"/>
          </w:tcPr>
          <w:p>
            <w:pPr>
              <w:jc w:val="right"/>
              <w:ind w:right="329"/>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1,523,726</w:t>
            </w:r>
          </w:p>
        </w:tc>
        <w:tc>
          <w:tcPr>
            <w:tcW w:w="80" w:type="dxa"/>
            <w:vAlign w:val="bottom"/>
            <w:shd w:val="clear" w:color="auto" w:fill="EEEEEE"/>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Finance receivables at fair value acquired during period</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511,068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279,658</w:t>
            </w:r>
          </w:p>
        </w:tc>
        <w:tc>
          <w:tcPr>
            <w:tcW w:w="3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904,475</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485,117</w:t>
            </w: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Payments received on finance receivables at fair value</w:t>
            </w:r>
          </w:p>
        </w:tc>
        <w:tc>
          <w:tcPr>
            <w:tcW w:w="3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(215,930)</w:t>
            </w:r>
          </w:p>
        </w:tc>
        <w:tc>
          <w:tcPr>
            <w:tcW w:w="10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(199,419)</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(425,774)</w:t>
            </w:r>
          </w:p>
        </w:tc>
        <w:tc>
          <w:tcPr>
            <w:tcW w:w="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(355,439)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interest income accretion on fair value receivables</w:t>
            </w:r>
          </w:p>
        </w:tc>
        <w:tc>
          <w:tcPr>
            <w:tcW w:w="3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(29,562)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(31,787)</w:t>
            </w:r>
          </w:p>
        </w:tc>
        <w:tc>
          <w:tcPr>
            <w:tcW w:w="3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(60,766)</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(66,812)</w:t>
            </w:r>
          </w:p>
        </w:tc>
      </w:tr>
      <w:tr>
        <w:trPr>
          <w:trHeight w:val="229"/>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Mark to fair value</w:t>
            </w:r>
          </w:p>
        </w:tc>
        <w:tc>
          <w:tcPr>
            <w:tcW w:w="3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4,700</w:t>
            </w:r>
          </w:p>
        </w:tc>
        <w:tc>
          <w:tcPr>
            <w:tcW w:w="10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7,100</w:t>
            </w:r>
          </w:p>
        </w:tc>
        <w:tc>
          <w:tcPr>
            <w:tcW w:w="20" w:type="dxa"/>
            <w:vAlign w:val="bottom"/>
            <w:shd w:val="clear" w:color="auto" w:fill="EEEEEE"/>
          </w:tcPr>
          <w:p>
            <w:pPr>
              <w:spacing w:after="0"/>
              <w:rPr>
                <w:sz w:val="19"/>
                <w:szCs w:val="19"/>
                <w:color w:val="auto"/>
              </w:rPr>
            </w:pPr>
          </w:p>
        </w:tc>
        <w:tc>
          <w:tcPr>
            <w:tcW w:w="440" w:type="dxa"/>
            <w:vAlign w:val="bottom"/>
            <w:shd w:val="clear" w:color="auto" w:fill="EEEEEE"/>
          </w:tcPr>
          <w:p>
            <w:pPr>
              <w:spacing w:after="0"/>
              <w:rPr>
                <w:sz w:val="19"/>
                <w:szCs w:val="19"/>
                <w:color w:val="auto"/>
              </w:rPr>
            </w:pPr>
          </w:p>
        </w:tc>
        <w:tc>
          <w:tcPr>
            <w:tcW w:w="9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(4,417)</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2,174,133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1,582,175</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2,174,133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1,582,175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fair values of these finance receivables to their contractual balances for the periods shown: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 2022</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4"/>
          </w:tcPr>
          <w:p>
            <w:pPr>
              <w:ind w:left="580"/>
              <w:spacing w:after="0"/>
              <w:rPr>
                <w:sz w:val="20"/>
                <w:szCs w:val="20"/>
                <w:color w:val="auto"/>
              </w:rPr>
            </w:pPr>
            <w:r>
              <w:rPr>
                <w:rFonts w:ascii="Arial" w:cs="Arial" w:eastAsia="Arial" w:hAnsi="Arial"/>
                <w:sz w:val="18"/>
                <w:szCs w:val="18"/>
                <w:b w:val="1"/>
                <w:bCs w:val="1"/>
                <w:color w:val="auto"/>
              </w:rPr>
              <w:t>December 31, 2021</w:t>
            </w:r>
          </w:p>
        </w:tc>
      </w:tr>
      <w:tr>
        <w:trPr>
          <w:trHeight w:val="205"/>
        </w:trPr>
        <w:tc>
          <w:tcPr>
            <w:tcW w:w="50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center"/>
              <w:ind w:right="170"/>
              <w:spacing w:after="0" w:line="205" w:lineRule="exact"/>
              <w:rPr>
                <w:sz w:val="20"/>
                <w:szCs w:val="20"/>
                <w:color w:val="auto"/>
              </w:rPr>
            </w:pPr>
            <w:r>
              <w:rPr>
                <w:rFonts w:ascii="Arial" w:cs="Arial" w:eastAsia="Arial" w:hAnsi="Arial"/>
                <w:sz w:val="18"/>
                <w:szCs w:val="18"/>
                <w:b w:val="1"/>
                <w:bCs w:val="1"/>
                <w:color w:val="auto"/>
                <w:w w:val="93"/>
              </w:rPr>
              <w:t>Contractual</w:t>
            </w:r>
          </w:p>
        </w:tc>
        <w:tc>
          <w:tcPr>
            <w:tcW w:w="5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330"/>
              <w:spacing w:after="0" w:line="205"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ind w:right="150"/>
              <w:spacing w:after="0" w:line="205" w:lineRule="exact"/>
              <w:rPr>
                <w:sz w:val="20"/>
                <w:szCs w:val="20"/>
                <w:color w:val="auto"/>
              </w:rPr>
            </w:pPr>
            <w:r>
              <w:rPr>
                <w:rFonts w:ascii="Arial" w:cs="Arial" w:eastAsia="Arial" w:hAnsi="Arial"/>
                <w:sz w:val="18"/>
                <w:szCs w:val="18"/>
                <w:b w:val="1"/>
                <w:bCs w:val="1"/>
                <w:color w:val="auto"/>
                <w:w w:val="93"/>
              </w:rPr>
              <w:t>Contractual</w:t>
            </w: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center"/>
              <w:ind w:right="190"/>
              <w:spacing w:after="0" w:line="205"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Balance</w:t>
            </w:r>
          </w:p>
        </w:tc>
        <w:tc>
          <w:tcPr>
            <w:tcW w:w="560" w:type="dxa"/>
            <w:vAlign w:val="bottom"/>
          </w:tcPr>
          <w:p>
            <w:pPr>
              <w:spacing w:after="0"/>
              <w:rPr>
                <w:sz w:val="20"/>
                <w:szCs w:val="20"/>
                <w:color w:val="auto"/>
              </w:rPr>
            </w:pPr>
          </w:p>
        </w:tc>
        <w:tc>
          <w:tcPr>
            <w:tcW w:w="112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Balance</w:t>
            </w:r>
          </w:p>
        </w:tc>
        <w:tc>
          <w:tcPr>
            <w:tcW w:w="380" w:type="dxa"/>
            <w:vAlign w:val="bottom"/>
          </w:tcPr>
          <w:p>
            <w:pPr>
              <w:spacing w:after="0"/>
              <w:rPr>
                <w:sz w:val="20"/>
                <w:szCs w:val="20"/>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Value</w:t>
            </w:r>
          </w:p>
        </w:tc>
      </w:tr>
      <w:tr>
        <w:trPr>
          <w:trHeight w:val="228"/>
        </w:trPr>
        <w:tc>
          <w:tcPr>
            <w:tcW w:w="50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560" w:type="dxa"/>
            <w:vAlign w:val="bottom"/>
            <w:tcBorders>
              <w:top w:val="single" w:sz="8" w:color="auto"/>
            </w:tcBorders>
            <w:gridSpan w:val="4"/>
          </w:tcPr>
          <w:p>
            <w:pPr>
              <w:jc w:val="right"/>
              <w:ind w:right="93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5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2,402,830</w:t>
            </w:r>
          </w:p>
        </w:tc>
        <w:tc>
          <w:tcPr>
            <w:tcW w:w="560" w:type="dxa"/>
            <w:vAlign w:val="bottom"/>
            <w:shd w:val="clear" w:color="auto" w:fill="EEEEEE"/>
          </w:tcPr>
          <w:p>
            <w:pPr>
              <w:jc w:val="right"/>
              <w:ind w:right="2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2,174,133</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1,972,699</w:t>
            </w:r>
          </w:p>
        </w:tc>
        <w:tc>
          <w:tcPr>
            <w:tcW w:w="3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1,749,098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certain qualitative information about our level 3 fair value measurements: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Financial Instrument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4"/>
          </w:tcPr>
          <w:p>
            <w:pPr>
              <w:jc w:val="right"/>
              <w:ind w:right="1060"/>
              <w:spacing w:after="0"/>
              <w:rPr>
                <w:sz w:val="20"/>
                <w:szCs w:val="20"/>
                <w:color w:val="auto"/>
              </w:rPr>
            </w:pPr>
            <w:r>
              <w:rPr>
                <w:rFonts w:ascii="Arial" w:cs="Arial" w:eastAsia="Arial" w:hAnsi="Arial"/>
                <w:sz w:val="18"/>
                <w:szCs w:val="18"/>
                <w:b w:val="1"/>
                <w:bCs w:val="1"/>
                <w:color w:val="auto"/>
              </w:rPr>
              <w:t>Fair Values as of</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0" w:type="dxa"/>
            <w:vAlign w:val="bottom"/>
            <w:gridSpan w:val="4"/>
          </w:tcPr>
          <w:p>
            <w:pPr>
              <w:ind w:left="1000"/>
              <w:spacing w:after="0"/>
              <w:rPr>
                <w:sz w:val="20"/>
                <w:szCs w:val="20"/>
                <w:color w:val="auto"/>
              </w:rPr>
            </w:pPr>
            <w:r>
              <w:rPr>
                <w:rFonts w:ascii="Arial" w:cs="Arial" w:eastAsia="Arial" w:hAnsi="Arial"/>
                <w:sz w:val="18"/>
                <w:szCs w:val="18"/>
                <w:b w:val="1"/>
                <w:bCs w:val="1"/>
                <w:color w:val="auto"/>
              </w:rPr>
              <w:t>Inputs as of</w:t>
            </w:r>
          </w:p>
        </w:tc>
        <w:tc>
          <w:tcPr>
            <w:tcW w:w="0" w:type="dxa"/>
            <w:vAlign w:val="bottom"/>
          </w:tcPr>
          <w:p>
            <w:pPr>
              <w:spacing w:after="0"/>
              <w:rPr>
                <w:sz w:val="1"/>
                <w:szCs w:val="1"/>
                <w:color w:val="auto"/>
              </w:rPr>
            </w:pPr>
          </w:p>
        </w:tc>
      </w:tr>
      <w:tr>
        <w:trPr>
          <w:trHeight w:val="20"/>
        </w:trPr>
        <w:tc>
          <w:tcPr>
            <w:tcW w:w="164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center"/>
              <w:ind w:right="250"/>
              <w:spacing w:after="0" w:line="205" w:lineRule="exact"/>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7"/>
                <w:szCs w:val="17"/>
                <w:color w:val="auto"/>
              </w:rPr>
            </w:pPr>
          </w:p>
        </w:tc>
        <w:tc>
          <w:tcPr>
            <w:tcW w:w="124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88"/>
              </w:rPr>
              <w:t>December 31,</w:t>
            </w:r>
          </w:p>
        </w:tc>
        <w:tc>
          <w:tcPr>
            <w:tcW w:w="220" w:type="dxa"/>
            <w:vAlign w:val="bottom"/>
            <w:vMerge w:val="continue"/>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360"/>
              <w:spacing w:after="0" w:line="205" w:lineRule="exact"/>
              <w:rPr>
                <w:sz w:val="20"/>
                <w:szCs w:val="20"/>
                <w:color w:val="auto"/>
              </w:rPr>
            </w:pPr>
            <w:r>
              <w:rPr>
                <w:rFonts w:ascii="Arial" w:cs="Arial" w:eastAsia="Arial" w:hAnsi="Arial"/>
                <w:sz w:val="18"/>
                <w:szCs w:val="18"/>
                <w:b w:val="1"/>
                <w:bCs w:val="1"/>
                <w:color w:val="auto"/>
              </w:rPr>
              <w:t>June 30,</w:t>
            </w:r>
          </w:p>
        </w:tc>
        <w:tc>
          <w:tcPr>
            <w:tcW w:w="1340" w:type="dxa"/>
            <w:vAlign w:val="bottom"/>
          </w:tcPr>
          <w:p>
            <w:pPr>
              <w:jc w:val="right"/>
              <w:ind w:right="70"/>
              <w:spacing w:after="0" w:line="205" w:lineRule="exact"/>
              <w:rPr>
                <w:sz w:val="20"/>
                <w:szCs w:val="20"/>
                <w:color w:val="auto"/>
              </w:rPr>
            </w:pPr>
            <w:r>
              <w:rPr>
                <w:rFonts w:ascii="Arial" w:cs="Arial" w:eastAsia="Arial" w:hAnsi="Arial"/>
                <w:sz w:val="18"/>
                <w:szCs w:val="18"/>
                <w:b w:val="1"/>
                <w:bCs w:val="1"/>
                <w:color w:val="auto"/>
                <w:w w:val="99"/>
              </w:rPr>
              <w:t>December 31,</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Unobservable Inputs</w:t>
            </w: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64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2740" w:type="dxa"/>
            <w:vAlign w:val="bottom"/>
            <w:tcBorders>
              <w:top w:val="single" w:sz="8" w:color="auto"/>
            </w:tcBorders>
            <w:gridSpan w:val="3"/>
            <w:shd w:val="clear" w:color="auto" w:fill="EEEEEE"/>
          </w:tcPr>
          <w:p>
            <w:pPr>
              <w:jc w:val="right"/>
              <w:ind w:right="77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top w:val="single" w:sz="8" w:color="EEEEEE"/>
            </w:tcBorders>
            <w:shd w:val="clear" w:color="auto" w:fill="EEEEEE"/>
          </w:tcPr>
          <w:p>
            <w:pPr>
              <w:spacing w:after="0"/>
              <w:rPr>
                <w:sz w:val="18"/>
                <w:szCs w:val="18"/>
                <w:color w:val="auto"/>
              </w:rPr>
            </w:pPr>
          </w:p>
        </w:tc>
        <w:tc>
          <w:tcPr>
            <w:tcW w:w="22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4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5"/>
              </w:rPr>
              <w:t>Finance receivables measured at</w:t>
            </w:r>
          </w:p>
        </w:tc>
        <w:tc>
          <w:tcPr>
            <w:tcW w:w="1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fair value</w:t>
            </w:r>
          </w:p>
        </w:tc>
        <w:tc>
          <w:tcPr>
            <w:tcW w:w="4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2,174,133</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1,749,098</w:t>
            </w:r>
          </w:p>
        </w:tc>
        <w:tc>
          <w:tcPr>
            <w:tcW w:w="234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15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9.9% - 11.3%</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 - 11.3%</w:t>
            </w:r>
          </w:p>
        </w:tc>
        <w:tc>
          <w:tcPr>
            <w:tcW w:w="0" w:type="dxa"/>
            <w:vAlign w:val="bottom"/>
          </w:tcPr>
          <w:p>
            <w:pPr>
              <w:spacing w:after="0"/>
              <w:rPr>
                <w:sz w:val="1"/>
                <w:szCs w:val="1"/>
                <w:color w:val="auto"/>
              </w:rPr>
            </w:pPr>
          </w:p>
        </w:tc>
      </w:tr>
      <w:tr>
        <w:trPr>
          <w:trHeight w:val="230"/>
        </w:trPr>
        <w:tc>
          <w:tcPr>
            <w:tcW w:w="16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Cumulative net losses</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10.0% - 18.4%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10.0% - 18.4%</w:t>
            </w:r>
          </w:p>
        </w:tc>
        <w:tc>
          <w:tcPr>
            <w:tcW w:w="0" w:type="dxa"/>
            <w:vAlign w:val="bottom"/>
          </w:tcPr>
          <w:p>
            <w:pPr>
              <w:spacing w:after="0"/>
              <w:rPr>
                <w:sz w:val="1"/>
                <w:szCs w:val="1"/>
                <w:color w:val="auto"/>
              </w:rPr>
            </w:pPr>
          </w:p>
        </w:tc>
      </w:tr>
      <w:tr>
        <w:trPr>
          <w:trHeight w:val="742"/>
        </w:trPr>
        <w:tc>
          <w:tcPr>
            <w:tcW w:w="16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23</w:t>
            </w:r>
          </w:p>
        </w:tc>
        <w:tc>
          <w:tcPr>
            <w:tcW w:w="2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23"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delinquency status of these finance receivables measured at fair value as of June 30, 2022 and December 31, 2021: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r>
      <w:tr>
        <w:trPr>
          <w:trHeight w:val="209"/>
        </w:trPr>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2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8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4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Delinquency Status</w:t>
            </w:r>
          </w:p>
        </w:tc>
        <w:tc>
          <w:tcPr>
            <w:tcW w:w="3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3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2,191,162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1,787,641</w:t>
            </w: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42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3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127,654</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115,924</w:t>
            </w: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4260" w:type="dxa"/>
            <w:vAlign w:val="bottom"/>
          </w:tcPr>
          <w:p>
            <w:pPr>
              <w:ind w:left="20"/>
              <w:spacing w:after="0"/>
              <w:rPr>
                <w:sz w:val="20"/>
                <w:szCs w:val="20"/>
                <w:color w:val="auto"/>
              </w:rPr>
            </w:pPr>
            <w:r>
              <w:rPr>
                <w:rFonts w:ascii="Arial" w:cs="Arial" w:eastAsia="Arial" w:hAnsi="Arial"/>
                <w:sz w:val="18"/>
                <w:szCs w:val="18"/>
                <w:color w:val="auto"/>
              </w:rPr>
              <w:t>- 90 days</w:t>
            </w:r>
          </w:p>
        </w:tc>
        <w:tc>
          <w:tcPr>
            <w:tcW w:w="3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45,258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38,999</w:t>
            </w: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42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3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14,820</w:t>
            </w:r>
          </w:p>
        </w:tc>
        <w:tc>
          <w:tcPr>
            <w:tcW w:w="20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11,564</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Repo</w:t>
            </w:r>
          </w:p>
        </w:tc>
        <w:tc>
          <w:tcPr>
            <w:tcW w:w="3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23,936</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18,571</w:t>
            </w:r>
          </w:p>
        </w:tc>
      </w:tr>
      <w:tr>
        <w:trPr>
          <w:trHeight w:val="223"/>
        </w:trPr>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4260" w:type="dxa"/>
            <w:vAlign w:val="bottom"/>
            <w:tcBorders>
              <w:top w:val="single" w:sz="8" w:color="EEEEEE"/>
              <w:bottom w:val="single" w:sz="8" w:color="EEEEEE"/>
            </w:tcBorders>
            <w:shd w:val="clear" w:color="auto" w:fill="EEEEEE"/>
          </w:tcPr>
          <w:p>
            <w:pPr>
              <w:spacing w:after="0"/>
              <w:rPr>
                <w:sz w:val="19"/>
                <w:szCs w:val="19"/>
                <w:color w:val="auto"/>
              </w:rPr>
            </w:pPr>
          </w:p>
        </w:tc>
        <w:tc>
          <w:tcPr>
            <w:tcW w:w="308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47"/>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2,402,830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4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1,972,699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June 30, 2022 the finance receivables related to the repossessed vehicles in inventory totaled $3.0 million. We have applied a valuation adjustment, or loss allowance, of $1.6 million, which is based on a recovery rate of approximately 47%, resulting in an estimated fair value and carrying amount of $1.4 million. The fair value and carrying amount of the repossessed inventory at December 31, 2021 was $2.4 million after applying a valuation adjustment of $1.9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1, level 2 or level 3 assets and liabilities for the three months ended June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financial assets and liabilities at June 30, 2022 and December 31, 2021,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8"/>
                <w:szCs w:val="18"/>
                <w:b w:val="1"/>
                <w:bCs w:val="1"/>
                <w:color w:val="auto"/>
                <w:w w:val="88"/>
              </w:rPr>
              <w:t>As of June 30, 2022</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w w:val="90"/>
              </w:rPr>
              <w:t>(In 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21"/>
                <w:szCs w:val="21"/>
                <w:color w:val="auto"/>
              </w:rPr>
            </w:pPr>
          </w:p>
        </w:tc>
        <w:tc>
          <w:tcPr>
            <w:tcW w:w="4020" w:type="dxa"/>
            <w:vAlign w:val="bottom"/>
            <w:gridSpan w:val="9"/>
          </w:tcPr>
          <w:p>
            <w:pPr>
              <w:jc w:val="right"/>
              <w:ind w:right="900"/>
              <w:spacing w:after="0"/>
              <w:rPr>
                <w:sz w:val="20"/>
                <w:szCs w:val="20"/>
                <w:color w:val="auto"/>
              </w:rPr>
            </w:pPr>
            <w:r>
              <w:rPr>
                <w:rFonts w:ascii="Arial" w:cs="Arial" w:eastAsia="Arial" w:hAnsi="Arial"/>
                <w:sz w:val="18"/>
                <w:szCs w:val="18"/>
                <w:b w:val="1"/>
                <w:bCs w:val="1"/>
                <w:color w:val="auto"/>
              </w:rPr>
              <w:t>Fair Value Measurements Using:</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1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11,348</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11,348</w:t>
            </w:r>
          </w:p>
        </w:tc>
        <w:tc>
          <w:tcPr>
            <w:tcW w:w="40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11,348</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157,021</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157,021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157,021</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113,338</w:t>
            </w: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101,305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101,305</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1,383</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228,906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228,906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228,906</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4,302</w:t>
            </w: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4,302</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4,302</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1,934,156</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1,829,109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1,829,109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27,208</w:t>
            </w:r>
          </w:p>
        </w:tc>
        <w:tc>
          <w:tcPr>
            <w:tcW w:w="22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27,208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27,208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9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8"/>
                <w:szCs w:val="18"/>
                <w:b w:val="1"/>
                <w:bCs w:val="1"/>
                <w:color w:val="auto"/>
              </w:rPr>
              <w:t>As of December 31, 2021</w:t>
            </w: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3"/>
          </w:tcPr>
          <w:p>
            <w:pPr>
              <w:ind w:left="20"/>
              <w:spacing w:after="0" w:line="169" w:lineRule="exact"/>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1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21"/>
                <w:szCs w:val="21"/>
                <w:color w:val="auto"/>
              </w:rPr>
            </w:pPr>
          </w:p>
        </w:tc>
        <w:tc>
          <w:tcPr>
            <w:tcW w:w="4020" w:type="dxa"/>
            <w:vAlign w:val="bottom"/>
            <w:gridSpan w:val="9"/>
          </w:tcPr>
          <w:p>
            <w:pPr>
              <w:jc w:val="right"/>
              <w:ind w:right="900"/>
              <w:spacing w:after="0"/>
              <w:rPr>
                <w:sz w:val="20"/>
                <w:szCs w:val="20"/>
                <w:color w:val="auto"/>
              </w:rPr>
            </w:pPr>
            <w:r>
              <w:rPr>
                <w:rFonts w:ascii="Arial" w:cs="Arial" w:eastAsia="Arial" w:hAnsi="Arial"/>
                <w:sz w:val="18"/>
                <w:szCs w:val="18"/>
                <w:b w:val="1"/>
                <w:bCs w:val="1"/>
                <w:color w:val="auto"/>
              </w:rPr>
              <w:t>Fair Value Measurements Using:</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Value</w:t>
            </w: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3180" w:type="dxa"/>
            <w:vAlign w:val="bottom"/>
            <w:gridSpan w:val="2"/>
            <w:vMerge w:val="continue"/>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29,928</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29,928</w:t>
            </w:r>
          </w:p>
        </w:tc>
        <w:tc>
          <w:tcPr>
            <w:tcW w:w="3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29,928</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146,620</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146,620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146,620</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176,184</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178,795</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178,795</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2,269</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105,610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105,610</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105,610</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3,568</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3,568</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1,759,972</w:t>
            </w: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1,740,901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1,740,901</w:t>
            </w:r>
          </w:p>
        </w:tc>
        <w:tc>
          <w:tcPr>
            <w:tcW w:w="0" w:type="dxa"/>
            <w:vAlign w:val="bottom"/>
          </w:tcPr>
          <w:p>
            <w:pPr>
              <w:spacing w:after="0"/>
              <w:rPr>
                <w:sz w:val="1"/>
                <w:szCs w:val="1"/>
                <w:color w:val="auto"/>
              </w:rPr>
            </w:pPr>
          </w:p>
        </w:tc>
      </w:tr>
      <w:tr>
        <w:trPr>
          <w:trHeight w:val="216"/>
        </w:trPr>
        <w:tc>
          <w:tcPr>
            <w:tcW w:w="31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9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26,459</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ind w:left="94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26,459</w:t>
            </w:r>
          </w:p>
        </w:tc>
        <w:tc>
          <w:tcPr>
            <w:tcW w:w="1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26,459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Subsequent Events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15, 2022, we renewed our two-year revolving credit agreement with Citibank, N.A., and doubled the capacity from $100 million to $200 million. There was $99.9 million outstanding under this facility at June 30, 2022. The revolving period for this facility was extended to July 2024 followed by an amortization period through July 2025 for any receivables pledged at the end of the revolving period.</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August 3, 2022 we executed our third securitization of 2022. In the transaction, qualified institutional buyers purchased $391.6 million of asset-backed notes secured by $440.0 million in automobile receivables originated by CPS. The sold notes, issued by CPS Auto Receivables Trust 2022-C, consist of five classes. Ratings of the notes were provided by Standard &amp; Poor’s and DBRS Morningstar, and were based on the structure of the transaction, the historical performance of similar receivables and CPS’s experience as a servicer. The weighted average yield on the notes is approximately 6.02%.</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2022-C transaction has initial credit enhancement consisting of a cash deposit equal to 1.00% of the original receivable pool balance and overcollateralization of 11.00%. The transaction agreements require accelerated payment of principal on the notes to reach overcollateralization of the lesser of 13.00% of the original receivable pool balance, or 31.50% of the then outstanding pool balance. The transaction utilizes a pre-funding structure, in which CPS sold approximately $368.0 million of receivables at inception and plans to sell approximately $72.0 million of additional receivables in August 2022. The transaction was a private offering of securities, not registered under the Securities Act of 1933, or any state securities law.</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 specialty finance company.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the customers of dealers who have limited credit histories or past credit problems, who we refer to as sub-prime customers.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also originate vehicle purchase money loans by lending directly to consumers and have (i) acquired installment purchase contracts in four merger and acquisition transactions, and (ii) purchased immaterial amounts of vehicle purchase money loans from non-affiliated lenders. In this report, we refer to all of such contracts and loans as "automobile contracts."</w:t>
      </w:r>
    </w:p>
    <w:p>
      <w:pPr>
        <w:spacing w:after="0" w:line="1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were incorporated and began our operations in March 1991. From inception through June 30, 2022, we have originated a total of approximately $19.1 billion of automobile contracts, primarily by purchasing retail installment sales contracts from dealers, and to a lesser degree, by originating loans secured by automobiles directly with consumers. In addition, we acquired a total of approximately $822.3 million of automobile contracts in mergers and acquisitions in 2002, 2003, 2004 and 2011. Recent contract purchase volumes and managed portfolio levels are shown in the table below:</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gridSpan w:val="4"/>
          </w:tcPr>
          <w:p>
            <w:pPr>
              <w:ind w:left="18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4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tcBorders>
              <w:top w:val="single" w:sz="8" w:color="auto"/>
            </w:tcBorders>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0"/>
              </w:rPr>
              <w:t>Contracts Purchased in</w:t>
            </w:r>
          </w:p>
        </w:tc>
        <w:tc>
          <w:tcPr>
            <w:tcW w:w="2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Managed Portfolio at Period</w:t>
            </w:r>
          </w:p>
        </w:tc>
        <w:tc>
          <w:tcPr>
            <w:tcW w:w="80" w:type="dxa"/>
            <w:vAlign w:val="bottom"/>
          </w:tcPr>
          <w:p>
            <w:pPr>
              <w:spacing w:after="0"/>
              <w:rPr>
                <w:sz w:val="16"/>
                <w:szCs w:val="16"/>
                <w:color w:val="auto"/>
              </w:rPr>
            </w:pPr>
          </w:p>
        </w:tc>
      </w:tr>
      <w:tr>
        <w:trPr>
          <w:trHeight w:val="234"/>
        </w:trPr>
        <w:tc>
          <w:tcPr>
            <w:tcW w:w="4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Period</w:t>
            </w:r>
          </w:p>
        </w:tc>
        <w:tc>
          <w:tcPr>
            <w:tcW w:w="2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Period</w:t>
            </w:r>
          </w:p>
        </w:tc>
        <w:tc>
          <w:tcPr>
            <w:tcW w:w="2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End</w:t>
            </w:r>
          </w:p>
        </w:tc>
      </w:tr>
      <w:tr>
        <w:trPr>
          <w:trHeight w:val="210"/>
        </w:trPr>
        <w:tc>
          <w:tcPr>
            <w:tcW w:w="41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2016</w:t>
            </w:r>
          </w:p>
        </w:tc>
        <w:tc>
          <w:tcPr>
            <w:tcW w:w="80" w:type="dxa"/>
            <w:vAlign w:val="bottom"/>
            <w:tcBorders>
              <w:top w:val="single" w:sz="8" w:color="EEEEEE"/>
            </w:tcBorders>
            <w:shd w:val="clear" w:color="auto" w:fill="EEEEEE"/>
          </w:tcPr>
          <w:p>
            <w:pPr>
              <w:spacing w:after="0"/>
              <w:rPr>
                <w:sz w:val="18"/>
                <w:szCs w:val="18"/>
                <w:color w:val="auto"/>
              </w:rPr>
            </w:pPr>
          </w:p>
        </w:tc>
        <w:tc>
          <w:tcPr>
            <w:tcW w:w="2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1,088,785</w:t>
            </w:r>
          </w:p>
        </w:tc>
        <w:tc>
          <w:tcPr>
            <w:tcW w:w="200" w:type="dxa"/>
            <w:vAlign w:val="bottom"/>
            <w:tcBorders>
              <w:top w:val="single" w:sz="8" w:color="EEEEEE"/>
            </w:tcBorders>
            <w:shd w:val="clear" w:color="auto" w:fill="EEEEEE"/>
          </w:tcPr>
          <w:p>
            <w:pPr>
              <w:spacing w:after="0"/>
              <w:rPr>
                <w:sz w:val="18"/>
                <w:szCs w:val="18"/>
                <w:color w:val="auto"/>
              </w:rPr>
            </w:pPr>
          </w:p>
        </w:tc>
        <w:tc>
          <w:tcPr>
            <w:tcW w:w="22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2,308,070</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859,069</w:t>
            </w:r>
          </w:p>
        </w:tc>
        <w:tc>
          <w:tcPr>
            <w:tcW w:w="2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2,333,530</w:t>
            </w:r>
          </w:p>
        </w:tc>
        <w:tc>
          <w:tcPr>
            <w:tcW w:w="80" w:type="dxa"/>
            <w:vAlign w:val="bottom"/>
          </w:tcPr>
          <w:p>
            <w:pPr>
              <w:spacing w:after="0"/>
              <w:rPr>
                <w:sz w:val="18"/>
                <w:szCs w:val="18"/>
                <w:color w:val="auto"/>
              </w:rPr>
            </w:pPr>
          </w:p>
        </w:tc>
      </w:tr>
      <w:tr>
        <w:trPr>
          <w:trHeight w:val="216"/>
        </w:trPr>
        <w:tc>
          <w:tcPr>
            <w:tcW w:w="41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shd w:val="clear" w:color="auto" w:fill="EEEEEE"/>
          </w:tcPr>
          <w:p>
            <w:pPr>
              <w:spacing w:after="0"/>
              <w:rPr>
                <w:sz w:val="18"/>
                <w:szCs w:val="18"/>
                <w:color w:val="auto"/>
              </w:rPr>
            </w:pPr>
          </w:p>
        </w:tc>
        <w:tc>
          <w:tcPr>
            <w:tcW w:w="2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902,416</w:t>
            </w:r>
          </w:p>
        </w:tc>
        <w:tc>
          <w:tcPr>
            <w:tcW w:w="200" w:type="dxa"/>
            <w:vAlign w:val="bottom"/>
            <w:shd w:val="clear" w:color="auto" w:fill="EEEEEE"/>
          </w:tcPr>
          <w:p>
            <w:pPr>
              <w:spacing w:after="0"/>
              <w:rPr>
                <w:sz w:val="18"/>
                <w:szCs w:val="18"/>
                <w:color w:val="auto"/>
              </w:rPr>
            </w:pPr>
          </w:p>
        </w:tc>
        <w:tc>
          <w:tcPr>
            <w:tcW w:w="2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2,380,847</w:t>
            </w:r>
          </w:p>
        </w:tc>
        <w:tc>
          <w:tcPr>
            <w:tcW w:w="80" w:type="dxa"/>
            <w:vAlign w:val="bottom"/>
            <w:shd w:val="clear" w:color="auto" w:fill="EEEEEE"/>
          </w:tcPr>
          <w:p>
            <w:pPr>
              <w:spacing w:after="0"/>
              <w:rPr>
                <w:sz w:val="18"/>
                <w:szCs w:val="18"/>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1,002,782</w:t>
            </w:r>
          </w:p>
        </w:tc>
        <w:tc>
          <w:tcPr>
            <w:tcW w:w="2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2,416,042</w:t>
            </w:r>
          </w:p>
        </w:tc>
        <w:tc>
          <w:tcPr>
            <w:tcW w:w="80" w:type="dxa"/>
            <w:vAlign w:val="bottom"/>
          </w:tcPr>
          <w:p>
            <w:pPr>
              <w:spacing w:after="0"/>
              <w:rPr>
                <w:sz w:val="18"/>
                <w:szCs w:val="18"/>
                <w:color w:val="auto"/>
              </w:rPr>
            </w:pPr>
          </w:p>
        </w:tc>
      </w:tr>
      <w:tr>
        <w:trPr>
          <w:trHeight w:val="216"/>
        </w:trPr>
        <w:tc>
          <w:tcPr>
            <w:tcW w:w="41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shd w:val="clear" w:color="auto" w:fill="EEEEEE"/>
          </w:tcPr>
          <w:p>
            <w:pPr>
              <w:spacing w:after="0"/>
              <w:rPr>
                <w:sz w:val="18"/>
                <w:szCs w:val="18"/>
                <w:color w:val="auto"/>
              </w:rPr>
            </w:pPr>
          </w:p>
        </w:tc>
        <w:tc>
          <w:tcPr>
            <w:tcW w:w="2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742,584</w:t>
            </w:r>
          </w:p>
        </w:tc>
        <w:tc>
          <w:tcPr>
            <w:tcW w:w="200" w:type="dxa"/>
            <w:vAlign w:val="bottom"/>
            <w:shd w:val="clear" w:color="auto" w:fill="EEEEEE"/>
          </w:tcPr>
          <w:p>
            <w:pPr>
              <w:spacing w:after="0"/>
              <w:rPr>
                <w:sz w:val="18"/>
                <w:szCs w:val="18"/>
                <w:color w:val="auto"/>
              </w:rPr>
            </w:pPr>
          </w:p>
        </w:tc>
        <w:tc>
          <w:tcPr>
            <w:tcW w:w="2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2,174,972</w:t>
            </w:r>
          </w:p>
        </w:tc>
        <w:tc>
          <w:tcPr>
            <w:tcW w:w="80" w:type="dxa"/>
            <w:vAlign w:val="bottom"/>
            <w:shd w:val="clear" w:color="auto" w:fill="EEEEEE"/>
          </w:tcPr>
          <w:p>
            <w:pPr>
              <w:spacing w:after="0"/>
              <w:rPr>
                <w:sz w:val="18"/>
                <w:szCs w:val="18"/>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1,146,321</w:t>
            </w:r>
          </w:p>
        </w:tc>
        <w:tc>
          <w:tcPr>
            <w:tcW w:w="20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2,249,069</w:t>
            </w:r>
          </w:p>
        </w:tc>
        <w:tc>
          <w:tcPr>
            <w:tcW w:w="80" w:type="dxa"/>
            <w:vAlign w:val="bottom"/>
          </w:tcPr>
          <w:p>
            <w:pPr>
              <w:spacing w:after="0"/>
              <w:rPr>
                <w:sz w:val="18"/>
                <w:szCs w:val="18"/>
                <w:color w:val="auto"/>
              </w:rPr>
            </w:pPr>
          </w:p>
        </w:tc>
      </w:tr>
      <w:tr>
        <w:trPr>
          <w:trHeight w:val="216"/>
        </w:trPr>
        <w:tc>
          <w:tcPr>
            <w:tcW w:w="422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88"/>
              </w:rPr>
              <w:t>Six months ended June 30, 2022</w:t>
            </w:r>
          </w:p>
        </w:tc>
        <w:tc>
          <w:tcPr>
            <w:tcW w:w="2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958,088</w:t>
            </w:r>
          </w:p>
        </w:tc>
        <w:tc>
          <w:tcPr>
            <w:tcW w:w="200" w:type="dxa"/>
            <w:vAlign w:val="bottom"/>
            <w:shd w:val="clear" w:color="auto" w:fill="EEEEEE"/>
          </w:tcPr>
          <w:p>
            <w:pPr>
              <w:spacing w:after="0"/>
              <w:rPr>
                <w:sz w:val="18"/>
                <w:szCs w:val="18"/>
                <w:color w:val="auto"/>
              </w:rPr>
            </w:pPr>
          </w:p>
        </w:tc>
        <w:tc>
          <w:tcPr>
            <w:tcW w:w="2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2,650,906</w:t>
            </w:r>
          </w:p>
        </w:tc>
        <w:tc>
          <w:tcPr>
            <w:tcW w:w="8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May 2021 we began purchasing some contracts for immediate sale to a third-party to whom we refer applications that don’t meet our lending criteria. We service all such contracts on behalf of the third-party. We earn fees for originating the receivable and also servicing fees on active accounts in the third-party portfolio. For the six months ended June 30, 2022, we originated $63.6 million under this third-party program. As of June 30, 2022, our managed portfolio includes $96.1 million of such third-party receivables.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that California branch with certain of these functions also performed in our Florida and Nevada branches. We service our automobile contracts from our California, Nevada, Virginia, Florida and Illinois branches.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programs we offer to dealers and consumers are intended to serve a wide range of sub-prime customers, primarily through franchised new car dealers. We originate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be purchased by institutional investors. Depending on the structure, these transactions may be accounted for under generally accepted accounting principles as sales of the automobile contracts or as secured financings. All of our active securitizations are structured as secured financings.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When structured to be treated as a secured financing for accounting purposes, the subsidiary is consolidated with us. Accordingly, the sold automobile contracts and the related debt appear as assets and liabilities, respectively, on our consolidated balance sheet. We then periodically (i) recognize interest and fee income on the contracts, and (ii) recognize interest expense on the securities issued in the transaction. For automobile contracts acquired after 2017 we take account of estimated credit losses in our computation of a level yield used to determine recognition of interest on the contracts. For contracts acquired before 2018, we adopted CECL on January 1, 2020 and we may, as circumstances warrant, record as expense provisions for credit losses.</w:t>
      </w:r>
    </w:p>
    <w:p>
      <w:pPr>
        <w:spacing w:after="0" w:line="1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Since 1994 we have conducted 93 term securitizations of automobile contracts that we originated. As of June 30, 2022, 19 of those securitizations are active and all are structured as secured financings. Since September 2010 we have utilized senior subordinated structures without any financial guarantees. We have generally conducted our securitizations on a quarterly basis, near the end of each calendar quarter, resulting in four securitizations per calendar year. However, in 2020, we closed only three term securitization transactions in that calendar year rather than four.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6800" w:type="dxa"/>
            <w:vAlign w:val="bottom"/>
            <w:gridSpan w:val="6"/>
          </w:tcPr>
          <w:p>
            <w:pPr>
              <w:jc w:val="right"/>
              <w:ind w:right="607"/>
              <w:spacing w:after="0"/>
              <w:rPr>
                <w:sz w:val="20"/>
                <w:szCs w:val="20"/>
                <w:color w:val="auto"/>
              </w:rPr>
            </w:pPr>
            <w:r>
              <w:rPr>
                <w:rFonts w:ascii="Arial" w:cs="Arial" w:eastAsia="Arial" w:hAnsi="Arial"/>
                <w:sz w:val="18"/>
                <w:szCs w:val="18"/>
                <w:b w:val="1"/>
                <w:bCs w:val="1"/>
                <w:color w:val="auto"/>
              </w:rPr>
              <w:t>Recent Asset-Backed Term Securitizations</w:t>
            </w: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960" w:type="dxa"/>
            <w:vAlign w:val="bottom"/>
            <w:gridSpan w:val="5"/>
          </w:tcPr>
          <w:p>
            <w:pPr>
              <w:ind w:left="2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4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Number of Term</w:t>
            </w:r>
          </w:p>
        </w:tc>
        <w:tc>
          <w:tcPr>
            <w:tcW w:w="4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85"/>
              </w:rPr>
              <w:t>Receivables Pledged</w:t>
            </w:r>
          </w:p>
        </w:tc>
        <w:tc>
          <w:tcPr>
            <w:tcW w:w="80" w:type="dxa"/>
            <w:vAlign w:val="bottom"/>
          </w:tcPr>
          <w:p>
            <w:pPr>
              <w:spacing w:after="0"/>
              <w:rPr>
                <w:sz w:val="16"/>
                <w:szCs w:val="16"/>
                <w:color w:val="auto"/>
              </w:rPr>
            </w:pPr>
          </w:p>
        </w:tc>
      </w:tr>
      <w:tr>
        <w:trPr>
          <w:trHeight w:val="234"/>
        </w:trPr>
        <w:tc>
          <w:tcPr>
            <w:tcW w:w="4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Period</w:t>
            </w:r>
          </w:p>
        </w:tc>
        <w:tc>
          <w:tcPr>
            <w:tcW w:w="1800" w:type="dxa"/>
            <w:vAlign w:val="bottom"/>
          </w:tcPr>
          <w:p>
            <w:pPr>
              <w:jc w:val="right"/>
              <w:ind w:right="10"/>
              <w:spacing w:after="0"/>
              <w:rPr>
                <w:sz w:val="20"/>
                <w:szCs w:val="20"/>
                <w:color w:val="auto"/>
              </w:rPr>
            </w:pPr>
            <w:r>
              <w:rPr>
                <w:rFonts w:ascii="Arial" w:cs="Arial" w:eastAsia="Arial" w:hAnsi="Arial"/>
                <w:sz w:val="18"/>
                <w:szCs w:val="18"/>
                <w:b w:val="1"/>
                <w:bCs w:val="1"/>
                <w:color w:val="auto"/>
              </w:rPr>
              <w:t>Securitizations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in Term Securitizations</w:t>
            </w:r>
          </w:p>
        </w:tc>
      </w:tr>
      <w:tr>
        <w:trPr>
          <w:trHeight w:val="210"/>
        </w:trPr>
        <w:tc>
          <w:tcPr>
            <w:tcW w:w="41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2016</w:t>
            </w:r>
          </w:p>
        </w:tc>
        <w:tc>
          <w:tcPr>
            <w:tcW w:w="8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auto"/>
            </w:tcBorders>
            <w:shd w:val="clear" w:color="auto" w:fill="EEEEEE"/>
          </w:tcPr>
          <w:p>
            <w:pPr>
              <w:jc w:val="right"/>
              <w:ind w:right="490"/>
              <w:spacing w:after="0"/>
              <w:rPr>
                <w:sz w:val="20"/>
                <w:szCs w:val="20"/>
                <w:color w:val="auto"/>
              </w:rPr>
            </w:pPr>
            <w:r>
              <w:rPr>
                <w:rFonts w:ascii="Arial" w:cs="Arial" w:eastAsia="Arial" w:hAnsi="Arial"/>
                <w:sz w:val="18"/>
                <w:szCs w:val="18"/>
                <w:color w:val="auto"/>
              </w:rPr>
              <w:t>4</w:t>
            </w:r>
          </w:p>
        </w:tc>
        <w:tc>
          <w:tcPr>
            <w:tcW w:w="46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2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1,214,997</w:t>
            </w: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18"/>
                <w:szCs w:val="18"/>
                <w:color w:val="auto"/>
              </w:rPr>
            </w:pP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870,000</w:t>
            </w:r>
          </w:p>
        </w:tc>
        <w:tc>
          <w:tcPr>
            <w:tcW w:w="80" w:type="dxa"/>
            <w:vAlign w:val="bottom"/>
          </w:tcPr>
          <w:p>
            <w:pPr>
              <w:spacing w:after="0"/>
              <w:rPr>
                <w:sz w:val="18"/>
                <w:szCs w:val="18"/>
                <w:color w:val="auto"/>
              </w:rPr>
            </w:pPr>
          </w:p>
        </w:tc>
      </w:tr>
      <w:tr>
        <w:trPr>
          <w:trHeight w:val="216"/>
        </w:trPr>
        <w:tc>
          <w:tcPr>
            <w:tcW w:w="41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shd w:val="clear" w:color="auto" w:fill="EEEEEE"/>
          </w:tcPr>
          <w:p>
            <w:pPr>
              <w:spacing w:after="0"/>
              <w:rPr>
                <w:sz w:val="18"/>
                <w:szCs w:val="18"/>
                <w:color w:val="auto"/>
              </w:rPr>
            </w:pPr>
          </w:p>
        </w:tc>
        <w:tc>
          <w:tcPr>
            <w:tcW w:w="1800" w:type="dxa"/>
            <w:vAlign w:val="bottom"/>
            <w:shd w:val="clear" w:color="auto" w:fill="EEEEEE"/>
          </w:tcPr>
          <w:p>
            <w:pPr>
              <w:jc w:val="right"/>
              <w:ind w:right="490"/>
              <w:spacing w:after="0"/>
              <w:rPr>
                <w:sz w:val="20"/>
                <w:szCs w:val="20"/>
                <w:color w:val="auto"/>
              </w:rPr>
            </w:pPr>
            <w:r>
              <w:rPr>
                <w:rFonts w:ascii="Arial" w:cs="Arial" w:eastAsia="Arial" w:hAnsi="Arial"/>
                <w:sz w:val="18"/>
                <w:szCs w:val="18"/>
                <w:color w:val="auto"/>
              </w:rPr>
              <w:t>4</w:t>
            </w: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883,452</w:t>
            </w:r>
          </w:p>
        </w:tc>
        <w:tc>
          <w:tcPr>
            <w:tcW w:w="80" w:type="dxa"/>
            <w:vAlign w:val="bottom"/>
            <w:shd w:val="clear" w:color="auto" w:fill="EEEEEE"/>
          </w:tcPr>
          <w:p>
            <w:pPr>
              <w:spacing w:after="0"/>
              <w:rPr>
                <w:sz w:val="18"/>
                <w:szCs w:val="18"/>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18"/>
                <w:szCs w:val="18"/>
                <w:color w:val="auto"/>
              </w:rPr>
            </w:pP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1,014,124</w:t>
            </w:r>
          </w:p>
        </w:tc>
        <w:tc>
          <w:tcPr>
            <w:tcW w:w="80" w:type="dxa"/>
            <w:vAlign w:val="bottom"/>
          </w:tcPr>
          <w:p>
            <w:pPr>
              <w:spacing w:after="0"/>
              <w:rPr>
                <w:sz w:val="18"/>
                <w:szCs w:val="18"/>
                <w:color w:val="auto"/>
              </w:rPr>
            </w:pPr>
          </w:p>
        </w:tc>
      </w:tr>
      <w:tr>
        <w:trPr>
          <w:trHeight w:val="216"/>
        </w:trPr>
        <w:tc>
          <w:tcPr>
            <w:tcW w:w="41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2020</w:t>
            </w:r>
          </w:p>
        </w:tc>
        <w:tc>
          <w:tcPr>
            <w:tcW w:w="80" w:type="dxa"/>
            <w:vAlign w:val="bottom"/>
            <w:shd w:val="clear" w:color="auto" w:fill="EEEEEE"/>
          </w:tcPr>
          <w:p>
            <w:pPr>
              <w:spacing w:after="0"/>
              <w:rPr>
                <w:sz w:val="18"/>
                <w:szCs w:val="18"/>
                <w:color w:val="auto"/>
              </w:rPr>
            </w:pPr>
          </w:p>
        </w:tc>
        <w:tc>
          <w:tcPr>
            <w:tcW w:w="1800" w:type="dxa"/>
            <w:vAlign w:val="bottom"/>
            <w:shd w:val="clear" w:color="auto" w:fill="EEEEEE"/>
          </w:tcPr>
          <w:p>
            <w:pPr>
              <w:jc w:val="right"/>
              <w:ind w:right="490"/>
              <w:spacing w:after="0"/>
              <w:rPr>
                <w:sz w:val="20"/>
                <w:szCs w:val="20"/>
                <w:color w:val="auto"/>
              </w:rPr>
            </w:pPr>
            <w:r>
              <w:rPr>
                <w:rFonts w:ascii="Arial" w:cs="Arial" w:eastAsia="Arial" w:hAnsi="Arial"/>
                <w:sz w:val="18"/>
                <w:szCs w:val="18"/>
                <w:color w:val="auto"/>
              </w:rPr>
              <w:t>3</w:t>
            </w: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741,867</w:t>
            </w:r>
          </w:p>
        </w:tc>
        <w:tc>
          <w:tcPr>
            <w:tcW w:w="80" w:type="dxa"/>
            <w:vAlign w:val="bottom"/>
            <w:shd w:val="clear" w:color="auto" w:fill="EEEEEE"/>
          </w:tcPr>
          <w:p>
            <w:pPr>
              <w:spacing w:after="0"/>
              <w:rPr>
                <w:sz w:val="18"/>
                <w:szCs w:val="18"/>
                <w:color w:val="auto"/>
              </w:rPr>
            </w:pPr>
          </w:p>
        </w:tc>
      </w:tr>
      <w:tr>
        <w:trPr>
          <w:trHeight w:val="216"/>
        </w:trPr>
        <w:tc>
          <w:tcPr>
            <w:tcW w:w="41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80" w:type="dxa"/>
            <w:vAlign w:val="bottom"/>
          </w:tcPr>
          <w:p>
            <w:pPr>
              <w:spacing w:after="0"/>
              <w:rPr>
                <w:sz w:val="18"/>
                <w:szCs w:val="18"/>
                <w:color w:val="auto"/>
              </w:rPr>
            </w:pPr>
          </w:p>
        </w:tc>
        <w:tc>
          <w:tcPr>
            <w:tcW w:w="1800" w:type="dxa"/>
            <w:vAlign w:val="bottom"/>
          </w:tcPr>
          <w:p>
            <w:pPr>
              <w:jc w:val="right"/>
              <w:ind w:right="490"/>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1,145,002</w:t>
            </w:r>
          </w:p>
        </w:tc>
        <w:tc>
          <w:tcPr>
            <w:tcW w:w="80" w:type="dxa"/>
            <w:vAlign w:val="bottom"/>
          </w:tcPr>
          <w:p>
            <w:pPr>
              <w:spacing w:after="0"/>
              <w:rPr>
                <w:sz w:val="18"/>
                <w:szCs w:val="18"/>
                <w:color w:val="auto"/>
              </w:rPr>
            </w:pPr>
          </w:p>
        </w:tc>
      </w:tr>
      <w:tr>
        <w:trPr>
          <w:trHeight w:val="216"/>
        </w:trPr>
        <w:tc>
          <w:tcPr>
            <w:tcW w:w="4220" w:type="dxa"/>
            <w:vAlign w:val="bottom"/>
            <w:gridSpan w:val="2"/>
            <w:shd w:val="clear" w:color="auto" w:fill="EEEEEE"/>
          </w:tcPr>
          <w:p>
            <w:pPr>
              <w:jc w:val="center"/>
              <w:ind w:right="80"/>
              <w:spacing w:after="0"/>
              <w:rPr>
                <w:sz w:val="20"/>
                <w:szCs w:val="20"/>
                <w:color w:val="auto"/>
              </w:rPr>
            </w:pPr>
            <w:r>
              <w:rPr>
                <w:rFonts w:ascii="Arial" w:cs="Arial" w:eastAsia="Arial" w:hAnsi="Arial"/>
                <w:sz w:val="18"/>
                <w:szCs w:val="18"/>
                <w:color w:val="auto"/>
                <w:w w:val="88"/>
              </w:rPr>
              <w:t>Six months ended June 30, 2022</w:t>
            </w:r>
          </w:p>
        </w:tc>
        <w:tc>
          <w:tcPr>
            <w:tcW w:w="1800" w:type="dxa"/>
            <w:vAlign w:val="bottom"/>
            <w:shd w:val="clear" w:color="auto" w:fill="EEEEEE"/>
          </w:tcPr>
          <w:p>
            <w:pPr>
              <w:jc w:val="right"/>
              <w:ind w:right="490"/>
              <w:spacing w:after="0"/>
              <w:rPr>
                <w:sz w:val="20"/>
                <w:szCs w:val="20"/>
                <w:color w:val="auto"/>
              </w:rPr>
            </w:pPr>
            <w:r>
              <w:rPr>
                <w:rFonts w:ascii="Arial" w:cs="Arial" w:eastAsia="Arial" w:hAnsi="Arial"/>
                <w:sz w:val="18"/>
                <w:szCs w:val="18"/>
                <w:color w:val="auto"/>
              </w:rPr>
              <w:t>2</w:t>
            </w:r>
          </w:p>
        </w:tc>
        <w:tc>
          <w:tcPr>
            <w:tcW w:w="4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1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760,000</w:t>
            </w:r>
          </w:p>
        </w:tc>
        <w:tc>
          <w:tcPr>
            <w:tcW w:w="8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Generally, prior to a securitization transaction we fund our automobile contract purchases primarily with proceeds from warehouse credit facilities. We previously had short-term funding capacity of $200 million, comprising three credit facilities. The first credit facility was established in May 2012. This facility was most recently renewed in July 2022, extending the revolving period to July 2024, with an optional amortization period through July 2025. In addition, the capacity was doubled from $100 million to $200 million at the July 2022 renewal.</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November 2015, we entered into another $100 million facility. This facility was most recently renewed in -January 2022, extending the revolving period to January 2024, followed by an amortization period to January 2026. In June 2022, we doubled the capacity for this facility from $100 million to $200 million.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spacing w:after="0" w:line="263" w:lineRule="auto"/>
        <w:rPr>
          <w:sz w:val="20"/>
          <w:szCs w:val="20"/>
          <w:color w:val="auto"/>
        </w:rPr>
      </w:pPr>
      <w:r>
        <w:rPr>
          <w:rFonts w:ascii="Arial" w:cs="Arial" w:eastAsia="Arial" w:hAnsi="Arial"/>
          <w:sz w:val="18"/>
          <w:szCs w:val="18"/>
          <w:color w:val="auto"/>
        </w:rPr>
        <w:t>In April 2015, we entered into a $100 million facility that was renewed in April 2017 and again in February 2019. We repaid the outstanding balance for this facility at its maturity date in February 2021 and elected not to renew it. We currently have short-term funding capacity of $400 million over two credit facilities.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 securitization and in our warehouse credit facilities, we are required to make certain representations and warranties, which are generally similar to the representations and warranties made by dealers in connection with our purchase of the automobile contracts. If we breach any of our representations or warranties, we will be obligated to repurchase the automobile contract at a price equal to the principal balance plus accrued and unpaid interest. We may then be entitled under the terms of our dealer agreement to require the selling dealer to repurchase the contract at a price equal to our purchase price, less any principal payments made by the customer. Subject to any recourse against dealers, we will bear the risk of loss on repossession and resale of vehicles under automobile contracts that we repurchase.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securitization, the related special purpose subsidiary may be unable to release excess cash to us if the credit performance of the securitized automobile contracts falls short of pre-determined standards. Such releases represent a material portion of the cash that we use to fund our operations. An unexpected deterioration in the performance of securitized automobile contracts could therefore have a material adverse effect on both our liquidity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Receivables we originate and service for third-parties are not pledged to our warehouse facilities or included in our securitizations.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2022, we were in compliance with all such covenants.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three months ended June 30, 2022 with the three months ended June 30, 2021</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Revenues</w:t>
      </w:r>
      <w:r>
        <w:rPr>
          <w:rFonts w:ascii="Arial" w:cs="Arial" w:eastAsia="Arial" w:hAnsi="Arial"/>
          <w:sz w:val="17"/>
          <w:szCs w:val="17"/>
          <w:color w:val="auto"/>
        </w:rPr>
        <w:t>. During the three months ended June 30, 2022, our revenues were $82.0 million, an increase of $15.2 million, or 22.8%, from the prior year</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of $66.8 million. The primary reasons for the increase in revenues are the mark ups to the finance receivables measured at fair value and the increase in the average outstanding balance of finance receivables measured at fair value. Revenues for the three months ended June 30, 2022 include a $4.7 million mark up to the recorded value of the finance receivables measured at fair value. The marks are estimates based on our evaluation of the appropriate fair value and future earnings rate of existing receivables compared to recently acquired receivables and increases or decreases in our estimates of future net losses. During the three months ended June 30, 2022, we reduced our estimate for expected future losses in finance receivables measured at fair value as we have observed that our previous estimates for increased losses due to the pandemic had not materialized. The change in estimated losses resulted in the $4.7 million mark up for the three months ended June 30, 2022. There was no mark up or mark down to the fair value portfolio in the prior year period.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8" w:name="page29"/>
    <w:bookmarkEnd w:id="28"/>
    <w:p>
      <w:pPr>
        <w:jc w:val="both"/>
        <w:spacing w:after="0" w:line="259" w:lineRule="auto"/>
        <w:rPr>
          <w:sz w:val="20"/>
          <w:szCs w:val="20"/>
          <w:color w:val="auto"/>
        </w:rPr>
      </w:pPr>
      <w:r>
        <w:rPr>
          <w:rFonts w:ascii="Arial" w:cs="Arial" w:eastAsia="Arial" w:hAnsi="Arial"/>
          <w:sz w:val="18"/>
          <w:szCs w:val="18"/>
          <w:color w:val="auto"/>
        </w:rPr>
        <w:t>Interest income for the three months ended June 30, 2022 increased $10.2 million, or 15.6%, to $75.7 million from $65.4 million in the prior year. The primary reason for the increase in interest income is the 31.8% increase in the average balance of finance receivables measured at fair value over the prior year period. The table below shows the average balances and interest yields of the two components of our loan portfolio for the three months ended June 30, 2022 and 2021:</w:t>
      </w:r>
    </w:p>
    <w:p>
      <w:pPr>
        <w:sectPr>
          <w:pgSz w:w="11900" w:h="16838" w:orient="portrait"/>
          <w:cols w:equalWidth="0" w:num="1">
            <w:col w:w="11240"/>
          </w:cols>
          <w:pgMar w:left="320" w:top="8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0" w:firstLine="1012"/>
        <w:spacing w:after="0" w:line="261" w:lineRule="auto"/>
        <w:rPr>
          <w:sz w:val="20"/>
          <w:szCs w:val="20"/>
          <w:color w:val="auto"/>
        </w:rPr>
      </w:pPr>
      <w:r>
        <w:rPr>
          <w:rFonts w:ascii="Arial" w:cs="Arial" w:eastAsia="Arial" w:hAnsi="Arial"/>
          <w:sz w:val="18"/>
          <w:szCs w:val="18"/>
          <w:b w:val="1"/>
          <w:bCs w:val="1"/>
          <w:u w:val="single" w:color="auto"/>
          <w:color w:val="auto"/>
        </w:rPr>
        <w:t xml:space="preserve">Interest Earning Assets </w:t>
      </w:r>
      <w:r>
        <w:rPr>
          <w:rFonts w:ascii="Arial" w:cs="Arial" w:eastAsia="Arial" w:hAnsi="Arial"/>
          <w:sz w:val="18"/>
          <w:szCs w:val="18"/>
          <w:color w:val="auto"/>
        </w:rPr>
        <w:t>Finance receivables</w:t>
      </w:r>
    </w:p>
    <w:p>
      <w:pPr>
        <w:ind w:right="140"/>
        <w:spacing w:after="0" w:line="276" w:lineRule="auto"/>
        <w:rPr>
          <w:sz w:val="20"/>
          <w:szCs w:val="20"/>
          <w:color w:val="auto"/>
        </w:rPr>
      </w:pPr>
      <w:r>
        <w:rPr>
          <w:rFonts w:ascii="Arial" w:cs="Arial" w:eastAsia="Arial" w:hAnsi="Arial"/>
          <w:sz w:val="18"/>
          <w:szCs w:val="18"/>
          <w:color w:val="auto"/>
        </w:rPr>
        <w:t>Finance receivables measured at fair value Total</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Three Months Ended June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r>
      <w:tr>
        <w:trPr>
          <w:trHeight w:val="191"/>
        </w:trPr>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40" w:type="dxa"/>
            <w:vAlign w:val="bottom"/>
            <w:gridSpan w:val="5"/>
          </w:tcPr>
          <w:p>
            <w:pPr>
              <w:ind w:left="22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29"/>
        </w:trPr>
        <w:tc>
          <w:tcPr>
            <w:tcW w:w="160" w:type="dxa"/>
            <w:vAlign w:val="bottom"/>
          </w:tcPr>
          <w:p>
            <w:pPr>
              <w:spacing w:after="0"/>
              <w:rPr>
                <w:sz w:val="19"/>
                <w:szCs w:val="19"/>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Interest</w:t>
            </w:r>
          </w:p>
        </w:tc>
        <w:tc>
          <w:tcPr>
            <w:tcW w:w="14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Average</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b w:val="1"/>
                <w:bCs w:val="1"/>
                <w:color w:val="auto"/>
              </w:rPr>
              <w:t>Interest</w:t>
            </w:r>
          </w:p>
        </w:tc>
      </w:tr>
      <w:tr>
        <w:trPr>
          <w:trHeight w:val="234"/>
        </w:trPr>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Balance</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Interest</w:t>
            </w:r>
          </w:p>
        </w:tc>
        <w:tc>
          <w:tcPr>
            <w:tcW w:w="240" w:type="dxa"/>
            <w:vAlign w:val="bottom"/>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Yield</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Balance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8"/>
              </w:rPr>
              <w:t>Interest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Yield</w:t>
            </w:r>
          </w:p>
        </w:tc>
      </w:tr>
      <w:tr>
        <w:trPr>
          <w:trHeight w:val="425"/>
        </w:trPr>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164,380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9,940</w:t>
            </w: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24.2%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371,718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18,497</w:t>
            </w:r>
          </w:p>
        </w:tc>
        <w:tc>
          <w:tcPr>
            <w:tcW w:w="10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16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2,305,575</w:t>
            </w:r>
          </w:p>
        </w:tc>
        <w:tc>
          <w:tcPr>
            <w:tcW w:w="1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65,730</w:t>
            </w: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11.4%</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1,748,991</w:t>
            </w:r>
          </w:p>
        </w:tc>
        <w:tc>
          <w:tcPr>
            <w:tcW w:w="1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46,943</w:t>
            </w: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2,469,955</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75,670</w:t>
            </w:r>
          </w:p>
        </w:tc>
        <w:tc>
          <w:tcPr>
            <w:tcW w:w="24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6"/>
              </w:rPr>
              <w:t>12.3%</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2,120,709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65,440</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-2496185</wp:posOffset>
            </wp:positionH>
            <wp:positionV relativeFrom="paragraph">
              <wp:posOffset>-607695</wp:posOffset>
            </wp:positionV>
            <wp:extent cx="713232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-2496185</wp:posOffset>
            </wp:positionH>
            <wp:positionV relativeFrom="paragraph">
              <wp:posOffset>-325120</wp:posOffset>
            </wp:positionV>
            <wp:extent cx="71323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720"/>
            <w:col w:w="7300"/>
          </w:cols>
          <w:pgMar w:left="320" w:top="800" w:right="339" w:bottom="1440" w:gutter="0" w:footer="0" w:header="0"/>
          <w:type w:val="continuous"/>
        </w:sectPr>
      </w:pPr>
    </w:p>
    <w:p>
      <w:pPr>
        <w:spacing w:after="0" w:line="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income was $1.6 million for the three months ended June 30, 2022 compared to $1.3 million for the comparable period in 2021. This 24.0% increase was primarily driven by the origination and servicing fees we earned from third party receivables that began in May 2021. These fees were $1.2 million for the quarter ended June 30, 2022.</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interest expense, provision for credit losses, employee costs, sales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expenses were $47.8 million for the three months ended June 30, 2022, compared to $52.9 million for the prior period, a decrease of $5.1 million, or 9.6%. The decrease is primarily due to decreases in provisions for credit losses.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29" w:name="page30"/>
    <w:bookmarkEnd w:id="29"/>
    <w:p>
      <w:pPr>
        <w:jc w:val="both"/>
        <w:spacing w:after="0" w:line="263" w:lineRule="auto"/>
        <w:rPr>
          <w:sz w:val="20"/>
          <w:szCs w:val="20"/>
          <w:color w:val="auto"/>
        </w:rPr>
      </w:pPr>
      <w:r>
        <w:rPr>
          <w:rFonts w:ascii="Arial" w:cs="Arial" w:eastAsia="Arial" w:hAnsi="Arial"/>
          <w:sz w:val="18"/>
          <w:szCs w:val="18"/>
          <w:color w:val="auto"/>
        </w:rPr>
        <w:t>Employee costs were $20.6 million during the three months ended June 30, 2022 compared to $19.4 million for the same quarter in the prior year. The table below summarizes our employees by category as well as contract purchases and units in our managed portfolio as of, and for the three-month periods ended, June 30, 2022 and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June 30,</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3"/>
          </w:tcPr>
          <w:p>
            <w:pPr>
              <w:jc w:val="right"/>
              <w:ind w:right="341"/>
              <w:spacing w:after="0"/>
              <w:rPr>
                <w:sz w:val="20"/>
                <w:szCs w:val="20"/>
                <w:color w:val="auto"/>
              </w:rPr>
            </w:pPr>
            <w:r>
              <w:rPr>
                <w:rFonts w:ascii="Arial" w:cs="Arial" w:eastAsia="Arial" w:hAnsi="Arial"/>
                <w:sz w:val="18"/>
                <w:szCs w:val="18"/>
                <w:b w:val="1"/>
                <w:bCs w:val="1"/>
                <w:color w:val="auto"/>
                <w:w w:val="89"/>
              </w:rPr>
              <w:t>(Dollars in millions)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336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548.1</w:t>
            </w:r>
          </w:p>
        </w:tc>
        <w:tc>
          <w:tcPr>
            <w:tcW w:w="1060" w:type="dxa"/>
            <w:vAlign w:val="bottom"/>
            <w:shd w:val="clear" w:color="auto" w:fill="EEEEEE"/>
          </w:tcPr>
          <w:p>
            <w:pPr>
              <w:jc w:val="right"/>
              <w:ind w:right="90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286.0</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23,261</w:t>
            </w:r>
          </w:p>
        </w:tc>
        <w:tc>
          <w:tcPr>
            <w:tcW w:w="10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14,452</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336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2,650.9</w:t>
            </w:r>
          </w:p>
        </w:tc>
        <w:tc>
          <w:tcPr>
            <w:tcW w:w="1060" w:type="dxa"/>
            <w:vAlign w:val="bottom"/>
            <w:shd w:val="clear" w:color="auto" w:fill="EEEEEE"/>
          </w:tcPr>
          <w:p>
            <w:pPr>
              <w:jc w:val="right"/>
              <w:ind w:right="90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9"/>
              </w:rPr>
              <w:t>2,120.7</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167,146</w:t>
            </w:r>
          </w:p>
        </w:tc>
        <w:tc>
          <w:tcPr>
            <w:tcW w:w="10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156,995</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0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2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132</w:t>
            </w:r>
          </w:p>
        </w:tc>
        <w:tc>
          <w:tcPr>
            <w:tcW w:w="10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0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r>
      <w:tr>
        <w:trPr>
          <w:trHeight w:val="230"/>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3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68</w:t>
            </w:r>
          </w:p>
        </w:tc>
        <w:tc>
          <w:tcPr>
            <w:tcW w:w="106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EEEEEE"/>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34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was $8.3 million, a decrease from $7.8 million in the previous year and represented 17.3% of total operating expenses.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three months ended June 30, 2022 were $18.8 million and represented 39.3% of total operating expenses, compared to $19.0 million in the previous year, when it was 35.9%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0" w:name="page31"/>
    <w:bookmarkEnd w:id="30"/>
    <w:p>
      <w:pPr>
        <w:jc w:val="both"/>
        <w:spacing w:after="0" w:line="291" w:lineRule="auto"/>
        <w:rPr>
          <w:sz w:val="20"/>
          <w:szCs w:val="20"/>
          <w:color w:val="auto"/>
        </w:rPr>
      </w:pPr>
      <w:r>
        <w:rPr>
          <w:rFonts w:ascii="Arial" w:cs="Arial" w:eastAsia="Arial" w:hAnsi="Arial"/>
          <w:sz w:val="16"/>
          <w:szCs w:val="16"/>
          <w:color w:val="auto"/>
        </w:rPr>
        <w:t>Interest on securitization trust debt decreased by $1.1 million for the three months ended June 30, 2022 compared to the prior period. The average balance of securitization trust debt increased to $2,037.3 million for the three months ended June 30, 2022 compared to $1,831.5 million for the three months ended June 30, 2021. The annualized average rate on our securitization trust debt was 3.1% for the three months ended June 30, 2022 compared to 3.7%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32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2"/>
              </w:rPr>
              <w:t>Period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09"/>
        </w:trPr>
        <w:tc>
          <w:tcPr>
            <w:tcW w:w="35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January 2018</w:t>
            </w:r>
          </w:p>
        </w:tc>
        <w:tc>
          <w:tcPr>
            <w:tcW w:w="780" w:type="dxa"/>
            <w:vAlign w:val="bottom"/>
            <w:tcBorders>
              <w:top w:val="single" w:sz="8" w:color="EEEEEE"/>
            </w:tcBorders>
            <w:shd w:val="clear" w:color="auto" w:fill="EEEEEE"/>
          </w:tcPr>
          <w:p>
            <w:pPr>
              <w:spacing w:after="0"/>
              <w:rPr>
                <w:sz w:val="18"/>
                <w:szCs w:val="18"/>
                <w:color w:val="auto"/>
              </w:rPr>
            </w:pPr>
          </w:p>
        </w:tc>
        <w:tc>
          <w:tcPr>
            <w:tcW w:w="35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4320" w:type="dxa"/>
            <w:vAlign w:val="bottom"/>
            <w:gridSpan w:val="2"/>
          </w:tcPr>
          <w:p>
            <w:pPr>
              <w:jc w:val="center"/>
              <w:ind w:right="780"/>
              <w:spacing w:after="0"/>
              <w:rPr>
                <w:sz w:val="20"/>
                <w:szCs w:val="20"/>
                <w:color w:val="auto"/>
              </w:rPr>
            </w:pPr>
            <w:r>
              <w:rPr>
                <w:rFonts w:ascii="Arial" w:cs="Arial" w:eastAsia="Arial" w:hAnsi="Arial"/>
                <w:sz w:val="18"/>
                <w:szCs w:val="18"/>
                <w:color w:val="auto"/>
                <w:w w:val="96"/>
              </w:rPr>
              <w:t>April 2018</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4320" w:type="dxa"/>
            <w:vAlign w:val="bottom"/>
            <w:gridSpan w:val="2"/>
            <w:shd w:val="clear" w:color="auto" w:fill="EEEEEE"/>
          </w:tcPr>
          <w:p>
            <w:pPr>
              <w:jc w:val="center"/>
              <w:ind w:right="780"/>
              <w:spacing w:after="0"/>
              <w:rPr>
                <w:sz w:val="20"/>
                <w:szCs w:val="20"/>
                <w:color w:val="auto"/>
              </w:rPr>
            </w:pPr>
            <w:r>
              <w:rPr>
                <w:rFonts w:ascii="Arial" w:cs="Arial" w:eastAsia="Arial" w:hAnsi="Arial"/>
                <w:sz w:val="18"/>
                <w:szCs w:val="18"/>
                <w:color w:val="auto"/>
                <w:w w:val="90"/>
              </w:rPr>
              <w:t>July 2018</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43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October 2018</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4320" w:type="dxa"/>
            <w:vAlign w:val="bottom"/>
            <w:gridSpan w:val="2"/>
            <w:shd w:val="clear" w:color="auto" w:fill="EEEEEE"/>
          </w:tcPr>
          <w:p>
            <w:pPr>
              <w:jc w:val="center"/>
              <w:ind w:right="800"/>
              <w:spacing w:after="0"/>
              <w:rPr>
                <w:sz w:val="20"/>
                <w:szCs w:val="20"/>
                <w:color w:val="auto"/>
              </w:rPr>
            </w:pPr>
            <w:r>
              <w:rPr>
                <w:rFonts w:ascii="Arial" w:cs="Arial" w:eastAsia="Arial" w:hAnsi="Arial"/>
                <w:sz w:val="18"/>
                <w:szCs w:val="18"/>
                <w:color w:val="auto"/>
                <w:w w:val="87"/>
              </w:rPr>
              <w:t>January 2019</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4320" w:type="dxa"/>
            <w:vAlign w:val="bottom"/>
            <w:gridSpan w:val="2"/>
          </w:tcPr>
          <w:p>
            <w:pPr>
              <w:jc w:val="center"/>
              <w:ind w:right="780"/>
              <w:spacing w:after="0"/>
              <w:rPr>
                <w:sz w:val="20"/>
                <w:szCs w:val="20"/>
                <w:color w:val="auto"/>
              </w:rPr>
            </w:pPr>
            <w:r>
              <w:rPr>
                <w:rFonts w:ascii="Arial" w:cs="Arial" w:eastAsia="Arial" w:hAnsi="Arial"/>
                <w:sz w:val="18"/>
                <w:szCs w:val="18"/>
                <w:color w:val="auto"/>
                <w:w w:val="96"/>
              </w:rPr>
              <w:t>April 2019</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4320" w:type="dxa"/>
            <w:vAlign w:val="bottom"/>
            <w:gridSpan w:val="2"/>
            <w:shd w:val="clear" w:color="auto" w:fill="EEEEEE"/>
          </w:tcPr>
          <w:p>
            <w:pPr>
              <w:jc w:val="center"/>
              <w:ind w:right="780"/>
              <w:spacing w:after="0"/>
              <w:rPr>
                <w:sz w:val="20"/>
                <w:szCs w:val="20"/>
                <w:color w:val="auto"/>
              </w:rPr>
            </w:pPr>
            <w:r>
              <w:rPr>
                <w:rFonts w:ascii="Arial" w:cs="Arial" w:eastAsia="Arial" w:hAnsi="Arial"/>
                <w:sz w:val="18"/>
                <w:szCs w:val="18"/>
                <w:color w:val="auto"/>
                <w:w w:val="90"/>
              </w:rPr>
              <w:t>July 2019</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43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October 2019</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4320" w:type="dxa"/>
            <w:vAlign w:val="bottom"/>
            <w:gridSpan w:val="2"/>
            <w:shd w:val="clear" w:color="auto" w:fill="EEEEEE"/>
          </w:tcPr>
          <w:p>
            <w:pPr>
              <w:jc w:val="center"/>
              <w:ind w:right="800"/>
              <w:spacing w:after="0"/>
              <w:rPr>
                <w:sz w:val="20"/>
                <w:szCs w:val="20"/>
                <w:color w:val="auto"/>
              </w:rPr>
            </w:pPr>
            <w:r>
              <w:rPr>
                <w:rFonts w:ascii="Arial" w:cs="Arial" w:eastAsia="Arial" w:hAnsi="Arial"/>
                <w:sz w:val="18"/>
                <w:szCs w:val="18"/>
                <w:color w:val="auto"/>
                <w:w w:val="87"/>
              </w:rPr>
              <w:t>January 2020</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16"/>
        </w:trPr>
        <w:tc>
          <w:tcPr>
            <w:tcW w:w="4320" w:type="dxa"/>
            <w:vAlign w:val="bottom"/>
            <w:gridSpan w:val="2"/>
          </w:tcPr>
          <w:p>
            <w:pPr>
              <w:jc w:val="center"/>
              <w:ind w:right="780"/>
              <w:spacing w:after="0"/>
              <w:rPr>
                <w:sz w:val="20"/>
                <w:szCs w:val="20"/>
                <w:color w:val="auto"/>
              </w:rPr>
            </w:pPr>
            <w:r>
              <w:rPr>
                <w:rFonts w:ascii="Arial" w:cs="Arial" w:eastAsia="Arial" w:hAnsi="Arial"/>
                <w:sz w:val="18"/>
                <w:szCs w:val="18"/>
                <w:color w:val="auto"/>
                <w:w w:val="87"/>
              </w:rPr>
              <w:t>June 2020</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4.09%</w:t>
            </w:r>
          </w:p>
        </w:tc>
      </w:tr>
      <w:tr>
        <w:trPr>
          <w:trHeight w:val="216"/>
        </w:trPr>
        <w:tc>
          <w:tcPr>
            <w:tcW w:w="4320" w:type="dxa"/>
            <w:vAlign w:val="bottom"/>
            <w:gridSpan w:val="2"/>
            <w:shd w:val="clear" w:color="auto" w:fill="EEEEEE"/>
          </w:tcPr>
          <w:p>
            <w:pPr>
              <w:jc w:val="center"/>
              <w:ind w:right="780"/>
              <w:spacing w:after="0"/>
              <w:rPr>
                <w:sz w:val="20"/>
                <w:szCs w:val="20"/>
                <w:color w:val="auto"/>
              </w:rPr>
            </w:pPr>
            <w:r>
              <w:rPr>
                <w:rFonts w:ascii="Arial" w:cs="Arial" w:eastAsia="Arial" w:hAnsi="Arial"/>
                <w:sz w:val="18"/>
                <w:szCs w:val="18"/>
                <w:color w:val="auto"/>
                <w:w w:val="88"/>
              </w:rPr>
              <w:t>September 2020</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2.39%</w:t>
            </w:r>
          </w:p>
        </w:tc>
      </w:tr>
      <w:tr>
        <w:trPr>
          <w:trHeight w:val="216"/>
        </w:trPr>
        <w:tc>
          <w:tcPr>
            <w:tcW w:w="4320" w:type="dxa"/>
            <w:vAlign w:val="bottom"/>
            <w:gridSpan w:val="2"/>
          </w:tcPr>
          <w:p>
            <w:pPr>
              <w:jc w:val="center"/>
              <w:ind w:right="800"/>
              <w:spacing w:after="0"/>
              <w:rPr>
                <w:sz w:val="20"/>
                <w:szCs w:val="20"/>
                <w:color w:val="auto"/>
              </w:rPr>
            </w:pPr>
            <w:r>
              <w:rPr>
                <w:rFonts w:ascii="Arial" w:cs="Arial" w:eastAsia="Arial" w:hAnsi="Arial"/>
                <w:sz w:val="18"/>
                <w:szCs w:val="18"/>
                <w:color w:val="auto"/>
                <w:w w:val="87"/>
              </w:rPr>
              <w:t>January 2021</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1.11%</w:t>
            </w:r>
          </w:p>
        </w:tc>
      </w:tr>
      <w:tr>
        <w:trPr>
          <w:trHeight w:val="216"/>
        </w:trPr>
        <w:tc>
          <w:tcPr>
            <w:tcW w:w="4320" w:type="dxa"/>
            <w:vAlign w:val="bottom"/>
            <w:gridSpan w:val="2"/>
            <w:shd w:val="clear" w:color="auto" w:fill="EEEEEE"/>
          </w:tcPr>
          <w:p>
            <w:pPr>
              <w:jc w:val="center"/>
              <w:ind w:right="780"/>
              <w:spacing w:after="0"/>
              <w:rPr>
                <w:sz w:val="20"/>
                <w:szCs w:val="20"/>
                <w:color w:val="auto"/>
              </w:rPr>
            </w:pPr>
            <w:r>
              <w:rPr>
                <w:rFonts w:ascii="Arial" w:cs="Arial" w:eastAsia="Arial" w:hAnsi="Arial"/>
                <w:sz w:val="18"/>
                <w:szCs w:val="18"/>
                <w:color w:val="auto"/>
                <w:w w:val="96"/>
              </w:rPr>
              <w:t>April 2021</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1.65%</w:t>
            </w:r>
          </w:p>
        </w:tc>
      </w:tr>
      <w:tr>
        <w:trPr>
          <w:trHeight w:val="216"/>
        </w:trPr>
        <w:tc>
          <w:tcPr>
            <w:tcW w:w="4320" w:type="dxa"/>
            <w:vAlign w:val="bottom"/>
            <w:gridSpan w:val="2"/>
          </w:tcPr>
          <w:p>
            <w:pPr>
              <w:jc w:val="center"/>
              <w:ind w:right="780"/>
              <w:spacing w:after="0"/>
              <w:rPr>
                <w:sz w:val="20"/>
                <w:szCs w:val="20"/>
                <w:color w:val="auto"/>
              </w:rPr>
            </w:pPr>
            <w:r>
              <w:rPr>
                <w:rFonts w:ascii="Arial" w:cs="Arial" w:eastAsia="Arial" w:hAnsi="Arial"/>
                <w:sz w:val="18"/>
                <w:szCs w:val="18"/>
                <w:color w:val="auto"/>
                <w:w w:val="90"/>
              </w:rPr>
              <w:t>July 2021</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1.55%</w:t>
            </w:r>
          </w:p>
        </w:tc>
      </w:tr>
      <w:tr>
        <w:trPr>
          <w:trHeight w:val="216"/>
        </w:trPr>
        <w:tc>
          <w:tcPr>
            <w:tcW w:w="4320" w:type="dxa"/>
            <w:vAlign w:val="bottom"/>
            <w:gridSpan w:val="2"/>
            <w:shd w:val="clear" w:color="auto" w:fill="EEEEEE"/>
          </w:tcPr>
          <w:p>
            <w:pPr>
              <w:jc w:val="center"/>
              <w:ind w:right="780"/>
              <w:spacing w:after="0"/>
              <w:rPr>
                <w:sz w:val="20"/>
                <w:szCs w:val="20"/>
                <w:color w:val="auto"/>
              </w:rPr>
            </w:pPr>
            <w:r>
              <w:rPr>
                <w:rFonts w:ascii="Arial" w:cs="Arial" w:eastAsia="Arial" w:hAnsi="Arial"/>
                <w:sz w:val="18"/>
                <w:szCs w:val="18"/>
                <w:color w:val="auto"/>
                <w:w w:val="89"/>
              </w:rPr>
              <w:t>October 2021</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2.09%</w:t>
            </w:r>
          </w:p>
        </w:tc>
      </w:tr>
      <w:tr>
        <w:trPr>
          <w:trHeight w:val="216"/>
        </w:trPr>
        <w:tc>
          <w:tcPr>
            <w:tcW w:w="4320" w:type="dxa"/>
            <w:vAlign w:val="bottom"/>
            <w:gridSpan w:val="2"/>
          </w:tcPr>
          <w:p>
            <w:pPr>
              <w:jc w:val="center"/>
              <w:ind w:right="800"/>
              <w:spacing w:after="0"/>
              <w:rPr>
                <w:sz w:val="20"/>
                <w:szCs w:val="20"/>
                <w:color w:val="auto"/>
              </w:rPr>
            </w:pPr>
            <w:r>
              <w:rPr>
                <w:rFonts w:ascii="Arial" w:cs="Arial" w:eastAsia="Arial" w:hAnsi="Arial"/>
                <w:sz w:val="18"/>
                <w:szCs w:val="18"/>
                <w:color w:val="auto"/>
                <w:w w:val="87"/>
              </w:rPr>
              <w:t>January 2022</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2.54%</w:t>
            </w:r>
          </w:p>
        </w:tc>
      </w:tr>
      <w:tr>
        <w:trPr>
          <w:trHeight w:val="216"/>
        </w:trPr>
        <w:tc>
          <w:tcPr>
            <w:tcW w:w="4320" w:type="dxa"/>
            <w:vAlign w:val="bottom"/>
            <w:gridSpan w:val="2"/>
            <w:shd w:val="clear" w:color="auto" w:fill="EEEEEE"/>
          </w:tcPr>
          <w:p>
            <w:pPr>
              <w:jc w:val="center"/>
              <w:ind w:right="780"/>
              <w:spacing w:after="0"/>
              <w:rPr>
                <w:sz w:val="20"/>
                <w:szCs w:val="20"/>
                <w:color w:val="auto"/>
              </w:rPr>
            </w:pPr>
            <w:r>
              <w:rPr>
                <w:rFonts w:ascii="Arial" w:cs="Arial" w:eastAsia="Arial" w:hAnsi="Arial"/>
                <w:sz w:val="18"/>
                <w:szCs w:val="18"/>
                <w:color w:val="auto"/>
                <w:w w:val="96"/>
              </w:rPr>
              <w:t>April 2022</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4.83%</w:t>
            </w: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expense on warehouse credit line debt increased by $366,000 to $1.4 million for the three months ended June 30, 2022 compared to $1.0 million in the prior year period. The increase was due to the higher utilization of our credit lines during the quarter compared to last year. The average balance of our warehouse debt was $85.6 million during the three months ended June 30, 2022 compared to $50.5 million for the same period in 2021.</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Interest expense on subordinated renewable notes was $590,000 for the three months ended June 30, 2022. The average balance of the outstanding subordinated debt increased 7.6% to $26.7 million for the three months ended June 30, 2022 compared to $24.8 million for the prior year. The average yield of subordinated notes decreased to 8.8% compared to 10.8% in the prior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1" w:name="page32"/>
    <w:bookmarkEnd w:id="31"/>
    <w:p>
      <w:pPr>
        <w:jc w:val="both"/>
        <w:spacing w:after="0" w:line="263" w:lineRule="auto"/>
        <w:rPr>
          <w:sz w:val="20"/>
          <w:szCs w:val="20"/>
          <w:color w:val="auto"/>
        </w:rPr>
      </w:pPr>
      <w:r>
        <w:rPr>
          <w:rFonts w:ascii="Arial" w:cs="Arial" w:eastAsia="Arial" w:hAnsi="Arial"/>
          <w:sz w:val="18"/>
          <w:szCs w:val="18"/>
          <w:color w:val="auto"/>
        </w:rPr>
        <w:t>In May 2018 and June 2021, we completed two residual interest financings of our residual interests from previously issued securitizations in the amounts of $40.0 million and $50.0 million, respectively. Interest expense on these residual interest financings was $1.1 million for the three months ended June 30, 2022 compared to $467,000 in the prior year period.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three-month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2022 and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64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Annualized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29"/>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3"/>
            <w:vMerge w:val="restart"/>
          </w:tcPr>
          <w:p>
            <w:pPr>
              <w:jc w:val="center"/>
              <w:ind w:right="800"/>
              <w:spacing w:after="0"/>
              <w:rPr>
                <w:sz w:val="20"/>
                <w:szCs w:val="20"/>
                <w:color w:val="auto"/>
              </w:rPr>
            </w:pPr>
            <w:r>
              <w:rPr>
                <w:rFonts w:ascii="Arial" w:cs="Arial" w:eastAsia="Arial" w:hAnsi="Arial"/>
                <w:sz w:val="18"/>
                <w:szCs w:val="18"/>
                <w:b w:val="1"/>
                <w:bCs w:val="1"/>
                <w:color w:val="auto"/>
                <w:w w:val="89"/>
              </w:rPr>
              <w:t>Interest Earning Assets</w:t>
            </w: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Balance (1)</w:t>
            </w: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Yield/Rate</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164,380</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9,940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371,718</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18,497</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29"/>
        </w:trPr>
        <w:tc>
          <w:tcPr>
            <w:tcW w:w="3280" w:type="dxa"/>
            <w:vAlign w:val="bottom"/>
            <w:gridSpan w:val="5"/>
          </w:tcPr>
          <w:p>
            <w:pPr>
              <w:spacing w:after="0"/>
              <w:rPr>
                <w:sz w:val="20"/>
                <w:szCs w:val="20"/>
                <w:color w:val="auto"/>
              </w:rPr>
            </w:pPr>
            <w:r>
              <w:rPr>
                <w:rFonts w:ascii="Arial" w:cs="Arial" w:eastAsia="Arial" w:hAnsi="Arial"/>
                <w:sz w:val="18"/>
                <w:szCs w:val="18"/>
                <w:color w:val="auto"/>
              </w:rPr>
              <w:t>Finance receivables at fair value</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2,305,575</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65,730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1,748,991</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46,943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5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2,469,955</w:t>
            </w: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75,670</w:t>
            </w:r>
          </w:p>
        </w:tc>
        <w:tc>
          <w:tcPr>
            <w:tcW w:w="2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EEEEEE"/>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2,120,709</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65,440</w:t>
            </w:r>
          </w:p>
        </w:tc>
        <w:tc>
          <w:tcPr>
            <w:tcW w:w="2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EEEEEE"/>
            </w:tcBorders>
            <w:shd w:val="clear" w:color="auto" w:fill="EEEEEE"/>
          </w:tcPr>
          <w:p>
            <w:pPr>
              <w:spacing w:after="0"/>
              <w:rPr>
                <w:sz w:val="17"/>
                <w:szCs w:val="17"/>
                <w:color w:val="auto"/>
              </w:rPr>
            </w:pPr>
          </w:p>
        </w:tc>
        <w:tc>
          <w:tcPr>
            <w:tcW w:w="2080" w:type="dxa"/>
            <w:vAlign w:val="bottom"/>
            <w:tcBorders>
              <w:bottom w:val="single" w:sz="8" w:color="auto"/>
            </w:tcBorders>
            <w:gridSpan w:val="3"/>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92"/>
              </w:rPr>
              <w:t>Interest Bearing Liabilities</w:t>
            </w:r>
          </w:p>
        </w:tc>
        <w:tc>
          <w:tcPr>
            <w:tcW w:w="66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94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9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1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85,598</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1,387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50,478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1,021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1,050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18,973</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467</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2,037,327</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15,745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1,831,487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16,823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26,688</w:t>
            </w: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590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8.8%</w:t>
            </w:r>
          </w:p>
        </w:tc>
        <w:tc>
          <w:tcPr>
            <w:tcW w:w="1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24,810</w:t>
            </w:r>
          </w:p>
        </w:tc>
        <w:tc>
          <w:tcPr>
            <w:tcW w:w="18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669</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8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660" w:type="dxa"/>
            <w:vAlign w:val="bottom"/>
            <w:tcBorders>
              <w:bottom w:val="single" w:sz="8" w:color="EEEEEE"/>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2,199,613</w:t>
            </w:r>
          </w:p>
        </w:tc>
        <w:tc>
          <w:tcPr>
            <w:tcW w:w="260" w:type="dxa"/>
            <w:vAlign w:val="bottom"/>
            <w:tcBorders>
              <w:bottom w:val="single" w:sz="8" w:color="EEEEEE"/>
            </w:tcBorders>
            <w:vMerge w:val="continue"/>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180" w:type="dxa"/>
            <w:vAlign w:val="bottom"/>
            <w:tcBorders>
              <w:bottom w:val="single" w:sz="8" w:color="EEEEEE"/>
            </w:tcBorders>
            <w:gridSpan w:val="2"/>
          </w:tcPr>
          <w:p>
            <w:pPr>
              <w:jc w:val="right"/>
              <w:ind w:right="240"/>
              <w:spacing w:after="0"/>
              <w:rPr>
                <w:sz w:val="20"/>
                <w:szCs w:val="20"/>
                <w:color w:val="auto"/>
              </w:rPr>
            </w:pPr>
            <w:r>
              <w:rPr>
                <w:rFonts w:ascii="Arial" w:cs="Arial" w:eastAsia="Arial" w:hAnsi="Arial"/>
                <w:sz w:val="18"/>
                <w:szCs w:val="18"/>
                <w:color w:val="auto"/>
              </w:rPr>
              <w:t>18,772</w:t>
            </w:r>
          </w:p>
        </w:tc>
        <w:tc>
          <w:tcPr>
            <w:tcW w:w="1360" w:type="dxa"/>
            <w:vAlign w:val="bottom"/>
            <w:tcBorders>
              <w:bottom w:val="single" w:sz="8" w:color="EEEEEE"/>
            </w:tcBorders>
            <w:gridSpan w:val="2"/>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1,925,748</w:t>
            </w:r>
          </w:p>
        </w:tc>
        <w:tc>
          <w:tcPr>
            <w:tcW w:w="220" w:type="dxa"/>
            <w:vAlign w:val="bottom"/>
            <w:tcBorders>
              <w:bottom w:val="single" w:sz="8" w:color="EEEEEE"/>
            </w:tcBorders>
            <w:vMerge w:val="continue"/>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140" w:type="dxa"/>
            <w:vAlign w:val="bottom"/>
            <w:tcBorders>
              <w:bottom w:val="single" w:sz="8" w:color="EEEEEE"/>
            </w:tcBorders>
            <w:gridSpan w:val="2"/>
          </w:tcPr>
          <w:p>
            <w:pPr>
              <w:jc w:val="right"/>
              <w:ind w:right="220"/>
              <w:spacing w:after="0"/>
              <w:rPr>
                <w:sz w:val="20"/>
                <w:szCs w:val="20"/>
                <w:color w:val="auto"/>
              </w:rPr>
            </w:pPr>
            <w:r>
              <w:rPr>
                <w:rFonts w:ascii="Arial" w:cs="Arial" w:eastAsia="Arial" w:hAnsi="Arial"/>
                <w:sz w:val="18"/>
                <w:szCs w:val="18"/>
                <w:color w:val="auto"/>
              </w:rPr>
              <w:t>18,980</w:t>
            </w:r>
          </w:p>
        </w:tc>
        <w:tc>
          <w:tcPr>
            <w:tcW w:w="122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5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spacing w:after="0"/>
              <w:rPr>
                <w:sz w:val="17"/>
                <w:szCs w:val="17"/>
                <w:color w:val="auto"/>
              </w:rPr>
            </w:pPr>
          </w:p>
        </w:tc>
        <w:tc>
          <w:tcPr>
            <w:tcW w:w="940" w:type="dxa"/>
            <w:vAlign w:val="bottom"/>
            <w:tcBorders>
              <w:bottom w:val="single" w:sz="8" w:color="auto"/>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spacing w:after="0"/>
              <w:rPr>
                <w:sz w:val="17"/>
                <w:szCs w:val="17"/>
                <w:color w:val="auto"/>
              </w:rPr>
            </w:pPr>
          </w:p>
        </w:tc>
        <w:tc>
          <w:tcPr>
            <w:tcW w:w="920" w:type="dxa"/>
            <w:vAlign w:val="bottom"/>
            <w:tcBorders>
              <w:bottom w:val="single" w:sz="8" w:color="auto"/>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280" w:type="dxa"/>
            <w:vAlign w:val="bottom"/>
            <w:tcBorders>
              <w:bottom w:val="single" w:sz="8" w:color="EEEEEE"/>
            </w:tcBorders>
            <w:gridSpan w:val="5"/>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56,898</w:t>
            </w:r>
          </w:p>
        </w:tc>
        <w:tc>
          <w:tcPr>
            <w:tcW w:w="240" w:type="dxa"/>
            <w:vAlign w:val="bottom"/>
            <w:tcBorders>
              <w:bottom w:val="single" w:sz="8" w:color="EEEEEE"/>
            </w:tcBorders>
          </w:tcPr>
          <w:p>
            <w:pPr>
              <w:spacing w:after="0"/>
              <w:rPr>
                <w:sz w:val="22"/>
                <w:szCs w:val="22"/>
                <w:color w:val="auto"/>
              </w:rPr>
            </w:pPr>
          </w:p>
        </w:tc>
        <w:tc>
          <w:tcPr>
            <w:tcW w:w="114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46,460</w:t>
            </w:r>
          </w:p>
        </w:tc>
        <w:tc>
          <w:tcPr>
            <w:tcW w:w="220" w:type="dxa"/>
            <w:vAlign w:val="bottom"/>
            <w:tcBorders>
              <w:bottom w:val="single" w:sz="8" w:color="EEEEEE"/>
            </w:tcBorders>
          </w:tcPr>
          <w:p>
            <w:pPr>
              <w:spacing w:after="0"/>
              <w:rPr>
                <w:sz w:val="22"/>
                <w:szCs w:val="22"/>
                <w:color w:val="auto"/>
              </w:rPr>
            </w:pPr>
          </w:p>
        </w:tc>
        <w:tc>
          <w:tcPr>
            <w:tcW w:w="11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3280" w:type="dxa"/>
            <w:vAlign w:val="bottom"/>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(3)</w:t>
            </w:r>
          </w:p>
        </w:tc>
        <w:tc>
          <w:tcPr>
            <w:tcW w:w="1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60" w:type="dxa"/>
            <w:vAlign w:val="bottom"/>
            <w:gridSpan w:val="2"/>
            <w:shd w:val="clear" w:color="auto" w:fill="EEEEEE"/>
          </w:tcPr>
          <w:p>
            <w:pPr>
              <w:jc w:val="right"/>
              <w:ind w:right="220"/>
              <w:spacing w:after="0" w:line="196" w:lineRule="exact"/>
              <w:rPr>
                <w:sz w:val="20"/>
                <w:szCs w:val="20"/>
                <w:color w:val="auto"/>
              </w:rPr>
            </w:pPr>
            <w:r>
              <w:rPr>
                <w:rFonts w:ascii="Arial" w:cs="Arial" w:eastAsia="Arial" w:hAnsi="Arial"/>
                <w:sz w:val="18"/>
                <w:szCs w:val="18"/>
                <w:color w:val="auto"/>
              </w:rPr>
              <w:t>8.9%</w:t>
            </w: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2"/>
        </w:trPr>
        <w:tc>
          <w:tcPr>
            <w:tcW w:w="3280" w:type="dxa"/>
            <w:vAlign w:val="bottom"/>
            <w:gridSpan w:val="5"/>
          </w:tcPr>
          <w:p>
            <w:pPr>
              <w:spacing w:after="0" w:line="201" w:lineRule="exact"/>
              <w:rPr>
                <w:sz w:val="20"/>
                <w:szCs w:val="20"/>
                <w:color w:val="auto"/>
              </w:rPr>
            </w:pPr>
            <w:r>
              <w:rPr>
                <w:rFonts w:ascii="Arial" w:cs="Arial" w:eastAsia="Arial" w:hAnsi="Arial"/>
                <w:sz w:val="18"/>
                <w:szCs w:val="18"/>
                <w:color w:val="auto"/>
                <w:w w:val="96"/>
              </w:rPr>
              <w:t>Ratio of average interest earning assets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80" w:type="dxa"/>
            <w:vAlign w:val="bottom"/>
            <w:gridSpan w:val="5"/>
          </w:tcPr>
          <w:p>
            <w:pPr>
              <w:ind w:left="180"/>
              <w:spacing w:after="0"/>
              <w:rPr>
                <w:sz w:val="20"/>
                <w:szCs w:val="20"/>
                <w:color w:val="auto"/>
              </w:rPr>
            </w:pPr>
            <w:r>
              <w:rPr>
                <w:rFonts w:ascii="Arial" w:cs="Arial" w:eastAsia="Arial" w:hAnsi="Arial"/>
                <w:sz w:val="18"/>
                <w:szCs w:val="18"/>
                <w:color w:val="auto"/>
              </w:rPr>
              <w:t>average interest bearing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66"/>
        </w:trPr>
        <w:tc>
          <w:tcPr>
            <w:tcW w:w="2480" w:type="dxa"/>
            <w:vAlign w:val="bottom"/>
            <w:gridSpan w:val="3"/>
          </w:tcPr>
          <w:p>
            <w:pPr>
              <w:spacing w:after="0"/>
              <w:rPr>
                <w:sz w:val="20"/>
                <w:szCs w:val="20"/>
                <w:color w:val="auto"/>
              </w:rPr>
            </w:pPr>
            <w:r>
              <w:rPr>
                <w:rFonts w:ascii="Arial" w:cs="Arial" w:eastAsia="Arial" w:hAnsi="Arial"/>
                <w:sz w:val="22"/>
                <w:szCs w:val="22"/>
                <w:color w:val="auto"/>
              </w:rPr>
              <w:t>_____________</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60" w:hanging="29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7" w:lineRule="exact"/>
        <w:rPr>
          <w:rFonts w:ascii="Arial" w:cs="Arial" w:eastAsia="Arial" w:hAnsi="Arial"/>
          <w:sz w:val="18"/>
          <w:szCs w:val="18"/>
          <w:color w:val="auto"/>
        </w:rPr>
      </w:pPr>
    </w:p>
    <w:p>
      <w:pPr>
        <w:ind w:left="360" w:hanging="29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360" w:hanging="292"/>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9"/>
        </w:trPr>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60" w:type="dxa"/>
            <w:vAlign w:val="bottom"/>
            <w:gridSpan w:val="10"/>
          </w:tcPr>
          <w:p>
            <w:pPr>
              <w:jc w:val="right"/>
              <w:ind w:right="1160"/>
              <w:spacing w:after="0"/>
              <w:rPr>
                <w:sz w:val="20"/>
                <w:szCs w:val="20"/>
                <w:color w:val="auto"/>
              </w:rPr>
            </w:pPr>
            <w:r>
              <w:rPr>
                <w:rFonts w:ascii="Arial" w:cs="Arial" w:eastAsia="Arial" w:hAnsi="Arial"/>
                <w:sz w:val="18"/>
                <w:szCs w:val="18"/>
                <w:b w:val="1"/>
                <w:bCs w:val="1"/>
                <w:color w:val="auto"/>
              </w:rPr>
              <w:t>Three Months Ended June 30, 2022</w:t>
            </w:r>
          </w:p>
        </w:tc>
      </w:tr>
      <w:tr>
        <w:trPr>
          <w:trHeight w:val="234"/>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right"/>
              <w:ind w:right="7"/>
              <w:spacing w:after="0"/>
              <w:rPr>
                <w:sz w:val="20"/>
                <w:szCs w:val="20"/>
                <w:color w:val="auto"/>
              </w:rPr>
            </w:pPr>
            <w:r>
              <w:rPr>
                <w:rFonts w:ascii="Arial" w:cs="Arial" w:eastAsia="Arial" w:hAnsi="Arial"/>
                <w:sz w:val="18"/>
                <w:szCs w:val="18"/>
                <w:b w:val="1"/>
                <w:bCs w:val="1"/>
                <w:color w:val="auto"/>
              </w:rPr>
              <w:t>Compared to June 30, 2021</w:t>
            </w: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5"/>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780"/>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540" w:type="dxa"/>
            <w:vAlign w:val="bottom"/>
            <w:gridSpan w:val="2"/>
          </w:tcPr>
          <w:p>
            <w:pPr>
              <w:jc w:val="right"/>
              <w:ind w:right="460"/>
              <w:spacing w:after="0" w:line="205" w:lineRule="exact"/>
              <w:rPr>
                <w:sz w:val="20"/>
                <w:szCs w:val="20"/>
                <w:color w:val="auto"/>
              </w:rPr>
            </w:pPr>
            <w:r>
              <w:rPr>
                <w:rFonts w:ascii="Arial" w:cs="Arial" w:eastAsia="Arial" w:hAnsi="Arial"/>
                <w:sz w:val="18"/>
                <w:szCs w:val="18"/>
                <w:b w:val="1"/>
                <w:bCs w:val="1"/>
                <w:color w:val="auto"/>
              </w:rPr>
              <w:t>Change Due</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70"/>
              <w:spacing w:after="0" w:line="205" w:lineRule="exact"/>
              <w:rPr>
                <w:sz w:val="20"/>
                <w:szCs w:val="20"/>
                <w:color w:val="auto"/>
              </w:rPr>
            </w:pPr>
            <w:r>
              <w:rPr>
                <w:rFonts w:ascii="Arial" w:cs="Arial" w:eastAsia="Arial" w:hAnsi="Arial"/>
                <w:sz w:val="18"/>
                <w:szCs w:val="18"/>
                <w:b w:val="1"/>
                <w:bCs w:val="1"/>
                <w:color w:val="auto"/>
                <w:w w:val="95"/>
              </w:rPr>
              <w:t>Change Due</w:t>
            </w:r>
          </w:p>
        </w:tc>
        <w:tc>
          <w:tcPr>
            <w:tcW w:w="100" w:type="dxa"/>
            <w:vAlign w:val="bottom"/>
            <w:gridSpan w:val="2"/>
          </w:tcPr>
          <w:p>
            <w:pPr>
              <w:spacing w:after="0"/>
              <w:rPr>
                <w:sz w:val="17"/>
                <w:szCs w:val="17"/>
                <w:color w:val="auto"/>
              </w:rPr>
            </w:pPr>
          </w:p>
        </w:tc>
      </w:tr>
      <w:tr>
        <w:trPr>
          <w:trHeight w:val="234"/>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 Volume</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to Rate</w:t>
            </w:r>
          </w:p>
        </w:tc>
      </w:tr>
      <w:tr>
        <w:trPr>
          <w:trHeight w:val="209"/>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6"/>
        </w:trPr>
        <w:tc>
          <w:tcPr>
            <w:tcW w:w="2060" w:type="dxa"/>
            <w:vAlign w:val="bottom"/>
            <w:tcBorders>
              <w:bottom w:val="single" w:sz="8" w:color="EEEEEE"/>
            </w:tcBorders>
            <w:shd w:val="clear" w:color="auto" w:fill="EEEEEE"/>
          </w:tcPr>
          <w:p>
            <w:pPr>
              <w:spacing w:after="0"/>
              <w:rPr>
                <w:sz w:val="17"/>
                <w:szCs w:val="17"/>
                <w:color w:val="auto"/>
              </w:rPr>
            </w:pPr>
          </w:p>
        </w:tc>
        <w:tc>
          <w:tcPr>
            <w:tcW w:w="140" w:type="dxa"/>
            <w:vAlign w:val="bottom"/>
            <w:tcBorders>
              <w:bottom w:val="single" w:sz="8" w:color="EEEEEE"/>
            </w:tcBorders>
            <w:shd w:val="clear" w:color="auto" w:fill="EEEEEE"/>
          </w:tcPr>
          <w:p>
            <w:pPr>
              <w:spacing w:after="0"/>
              <w:rPr>
                <w:sz w:val="17"/>
                <w:szCs w:val="17"/>
                <w:color w:val="auto"/>
              </w:rPr>
            </w:pPr>
          </w:p>
        </w:tc>
        <w:tc>
          <w:tcPr>
            <w:tcW w:w="1800" w:type="dxa"/>
            <w:vAlign w:val="bottom"/>
            <w:tcBorders>
              <w:bottom w:val="single" w:sz="8" w:color="auto"/>
            </w:tcBorders>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89"/>
              </w:rPr>
              <w:t>Interest Earning Assets</w:t>
            </w:r>
          </w:p>
        </w:tc>
        <w:tc>
          <w:tcPr>
            <w:tcW w:w="140" w:type="dxa"/>
            <w:vAlign w:val="bottom"/>
            <w:tcBorders>
              <w:bottom w:val="single" w:sz="8" w:color="EEEEEE"/>
            </w:tcBorders>
            <w:shd w:val="clear" w:color="auto" w:fill="EEEEEE"/>
          </w:tcPr>
          <w:p>
            <w:pPr>
              <w:spacing w:after="0"/>
              <w:rPr>
                <w:sz w:val="17"/>
                <w:szCs w:val="17"/>
                <w:color w:val="auto"/>
              </w:rPr>
            </w:pPr>
          </w:p>
        </w:tc>
        <w:tc>
          <w:tcPr>
            <w:tcW w:w="218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34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Finance receivables gross</w:t>
            </w:r>
          </w:p>
        </w:tc>
        <w:tc>
          <w:tcPr>
            <w:tcW w:w="2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(8,557)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(10,324)</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1,767</w:t>
            </w:r>
          </w:p>
        </w:tc>
        <w:tc>
          <w:tcPr>
            <w:tcW w:w="80" w:type="dxa"/>
            <w:vAlign w:val="bottom"/>
          </w:tcPr>
          <w:p>
            <w:pPr>
              <w:spacing w:after="0"/>
              <w:rPr>
                <w:sz w:val="18"/>
                <w:szCs w:val="18"/>
                <w:color w:val="auto"/>
              </w:rPr>
            </w:pPr>
          </w:p>
        </w:tc>
      </w:tr>
      <w:tr>
        <w:trPr>
          <w:trHeight w:val="229"/>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Finance receivables at fair value</w:t>
            </w:r>
          </w:p>
        </w:tc>
        <w:tc>
          <w:tcPr>
            <w:tcW w:w="21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18,787</w:t>
            </w:r>
          </w:p>
        </w:tc>
        <w:tc>
          <w:tcPr>
            <w:tcW w:w="12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14,752</w:t>
            </w: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3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4,035</w:t>
            </w:r>
          </w:p>
        </w:tc>
        <w:tc>
          <w:tcPr>
            <w:tcW w:w="80" w:type="dxa"/>
            <w:vAlign w:val="bottom"/>
            <w:shd w:val="clear" w:color="auto" w:fill="EEEEEE"/>
          </w:tcPr>
          <w:p>
            <w:pPr>
              <w:spacing w:after="0"/>
              <w:rPr>
                <w:sz w:val="19"/>
                <w:szCs w:val="19"/>
                <w:color w:val="auto"/>
              </w:rPr>
            </w:pPr>
          </w:p>
        </w:tc>
      </w:tr>
      <w:tr>
        <w:trPr>
          <w:trHeight w:val="209"/>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10,230</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2060" w:type="dxa"/>
            <w:vAlign w:val="bottom"/>
            <w:tcBorders>
              <w:bottom w:val="single" w:sz="8" w:color="EEEEEE"/>
            </w:tcBorders>
            <w:shd w:val="clear" w:color="auto" w:fill="EEEEEE"/>
          </w:tcPr>
          <w:p>
            <w:pPr>
              <w:spacing w:after="0"/>
              <w:rPr>
                <w:sz w:val="17"/>
                <w:szCs w:val="17"/>
                <w:color w:val="auto"/>
              </w:rPr>
            </w:pPr>
          </w:p>
        </w:tc>
        <w:tc>
          <w:tcPr>
            <w:tcW w:w="2080" w:type="dxa"/>
            <w:vAlign w:val="bottom"/>
            <w:tcBorders>
              <w:bottom w:val="single" w:sz="8" w:color="auto"/>
            </w:tcBorders>
            <w:gridSpan w:val="3"/>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92"/>
              </w:rPr>
              <w:t>Interest Bearing Liabilities</w:t>
            </w:r>
          </w:p>
        </w:tc>
        <w:tc>
          <w:tcPr>
            <w:tcW w:w="218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20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340" w:type="dxa"/>
            <w:vAlign w:val="bottom"/>
            <w:tcBorders>
              <w:bottom w:val="single" w:sz="8" w:color="EEEEEE"/>
            </w:tcBorders>
            <w:shd w:val="clear" w:color="auto" w:fill="EEEEEE"/>
          </w:tcPr>
          <w:p>
            <w:pPr>
              <w:spacing w:after="0"/>
              <w:rPr>
                <w:sz w:val="17"/>
                <w:szCs w:val="17"/>
                <w:color w:val="auto"/>
              </w:rPr>
            </w:pPr>
          </w:p>
        </w:tc>
        <w:tc>
          <w:tcPr>
            <w:tcW w:w="20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16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r>
      <w:tr>
        <w:trPr>
          <w:trHeight w:val="216"/>
        </w:trPr>
        <w:tc>
          <w:tcPr>
            <w:tcW w:w="4140" w:type="dxa"/>
            <w:vAlign w:val="bottom"/>
            <w:tcBorders>
              <w:top w:val="single" w:sz="8" w:color="EEEEEE"/>
            </w:tcBorders>
            <w:gridSpan w:val="4"/>
          </w:tcPr>
          <w:p>
            <w:pPr>
              <w:spacing w:after="0"/>
              <w:rPr>
                <w:sz w:val="20"/>
                <w:szCs w:val="20"/>
                <w:color w:val="auto"/>
              </w:rPr>
            </w:pPr>
            <w:r>
              <w:rPr>
                <w:rFonts w:ascii="Arial" w:cs="Arial" w:eastAsia="Arial" w:hAnsi="Arial"/>
                <w:sz w:val="18"/>
                <w:szCs w:val="18"/>
                <w:color w:val="auto"/>
              </w:rPr>
              <w:t>Warehouse lines of credit</w:t>
            </w:r>
          </w:p>
        </w:tc>
        <w:tc>
          <w:tcPr>
            <w:tcW w:w="2180" w:type="dxa"/>
            <w:vAlign w:val="bottom"/>
            <w:tcBorders>
              <w:top w:val="single" w:sz="8" w:color="EEEEEE"/>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440" w:type="dxa"/>
            <w:vAlign w:val="bottom"/>
            <w:tcBorders>
              <w:top w:val="single" w:sz="8" w:color="EEEEEE"/>
            </w:tcBorders>
            <w:gridSpan w:val="2"/>
          </w:tcPr>
          <w:p>
            <w:pPr>
              <w:jc w:val="right"/>
              <w:ind w:right="240"/>
              <w:spacing w:after="0"/>
              <w:rPr>
                <w:sz w:val="20"/>
                <w:szCs w:val="20"/>
                <w:color w:val="auto"/>
              </w:rPr>
            </w:pPr>
            <w:r>
              <w:rPr>
                <w:rFonts w:ascii="Arial" w:cs="Arial" w:eastAsia="Arial" w:hAnsi="Arial"/>
                <w:sz w:val="18"/>
                <w:szCs w:val="18"/>
                <w:color w:val="auto"/>
              </w:rPr>
              <w:t>366</w:t>
            </w:r>
          </w:p>
        </w:tc>
        <w:tc>
          <w:tcPr>
            <w:tcW w:w="120" w:type="dxa"/>
            <w:vAlign w:val="bottom"/>
            <w:tcBorders>
              <w:top w:val="single" w:sz="8" w:color="EEEEEE"/>
            </w:tcBorders>
          </w:tcPr>
          <w:p>
            <w:pPr>
              <w:spacing w:after="0"/>
              <w:rPr>
                <w:sz w:val="18"/>
                <w:szCs w:val="18"/>
                <w:color w:val="auto"/>
              </w:rPr>
            </w:pPr>
          </w:p>
        </w:tc>
        <w:tc>
          <w:tcPr>
            <w:tcW w:w="1540" w:type="dxa"/>
            <w:vAlign w:val="bottom"/>
            <w:tcBorders>
              <w:top w:val="single" w:sz="8" w:color="EEEEEE"/>
            </w:tcBorders>
            <w:gridSpan w:val="2"/>
          </w:tcPr>
          <w:p>
            <w:pPr>
              <w:jc w:val="right"/>
              <w:ind w:right="200"/>
              <w:spacing w:after="0"/>
              <w:rPr>
                <w:sz w:val="20"/>
                <w:szCs w:val="20"/>
                <w:color w:val="auto"/>
              </w:rPr>
            </w:pPr>
            <w:r>
              <w:rPr>
                <w:rFonts w:ascii="Arial" w:cs="Arial" w:eastAsia="Arial" w:hAnsi="Arial"/>
                <w:sz w:val="18"/>
                <w:szCs w:val="18"/>
                <w:color w:val="auto"/>
              </w:rPr>
              <w:t>708</w:t>
            </w:r>
          </w:p>
        </w:tc>
        <w:tc>
          <w:tcPr>
            <w:tcW w:w="20" w:type="dxa"/>
            <w:vAlign w:val="bottom"/>
            <w:tcBorders>
              <w:top w:val="single" w:sz="8" w:color="EEEEEE"/>
            </w:tcBorders>
          </w:tcPr>
          <w:p>
            <w:pPr>
              <w:spacing w:after="0"/>
              <w:rPr>
                <w:sz w:val="18"/>
                <w:szCs w:val="18"/>
                <w:color w:val="auto"/>
              </w:rPr>
            </w:pPr>
          </w:p>
        </w:tc>
        <w:tc>
          <w:tcPr>
            <w:tcW w:w="160" w:type="dxa"/>
            <w:vAlign w:val="bottom"/>
            <w:tcBorders>
              <w:top w:val="single" w:sz="8" w:color="EEEEEE"/>
            </w:tcBorders>
          </w:tcPr>
          <w:p>
            <w:pPr>
              <w:spacing w:after="0"/>
              <w:rPr>
                <w:sz w:val="18"/>
                <w:szCs w:val="18"/>
                <w:color w:val="auto"/>
              </w:rPr>
            </w:pPr>
          </w:p>
        </w:tc>
        <w:tc>
          <w:tcPr>
            <w:tcW w:w="1380" w:type="dxa"/>
            <w:vAlign w:val="bottom"/>
            <w:tcBorders>
              <w:top w:val="single" w:sz="8" w:color="EEEEEE"/>
            </w:tcBorders>
            <w:gridSpan w:val="3"/>
          </w:tcPr>
          <w:p>
            <w:pPr>
              <w:jc w:val="right"/>
              <w:ind w:right="40"/>
              <w:spacing w:after="0"/>
              <w:rPr>
                <w:sz w:val="20"/>
                <w:szCs w:val="20"/>
                <w:color w:val="auto"/>
              </w:rPr>
            </w:pPr>
            <w:r>
              <w:rPr>
                <w:rFonts w:ascii="Arial" w:cs="Arial" w:eastAsia="Arial" w:hAnsi="Arial"/>
                <w:sz w:val="18"/>
                <w:szCs w:val="18"/>
                <w:color w:val="auto"/>
              </w:rPr>
              <w:t>(342)</w:t>
            </w:r>
          </w:p>
        </w:tc>
      </w:tr>
      <w:tr>
        <w:trPr>
          <w:trHeight w:val="216"/>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758</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(175)</w:t>
            </w: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Securitization trust debt</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(1,078)</w:t>
            </w:r>
          </w:p>
        </w:tc>
        <w:tc>
          <w:tcPr>
            <w:tcW w:w="1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1,978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(3,056)</w:t>
            </w:r>
          </w:p>
        </w:tc>
      </w:tr>
      <w:tr>
        <w:trPr>
          <w:trHeight w:val="230"/>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1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EEEEEE"/>
          </w:tcPr>
          <w:p>
            <w:pPr>
              <w:spacing w:after="0"/>
              <w:rPr>
                <w:sz w:val="19"/>
                <w:szCs w:val="19"/>
                <w:color w:val="auto"/>
              </w:rPr>
            </w:pPr>
          </w:p>
        </w:tc>
        <w:tc>
          <w:tcPr>
            <w:tcW w:w="15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54</w:t>
            </w: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3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(133)</w:t>
            </w:r>
          </w:p>
        </w:tc>
      </w:tr>
      <w:tr>
        <w:trPr>
          <w:trHeight w:val="209"/>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(3,706)</w:t>
            </w:r>
          </w:p>
        </w:tc>
        <w:tc>
          <w:tcPr>
            <w:tcW w:w="100" w:type="dxa"/>
            <w:vAlign w:val="bottom"/>
            <w:gridSpan w:val="2"/>
          </w:tcPr>
          <w:p>
            <w:pPr>
              <w:spacing w:after="0"/>
              <w:rPr>
                <w:sz w:val="18"/>
                <w:szCs w:val="18"/>
                <w:color w:val="auto"/>
              </w:rPr>
            </w:pPr>
          </w:p>
        </w:tc>
      </w:tr>
      <w:tr>
        <w:trPr>
          <w:trHeight w:val="229"/>
        </w:trPr>
        <w:tc>
          <w:tcPr>
            <w:tcW w:w="20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80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2180" w:type="dxa"/>
            <w:vAlign w:val="bottom"/>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spacing w:after="0"/>
              <w:rPr>
                <w:sz w:val="19"/>
                <w:szCs w:val="19"/>
                <w:color w:val="auto"/>
              </w:rPr>
            </w:pPr>
          </w:p>
        </w:tc>
        <w:tc>
          <w:tcPr>
            <w:tcW w:w="1200" w:type="dxa"/>
            <w:vAlign w:val="bottom"/>
            <w:tcBorders>
              <w:bottom w:val="single" w:sz="8" w:color="auto"/>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spacing w:after="0"/>
              <w:rPr>
                <w:sz w:val="19"/>
                <w:szCs w:val="19"/>
                <w:color w:val="auto"/>
              </w:rPr>
            </w:pPr>
          </w:p>
        </w:tc>
        <w:tc>
          <w:tcPr>
            <w:tcW w:w="1340" w:type="dxa"/>
            <w:vAlign w:val="bottom"/>
            <w:tcBorders>
              <w:bottom w:val="single" w:sz="8" w:color="auto"/>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28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r>
      <w:tr>
        <w:trPr>
          <w:trHeight w:val="223"/>
        </w:trPr>
        <w:tc>
          <w:tcPr>
            <w:tcW w:w="4140" w:type="dxa"/>
            <w:vAlign w:val="bottom"/>
            <w:gridSpan w:val="4"/>
          </w:tcPr>
          <w:p>
            <w:pPr>
              <w:spacing w:after="0"/>
              <w:rPr>
                <w:sz w:val="20"/>
                <w:szCs w:val="20"/>
                <w:color w:val="auto"/>
              </w:rPr>
            </w:pPr>
            <w:r>
              <w:rPr>
                <w:rFonts w:ascii="Arial" w:cs="Arial" w:eastAsia="Arial" w:hAnsi="Arial"/>
                <w:sz w:val="18"/>
                <w:szCs w:val="18"/>
                <w:color w:val="auto"/>
              </w:rPr>
              <w:t>Net interest income/spread</w:t>
            </w:r>
          </w:p>
        </w:tc>
        <w:tc>
          <w:tcPr>
            <w:tcW w:w="218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10,438</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right="300"/>
        <w:spacing w:after="0" w:line="252" w:lineRule="auto"/>
        <w:rPr>
          <w:sz w:val="20"/>
          <w:szCs w:val="20"/>
          <w:color w:val="auto"/>
        </w:rPr>
      </w:pPr>
      <w:r>
        <w:rPr>
          <w:rFonts w:ascii="Arial" w:cs="Arial" w:eastAsia="Arial" w:hAnsi="Arial"/>
          <w:sz w:val="21"/>
          <w:szCs w:val="21"/>
          <w:color w:val="auto"/>
        </w:rPr>
        <w:t>The annualized yield on our finance receivables was 12.3% for the three months ended June 30, 2022 and 2021. The interest yield on receivables measured at fair value is reduced to take account of expected losses and is therefore less than the yield on other finance receivables. The average balance of these fair value receivables was $2,305.6 million for the three months ended June 30, 2022 compared to $1,749.0 million in the prior year period.</w:t>
      </w:r>
    </w:p>
    <w:p>
      <w:pPr>
        <w:spacing w:after="0" w:line="20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Update 2016-13 - Financial Instruments - Credit Losses: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The amendment introduces a new credit reserving model known as the Current Expected Credit Loss model,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CECL. Adoption of CECL required the establishment of an allowance for the remaining expected lifetime credit losses on the portion of the Company’s receivable portfolio that was originated prior to January 2018. The Company recorded an addition to its allowance for finance credit losses of $127.0 million upon its adoption of CECL in January 2020.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three months ended June 30, 2022, we recorded a reduction to provision for credit losses on finance receivables in the amount of $8.0 million. The reserve decrease was primarily due to a decrease in lifetime expected credit losses resulting from improved credit performance as our previous estimates for future losses exceeded actual incurred losses. There were no additions or reductions to provision for credit losses for the three months ended June 30, 2021.</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jc w:val="both"/>
        <w:spacing w:after="0" w:line="259" w:lineRule="auto"/>
        <w:rPr>
          <w:sz w:val="20"/>
          <w:szCs w:val="20"/>
          <w:color w:val="auto"/>
        </w:rPr>
      </w:pPr>
      <w:r>
        <w:rPr>
          <w:rFonts w:ascii="Arial" w:cs="Arial" w:eastAsia="Arial" w:hAnsi="Arial"/>
          <w:sz w:val="18"/>
          <w:szCs w:val="18"/>
          <w:color w:val="auto"/>
        </w:rPr>
        <w:t>Our evaluation of the allowance for credit losses indicated that the reserves against future losses are adequate as of June 30, 2022. Although we have not yet seen a deterioration in the credit performance for these receivables as a result of the pandemic, we expect that the absence of any additional government stimulus payments, the expiration of the eviction moratorium, worsening economic conditions, inflation and a reversion to the mean for used car pricing could negatively affect credit performance in the future.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$1.6 million to $5.8 million during the three months ended June 30, 2022 and represented 12.2% of total operating expenses. We purchased $548.1 million of new contracts during the three months ended June 30, 2022 compared to $286.0 million in the prior 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Occupancy expenses was $1.9 million for the three months ending June 30, 2022 which is down from $2.0 million for the same period in 2021.</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expenses decreased to $385,000 compared to $417,000 in the previous year and represented 0.8% of total operating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June 30, 2022, we recorded income tax expense of $8.9 million, representing a 26% effective tax rate. In the prior period, our income tax expense was $4.2 million, representing a 30% effective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Operating Results for the six months ended June 30, 2022 with the six months ended June 30, 2021</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Revenues</w:t>
      </w:r>
      <w:r>
        <w:rPr>
          <w:rFonts w:ascii="Arial" w:cs="Arial" w:eastAsia="Arial" w:hAnsi="Arial"/>
          <w:sz w:val="16"/>
          <w:szCs w:val="16"/>
          <w:color w:val="auto"/>
        </w:rPr>
        <w:t>. During the six months ended June 30, 2022, our revenues were $156.4 million, an increase of $26.5 million, or 20.4%, from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of $129.9 million. The primary reasons for the increase in revenues are the mark ups to the finance receivables measured at fair value and the increase in the average outstanding balance of finance receivables measured at fair value. Revenues for the six months ended June 30, 2022 include a $7.1 million mark up to the recorded value of the finance receivables measured at fair value. This compares to a $4.4 million mark down in the prior year period. The marks are estimates based on our evaluation of the appropriate fair value and future earnings rate of existing receivables compared to recently acquired receivables and increases or decreases in our estimates of future net losses. During the six months ended June 30, 2022, we reduced our estimate for expected future losses in finance receivables measured at fair value as we have observed that our previous estimates for increased losses due to the pandemic had not materialized. The change in estimated losses resulted in the $7.1 million mark up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color w:val="auto"/>
        </w:rPr>
        <w:t>Interest income for the six months ended June 30, 2022 increased $14.2 million, or 10.8%, to $145.7 million from $131.5 million in the prior year. The primary reason for the increase in interest income is the 27.3% increase in the average balance of finance receivables measured at fair value over the prior year period. The table below shows the average balances and interest yields of the two components of our loan portfolio for the six months ended June 30, 2022 and 2021: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w w:val="95"/>
              </w:rPr>
              <w:t>Six Months Ended June 30,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64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2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Interest Earning Assets</w:t>
            </w:r>
          </w:p>
        </w:tc>
        <w:tc>
          <w:tcPr>
            <w:tcW w:w="16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Balance</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Yield</w:t>
            </w:r>
          </w:p>
        </w:tc>
        <w:tc>
          <w:tcPr>
            <w:tcW w:w="0" w:type="dxa"/>
            <w:vAlign w:val="bottom"/>
          </w:tcPr>
          <w:p>
            <w:pPr>
              <w:spacing w:after="0"/>
              <w:rPr>
                <w:sz w:val="1"/>
                <w:szCs w:val="1"/>
                <w:color w:val="auto"/>
              </w:rPr>
            </w:pPr>
          </w:p>
        </w:tc>
      </w:tr>
      <w:tr>
        <w:trPr>
          <w:trHeight w:val="169"/>
        </w:trPr>
        <w:tc>
          <w:tcPr>
            <w:tcW w:w="68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185,288</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21,260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411,571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40,602</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3280" w:type="dxa"/>
            <w:vAlign w:val="bottom"/>
            <w:gridSpan w:val="3"/>
          </w:tcPr>
          <w:p>
            <w:pPr>
              <w:spacing w:after="0"/>
              <w:rPr>
                <w:sz w:val="20"/>
                <w:szCs w:val="20"/>
                <w:color w:val="auto"/>
              </w:rPr>
            </w:pPr>
            <w:r>
              <w:rPr>
                <w:rFonts w:ascii="Arial" w:cs="Arial" w:eastAsia="Arial" w:hAnsi="Arial"/>
                <w:sz w:val="18"/>
                <w:szCs w:val="18"/>
                <w:color w:val="auto"/>
                <w:w w:val="94"/>
              </w:rPr>
              <w:t>Finance receivables measured at fair value</w:t>
            </w: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2,186,431</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124,470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1,718,112</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90,931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328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2,371,719</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145,730</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2,129,683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131,533</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was $3.6 million for the six months ended June 30, 2022. This marks a decrease of $789,000 from other income of $2.8 million for the six months ended June 30, 2021.</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interest expense, provision for credit losses, employee costs, sales and general and administrative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Provision for credit losses is affected by the balance and credit performance of our portfolio of finance receivables (other than our portfolio of finance receivables measured at fair value, as to which expected credit losses have the effect of reducing the internal rate of return or the recorded value applicable to such receivables). Interest expense is significantly affected by the volume of automobile contracts we purchased during the trailing 12-month period and the use of our warehouse facilities and asset-backed securitizations to finance those contracts.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purchased and serviced.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sales and advertising expenses, and depreciation and amortization.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expenses were $92.8 million for the six months ended June 30, 2022, compared to $108.1 million for the prior period, a decrease of $15.3 million, or 14.1%. The decrease is primarily due to decreases in provisions for credit losses.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color w:val="auto"/>
        </w:rPr>
        <w:t>Employee costs were $42.7 million during the six months ended June 30, 2022 compared to $39.6 million for the same period in the prior year. The table below summarizes our employees by category as well as contract purchases and units in our managed portfolio as of, and for the six-month periods ended, June 30, 2022 and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960" w:type="dxa"/>
            <w:vAlign w:val="bottom"/>
            <w:tcBorders>
              <w:bottom w:val="single" w:sz="8" w:color="auto"/>
            </w:tcBorders>
            <w:gridSpan w:val="4"/>
          </w:tcPr>
          <w:p>
            <w:pPr>
              <w:jc w:val="right"/>
              <w:ind w:right="41"/>
              <w:spacing w:after="0"/>
              <w:rPr>
                <w:sz w:val="20"/>
                <w:szCs w:val="20"/>
                <w:color w:val="auto"/>
              </w:rPr>
            </w:pPr>
            <w:r>
              <w:rPr>
                <w:rFonts w:ascii="Arial" w:cs="Arial" w:eastAsia="Arial" w:hAnsi="Arial"/>
                <w:sz w:val="18"/>
                <w:szCs w:val="18"/>
                <w:b w:val="1"/>
                <w:bCs w:val="1"/>
                <w:color w:val="auto"/>
              </w:rPr>
              <w:t>Six Months Ended June 30,</w:t>
            </w:r>
          </w:p>
        </w:tc>
        <w:tc>
          <w:tcPr>
            <w:tcW w:w="6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5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940" w:type="dxa"/>
            <w:vAlign w:val="bottom"/>
            <w:gridSpan w:val="3"/>
          </w:tcPr>
          <w:p>
            <w:pPr>
              <w:jc w:val="right"/>
              <w:ind w:right="341"/>
              <w:spacing w:after="0"/>
              <w:rPr>
                <w:sz w:val="20"/>
                <w:szCs w:val="20"/>
                <w:color w:val="auto"/>
              </w:rPr>
            </w:pPr>
            <w:r>
              <w:rPr>
                <w:rFonts w:ascii="Arial" w:cs="Arial" w:eastAsia="Arial" w:hAnsi="Arial"/>
                <w:sz w:val="18"/>
                <w:szCs w:val="18"/>
                <w:b w:val="1"/>
                <w:bCs w:val="1"/>
                <w:color w:val="auto"/>
                <w:w w:val="89"/>
              </w:rPr>
              <w:t>(Dollars in millions)</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336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958.1</w:t>
            </w:r>
          </w:p>
        </w:tc>
        <w:tc>
          <w:tcPr>
            <w:tcW w:w="1060" w:type="dxa"/>
            <w:vAlign w:val="bottom"/>
            <w:shd w:val="clear" w:color="auto" w:fill="EEEEEE"/>
          </w:tcPr>
          <w:p>
            <w:pPr>
              <w:jc w:val="right"/>
              <w:ind w:right="90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491.5</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41,059</w:t>
            </w:r>
          </w:p>
        </w:tc>
        <w:tc>
          <w:tcPr>
            <w:tcW w:w="10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25,188</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3360" w:type="dxa"/>
            <w:vAlign w:val="bottom"/>
            <w:gridSpan w:val="2"/>
            <w:shd w:val="clear" w:color="auto" w:fill="EEEEEE"/>
          </w:tcPr>
          <w:p>
            <w:pPr>
              <w:jc w:val="right"/>
              <w:ind w:right="85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2,650.9</w:t>
            </w:r>
          </w:p>
        </w:tc>
        <w:tc>
          <w:tcPr>
            <w:tcW w:w="1060" w:type="dxa"/>
            <w:vAlign w:val="bottom"/>
            <w:shd w:val="clear" w:color="auto" w:fill="EEEEEE"/>
          </w:tcPr>
          <w:p>
            <w:pPr>
              <w:jc w:val="right"/>
              <w:ind w:right="90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9"/>
              </w:rPr>
              <w:t>2,120.7</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167,146</w:t>
            </w:r>
          </w:p>
        </w:tc>
        <w:tc>
          <w:tcPr>
            <w:tcW w:w="10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156,995</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18"/>
                <w:szCs w:val="18"/>
                <w:color w:val="auto"/>
              </w:rPr>
            </w:pPr>
          </w:p>
        </w:tc>
        <w:tc>
          <w:tcPr>
            <w:tcW w:w="2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194</w:t>
            </w:r>
          </w:p>
        </w:tc>
        <w:tc>
          <w:tcPr>
            <w:tcW w:w="10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8"/>
                <w:szCs w:val="18"/>
                <w:color w:val="auto"/>
              </w:rPr>
            </w:pPr>
          </w:p>
        </w:tc>
      </w:tr>
      <w:tr>
        <w:trPr>
          <w:trHeight w:val="216"/>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Number of Sales staff</w:t>
            </w:r>
          </w:p>
        </w:tc>
        <w:tc>
          <w:tcPr>
            <w:tcW w:w="23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132</w:t>
            </w:r>
          </w:p>
        </w:tc>
        <w:tc>
          <w:tcPr>
            <w:tcW w:w="106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EEEEEE"/>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2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405</w:t>
            </w:r>
          </w:p>
        </w:tc>
        <w:tc>
          <w:tcPr>
            <w:tcW w:w="10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r>
      <w:tr>
        <w:trPr>
          <w:trHeight w:val="229"/>
        </w:trPr>
        <w:tc>
          <w:tcPr>
            <w:tcW w:w="522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234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8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68</w:t>
            </w:r>
          </w:p>
        </w:tc>
        <w:tc>
          <w:tcPr>
            <w:tcW w:w="1060" w:type="dxa"/>
            <w:vAlign w:val="bottom"/>
            <w:shd w:val="clear" w:color="auto" w:fill="EEEEEE"/>
          </w:tcPr>
          <w:p>
            <w:pPr>
              <w:spacing w:after="0"/>
              <w:rPr>
                <w:sz w:val="19"/>
                <w:szCs w:val="19"/>
                <w:color w:val="auto"/>
              </w:rPr>
            </w:pPr>
          </w:p>
        </w:tc>
        <w:tc>
          <w:tcPr>
            <w:tcW w:w="6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w:t>
            </w:r>
          </w:p>
        </w:tc>
        <w:tc>
          <w:tcPr>
            <w:tcW w:w="80" w:type="dxa"/>
            <w:vAlign w:val="bottom"/>
            <w:shd w:val="clear" w:color="auto" w:fill="EEEEEE"/>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234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220" w:type="dxa"/>
            <w:vAlign w:val="bottom"/>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$16.5 million, an increase from $15.6 million in the previous year and represented 17.8% of total operating expenses.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for the six months ended June 30, 2022 were $35.2 million and represented 37.9% of total operating expenses, compared to $39.9 million in the previous year, when it was 36.9% of total operating expenses.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6" w:name="page37"/>
    <w:bookmarkEnd w:id="36"/>
    <w:p>
      <w:pPr>
        <w:jc w:val="both"/>
        <w:spacing w:after="0" w:line="271" w:lineRule="auto"/>
        <w:rPr>
          <w:sz w:val="20"/>
          <w:szCs w:val="20"/>
          <w:color w:val="auto"/>
        </w:rPr>
      </w:pPr>
      <w:r>
        <w:rPr>
          <w:rFonts w:ascii="Arial" w:cs="Arial" w:eastAsia="Arial" w:hAnsi="Arial"/>
          <w:sz w:val="17"/>
          <w:szCs w:val="17"/>
          <w:color w:val="auto"/>
        </w:rPr>
        <w:t>Interest on securitization trust debt decreased by $6.0 million for the six months ended June 30, 2022 compared to the prior period. The average balance of securitization trust debt increased to $1,922.9 million for the six months ended June 30, 2022 compared to $1,854.1 million for the six months ended June 30, 2021. However, the blended interest rates on new term securitizations have declined in 2022. The annualized average rate on our securitization trust debt was 3.0% for the six months ended June 30, 2022 compared to 3.8% in the prior year period. For each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to accept, which in turn, is influenced by investor demand for our bonds at the time of the securitization. These and other factors have resulted in fluctuations in our securitization trust debt interest costs. The blended interest rates of our recent securitizations are summarized in the table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32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2"/>
              </w:rPr>
              <w:t>Period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35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January 2018</w:t>
            </w:r>
          </w:p>
        </w:tc>
        <w:tc>
          <w:tcPr>
            <w:tcW w:w="780" w:type="dxa"/>
            <w:vAlign w:val="bottom"/>
            <w:tcBorders>
              <w:top w:val="single" w:sz="8" w:color="EEEEEE"/>
            </w:tcBorders>
            <w:shd w:val="clear" w:color="auto" w:fill="EEEEEE"/>
          </w:tcPr>
          <w:p>
            <w:pPr>
              <w:spacing w:after="0"/>
              <w:rPr>
                <w:sz w:val="18"/>
                <w:szCs w:val="18"/>
                <w:color w:val="auto"/>
              </w:rPr>
            </w:pPr>
          </w:p>
        </w:tc>
        <w:tc>
          <w:tcPr>
            <w:tcW w:w="35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3.46%</w:t>
            </w:r>
          </w:p>
        </w:tc>
      </w:tr>
      <w:tr>
        <w:trPr>
          <w:trHeight w:val="216"/>
        </w:trPr>
        <w:tc>
          <w:tcPr>
            <w:tcW w:w="4320" w:type="dxa"/>
            <w:vAlign w:val="bottom"/>
            <w:gridSpan w:val="2"/>
          </w:tcPr>
          <w:p>
            <w:pPr>
              <w:jc w:val="center"/>
              <w:ind w:right="780"/>
              <w:spacing w:after="0"/>
              <w:rPr>
                <w:sz w:val="20"/>
                <w:szCs w:val="20"/>
                <w:color w:val="auto"/>
              </w:rPr>
            </w:pPr>
            <w:r>
              <w:rPr>
                <w:rFonts w:ascii="Arial" w:cs="Arial" w:eastAsia="Arial" w:hAnsi="Arial"/>
                <w:sz w:val="18"/>
                <w:szCs w:val="18"/>
                <w:color w:val="auto"/>
                <w:w w:val="96"/>
              </w:rPr>
              <w:t>April 2018</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3.98%</w:t>
            </w:r>
          </w:p>
        </w:tc>
      </w:tr>
      <w:tr>
        <w:trPr>
          <w:trHeight w:val="216"/>
        </w:trPr>
        <w:tc>
          <w:tcPr>
            <w:tcW w:w="4320" w:type="dxa"/>
            <w:vAlign w:val="bottom"/>
            <w:gridSpan w:val="2"/>
            <w:shd w:val="clear" w:color="auto" w:fill="EEEEEE"/>
          </w:tcPr>
          <w:p>
            <w:pPr>
              <w:jc w:val="center"/>
              <w:ind w:right="780"/>
              <w:spacing w:after="0"/>
              <w:rPr>
                <w:sz w:val="20"/>
                <w:szCs w:val="20"/>
                <w:color w:val="auto"/>
              </w:rPr>
            </w:pPr>
            <w:r>
              <w:rPr>
                <w:rFonts w:ascii="Arial" w:cs="Arial" w:eastAsia="Arial" w:hAnsi="Arial"/>
                <w:sz w:val="18"/>
                <w:szCs w:val="18"/>
                <w:color w:val="auto"/>
                <w:w w:val="90"/>
              </w:rPr>
              <w:t>July 2018</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4.18%</w:t>
            </w:r>
          </w:p>
        </w:tc>
      </w:tr>
      <w:tr>
        <w:trPr>
          <w:trHeight w:val="216"/>
        </w:trPr>
        <w:tc>
          <w:tcPr>
            <w:tcW w:w="43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October 2018</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4.25%</w:t>
            </w:r>
          </w:p>
        </w:tc>
      </w:tr>
      <w:tr>
        <w:trPr>
          <w:trHeight w:val="216"/>
        </w:trPr>
        <w:tc>
          <w:tcPr>
            <w:tcW w:w="4320" w:type="dxa"/>
            <w:vAlign w:val="bottom"/>
            <w:gridSpan w:val="2"/>
            <w:shd w:val="clear" w:color="auto" w:fill="EEEEEE"/>
          </w:tcPr>
          <w:p>
            <w:pPr>
              <w:jc w:val="center"/>
              <w:ind w:right="800"/>
              <w:spacing w:after="0"/>
              <w:rPr>
                <w:sz w:val="20"/>
                <w:szCs w:val="20"/>
                <w:color w:val="auto"/>
              </w:rPr>
            </w:pPr>
            <w:r>
              <w:rPr>
                <w:rFonts w:ascii="Arial" w:cs="Arial" w:eastAsia="Arial" w:hAnsi="Arial"/>
                <w:sz w:val="18"/>
                <w:szCs w:val="18"/>
                <w:color w:val="auto"/>
                <w:w w:val="87"/>
              </w:rPr>
              <w:t>January 2019</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4.22%</w:t>
            </w:r>
          </w:p>
        </w:tc>
      </w:tr>
      <w:tr>
        <w:trPr>
          <w:trHeight w:val="216"/>
        </w:trPr>
        <w:tc>
          <w:tcPr>
            <w:tcW w:w="4320" w:type="dxa"/>
            <w:vAlign w:val="bottom"/>
            <w:gridSpan w:val="2"/>
          </w:tcPr>
          <w:p>
            <w:pPr>
              <w:jc w:val="center"/>
              <w:ind w:right="780"/>
              <w:spacing w:after="0"/>
              <w:rPr>
                <w:sz w:val="20"/>
                <w:szCs w:val="20"/>
                <w:color w:val="auto"/>
              </w:rPr>
            </w:pPr>
            <w:r>
              <w:rPr>
                <w:rFonts w:ascii="Arial" w:cs="Arial" w:eastAsia="Arial" w:hAnsi="Arial"/>
                <w:sz w:val="18"/>
                <w:szCs w:val="18"/>
                <w:color w:val="auto"/>
                <w:w w:val="96"/>
              </w:rPr>
              <w:t>April 2019</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3.95%</w:t>
            </w:r>
          </w:p>
        </w:tc>
      </w:tr>
      <w:tr>
        <w:trPr>
          <w:trHeight w:val="216"/>
        </w:trPr>
        <w:tc>
          <w:tcPr>
            <w:tcW w:w="4320" w:type="dxa"/>
            <w:vAlign w:val="bottom"/>
            <w:gridSpan w:val="2"/>
            <w:shd w:val="clear" w:color="auto" w:fill="EEEEEE"/>
          </w:tcPr>
          <w:p>
            <w:pPr>
              <w:jc w:val="center"/>
              <w:ind w:right="780"/>
              <w:spacing w:after="0"/>
              <w:rPr>
                <w:sz w:val="20"/>
                <w:szCs w:val="20"/>
                <w:color w:val="auto"/>
              </w:rPr>
            </w:pPr>
            <w:r>
              <w:rPr>
                <w:rFonts w:ascii="Arial" w:cs="Arial" w:eastAsia="Arial" w:hAnsi="Arial"/>
                <w:sz w:val="18"/>
                <w:szCs w:val="18"/>
                <w:color w:val="auto"/>
                <w:w w:val="90"/>
              </w:rPr>
              <w:t>July 2019</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3.36%</w:t>
            </w:r>
          </w:p>
        </w:tc>
      </w:tr>
      <w:tr>
        <w:trPr>
          <w:trHeight w:val="216"/>
        </w:trPr>
        <w:tc>
          <w:tcPr>
            <w:tcW w:w="43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October 2019</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16"/>
        </w:trPr>
        <w:tc>
          <w:tcPr>
            <w:tcW w:w="4320" w:type="dxa"/>
            <w:vAlign w:val="bottom"/>
            <w:gridSpan w:val="2"/>
            <w:shd w:val="clear" w:color="auto" w:fill="EEEEEE"/>
          </w:tcPr>
          <w:p>
            <w:pPr>
              <w:jc w:val="center"/>
              <w:ind w:right="800"/>
              <w:spacing w:after="0"/>
              <w:rPr>
                <w:sz w:val="20"/>
                <w:szCs w:val="20"/>
                <w:color w:val="auto"/>
              </w:rPr>
            </w:pPr>
            <w:r>
              <w:rPr>
                <w:rFonts w:ascii="Arial" w:cs="Arial" w:eastAsia="Arial" w:hAnsi="Arial"/>
                <w:sz w:val="18"/>
                <w:szCs w:val="18"/>
                <w:color w:val="auto"/>
                <w:w w:val="87"/>
              </w:rPr>
              <w:t>January 2020</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3.08%</w:t>
            </w:r>
          </w:p>
        </w:tc>
      </w:tr>
      <w:tr>
        <w:trPr>
          <w:trHeight w:val="216"/>
        </w:trPr>
        <w:tc>
          <w:tcPr>
            <w:tcW w:w="4320" w:type="dxa"/>
            <w:vAlign w:val="bottom"/>
            <w:gridSpan w:val="2"/>
          </w:tcPr>
          <w:p>
            <w:pPr>
              <w:jc w:val="center"/>
              <w:ind w:right="780"/>
              <w:spacing w:after="0"/>
              <w:rPr>
                <w:sz w:val="20"/>
                <w:szCs w:val="20"/>
                <w:color w:val="auto"/>
              </w:rPr>
            </w:pPr>
            <w:r>
              <w:rPr>
                <w:rFonts w:ascii="Arial" w:cs="Arial" w:eastAsia="Arial" w:hAnsi="Arial"/>
                <w:sz w:val="18"/>
                <w:szCs w:val="18"/>
                <w:color w:val="auto"/>
                <w:w w:val="87"/>
              </w:rPr>
              <w:t>June 2020</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4.09%</w:t>
            </w:r>
          </w:p>
        </w:tc>
      </w:tr>
      <w:tr>
        <w:trPr>
          <w:trHeight w:val="216"/>
        </w:trPr>
        <w:tc>
          <w:tcPr>
            <w:tcW w:w="4320" w:type="dxa"/>
            <w:vAlign w:val="bottom"/>
            <w:gridSpan w:val="2"/>
            <w:shd w:val="clear" w:color="auto" w:fill="EEEEEE"/>
          </w:tcPr>
          <w:p>
            <w:pPr>
              <w:jc w:val="center"/>
              <w:ind w:right="780"/>
              <w:spacing w:after="0"/>
              <w:rPr>
                <w:sz w:val="20"/>
                <w:szCs w:val="20"/>
                <w:color w:val="auto"/>
              </w:rPr>
            </w:pPr>
            <w:r>
              <w:rPr>
                <w:rFonts w:ascii="Arial" w:cs="Arial" w:eastAsia="Arial" w:hAnsi="Arial"/>
                <w:sz w:val="18"/>
                <w:szCs w:val="18"/>
                <w:color w:val="auto"/>
                <w:w w:val="88"/>
              </w:rPr>
              <w:t>September 2020</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2.39%</w:t>
            </w:r>
          </w:p>
        </w:tc>
      </w:tr>
      <w:tr>
        <w:trPr>
          <w:trHeight w:val="216"/>
        </w:trPr>
        <w:tc>
          <w:tcPr>
            <w:tcW w:w="4320" w:type="dxa"/>
            <w:vAlign w:val="bottom"/>
            <w:gridSpan w:val="2"/>
          </w:tcPr>
          <w:p>
            <w:pPr>
              <w:jc w:val="center"/>
              <w:ind w:right="800"/>
              <w:spacing w:after="0"/>
              <w:rPr>
                <w:sz w:val="20"/>
                <w:szCs w:val="20"/>
                <w:color w:val="auto"/>
              </w:rPr>
            </w:pPr>
            <w:r>
              <w:rPr>
                <w:rFonts w:ascii="Arial" w:cs="Arial" w:eastAsia="Arial" w:hAnsi="Arial"/>
                <w:sz w:val="18"/>
                <w:szCs w:val="18"/>
                <w:color w:val="auto"/>
                <w:w w:val="87"/>
              </w:rPr>
              <w:t>January 2021</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1.11%</w:t>
            </w:r>
          </w:p>
        </w:tc>
      </w:tr>
      <w:tr>
        <w:trPr>
          <w:trHeight w:val="216"/>
        </w:trPr>
        <w:tc>
          <w:tcPr>
            <w:tcW w:w="4320" w:type="dxa"/>
            <w:vAlign w:val="bottom"/>
            <w:gridSpan w:val="2"/>
            <w:shd w:val="clear" w:color="auto" w:fill="EEEEEE"/>
          </w:tcPr>
          <w:p>
            <w:pPr>
              <w:jc w:val="center"/>
              <w:ind w:right="780"/>
              <w:spacing w:after="0"/>
              <w:rPr>
                <w:sz w:val="20"/>
                <w:szCs w:val="20"/>
                <w:color w:val="auto"/>
              </w:rPr>
            </w:pPr>
            <w:r>
              <w:rPr>
                <w:rFonts w:ascii="Arial" w:cs="Arial" w:eastAsia="Arial" w:hAnsi="Arial"/>
                <w:sz w:val="18"/>
                <w:szCs w:val="18"/>
                <w:color w:val="auto"/>
                <w:w w:val="96"/>
              </w:rPr>
              <w:t>April 2021</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1.65%</w:t>
            </w:r>
          </w:p>
        </w:tc>
      </w:tr>
      <w:tr>
        <w:trPr>
          <w:trHeight w:val="216"/>
        </w:trPr>
        <w:tc>
          <w:tcPr>
            <w:tcW w:w="4320" w:type="dxa"/>
            <w:vAlign w:val="bottom"/>
            <w:gridSpan w:val="2"/>
          </w:tcPr>
          <w:p>
            <w:pPr>
              <w:jc w:val="center"/>
              <w:ind w:right="780"/>
              <w:spacing w:after="0"/>
              <w:rPr>
                <w:sz w:val="20"/>
                <w:szCs w:val="20"/>
                <w:color w:val="auto"/>
              </w:rPr>
            </w:pPr>
            <w:r>
              <w:rPr>
                <w:rFonts w:ascii="Arial" w:cs="Arial" w:eastAsia="Arial" w:hAnsi="Arial"/>
                <w:sz w:val="18"/>
                <w:szCs w:val="18"/>
                <w:color w:val="auto"/>
                <w:w w:val="90"/>
              </w:rPr>
              <w:t>July 2021</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1.55%</w:t>
            </w:r>
          </w:p>
        </w:tc>
      </w:tr>
      <w:tr>
        <w:trPr>
          <w:trHeight w:val="216"/>
        </w:trPr>
        <w:tc>
          <w:tcPr>
            <w:tcW w:w="4320" w:type="dxa"/>
            <w:vAlign w:val="bottom"/>
            <w:gridSpan w:val="2"/>
            <w:shd w:val="clear" w:color="auto" w:fill="EEEEEE"/>
          </w:tcPr>
          <w:p>
            <w:pPr>
              <w:jc w:val="center"/>
              <w:ind w:right="780"/>
              <w:spacing w:after="0"/>
              <w:rPr>
                <w:sz w:val="20"/>
                <w:szCs w:val="20"/>
                <w:color w:val="auto"/>
              </w:rPr>
            </w:pPr>
            <w:r>
              <w:rPr>
                <w:rFonts w:ascii="Arial" w:cs="Arial" w:eastAsia="Arial" w:hAnsi="Arial"/>
                <w:sz w:val="18"/>
                <w:szCs w:val="18"/>
                <w:color w:val="auto"/>
                <w:w w:val="89"/>
              </w:rPr>
              <w:t>October 2021</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2.09%</w:t>
            </w:r>
          </w:p>
        </w:tc>
      </w:tr>
      <w:tr>
        <w:trPr>
          <w:trHeight w:val="216"/>
        </w:trPr>
        <w:tc>
          <w:tcPr>
            <w:tcW w:w="4320" w:type="dxa"/>
            <w:vAlign w:val="bottom"/>
            <w:gridSpan w:val="2"/>
          </w:tcPr>
          <w:p>
            <w:pPr>
              <w:jc w:val="center"/>
              <w:ind w:right="800"/>
              <w:spacing w:after="0"/>
              <w:rPr>
                <w:sz w:val="20"/>
                <w:szCs w:val="20"/>
                <w:color w:val="auto"/>
              </w:rPr>
            </w:pPr>
            <w:r>
              <w:rPr>
                <w:rFonts w:ascii="Arial" w:cs="Arial" w:eastAsia="Arial" w:hAnsi="Arial"/>
                <w:sz w:val="18"/>
                <w:szCs w:val="18"/>
                <w:color w:val="auto"/>
                <w:w w:val="87"/>
              </w:rPr>
              <w:t>January 2022</w:t>
            </w:r>
          </w:p>
        </w:tc>
        <w:tc>
          <w:tcPr>
            <w:tcW w:w="3540" w:type="dxa"/>
            <w:vAlign w:val="bottom"/>
          </w:tcPr>
          <w:p>
            <w:pPr>
              <w:jc w:val="center"/>
              <w:spacing w:after="0"/>
              <w:rPr>
                <w:sz w:val="20"/>
                <w:szCs w:val="20"/>
                <w:color w:val="auto"/>
              </w:rPr>
            </w:pPr>
            <w:r>
              <w:rPr>
                <w:rFonts w:ascii="Arial" w:cs="Arial" w:eastAsia="Arial" w:hAnsi="Arial"/>
                <w:sz w:val="18"/>
                <w:szCs w:val="18"/>
                <w:color w:val="auto"/>
                <w:w w:val="90"/>
              </w:rPr>
              <w:t>2.54%</w:t>
            </w:r>
          </w:p>
        </w:tc>
      </w:tr>
      <w:tr>
        <w:trPr>
          <w:trHeight w:val="216"/>
        </w:trPr>
        <w:tc>
          <w:tcPr>
            <w:tcW w:w="4320" w:type="dxa"/>
            <w:vAlign w:val="bottom"/>
            <w:gridSpan w:val="2"/>
            <w:shd w:val="clear" w:color="auto" w:fill="EEEEEE"/>
          </w:tcPr>
          <w:p>
            <w:pPr>
              <w:jc w:val="center"/>
              <w:ind w:right="780"/>
              <w:spacing w:after="0"/>
              <w:rPr>
                <w:sz w:val="20"/>
                <w:szCs w:val="20"/>
                <w:color w:val="auto"/>
              </w:rPr>
            </w:pPr>
            <w:r>
              <w:rPr>
                <w:rFonts w:ascii="Arial" w:cs="Arial" w:eastAsia="Arial" w:hAnsi="Arial"/>
                <w:sz w:val="18"/>
                <w:szCs w:val="18"/>
                <w:color w:val="auto"/>
                <w:w w:val="96"/>
              </w:rPr>
              <w:t>April 2022</w:t>
            </w:r>
          </w:p>
        </w:tc>
        <w:tc>
          <w:tcPr>
            <w:tcW w:w="35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4.83%</w:t>
            </w: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on warehouse credit line debt was $2.5 million for the six months ended June 30, 2022 compared to $2.3 million in the prior year period. Lower rates were mostly offset by higher utilization of our credit lines during the quarter compared to last year. The average balance of our warehouse debt was $76.1 million during the six months ended June 30, 2022 compared to $50.4 million for the same period in 2021.</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Interest expense on subordinated renewable notes decreased by $71,000. The average balance of the outstanding subordinated debt increased 13.2% to $26.6 million for the six months ended June 30, 2022 compared to $23.5 million for the six months ended June 30, 2021. The average yield of subordinated notes decreased to 9.1% in the six-month period ended June 30, 2022 compared to 10.9% in the prior period.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May 16, 2018, we completed a $40.0 million securitization of residual interests from previously issued securitizations. On June 30, 2021, we completed a $50 million securitization of residual from other previously issued securitizations. Interest expense on these residual interest financings were $2.1 million for the six months ended June 30, 2022 compared to $1.0 million in the prior year period.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7" w:name="page38"/>
    <w:bookmarkEnd w:id="37"/>
    <w:p>
      <w:pPr>
        <w:ind w:right="20"/>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six-month periods ended June 30,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8"/>
                <w:szCs w:val="18"/>
                <w:b w:val="1"/>
                <w:bCs w:val="1"/>
                <w:color w:val="auto"/>
                <w:w w:val="95"/>
              </w:rPr>
              <w:t>Six Months Ended June 30,</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jc w:val="right"/>
              <w:ind w:right="64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Annualized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3"/>
            <w:vMerge w:val="restart"/>
          </w:tcPr>
          <w:p>
            <w:pPr>
              <w:jc w:val="center"/>
              <w:ind w:right="800"/>
              <w:spacing w:after="0"/>
              <w:rPr>
                <w:sz w:val="20"/>
                <w:szCs w:val="20"/>
                <w:color w:val="auto"/>
              </w:rPr>
            </w:pPr>
            <w:r>
              <w:rPr>
                <w:rFonts w:ascii="Arial" w:cs="Arial" w:eastAsia="Arial" w:hAnsi="Arial"/>
                <w:sz w:val="18"/>
                <w:szCs w:val="18"/>
                <w:b w:val="1"/>
                <w:bCs w:val="1"/>
                <w:color w:val="auto"/>
                <w:w w:val="89"/>
              </w:rPr>
              <w:t>Interest Earning Assets</w:t>
            </w:r>
          </w:p>
        </w:tc>
        <w:tc>
          <w:tcPr>
            <w:tcW w:w="10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Balance (1)</w:t>
            </w:r>
          </w:p>
        </w:tc>
        <w:tc>
          <w:tcPr>
            <w:tcW w:w="180" w:type="dxa"/>
            <w:vAlign w:val="bottom"/>
          </w:tcPr>
          <w:p>
            <w:pPr>
              <w:spacing w:after="0"/>
              <w:rPr>
                <w:sz w:val="20"/>
                <w:szCs w:val="20"/>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Interest</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Yield/Rate</w:t>
            </w:r>
          </w:p>
        </w:tc>
        <w:tc>
          <w:tcPr>
            <w:tcW w:w="100" w:type="dxa"/>
            <w:vAlign w:val="bottom"/>
          </w:tcPr>
          <w:p>
            <w:pPr>
              <w:spacing w:after="0"/>
              <w:rPr>
                <w:sz w:val="20"/>
                <w:szCs w:val="20"/>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Yield/Rate</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185,288</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21,260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411,571</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40,602</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3280" w:type="dxa"/>
            <w:vAlign w:val="bottom"/>
            <w:gridSpan w:val="5"/>
          </w:tcPr>
          <w:p>
            <w:pPr>
              <w:spacing w:after="0"/>
              <w:rPr>
                <w:sz w:val="20"/>
                <w:szCs w:val="20"/>
                <w:color w:val="auto"/>
              </w:rPr>
            </w:pPr>
            <w:r>
              <w:rPr>
                <w:rFonts w:ascii="Arial" w:cs="Arial" w:eastAsia="Arial" w:hAnsi="Arial"/>
                <w:sz w:val="18"/>
                <w:szCs w:val="18"/>
                <w:color w:val="auto"/>
              </w:rPr>
              <w:t>Finance receivables at fair value</w:t>
            </w: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2,186,431</w:t>
            </w:r>
          </w:p>
        </w:tc>
        <w:tc>
          <w:tcPr>
            <w:tcW w:w="18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124,470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1,718,112</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90,931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9"/>
        </w:trPr>
        <w:tc>
          <w:tcPr>
            <w:tcW w:w="5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66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2,371,719</w:t>
            </w:r>
          </w:p>
        </w:tc>
        <w:tc>
          <w:tcPr>
            <w:tcW w:w="2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145,730</w:t>
            </w:r>
          </w:p>
        </w:tc>
        <w:tc>
          <w:tcPr>
            <w:tcW w:w="240" w:type="dxa"/>
            <w:vAlign w:val="bottom"/>
            <w:tcBorders>
              <w:top w:val="single" w:sz="8" w:color="EEEEEE"/>
            </w:tcBorders>
            <w:shd w:val="clear" w:color="auto" w:fill="EEEEEE"/>
          </w:tcPr>
          <w:p>
            <w:pPr>
              <w:spacing w:after="0"/>
              <w:rPr>
                <w:sz w:val="18"/>
                <w:szCs w:val="18"/>
                <w:color w:val="auto"/>
              </w:rPr>
            </w:pPr>
          </w:p>
        </w:tc>
        <w:tc>
          <w:tcPr>
            <w:tcW w:w="1360" w:type="dxa"/>
            <w:vAlign w:val="bottom"/>
            <w:tcBorders>
              <w:top w:val="single" w:sz="8" w:color="EEEEEE"/>
            </w:tcBorders>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12.3%</w:t>
            </w:r>
          </w:p>
        </w:tc>
        <w:tc>
          <w:tcPr>
            <w:tcW w:w="10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2,129,683</w:t>
            </w: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131,533</w:t>
            </w:r>
          </w:p>
        </w:tc>
        <w:tc>
          <w:tcPr>
            <w:tcW w:w="220" w:type="dxa"/>
            <w:vAlign w:val="bottom"/>
            <w:tcBorders>
              <w:top w:val="single" w:sz="8" w:color="EEEEEE"/>
            </w:tcBorders>
            <w:shd w:val="clear" w:color="auto" w:fill="EEEEEE"/>
          </w:tcPr>
          <w:p>
            <w:pPr>
              <w:spacing w:after="0"/>
              <w:rPr>
                <w:sz w:val="18"/>
                <w:szCs w:val="18"/>
                <w:color w:val="auto"/>
              </w:rPr>
            </w:pPr>
          </w:p>
        </w:tc>
        <w:tc>
          <w:tcPr>
            <w:tcW w:w="1220" w:type="dxa"/>
            <w:vAlign w:val="bottom"/>
            <w:tcBorders>
              <w:top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40" w:type="dxa"/>
            <w:vAlign w:val="bottom"/>
            <w:tcBorders>
              <w:bottom w:val="single" w:sz="8" w:color="EEEEEE"/>
            </w:tcBorders>
            <w:shd w:val="clear" w:color="auto" w:fill="EEEEEE"/>
          </w:tcPr>
          <w:p>
            <w:pPr>
              <w:spacing w:after="0"/>
              <w:rPr>
                <w:sz w:val="17"/>
                <w:szCs w:val="17"/>
                <w:color w:val="auto"/>
              </w:rPr>
            </w:pPr>
          </w:p>
        </w:tc>
        <w:tc>
          <w:tcPr>
            <w:tcW w:w="2080" w:type="dxa"/>
            <w:vAlign w:val="bottom"/>
            <w:tcBorders>
              <w:bottom w:val="single" w:sz="8" w:color="auto"/>
            </w:tcBorders>
            <w:gridSpan w:val="3"/>
            <w:shd w:val="clear" w:color="auto" w:fill="EEEEEE"/>
          </w:tcPr>
          <w:p>
            <w:pPr>
              <w:jc w:val="center"/>
              <w:spacing w:after="0" w:line="176" w:lineRule="exact"/>
              <w:rPr>
                <w:sz w:val="20"/>
                <w:szCs w:val="20"/>
                <w:color w:val="auto"/>
              </w:rPr>
            </w:pPr>
            <w:r>
              <w:rPr>
                <w:rFonts w:ascii="Arial" w:cs="Arial" w:eastAsia="Arial" w:hAnsi="Arial"/>
                <w:sz w:val="18"/>
                <w:szCs w:val="18"/>
                <w:b w:val="1"/>
                <w:bCs w:val="1"/>
                <w:color w:val="auto"/>
                <w:w w:val="92"/>
              </w:rPr>
              <w:t>Interest Bearing Liabilities</w:t>
            </w:r>
          </w:p>
        </w:tc>
        <w:tc>
          <w:tcPr>
            <w:tcW w:w="66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0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940" w:type="dxa"/>
            <w:vAlign w:val="bottom"/>
            <w:tcBorders>
              <w:bottom w:val="single" w:sz="8" w:color="EEEEEE"/>
            </w:tcBorders>
            <w:shd w:val="clear" w:color="auto" w:fill="EEEEEE"/>
          </w:tcPr>
          <w:p>
            <w:pPr>
              <w:spacing w:after="0"/>
              <w:rPr>
                <w:sz w:val="17"/>
                <w:szCs w:val="17"/>
                <w:color w:val="auto"/>
              </w:rPr>
            </w:pPr>
          </w:p>
        </w:tc>
        <w:tc>
          <w:tcPr>
            <w:tcW w:w="240" w:type="dxa"/>
            <w:vAlign w:val="bottom"/>
            <w:tcBorders>
              <w:bottom w:val="single" w:sz="8" w:color="EEEEEE"/>
            </w:tcBorders>
            <w:shd w:val="clear" w:color="auto" w:fill="EEEEEE"/>
          </w:tcPr>
          <w:p>
            <w:pPr>
              <w:spacing w:after="0"/>
              <w:rPr>
                <w:sz w:val="17"/>
                <w:szCs w:val="17"/>
                <w:color w:val="auto"/>
              </w:rPr>
            </w:pPr>
          </w:p>
        </w:tc>
        <w:tc>
          <w:tcPr>
            <w:tcW w:w="114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100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920" w:type="dxa"/>
            <w:vAlign w:val="bottom"/>
            <w:tcBorders>
              <w:bottom w:val="single" w:sz="8" w:color="EEEEEE"/>
            </w:tcBorders>
            <w:shd w:val="clear" w:color="auto" w:fill="EEEEEE"/>
          </w:tcPr>
          <w:p>
            <w:pPr>
              <w:spacing w:after="0"/>
              <w:rPr>
                <w:sz w:val="17"/>
                <w:szCs w:val="17"/>
                <w:color w:val="auto"/>
              </w:rPr>
            </w:pPr>
          </w:p>
        </w:tc>
        <w:tc>
          <w:tcPr>
            <w:tcW w:w="220" w:type="dxa"/>
            <w:vAlign w:val="bottom"/>
            <w:tcBorders>
              <w:bottom w:val="single" w:sz="8" w:color="EEEEEE"/>
            </w:tcBorders>
            <w:shd w:val="clear" w:color="auto" w:fill="EEEEEE"/>
          </w:tcPr>
          <w:p>
            <w:pPr>
              <w:spacing w:after="0"/>
              <w:rPr>
                <w:sz w:val="17"/>
                <w:szCs w:val="17"/>
                <w:color w:val="auto"/>
              </w:rPr>
            </w:pPr>
          </w:p>
        </w:tc>
        <w:tc>
          <w:tcPr>
            <w:tcW w:w="112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Arial" w:cs="Arial" w:eastAsia="Arial" w:hAnsi="Arial"/>
                <w:sz w:val="18"/>
                <w:szCs w:val="18"/>
                <w:color w:val="auto"/>
              </w:rPr>
              <w:t>Warehouse lines of credit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76,085</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2,544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50,401</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2,335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50,984</w:t>
            </w: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2,144</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20,484</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1,033</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3280" w:type="dxa"/>
            <w:vAlign w:val="bottom"/>
            <w:gridSpan w:val="5"/>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1,922,914</w:t>
            </w:r>
          </w:p>
        </w:tc>
        <w:tc>
          <w:tcPr>
            <w:tcW w:w="1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29,273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1,854,147</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35,276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28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26,607</w:t>
            </w:r>
          </w:p>
        </w:tc>
        <w:tc>
          <w:tcPr>
            <w:tcW w:w="18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1,210</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EEEEEE"/>
          </w:tcPr>
          <w:p>
            <w:pPr>
              <w:spacing w:after="0"/>
              <w:rPr>
                <w:sz w:val="19"/>
                <w:szCs w:val="19"/>
                <w:color w:val="auto"/>
              </w:rPr>
            </w:pP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23,502</w:t>
            </w:r>
          </w:p>
        </w:tc>
        <w:tc>
          <w:tcPr>
            <w:tcW w:w="18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1,281</w:t>
            </w:r>
          </w:p>
        </w:tc>
        <w:tc>
          <w:tcPr>
            <w:tcW w:w="12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1800" w:type="dxa"/>
            <w:vAlign w:val="bottom"/>
            <w:tcBorders>
              <w:bottom w:val="single" w:sz="8" w:color="EEEEEE"/>
            </w:tcBorders>
          </w:tcPr>
          <w:p>
            <w:pPr>
              <w:spacing w:after="0"/>
              <w:rPr>
                <w:sz w:val="22"/>
                <w:szCs w:val="22"/>
                <w:color w:val="auto"/>
              </w:rPr>
            </w:pPr>
          </w:p>
        </w:tc>
        <w:tc>
          <w:tcPr>
            <w:tcW w:w="140" w:type="dxa"/>
            <w:vAlign w:val="bottom"/>
            <w:tcBorders>
              <w:bottom w:val="single" w:sz="8" w:color="EEEEEE"/>
            </w:tcBorders>
          </w:tcPr>
          <w:p>
            <w:pPr>
              <w:spacing w:after="0"/>
              <w:rPr>
                <w:sz w:val="22"/>
                <w:szCs w:val="22"/>
                <w:color w:val="auto"/>
              </w:rPr>
            </w:pPr>
          </w:p>
        </w:tc>
        <w:tc>
          <w:tcPr>
            <w:tcW w:w="660" w:type="dxa"/>
            <w:vAlign w:val="bottom"/>
            <w:tcBorders>
              <w:bottom w:val="single" w:sz="8" w:color="EEEEEE"/>
            </w:tcBorders>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2,076,590</w:t>
            </w:r>
          </w:p>
        </w:tc>
        <w:tc>
          <w:tcPr>
            <w:tcW w:w="260" w:type="dxa"/>
            <w:vAlign w:val="bottom"/>
            <w:tcBorders>
              <w:bottom w:val="single" w:sz="8" w:color="EEEEEE"/>
            </w:tcBorders>
            <w:vMerge w:val="continue"/>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180" w:type="dxa"/>
            <w:vAlign w:val="bottom"/>
            <w:tcBorders>
              <w:bottom w:val="single" w:sz="8" w:color="EEEEEE"/>
            </w:tcBorders>
            <w:gridSpan w:val="2"/>
          </w:tcPr>
          <w:p>
            <w:pPr>
              <w:jc w:val="right"/>
              <w:ind w:right="240"/>
              <w:spacing w:after="0"/>
              <w:rPr>
                <w:sz w:val="20"/>
                <w:szCs w:val="20"/>
                <w:color w:val="auto"/>
              </w:rPr>
            </w:pPr>
            <w:r>
              <w:rPr>
                <w:rFonts w:ascii="Arial" w:cs="Arial" w:eastAsia="Arial" w:hAnsi="Arial"/>
                <w:sz w:val="18"/>
                <w:szCs w:val="18"/>
                <w:color w:val="auto"/>
              </w:rPr>
              <w:t>35,171</w:t>
            </w:r>
          </w:p>
        </w:tc>
        <w:tc>
          <w:tcPr>
            <w:tcW w:w="1360" w:type="dxa"/>
            <w:vAlign w:val="bottom"/>
            <w:tcBorders>
              <w:bottom w:val="single" w:sz="8" w:color="EEEEEE"/>
            </w:tcBorders>
            <w:gridSpan w:val="2"/>
          </w:tcPr>
          <w:p>
            <w:pPr>
              <w:jc w:val="right"/>
              <w:ind w:right="22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1,948,534</w:t>
            </w:r>
          </w:p>
        </w:tc>
        <w:tc>
          <w:tcPr>
            <w:tcW w:w="220" w:type="dxa"/>
            <w:vAlign w:val="bottom"/>
            <w:tcBorders>
              <w:bottom w:val="single" w:sz="8" w:color="EEEEEE"/>
            </w:tcBorders>
            <w:vMerge w:val="continue"/>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1140" w:type="dxa"/>
            <w:vAlign w:val="bottom"/>
            <w:tcBorders>
              <w:bottom w:val="single" w:sz="8" w:color="EEEEEE"/>
            </w:tcBorders>
            <w:gridSpan w:val="2"/>
          </w:tcPr>
          <w:p>
            <w:pPr>
              <w:jc w:val="right"/>
              <w:ind w:right="220"/>
              <w:spacing w:after="0"/>
              <w:rPr>
                <w:sz w:val="20"/>
                <w:szCs w:val="20"/>
                <w:color w:val="auto"/>
              </w:rPr>
            </w:pPr>
            <w:r>
              <w:rPr>
                <w:rFonts w:ascii="Arial" w:cs="Arial" w:eastAsia="Arial" w:hAnsi="Arial"/>
                <w:sz w:val="18"/>
                <w:szCs w:val="18"/>
                <w:color w:val="auto"/>
              </w:rPr>
              <w:t>39,925</w:t>
            </w:r>
          </w:p>
        </w:tc>
        <w:tc>
          <w:tcPr>
            <w:tcW w:w="122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7"/>
        </w:trPr>
        <w:tc>
          <w:tcPr>
            <w:tcW w:w="5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spacing w:after="0"/>
              <w:rPr>
                <w:sz w:val="17"/>
                <w:szCs w:val="17"/>
                <w:color w:val="auto"/>
              </w:rPr>
            </w:pPr>
          </w:p>
        </w:tc>
        <w:tc>
          <w:tcPr>
            <w:tcW w:w="940" w:type="dxa"/>
            <w:vAlign w:val="bottom"/>
            <w:tcBorders>
              <w:bottom w:val="single" w:sz="8" w:color="auto"/>
            </w:tcBorders>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tcBorders>
              <w:bottom w:val="single" w:sz="8" w:color="auto"/>
            </w:tcBorders>
            <w:shd w:val="clear" w:color="auto" w:fill="EEEEEE"/>
          </w:tcPr>
          <w:p>
            <w:pPr>
              <w:spacing w:after="0"/>
              <w:rPr>
                <w:sz w:val="17"/>
                <w:szCs w:val="17"/>
                <w:color w:val="auto"/>
              </w:rPr>
            </w:pPr>
          </w:p>
        </w:tc>
        <w:tc>
          <w:tcPr>
            <w:tcW w:w="920" w:type="dxa"/>
            <w:vAlign w:val="bottom"/>
            <w:tcBorders>
              <w:bottom w:val="single" w:sz="8" w:color="auto"/>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280" w:type="dxa"/>
            <w:vAlign w:val="bottom"/>
            <w:tcBorders>
              <w:bottom w:val="single" w:sz="8" w:color="EEEEEE"/>
            </w:tcBorders>
            <w:gridSpan w:val="5"/>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EEEEEE"/>
            </w:tcBorders>
          </w:tcPr>
          <w:p>
            <w:pPr>
              <w:spacing w:after="0"/>
              <w:rPr>
                <w:sz w:val="22"/>
                <w:szCs w:val="22"/>
                <w:color w:val="auto"/>
              </w:rPr>
            </w:pPr>
          </w:p>
        </w:tc>
        <w:tc>
          <w:tcPr>
            <w:tcW w:w="1020" w:type="dxa"/>
            <w:vAlign w:val="bottom"/>
            <w:tcBorders>
              <w:bottom w:val="single" w:sz="8" w:color="EEEEEE"/>
            </w:tcBorders>
          </w:tcPr>
          <w:p>
            <w:pPr>
              <w:spacing w:after="0"/>
              <w:rPr>
                <w:sz w:val="22"/>
                <w:szCs w:val="22"/>
                <w:color w:val="auto"/>
              </w:rPr>
            </w:pPr>
          </w:p>
        </w:tc>
        <w:tc>
          <w:tcPr>
            <w:tcW w:w="26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110,559</w:t>
            </w:r>
          </w:p>
        </w:tc>
        <w:tc>
          <w:tcPr>
            <w:tcW w:w="240" w:type="dxa"/>
            <w:vAlign w:val="bottom"/>
            <w:tcBorders>
              <w:bottom w:val="single" w:sz="8" w:color="EEEEEE"/>
            </w:tcBorders>
          </w:tcPr>
          <w:p>
            <w:pPr>
              <w:spacing w:after="0"/>
              <w:rPr>
                <w:sz w:val="22"/>
                <w:szCs w:val="22"/>
                <w:color w:val="auto"/>
              </w:rPr>
            </w:pPr>
          </w:p>
        </w:tc>
        <w:tc>
          <w:tcPr>
            <w:tcW w:w="114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100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91,608</w:t>
            </w:r>
          </w:p>
        </w:tc>
        <w:tc>
          <w:tcPr>
            <w:tcW w:w="220" w:type="dxa"/>
            <w:vAlign w:val="bottom"/>
            <w:tcBorders>
              <w:bottom w:val="single" w:sz="8" w:color="EEEEEE"/>
            </w:tcBorders>
          </w:tcPr>
          <w:p>
            <w:pPr>
              <w:spacing w:after="0"/>
              <w:rPr>
                <w:sz w:val="22"/>
                <w:szCs w:val="22"/>
                <w:color w:val="auto"/>
              </w:rPr>
            </w:pPr>
          </w:p>
        </w:tc>
        <w:tc>
          <w:tcPr>
            <w:tcW w:w="11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280" w:type="dxa"/>
            <w:vAlign w:val="bottom"/>
            <w:gridSpan w:val="5"/>
            <w:shd w:val="clear" w:color="auto" w:fill="EEEEEE"/>
          </w:tcPr>
          <w:p>
            <w:pPr>
              <w:spacing w:after="0" w:line="196" w:lineRule="exact"/>
              <w:rPr>
                <w:sz w:val="20"/>
                <w:szCs w:val="20"/>
                <w:color w:val="auto"/>
              </w:rPr>
            </w:pPr>
            <w:r>
              <w:rPr>
                <w:rFonts w:ascii="Arial" w:cs="Arial" w:eastAsia="Arial" w:hAnsi="Arial"/>
                <w:sz w:val="18"/>
                <w:szCs w:val="18"/>
                <w:color w:val="auto"/>
              </w:rPr>
              <w:t>Net interest yield (3)</w:t>
            </w:r>
          </w:p>
        </w:tc>
        <w:tc>
          <w:tcPr>
            <w:tcW w:w="10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360" w:type="dxa"/>
            <w:vAlign w:val="bottom"/>
            <w:gridSpan w:val="2"/>
            <w:shd w:val="clear" w:color="auto" w:fill="EEEEEE"/>
          </w:tcPr>
          <w:p>
            <w:pPr>
              <w:jc w:val="right"/>
              <w:ind w:right="220"/>
              <w:spacing w:after="0" w:line="196" w:lineRule="exact"/>
              <w:rPr>
                <w:sz w:val="20"/>
                <w:szCs w:val="20"/>
                <w:color w:val="auto"/>
              </w:rPr>
            </w:pPr>
            <w:r>
              <w:rPr>
                <w:rFonts w:ascii="Arial" w:cs="Arial" w:eastAsia="Arial" w:hAnsi="Arial"/>
                <w:sz w:val="18"/>
                <w:szCs w:val="18"/>
                <w:color w:val="auto"/>
              </w:rPr>
              <w:t>8.9%</w:t>
            </w:r>
          </w:p>
        </w:tc>
        <w:tc>
          <w:tcPr>
            <w:tcW w:w="10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20" w:type="dxa"/>
            <w:vAlign w:val="bottom"/>
            <w:gridSpan w:val="2"/>
            <w:shd w:val="clear" w:color="auto" w:fill="EEEEEE"/>
          </w:tcPr>
          <w:p>
            <w:pPr>
              <w:jc w:val="right"/>
              <w:ind w:right="100"/>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2"/>
        </w:trPr>
        <w:tc>
          <w:tcPr>
            <w:tcW w:w="3280" w:type="dxa"/>
            <w:vAlign w:val="bottom"/>
            <w:gridSpan w:val="5"/>
          </w:tcPr>
          <w:p>
            <w:pPr>
              <w:spacing w:after="0" w:line="201" w:lineRule="exact"/>
              <w:rPr>
                <w:sz w:val="20"/>
                <w:szCs w:val="20"/>
                <w:color w:val="auto"/>
              </w:rPr>
            </w:pPr>
            <w:r>
              <w:rPr>
                <w:rFonts w:ascii="Arial" w:cs="Arial" w:eastAsia="Arial" w:hAnsi="Arial"/>
                <w:sz w:val="18"/>
                <w:szCs w:val="18"/>
                <w:color w:val="auto"/>
                <w:w w:val="96"/>
              </w:rPr>
              <w:t>Ratio of average interest earning assets to</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80" w:type="dxa"/>
            <w:vAlign w:val="bottom"/>
            <w:gridSpan w:val="5"/>
          </w:tcPr>
          <w:p>
            <w:pPr>
              <w:ind w:left="180"/>
              <w:spacing w:after="0"/>
              <w:rPr>
                <w:sz w:val="20"/>
                <w:szCs w:val="20"/>
                <w:color w:val="auto"/>
              </w:rPr>
            </w:pPr>
            <w:r>
              <w:rPr>
                <w:rFonts w:ascii="Arial" w:cs="Arial" w:eastAsia="Arial" w:hAnsi="Arial"/>
                <w:sz w:val="18"/>
                <w:szCs w:val="18"/>
                <w:color w:val="auto"/>
              </w:rPr>
              <w:t>average interest bearing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66"/>
        </w:trPr>
        <w:tc>
          <w:tcPr>
            <w:tcW w:w="2480" w:type="dxa"/>
            <w:vAlign w:val="bottom"/>
            <w:gridSpan w:val="3"/>
          </w:tcPr>
          <w:p>
            <w:pPr>
              <w:spacing w:after="0"/>
              <w:rPr>
                <w:sz w:val="20"/>
                <w:szCs w:val="20"/>
                <w:color w:val="auto"/>
              </w:rPr>
            </w:pPr>
            <w:r>
              <w:rPr>
                <w:rFonts w:ascii="Arial" w:cs="Arial" w:eastAsia="Arial" w:hAnsi="Arial"/>
                <w:sz w:val="22"/>
                <w:szCs w:val="22"/>
                <w:color w:val="auto"/>
              </w:rPr>
              <w:t>_____________</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360" w:hanging="29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7" w:lineRule="exact"/>
        <w:rPr>
          <w:rFonts w:ascii="Arial" w:cs="Arial" w:eastAsia="Arial" w:hAnsi="Arial"/>
          <w:sz w:val="18"/>
          <w:szCs w:val="18"/>
          <w:color w:val="auto"/>
        </w:rPr>
      </w:pPr>
    </w:p>
    <w:p>
      <w:pPr>
        <w:ind w:left="360" w:hanging="29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360" w:hanging="292"/>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9"/>
        </w:trPr>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60" w:type="dxa"/>
            <w:vAlign w:val="bottom"/>
            <w:gridSpan w:val="9"/>
          </w:tcPr>
          <w:p>
            <w:pPr>
              <w:jc w:val="right"/>
              <w:ind w:right="1260"/>
              <w:spacing w:after="0"/>
              <w:rPr>
                <w:sz w:val="20"/>
                <w:szCs w:val="20"/>
                <w:color w:val="auto"/>
              </w:rPr>
            </w:pPr>
            <w:r>
              <w:rPr>
                <w:rFonts w:ascii="Arial" w:cs="Arial" w:eastAsia="Arial" w:hAnsi="Arial"/>
                <w:sz w:val="18"/>
                <w:szCs w:val="18"/>
                <w:b w:val="1"/>
                <w:bCs w:val="1"/>
                <w:color w:val="auto"/>
              </w:rPr>
              <w:t>Six Months Ended June 30, 2022</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Compared to June 30, 2021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right"/>
              <w:ind w:right="780"/>
              <w:spacing w:after="0" w:line="205"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7"/>
                <w:szCs w:val="17"/>
                <w:color w:val="auto"/>
              </w:rPr>
            </w:pPr>
          </w:p>
        </w:tc>
        <w:tc>
          <w:tcPr>
            <w:tcW w:w="1460" w:type="dxa"/>
            <w:vAlign w:val="bottom"/>
            <w:gridSpan w:val="2"/>
          </w:tcPr>
          <w:p>
            <w:pPr>
              <w:jc w:val="right"/>
              <w:ind w:right="301"/>
              <w:spacing w:after="0" w:line="205" w:lineRule="exact"/>
              <w:rPr>
                <w:sz w:val="20"/>
                <w:szCs w:val="20"/>
                <w:color w:val="auto"/>
              </w:rPr>
            </w:pPr>
            <w:r>
              <w:rPr>
                <w:rFonts w:ascii="Arial" w:cs="Arial" w:eastAsia="Arial" w:hAnsi="Arial"/>
                <w:sz w:val="18"/>
                <w:szCs w:val="18"/>
                <w:b w:val="1"/>
                <w:bCs w:val="1"/>
                <w:color w:val="auto"/>
              </w:rPr>
              <w:t>Change Due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170"/>
              <w:spacing w:after="0" w:line="205" w:lineRule="exact"/>
              <w:rPr>
                <w:sz w:val="20"/>
                <w:szCs w:val="20"/>
                <w:color w:val="auto"/>
              </w:rPr>
            </w:pPr>
            <w:r>
              <w:rPr>
                <w:rFonts w:ascii="Arial" w:cs="Arial" w:eastAsia="Arial" w:hAnsi="Arial"/>
                <w:sz w:val="18"/>
                <w:szCs w:val="18"/>
                <w:b w:val="1"/>
                <w:bCs w:val="1"/>
                <w:color w:val="auto"/>
                <w:w w:val="95"/>
              </w:rPr>
              <w:t>Change Due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0"/>
                <w:szCs w:val="20"/>
                <w:color w:val="auto"/>
              </w:rPr>
            </w:pPr>
          </w:p>
        </w:tc>
        <w:tc>
          <w:tcPr>
            <w:tcW w:w="1460" w:type="dxa"/>
            <w:vAlign w:val="bottom"/>
            <w:gridSpan w:val="2"/>
          </w:tcPr>
          <w:p>
            <w:pPr>
              <w:jc w:val="right"/>
              <w:ind w:right="381"/>
              <w:spacing w:after="0"/>
              <w:rPr>
                <w:sz w:val="20"/>
                <w:szCs w:val="20"/>
                <w:color w:val="auto"/>
              </w:rPr>
            </w:pPr>
            <w:r>
              <w:rPr>
                <w:rFonts w:ascii="Arial" w:cs="Arial" w:eastAsia="Arial" w:hAnsi="Arial"/>
                <w:sz w:val="18"/>
                <w:szCs w:val="18"/>
                <w:b w:val="1"/>
                <w:bCs w:val="1"/>
                <w:color w:val="auto"/>
              </w:rPr>
              <w:t>to Volume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28"/>
        </w:trPr>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gridSpan w:val="2"/>
            <w:vMerge w:val="restart"/>
          </w:tcPr>
          <w:p>
            <w:pPr>
              <w:jc w:val="center"/>
              <w:ind w:right="140"/>
              <w:spacing w:after="0"/>
              <w:rPr>
                <w:sz w:val="20"/>
                <w:szCs w:val="20"/>
                <w:color w:val="auto"/>
              </w:rPr>
            </w:pPr>
            <w:r>
              <w:rPr>
                <w:rFonts w:ascii="Arial" w:cs="Arial" w:eastAsia="Arial" w:hAnsi="Arial"/>
                <w:sz w:val="18"/>
                <w:szCs w:val="18"/>
                <w:b w:val="1"/>
                <w:bCs w:val="1"/>
                <w:color w:val="auto"/>
                <w:w w:val="89"/>
              </w:rPr>
              <w:t>Interest Earning Assets</w:t>
            </w:r>
          </w:p>
        </w:tc>
        <w:tc>
          <w:tcPr>
            <w:tcW w:w="2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ind w:right="241"/>
              <w:spacing w:after="0"/>
              <w:rPr>
                <w:sz w:val="20"/>
                <w:szCs w:val="20"/>
                <w:color w:val="auto"/>
              </w:rPr>
            </w:pPr>
            <w:r>
              <w:rPr>
                <w:rFonts w:ascii="Arial" w:cs="Arial" w:eastAsia="Arial" w:hAnsi="Arial"/>
                <w:sz w:val="18"/>
                <w:szCs w:val="18"/>
                <w:b w:val="1"/>
                <w:bCs w:val="1"/>
                <w:color w:val="auto"/>
                <w:w w:val="90"/>
              </w:rPr>
              <w:t>(In thousands)</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2440" w:type="dxa"/>
            <w:vAlign w:val="bottom"/>
            <w:gridSpan w:val="2"/>
            <w:shd w:val="clear" w:color="auto" w:fill="EEEEEE"/>
          </w:tcPr>
          <w:p>
            <w:pPr>
              <w:jc w:val="right"/>
              <w:ind w:right="107"/>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(19,342)</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(25,304)</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29"/>
        </w:trPr>
        <w:tc>
          <w:tcPr>
            <w:tcW w:w="4140" w:type="dxa"/>
            <w:vAlign w:val="bottom"/>
            <w:gridSpan w:val="4"/>
          </w:tcPr>
          <w:p>
            <w:pPr>
              <w:spacing w:after="0"/>
              <w:rPr>
                <w:sz w:val="20"/>
                <w:szCs w:val="20"/>
                <w:color w:val="auto"/>
              </w:rPr>
            </w:pPr>
            <w:r>
              <w:rPr>
                <w:rFonts w:ascii="Arial" w:cs="Arial" w:eastAsia="Arial" w:hAnsi="Arial"/>
                <w:sz w:val="18"/>
                <w:szCs w:val="18"/>
                <w:color w:val="auto"/>
              </w:rPr>
              <w:t>Finance receivables at fair value</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33,539</w:t>
            </w:r>
          </w:p>
        </w:tc>
        <w:tc>
          <w:tcPr>
            <w:tcW w:w="120" w:type="dxa"/>
            <w:vAlign w:val="bottom"/>
          </w:tcPr>
          <w:p>
            <w:pPr>
              <w:spacing w:after="0"/>
              <w:rPr>
                <w:sz w:val="19"/>
                <w:szCs w:val="19"/>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16,032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17,507</w:t>
            </w:r>
          </w:p>
        </w:tc>
        <w:tc>
          <w:tcPr>
            <w:tcW w:w="0" w:type="dxa"/>
            <w:vAlign w:val="bottom"/>
          </w:tcPr>
          <w:p>
            <w:pPr>
              <w:spacing w:after="0"/>
              <w:rPr>
                <w:sz w:val="1"/>
                <w:szCs w:val="1"/>
                <w:color w:val="auto"/>
              </w:rPr>
            </w:pPr>
          </w:p>
        </w:tc>
      </w:tr>
      <w:tr>
        <w:trPr>
          <w:trHeight w:val="210"/>
        </w:trPr>
        <w:tc>
          <w:tcPr>
            <w:tcW w:w="20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1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14,197</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(9,272)</w:t>
            </w:r>
          </w:p>
        </w:tc>
        <w:tc>
          <w:tcPr>
            <w:tcW w:w="1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23,469</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60" w:type="dxa"/>
            <w:vAlign w:val="bottom"/>
          </w:tcPr>
          <w:p>
            <w:pPr>
              <w:spacing w:after="0"/>
              <w:rPr>
                <w:sz w:val="15"/>
                <w:szCs w:val="15"/>
                <w:color w:val="auto"/>
              </w:rPr>
            </w:pPr>
          </w:p>
        </w:tc>
        <w:tc>
          <w:tcPr>
            <w:tcW w:w="2080" w:type="dxa"/>
            <w:vAlign w:val="bottom"/>
            <w:tcBorders>
              <w:bottom w:val="single" w:sz="8" w:color="auto"/>
            </w:tcBorders>
            <w:gridSpan w:val="3"/>
          </w:tcPr>
          <w:p>
            <w:pPr>
              <w:jc w:val="center"/>
              <w:spacing w:after="0" w:line="176" w:lineRule="exact"/>
              <w:rPr>
                <w:sz w:val="20"/>
                <w:szCs w:val="20"/>
                <w:color w:val="auto"/>
              </w:rPr>
            </w:pPr>
            <w:r>
              <w:rPr>
                <w:rFonts w:ascii="Arial" w:cs="Arial" w:eastAsia="Arial" w:hAnsi="Arial"/>
                <w:sz w:val="18"/>
                <w:szCs w:val="18"/>
                <w:b w:val="1"/>
                <w:bCs w:val="1"/>
                <w:color w:val="auto"/>
                <w:w w:val="92"/>
              </w:rPr>
              <w:t>Interest Bearing Liabilities</w:t>
            </w:r>
          </w:p>
        </w:tc>
        <w:tc>
          <w:tcPr>
            <w:tcW w:w="2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2,171</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4140" w:type="dxa"/>
            <w:vAlign w:val="bottom"/>
            <w:gridSpan w:val="4"/>
          </w:tcPr>
          <w:p>
            <w:pPr>
              <w:spacing w:after="0"/>
              <w:rPr>
                <w:sz w:val="20"/>
                <w:szCs w:val="20"/>
                <w:color w:val="auto"/>
              </w:rPr>
            </w:pPr>
            <w:r>
              <w:rPr>
                <w:rFonts w:ascii="Arial" w:cs="Arial" w:eastAsia="Arial" w:hAnsi="Arial"/>
                <w:sz w:val="18"/>
                <w:szCs w:val="18"/>
                <w:color w:val="auto"/>
              </w:rPr>
              <w:t>Residual interest financing</w:t>
            </w:r>
          </w:p>
        </w:tc>
        <w:tc>
          <w:tcPr>
            <w:tcW w:w="2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1,965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414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1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(6,003)</w:t>
            </w:r>
          </w:p>
        </w:tc>
        <w:tc>
          <w:tcPr>
            <w:tcW w:w="1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1"/>
              <w:spacing w:after="0"/>
              <w:rPr>
                <w:sz w:val="20"/>
                <w:szCs w:val="20"/>
                <w:color w:val="auto"/>
              </w:rPr>
            </w:pPr>
            <w:r>
              <w:rPr>
                <w:rFonts w:ascii="Arial" w:cs="Arial" w:eastAsia="Arial" w:hAnsi="Arial"/>
                <w:sz w:val="18"/>
                <w:szCs w:val="18"/>
                <w:color w:val="auto"/>
              </w:rPr>
              <w:t>8,620</w:t>
            </w:r>
          </w:p>
        </w:tc>
        <w:tc>
          <w:tcPr>
            <w:tcW w:w="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(14,623)</w:t>
            </w:r>
          </w:p>
        </w:tc>
        <w:tc>
          <w:tcPr>
            <w:tcW w:w="0" w:type="dxa"/>
            <w:vAlign w:val="bottom"/>
          </w:tcPr>
          <w:p>
            <w:pPr>
              <w:spacing w:after="0"/>
              <w:rPr>
                <w:sz w:val="1"/>
                <w:szCs w:val="1"/>
                <w:color w:val="auto"/>
              </w:rPr>
            </w:pPr>
          </w:p>
        </w:tc>
      </w:tr>
      <w:tr>
        <w:trPr>
          <w:trHeight w:val="230"/>
        </w:trPr>
        <w:tc>
          <w:tcPr>
            <w:tcW w:w="4140" w:type="dxa"/>
            <w:vAlign w:val="bottom"/>
            <w:gridSpan w:val="4"/>
          </w:tcPr>
          <w:p>
            <w:pPr>
              <w:spacing w:after="0"/>
              <w:rPr>
                <w:sz w:val="20"/>
                <w:szCs w:val="20"/>
                <w:color w:val="auto"/>
              </w:rPr>
            </w:pPr>
            <w:r>
              <w:rPr>
                <w:rFonts w:ascii="Arial" w:cs="Arial" w:eastAsia="Arial" w:hAnsi="Arial"/>
                <w:sz w:val="18"/>
                <w:szCs w:val="18"/>
                <w:color w:val="auto"/>
              </w:rPr>
              <w:t>Subordinated renewable notes</w:t>
            </w:r>
          </w:p>
        </w:tc>
        <w:tc>
          <w:tcPr>
            <w:tcW w:w="2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1460" w:type="dxa"/>
            <w:vAlign w:val="bottom"/>
            <w:gridSpan w:val="2"/>
          </w:tcPr>
          <w:p>
            <w:pPr>
              <w:jc w:val="right"/>
              <w:ind w:right="41"/>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9"/>
        </w:trPr>
        <w:tc>
          <w:tcPr>
            <w:tcW w:w="20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18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(4,754)</w:t>
            </w:r>
          </w:p>
        </w:tc>
        <w:tc>
          <w:tcPr>
            <w:tcW w:w="2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13,166</w:t>
            </w:r>
          </w:p>
        </w:tc>
        <w:tc>
          <w:tcPr>
            <w:tcW w:w="1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(17,920)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1800" w:type="dxa"/>
            <w:vAlign w:val="bottom"/>
            <w:tcBorders>
              <w:bottom w:val="single" w:sz="8" w:color="EEEEEE"/>
            </w:tcBorders>
          </w:tcPr>
          <w:p>
            <w:pPr>
              <w:spacing w:after="0"/>
              <w:rPr>
                <w:sz w:val="19"/>
                <w:szCs w:val="19"/>
                <w:color w:val="auto"/>
              </w:rPr>
            </w:pPr>
          </w:p>
        </w:tc>
        <w:tc>
          <w:tcPr>
            <w:tcW w:w="140" w:type="dxa"/>
            <w:vAlign w:val="bottom"/>
            <w:tcBorders>
              <w:bottom w:val="single" w:sz="8" w:color="EEEEEE"/>
            </w:tcBorders>
          </w:tcPr>
          <w:p>
            <w:pPr>
              <w:spacing w:after="0"/>
              <w:rPr>
                <w:sz w:val="19"/>
                <w:szCs w:val="19"/>
                <w:color w:val="auto"/>
              </w:rPr>
            </w:pPr>
          </w:p>
        </w:tc>
        <w:tc>
          <w:tcPr>
            <w:tcW w:w="2180" w:type="dxa"/>
            <w:vAlign w:val="bottom"/>
            <w:tcBorders>
              <w:bottom w:val="single" w:sz="8" w:color="EEEEE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40" w:type="dxa"/>
            <w:vAlign w:val="bottom"/>
            <w:tcBorders>
              <w:bottom w:val="single" w:sz="8" w:color="EEEEE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bottom w:val="single" w:sz="8" w:color="EEEEEE"/>
            </w:tcBorders>
            <w:gridSpan w:val="4"/>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218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18,951</w:t>
            </w:r>
          </w:p>
        </w:tc>
        <w:tc>
          <w:tcPr>
            <w:tcW w:w="24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(22,438</w:t>
            </w:r>
          </w:p>
        </w:tc>
        <w:tc>
          <w:tcPr>
            <w:tcW w:w="120" w:type="dxa"/>
            <w:vAlign w:val="bottom"/>
            <w:tcBorders>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41,389</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annualized yield on our finance receivables was 12.3% for the six months ended June 30, 2022 and 12.4% for the same period in 2021. The interest yield on receivables measured at fair value is reduced to take account of expected losses and is therefore less than the yield on other finance receivables. The average balance of these fair value receivables was $2,186.4 million for the six months ended June 30, 2022 compared to $1,718.1 million in the prior year period.</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Effective January 1, 2020, the Company adopted </w:t>
      </w:r>
      <w:r>
        <w:rPr>
          <w:rFonts w:ascii="Arial" w:cs="Arial" w:eastAsia="Arial" w:hAnsi="Arial"/>
          <w:sz w:val="17"/>
          <w:szCs w:val="17"/>
          <w:i w:val="1"/>
          <w:iCs w:val="1"/>
          <w:color w:val="auto"/>
        </w:rPr>
        <w:t>Accounting Standards Update 2016-13 - Financial Instruments - Credit Losses: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on Financial Instruments. </w:t>
      </w:r>
      <w:r>
        <w:rPr>
          <w:rFonts w:ascii="Arial" w:cs="Arial" w:eastAsia="Arial" w:hAnsi="Arial"/>
          <w:sz w:val="17"/>
          <w:szCs w:val="17"/>
          <w:color w:val="auto"/>
        </w:rPr>
        <w:t>The amendment introduces a new credit reserving model known as the Current Expected Credit Loss model,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referred to as CECL. Adoption of CECL required the establishment of an allowance for the remaining expected lifetime credit losses on the portion of the Company’s receivable portfolio that was originated prior to January 2018. The Company recorded an addition to its allowance for finance credit losses of $127.0 million at the adoption of CECL in January 2020. In accordance with the rules for adopting CECL, the offset to the addition to the allowance for finance credit losses was a tax affected reduction to retained earnings using the modified retrospective method.</w:t>
      </w:r>
    </w:p>
    <w:p>
      <w:pPr>
        <w:spacing w:after="0" w:line="17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six months ended June 30, 2022, we recorded a reduction to provision for credit losses on finance receivables in the amount of $17.4 million. The reserve decrease was primarily due to a decrease in lifetime expected credit losses resulting from improved credit performance as our previous estimates for future losses exceeded actual incurred losses. There were no additions or reductions to provision for credit losses for the six months ended June 30, 2021.</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evaluation of the allowance for credit losses indicated that the reserves against future losses are adequate as of June 30, 2022. Although we have not yet seen a deterioration in the credit performance for these receivables as a result of the pandemic, we expect that the absence of any additional government stimulus payments, the expiration of the eviction moratorium and a reversion to the mean for used car pricing could negatively affect credit performance in the future.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39" w:name="page40"/>
    <w:bookmarkEnd w:id="39"/>
    <w:p>
      <w:pPr>
        <w:jc w:val="both"/>
        <w:spacing w:after="0" w:line="286" w:lineRule="auto"/>
        <w:rPr>
          <w:sz w:val="20"/>
          <w:szCs w:val="20"/>
          <w:color w:val="auto"/>
        </w:rPr>
      </w:pPr>
      <w:r>
        <w:rPr>
          <w:rFonts w:ascii="Arial" w:cs="Arial" w:eastAsia="Arial" w:hAnsi="Arial"/>
          <w:sz w:val="17"/>
          <w:szCs w:val="17"/>
          <w:color w:val="auto"/>
        </w:rPr>
        <w:t>The allowance applies only to our finance receivables originated through December 2017, which we refer to as our legacy portfolio. Finance receivables that we have originated since January 2018 are accounted for at fair value. Under the fair value method of accounting, we recognize interest income net of expected credit losses. Thus, no provision for credit loss expense is recorded for finance receivables measured at fair value.</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expense consists primarily of commission-based compensation paid to our employee sales representatives. Our sales representatives earn a salary plus commissions based on volume of contract purchases and sales of ancillary products and services that we offer our dealers, such as training programs, internet lead sales, and direct mail products. Sales expense increased by $3.0 million to $11.2 million during the six months ended June 30, 2022 and represented 12.1% of total operating expenses. We purchased $958.1 million of new contracts during the six months ended June 30, 2022 compared to $491.5 million in the prior year period.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Occupancy expenses was $3.8 million for the six months ending June 30, 2022 compared to $3.9 million for the same period in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expenses decreased to $802,000 compared to $845,000 in the previous year and represented 0.8% of total operating expenses.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June 30, 2022, we recorded income tax expense of $17.1 million, representing a 27% effective tax rate. In the prior period, our income tax expense was $6.9 million, representing a 32% effective tax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Experience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The tables below document the delinquency, repossession and net credit loss experience of all such automobile contracts that we originated or own an interest in as of the respective dates shown.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74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June 30, 2022</w:t>
            </w:r>
          </w:p>
        </w:tc>
        <w:tc>
          <w:tcPr>
            <w:tcW w:w="26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June 30, 2021</w:t>
            </w:r>
          </w:p>
        </w:tc>
        <w:tc>
          <w:tcPr>
            <w:tcW w:w="2540" w:type="dxa"/>
            <w:vAlign w:val="bottom"/>
            <w:gridSpan w:val="5"/>
          </w:tcPr>
          <w:p>
            <w:pPr>
              <w:ind w:left="500"/>
              <w:spacing w:after="0"/>
              <w:rPr>
                <w:sz w:val="20"/>
                <w:szCs w:val="20"/>
                <w:color w:val="auto"/>
              </w:rPr>
            </w:pPr>
            <w:r>
              <w:rPr>
                <w:rFonts w:ascii="Arial" w:cs="Arial" w:eastAsia="Arial" w:hAnsi="Arial"/>
                <w:sz w:val="18"/>
                <w:szCs w:val="18"/>
                <w:b w:val="1"/>
                <w:bCs w:val="1"/>
                <w:color w:val="auto"/>
              </w:rPr>
              <w:t>December 31, 2021</w:t>
            </w:r>
          </w:p>
        </w:tc>
      </w:tr>
      <w:tr>
        <w:trPr>
          <w:trHeight w:val="205"/>
        </w:trPr>
        <w:tc>
          <w:tcPr>
            <w:tcW w:w="3280" w:type="dxa"/>
            <w:vAlign w:val="bottom"/>
          </w:tcPr>
          <w:p>
            <w:pPr>
              <w:spacing w:after="0"/>
              <w:rPr>
                <w:sz w:val="17"/>
                <w:szCs w:val="17"/>
                <w:color w:val="auto"/>
              </w:rPr>
            </w:pPr>
          </w:p>
        </w:tc>
        <w:tc>
          <w:tcPr>
            <w:tcW w:w="1380" w:type="dxa"/>
            <w:vAlign w:val="bottom"/>
            <w:tcBorders>
              <w:top w:val="single" w:sz="8" w:color="auto"/>
            </w:tcBorders>
            <w:gridSpan w:val="2"/>
          </w:tcPr>
          <w:p>
            <w:pPr>
              <w:jc w:val="right"/>
              <w:ind w:right="400"/>
              <w:spacing w:after="0" w:line="205" w:lineRule="exact"/>
              <w:rPr>
                <w:sz w:val="20"/>
                <w:szCs w:val="20"/>
                <w:color w:val="auto"/>
              </w:rPr>
            </w:pPr>
            <w:r>
              <w:rPr>
                <w:rFonts w:ascii="Arial" w:cs="Arial" w:eastAsia="Arial" w:hAnsi="Arial"/>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Borders>
              <w:top w:val="single" w:sz="8" w:color="auto"/>
            </w:tcBorders>
            <w:gridSpan w:val="2"/>
          </w:tcPr>
          <w:p>
            <w:pPr>
              <w:jc w:val="right"/>
              <w:ind w:right="360"/>
              <w:spacing w:after="0" w:line="205" w:lineRule="exact"/>
              <w:rPr>
                <w:sz w:val="20"/>
                <w:szCs w:val="20"/>
                <w:color w:val="auto"/>
              </w:rPr>
            </w:pPr>
            <w:r>
              <w:rPr>
                <w:rFonts w:ascii="Arial" w:cs="Arial" w:eastAsia="Arial" w:hAnsi="Arial"/>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gridSpan w:val="2"/>
          </w:tcPr>
          <w:p>
            <w:pPr>
              <w:jc w:val="right"/>
              <w:ind w:right="340"/>
              <w:spacing w:after="0" w:line="205" w:lineRule="exact"/>
              <w:rPr>
                <w:sz w:val="20"/>
                <w:szCs w:val="20"/>
                <w:color w:val="auto"/>
              </w:rPr>
            </w:pPr>
            <w:r>
              <w:rPr>
                <w:rFonts w:ascii="Arial" w:cs="Arial" w:eastAsia="Arial" w:hAnsi="Arial"/>
                <w:sz w:val="18"/>
                <w:szCs w:val="18"/>
                <w:b w:val="1"/>
                <w:bCs w:val="1"/>
                <w:color w:val="auto"/>
              </w:rPr>
              <w:t>Number of</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28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Contracts</w:t>
            </w:r>
          </w:p>
        </w:tc>
        <w:tc>
          <w:tcPr>
            <w:tcW w:w="16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Contracts</w:t>
            </w:r>
          </w:p>
        </w:tc>
        <w:tc>
          <w:tcPr>
            <w:tcW w:w="160" w:type="dxa"/>
            <w:vAlign w:val="bottom"/>
          </w:tcPr>
          <w:p>
            <w:pPr>
              <w:spacing w:after="0"/>
              <w:rPr>
                <w:sz w:val="20"/>
                <w:szCs w:val="20"/>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9"/>
              </w:rPr>
              <w:t>Amount</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Contracts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09"/>
        </w:trPr>
        <w:tc>
          <w:tcPr>
            <w:tcW w:w="328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(Dollars in thousands)</w:t>
            </w: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Delinquency Experience</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Gross servicing portfolio (1)</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162,296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2,554,855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156,701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2,115,612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154,151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2,209,430</w:t>
            </w:r>
          </w:p>
        </w:tc>
      </w:tr>
      <w:tr>
        <w:trPr>
          <w:trHeight w:val="216"/>
        </w:trPr>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Period of delinquency (2)</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31-60 days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10,721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149,520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8,723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115,156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10,895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146,904</w:t>
            </w:r>
          </w:p>
        </w:tc>
      </w:tr>
      <w:tr>
        <w:trPr>
          <w:trHeight w:val="216"/>
        </w:trPr>
        <w:tc>
          <w:tcPr>
            <w:tcW w:w="3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61-90 days</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4,096</w:t>
            </w:r>
          </w:p>
        </w:tc>
        <w:tc>
          <w:tcPr>
            <w:tcW w:w="16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54,505</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2,669</w:t>
            </w:r>
          </w:p>
        </w:tc>
        <w:tc>
          <w:tcPr>
            <w:tcW w:w="16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33,127</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3,939</w:t>
            </w:r>
          </w:p>
        </w:tc>
        <w:tc>
          <w:tcPr>
            <w:tcW w:w="16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51,069</w:t>
            </w: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91+ days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1,302</w:t>
            </w: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16,996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683</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1,171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14,280</w:t>
            </w:r>
          </w:p>
        </w:tc>
      </w:tr>
      <w:tr>
        <w:trPr>
          <w:trHeight w:val="209"/>
        </w:trPr>
        <w:tc>
          <w:tcPr>
            <w:tcW w:w="32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delinquencies (2)</w:t>
            </w:r>
          </w:p>
        </w:tc>
        <w:tc>
          <w:tcPr>
            <w:tcW w:w="1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16,119</w:t>
            </w:r>
          </w:p>
        </w:tc>
        <w:tc>
          <w:tcPr>
            <w:tcW w:w="2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221,021</w:t>
            </w:r>
          </w:p>
        </w:tc>
        <w:tc>
          <w:tcPr>
            <w:tcW w:w="240" w:type="dxa"/>
            <w:vAlign w:val="bottom"/>
            <w:tcBorders>
              <w:top w:val="single" w:sz="8" w:color="EEEEEE"/>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12,075</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155,384</w:t>
            </w:r>
          </w:p>
        </w:tc>
        <w:tc>
          <w:tcPr>
            <w:tcW w:w="220" w:type="dxa"/>
            <w:vAlign w:val="bottom"/>
            <w:tcBorders>
              <w:top w:val="single" w:sz="8" w:color="EEEEEE"/>
            </w:tcBorders>
            <w:shd w:val="clear" w:color="auto" w:fill="EEEEEE"/>
          </w:tcPr>
          <w:p>
            <w:pPr>
              <w:spacing w:after="0"/>
              <w:rPr>
                <w:sz w:val="18"/>
                <w:szCs w:val="18"/>
                <w:color w:val="auto"/>
              </w:rPr>
            </w:pPr>
          </w:p>
        </w:tc>
        <w:tc>
          <w:tcPr>
            <w:tcW w:w="1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16,005</w:t>
            </w:r>
          </w:p>
        </w:tc>
        <w:tc>
          <w:tcPr>
            <w:tcW w:w="2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212,253</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3280" w:type="dxa"/>
            <w:vAlign w:val="bottom"/>
          </w:tcPr>
          <w:p>
            <w:pPr>
              <w:spacing w:after="0"/>
              <w:rPr>
                <w:sz w:val="20"/>
                <w:szCs w:val="20"/>
                <w:color w:val="auto"/>
              </w:rPr>
            </w:pPr>
            <w:r>
              <w:rPr>
                <w:rFonts w:ascii="Arial" w:cs="Arial" w:eastAsia="Arial" w:hAnsi="Arial"/>
                <w:sz w:val="18"/>
                <w:szCs w:val="18"/>
                <w:color w:val="auto"/>
              </w:rPr>
              <w:t>Amount in repossession (3)</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2,028</w:t>
            </w:r>
          </w:p>
        </w:tc>
        <w:tc>
          <w:tcPr>
            <w:tcW w:w="16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26,988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1,796</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19,928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1,882</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22,912</w:t>
            </w:r>
          </w:p>
        </w:tc>
      </w:tr>
      <w:tr>
        <w:trPr>
          <w:trHeight w:val="182"/>
        </w:trPr>
        <w:tc>
          <w:tcPr>
            <w:tcW w:w="3280" w:type="dxa"/>
            <w:vAlign w:val="bottom"/>
            <w:tcBorders>
              <w:top w:val="single" w:sz="8" w:color="EEEEEE"/>
            </w:tcBorders>
            <w:shd w:val="clear" w:color="auto" w:fill="EEEEEE"/>
          </w:tcPr>
          <w:p>
            <w:pPr>
              <w:spacing w:after="0" w:line="182" w:lineRule="exact"/>
              <w:rPr>
                <w:sz w:val="20"/>
                <w:szCs w:val="20"/>
                <w:color w:val="auto"/>
              </w:rPr>
            </w:pPr>
            <w:r>
              <w:rPr>
                <w:rFonts w:ascii="Arial" w:cs="Arial" w:eastAsia="Arial" w:hAnsi="Arial"/>
                <w:sz w:val="18"/>
                <w:szCs w:val="18"/>
                <w:color w:val="auto"/>
              </w:rPr>
              <w:t>Total delinquencies and amount in</w:t>
            </w:r>
          </w:p>
        </w:tc>
        <w:tc>
          <w:tcPr>
            <w:tcW w:w="1120" w:type="dxa"/>
            <w:vAlign w:val="bottom"/>
            <w:tcBorders>
              <w:top w:val="single" w:sz="8" w:color="auto"/>
            </w:tcBorders>
            <w:shd w:val="clear" w:color="auto" w:fill="EEEEEE"/>
          </w:tcPr>
          <w:p>
            <w:pPr>
              <w:spacing w:after="0"/>
              <w:rPr>
                <w:sz w:val="15"/>
                <w:szCs w:val="15"/>
                <w:color w:val="auto"/>
              </w:rPr>
            </w:pPr>
          </w:p>
        </w:tc>
        <w:tc>
          <w:tcPr>
            <w:tcW w:w="26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240" w:type="dxa"/>
            <w:vAlign w:val="bottom"/>
            <w:tcBorders>
              <w:top w:val="single" w:sz="8" w:color="EEEEEE"/>
            </w:tcBorders>
            <w:shd w:val="clear" w:color="auto" w:fill="EEEEEE"/>
          </w:tcPr>
          <w:p>
            <w:pPr>
              <w:spacing w:after="0"/>
              <w:rPr>
                <w:sz w:val="15"/>
                <w:szCs w:val="15"/>
                <w:color w:val="auto"/>
              </w:rPr>
            </w:pPr>
          </w:p>
        </w:tc>
        <w:tc>
          <w:tcPr>
            <w:tcW w:w="114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4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100" w:type="dxa"/>
            <w:vAlign w:val="bottom"/>
            <w:tcBorders>
              <w:top w:val="single" w:sz="8" w:color="auto"/>
            </w:tcBorders>
            <w:shd w:val="clear" w:color="auto" w:fill="EEEEEE"/>
          </w:tcPr>
          <w:p>
            <w:pPr>
              <w:spacing w:after="0"/>
              <w:rPr>
                <w:sz w:val="15"/>
                <w:szCs w:val="15"/>
                <w:color w:val="auto"/>
              </w:rPr>
            </w:pPr>
          </w:p>
        </w:tc>
        <w:tc>
          <w:tcPr>
            <w:tcW w:w="220" w:type="dxa"/>
            <w:vAlign w:val="bottom"/>
            <w:tcBorders>
              <w:top w:val="single" w:sz="8" w:color="EEEEEE"/>
            </w:tcBorders>
            <w:shd w:val="clear" w:color="auto" w:fill="EEEEEE"/>
          </w:tcPr>
          <w:p>
            <w:pPr>
              <w:spacing w:after="0"/>
              <w:rPr>
                <w:sz w:val="15"/>
                <w:szCs w:val="15"/>
                <w:color w:val="auto"/>
              </w:rPr>
            </w:pPr>
          </w:p>
        </w:tc>
        <w:tc>
          <w:tcPr>
            <w:tcW w:w="160" w:type="dxa"/>
            <w:vAlign w:val="bottom"/>
            <w:tcBorders>
              <w:top w:val="single" w:sz="8" w:color="auto"/>
            </w:tcBorders>
            <w:shd w:val="clear" w:color="auto" w:fill="EEEEEE"/>
          </w:tcPr>
          <w:p>
            <w:pPr>
              <w:spacing w:after="0"/>
              <w:rPr>
                <w:sz w:val="15"/>
                <w:szCs w:val="15"/>
                <w:color w:val="auto"/>
              </w:rPr>
            </w:pPr>
          </w:p>
        </w:tc>
        <w:tc>
          <w:tcPr>
            <w:tcW w:w="960" w:type="dxa"/>
            <w:vAlign w:val="bottom"/>
            <w:tcBorders>
              <w:top w:val="single" w:sz="8" w:color="auto"/>
            </w:tcBorders>
            <w:shd w:val="clear" w:color="auto" w:fill="EEEEEE"/>
          </w:tcPr>
          <w:p>
            <w:pPr>
              <w:spacing w:after="0"/>
              <w:rPr>
                <w:sz w:val="15"/>
                <w:szCs w:val="15"/>
                <w:color w:val="auto"/>
              </w:rPr>
            </w:pPr>
          </w:p>
        </w:tc>
        <w:tc>
          <w:tcPr>
            <w:tcW w:w="100" w:type="dxa"/>
            <w:vAlign w:val="bottom"/>
            <w:tcBorders>
              <w:top w:val="single" w:sz="8" w:color="EEEEEE"/>
            </w:tcBorders>
            <w:shd w:val="clear" w:color="auto" w:fill="EEEEEE"/>
          </w:tcPr>
          <w:p>
            <w:pPr>
              <w:spacing w:after="0"/>
              <w:rPr>
                <w:sz w:val="15"/>
                <w:szCs w:val="15"/>
                <w:color w:val="auto"/>
              </w:rPr>
            </w:pPr>
          </w:p>
        </w:tc>
      </w:tr>
      <w:tr>
        <w:trPr>
          <w:trHeight w:val="257"/>
        </w:trPr>
        <w:tc>
          <w:tcPr>
            <w:tcW w:w="3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repossession (2)</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18,147</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248,009</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13,871</w:t>
            </w:r>
          </w:p>
        </w:tc>
        <w:tc>
          <w:tcPr>
            <w:tcW w:w="160" w:type="dxa"/>
            <w:vAlign w:val="bottom"/>
            <w:shd w:val="clear" w:color="auto" w:fill="EEEEEE"/>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175,312</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17,887</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235,165</w:t>
            </w:r>
          </w:p>
        </w:tc>
      </w:tr>
      <w:tr>
        <w:trPr>
          <w:trHeight w:val="20"/>
        </w:trPr>
        <w:tc>
          <w:tcPr>
            <w:tcW w:w="32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Delinquencies as a percentage of gross</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3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servicing portfolio</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9.9%</w:t>
            </w:r>
          </w:p>
        </w:tc>
        <w:tc>
          <w:tcPr>
            <w:tcW w:w="16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8.7%</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7.7%</w:t>
            </w:r>
          </w:p>
        </w:tc>
        <w:tc>
          <w:tcPr>
            <w:tcW w:w="1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7.3%</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Total delinquencies and amount in</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16"/>
        </w:trPr>
        <w:tc>
          <w:tcPr>
            <w:tcW w:w="328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9"/>
              </w:rPr>
              <w:t>repossession as a percentage of gross</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30"/>
        </w:trPr>
        <w:tc>
          <w:tcPr>
            <w:tcW w:w="3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servicing portfolio</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EEEEEE"/>
          </w:tcPr>
          <w:p>
            <w:pPr>
              <w:spacing w:after="0"/>
              <w:rPr>
                <w:sz w:val="20"/>
                <w:szCs w:val="20"/>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9.7%</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8.9%</w:t>
            </w:r>
          </w:p>
        </w:tc>
        <w:tc>
          <w:tcPr>
            <w:tcW w:w="16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8.3%</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EEEEEE"/>
          </w:tcPr>
          <w:p>
            <w:pPr>
              <w:spacing w:after="0"/>
              <w:rPr>
                <w:sz w:val="20"/>
                <w:szCs w:val="20"/>
                <w:color w:val="auto"/>
              </w:rPr>
            </w:pPr>
            <w:r>
              <w:rPr>
                <w:rFonts w:ascii="Arial" w:cs="Arial" w:eastAsia="Arial" w:hAnsi="Arial"/>
                <w:sz w:val="18"/>
                <w:szCs w:val="18"/>
                <w:b w:val="1"/>
                <w:bCs w:val="1"/>
                <w:i w:val="1"/>
                <w:iCs w:val="1"/>
                <w:color w:val="auto"/>
              </w:rPr>
              <w:t>Extension Experience</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Contracts with one extension, accruing</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23,231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341,794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25,292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340,500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23,740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328,128</w:t>
            </w:r>
          </w:p>
        </w:tc>
      </w:tr>
      <w:tr>
        <w:trPr>
          <w:trHeight w:val="202"/>
        </w:trPr>
        <w:tc>
          <w:tcPr>
            <w:tcW w:w="3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44"/>
        </w:trPr>
        <w:tc>
          <w:tcPr>
            <w:tcW w:w="3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accruing</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41,636</w:t>
            </w:r>
          </w:p>
        </w:tc>
        <w:tc>
          <w:tcPr>
            <w:tcW w:w="160" w:type="dxa"/>
            <w:vAlign w:val="bottom"/>
            <w:shd w:val="clear" w:color="auto" w:fill="EEEEEE"/>
          </w:tcPr>
          <w:p>
            <w:pPr>
              <w:spacing w:after="0"/>
              <w:rPr>
                <w:sz w:val="21"/>
                <w:szCs w:val="21"/>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445,839</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50,977</w:t>
            </w:r>
          </w:p>
        </w:tc>
        <w:tc>
          <w:tcPr>
            <w:tcW w:w="16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582,353</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46,541</w:t>
            </w:r>
          </w:p>
        </w:tc>
        <w:tc>
          <w:tcPr>
            <w:tcW w:w="16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513,183</w:t>
            </w:r>
          </w:p>
        </w:tc>
      </w:tr>
      <w:tr>
        <w:trPr>
          <w:trHeight w:val="210"/>
        </w:trPr>
        <w:tc>
          <w:tcPr>
            <w:tcW w:w="32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64,867</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787,633</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76,269</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922,853</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70,281</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841,311</w:t>
            </w:r>
          </w:p>
        </w:tc>
        <w:tc>
          <w:tcPr>
            <w:tcW w:w="100" w:type="dxa"/>
            <w:vAlign w:val="bottom"/>
          </w:tcPr>
          <w:p>
            <w:pPr>
              <w:spacing w:after="0"/>
              <w:rPr>
                <w:sz w:val="18"/>
                <w:szCs w:val="18"/>
                <w:color w:val="auto"/>
              </w:rPr>
            </w:pPr>
          </w:p>
        </w:tc>
      </w:tr>
      <w:tr>
        <w:trPr>
          <w:trHeight w:val="216"/>
        </w:trPr>
        <w:tc>
          <w:tcPr>
            <w:tcW w:w="3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w w:val="97"/>
              </w:rPr>
              <w:t>Contracts with one extension, non-accrual</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(4)</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643</w:t>
            </w:r>
          </w:p>
        </w:tc>
        <w:tc>
          <w:tcPr>
            <w:tcW w:w="16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8,946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504</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5,494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7,736</w:t>
            </w:r>
          </w:p>
        </w:tc>
      </w:tr>
      <w:tr>
        <w:trPr>
          <w:trHeight w:val="202"/>
        </w:trPr>
        <w:tc>
          <w:tcPr>
            <w:tcW w:w="3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Contracts with two or more extensions,</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44"/>
        </w:trPr>
        <w:tc>
          <w:tcPr>
            <w:tcW w:w="3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non-accrual (4)</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1,355</w:t>
            </w:r>
          </w:p>
        </w:tc>
        <w:tc>
          <w:tcPr>
            <w:tcW w:w="160" w:type="dxa"/>
            <w:vAlign w:val="bottom"/>
            <w:shd w:val="clear" w:color="auto" w:fill="EEEEEE"/>
          </w:tcPr>
          <w:p>
            <w:pPr>
              <w:spacing w:after="0"/>
              <w:rPr>
                <w:sz w:val="21"/>
                <w:szCs w:val="21"/>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15,009</w:t>
            </w:r>
          </w:p>
        </w:tc>
        <w:tc>
          <w:tcPr>
            <w:tcW w:w="13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1,161</w:t>
            </w:r>
          </w:p>
        </w:tc>
        <w:tc>
          <w:tcPr>
            <w:tcW w:w="16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11,973</w:t>
            </w:r>
          </w:p>
        </w:tc>
        <w:tc>
          <w:tcPr>
            <w:tcW w:w="13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1,414</w:t>
            </w:r>
          </w:p>
        </w:tc>
        <w:tc>
          <w:tcPr>
            <w:tcW w:w="16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15,128</w:t>
            </w:r>
          </w:p>
        </w:tc>
      </w:tr>
      <w:tr>
        <w:trPr>
          <w:trHeight w:val="210"/>
        </w:trPr>
        <w:tc>
          <w:tcPr>
            <w:tcW w:w="32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23,955</w:t>
            </w:r>
          </w:p>
        </w:tc>
        <w:tc>
          <w:tcPr>
            <w:tcW w:w="24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1,665</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17,467</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22,864</w:t>
            </w:r>
          </w:p>
        </w:tc>
        <w:tc>
          <w:tcPr>
            <w:tcW w:w="100" w:type="dxa"/>
            <w:vAlign w:val="bottom"/>
          </w:tcPr>
          <w:p>
            <w:pPr>
              <w:spacing w:after="0"/>
              <w:rPr>
                <w:sz w:val="18"/>
                <w:szCs w:val="18"/>
                <w:color w:val="auto"/>
              </w:rPr>
            </w:pPr>
          </w:p>
        </w:tc>
      </w:tr>
      <w:tr>
        <w:trPr>
          <w:trHeight w:val="230"/>
        </w:trPr>
        <w:tc>
          <w:tcPr>
            <w:tcW w:w="3280" w:type="dxa"/>
            <w:vAlign w:val="bottom"/>
            <w:shd w:val="clear" w:color="auto" w:fill="EEEEEE"/>
          </w:tcPr>
          <w:p>
            <w:pPr>
              <w:spacing w:after="0"/>
              <w:rPr>
                <w:sz w:val="19"/>
                <w:szCs w:val="19"/>
                <w:color w:val="auto"/>
              </w:rPr>
            </w:pPr>
          </w:p>
        </w:tc>
        <w:tc>
          <w:tcPr>
            <w:tcW w:w="1120" w:type="dxa"/>
            <w:vAlign w:val="bottom"/>
            <w:tcBorders>
              <w:bottom w:val="single" w:sz="8" w:color="auto"/>
            </w:tcBorders>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14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100" w:type="dxa"/>
            <w:vAlign w:val="bottom"/>
            <w:tcBorders>
              <w:bottom w:val="single" w:sz="8" w:color="auto"/>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Total contracts with extensions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66,865</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811,588</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77,934</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940,320</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72,292</w:t>
            </w: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864,175</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953"/>
        </w:trPr>
        <w:tc>
          <w:tcPr>
            <w:tcW w:w="3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_________________</w:t>
      </w:r>
    </w:p>
    <w:p>
      <w:pPr>
        <w:spacing w:after="0" w:line="27" w:lineRule="exact"/>
        <w:rPr>
          <w:sz w:val="20"/>
          <w:szCs w:val="20"/>
          <w:color w:val="auto"/>
        </w:rPr>
      </w:pPr>
    </w:p>
    <w:p>
      <w:pPr>
        <w:jc w:val="both"/>
        <w:ind w:firstLine="8"/>
        <w:spacing w:after="0" w:line="250" w:lineRule="auto"/>
        <w:tabs>
          <w:tab w:leader="none" w:pos="27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spacing w:after="0" w:line="1" w:lineRule="exact"/>
        <w:rPr>
          <w:rFonts w:ascii="Arial" w:cs="Arial" w:eastAsia="Arial" w:hAnsi="Arial"/>
          <w:sz w:val="18"/>
          <w:szCs w:val="18"/>
          <w:i w:val="1"/>
          <w:iCs w:val="1"/>
          <w:color w:val="auto"/>
        </w:rPr>
      </w:pPr>
    </w:p>
    <w:p>
      <w:pPr>
        <w:jc w:val="both"/>
        <w:ind w:firstLine="8"/>
        <w:spacing w:after="0" w:line="250" w:lineRule="auto"/>
        <w:tabs>
          <w:tab w:leader="none" w:pos="26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and accounts past due more than 90 days are on non-accrual.</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gridSpan w:val="4"/>
          </w:tcPr>
          <w:p>
            <w:pPr>
              <w:jc w:val="center"/>
              <w:ind w:left="970"/>
              <w:spacing w:after="0"/>
              <w:rPr>
                <w:sz w:val="20"/>
                <w:szCs w:val="20"/>
                <w:color w:val="auto"/>
              </w:rPr>
            </w:pPr>
            <w:r>
              <w:rPr>
                <w:rFonts w:ascii="Arial" w:cs="Arial" w:eastAsia="Arial" w:hAnsi="Arial"/>
                <w:sz w:val="18"/>
                <w:szCs w:val="18"/>
                <w:b w:val="1"/>
                <w:bCs w:val="1"/>
                <w:color w:val="auto"/>
                <w:w w:val="89"/>
              </w:rPr>
              <w:t>Finance Receivables Portfolio</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19"/>
                <w:szCs w:val="19"/>
                <w:color w:val="auto"/>
              </w:rPr>
            </w:pPr>
          </w:p>
        </w:tc>
        <w:tc>
          <w:tcPr>
            <w:tcW w:w="150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2022</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(Dollars in thousands)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164,380</w:t>
            </w:r>
          </w:p>
        </w:tc>
        <w:tc>
          <w:tcPr>
            <w:tcW w:w="4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371,718</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345,021</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426"/>
        </w:trPr>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gridSpan w:val="4"/>
          </w:tcPr>
          <w:p>
            <w:pPr>
              <w:jc w:val="center"/>
              <w:ind w:left="970"/>
              <w:spacing w:after="0"/>
              <w:rPr>
                <w:sz w:val="20"/>
                <w:szCs w:val="20"/>
                <w:color w:val="auto"/>
              </w:rPr>
            </w:pPr>
            <w:r>
              <w:rPr>
                <w:rFonts w:ascii="Arial" w:cs="Arial" w:eastAsia="Arial" w:hAnsi="Arial"/>
                <w:sz w:val="18"/>
                <w:szCs w:val="18"/>
                <w:b w:val="1"/>
                <w:bCs w:val="1"/>
                <w:color w:val="auto"/>
                <w:w w:val="90"/>
              </w:rPr>
              <w:t>Fair Value Receivables Portfolio</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5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19"/>
                <w:szCs w:val="19"/>
                <w:color w:val="auto"/>
              </w:rPr>
            </w:pPr>
          </w:p>
        </w:tc>
        <w:tc>
          <w:tcPr>
            <w:tcW w:w="150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2022</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(Dollars in thousands)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2,305,575</w:t>
            </w:r>
          </w:p>
        </w:tc>
        <w:tc>
          <w:tcPr>
            <w:tcW w:w="4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1,748,991</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1,802,590</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2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426"/>
        </w:trPr>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9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90"/>
              </w:rPr>
              <w:t>Total Owned Portfolio</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Pr>
          <w:p>
            <w:pPr>
              <w:spacing w:after="0"/>
              <w:rPr>
                <w:sz w:val="19"/>
                <w:szCs w:val="19"/>
                <w:color w:val="auto"/>
              </w:rPr>
            </w:pPr>
          </w:p>
        </w:tc>
        <w:tc>
          <w:tcPr>
            <w:tcW w:w="1500" w:type="dxa"/>
            <w:vAlign w:val="bottom"/>
          </w:tcPr>
          <w:p>
            <w:pPr>
              <w:jc w:val="center"/>
              <w:ind w:right="410"/>
              <w:spacing w:after="0"/>
              <w:rPr>
                <w:sz w:val="20"/>
                <w:szCs w:val="20"/>
                <w:color w:val="auto"/>
              </w:rPr>
            </w:pPr>
            <w:r>
              <w:rPr>
                <w:rFonts w:ascii="Arial" w:cs="Arial" w:eastAsia="Arial" w:hAnsi="Arial"/>
                <w:sz w:val="18"/>
                <w:szCs w:val="18"/>
                <w:b w:val="1"/>
                <w:bCs w:val="1"/>
                <w:color w:val="auto"/>
                <w:w w:val="88"/>
              </w:rPr>
              <w:t>June 30,</w:t>
            </w:r>
          </w:p>
        </w:tc>
        <w:tc>
          <w:tcPr>
            <w:tcW w:w="240" w:type="dxa"/>
            <w:vAlign w:val="bottom"/>
          </w:tcPr>
          <w:p>
            <w:pPr>
              <w:spacing w:after="0"/>
              <w:rPr>
                <w:sz w:val="19"/>
                <w:szCs w:val="19"/>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2022</w:t>
            </w: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410"/>
              <w:spacing w:after="0"/>
              <w:rPr>
                <w:sz w:val="20"/>
                <w:szCs w:val="20"/>
                <w:color w:val="auto"/>
              </w:rPr>
            </w:pPr>
            <w:r>
              <w:rPr>
                <w:rFonts w:ascii="Arial" w:cs="Arial" w:eastAsia="Arial" w:hAnsi="Arial"/>
                <w:sz w:val="18"/>
                <w:szCs w:val="18"/>
                <w:b w:val="1"/>
                <w:bCs w:val="1"/>
                <w:color w:val="auto"/>
                <w:w w:val="89"/>
              </w:rPr>
              <w:t>2021</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2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9"/>
              </w:rPr>
              <w:t>(Dollars in thousands)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280" w:type="dxa"/>
            <w:vAlign w:val="bottom"/>
            <w:shd w:val="clear" w:color="auto" w:fill="EEEEEE"/>
          </w:tcPr>
          <w:p>
            <w:pPr>
              <w:jc w:val="right"/>
              <w:ind w:right="127"/>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2,469,955</w:t>
            </w:r>
          </w:p>
        </w:tc>
        <w:tc>
          <w:tcPr>
            <w:tcW w:w="42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rPr>
              <w:t>2,118,673</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2,147,611</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w w:val="97"/>
              </w:rPr>
              <w:t>Annualized net charge-offs as a percentage of average servicing portfolio (2)</w:t>
            </w:r>
          </w:p>
        </w:tc>
        <w:tc>
          <w:tcPr>
            <w:tcW w:w="280" w:type="dxa"/>
            <w:vAlign w:val="bottom"/>
          </w:tcPr>
          <w:p>
            <w:pPr>
              <w:spacing w:after="0"/>
              <w:rPr>
                <w:sz w:val="17"/>
                <w:szCs w:val="17"/>
                <w:color w:val="auto"/>
              </w:rPr>
            </w:pPr>
          </w:p>
        </w:tc>
        <w:tc>
          <w:tcPr>
            <w:tcW w:w="1380" w:type="dxa"/>
            <w:vAlign w:val="bottom"/>
          </w:tcPr>
          <w:p>
            <w:pPr>
              <w:jc w:val="right"/>
              <w:spacing w:after="0" w:line="201" w:lineRule="exact"/>
              <w:rPr>
                <w:sz w:val="20"/>
                <w:szCs w:val="20"/>
                <w:color w:val="auto"/>
              </w:rPr>
            </w:pPr>
            <w:r>
              <w:rPr>
                <w:rFonts w:ascii="Arial" w:cs="Arial" w:eastAsia="Arial" w:hAnsi="Arial"/>
                <w:sz w:val="18"/>
                <w:szCs w:val="18"/>
                <w:color w:val="auto"/>
              </w:rPr>
              <w:t>3.6%</w:t>
            </w:r>
          </w:p>
        </w:tc>
        <w:tc>
          <w:tcPr>
            <w:tcW w:w="420" w:type="dxa"/>
            <w:vAlign w:val="bottom"/>
          </w:tcPr>
          <w:p>
            <w:pPr>
              <w:spacing w:after="0"/>
              <w:rPr>
                <w:sz w:val="17"/>
                <w:szCs w:val="17"/>
                <w:color w:val="auto"/>
              </w:rPr>
            </w:pPr>
          </w:p>
        </w:tc>
        <w:tc>
          <w:tcPr>
            <w:tcW w:w="150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2.8%</w:t>
            </w:r>
          </w:p>
        </w:tc>
        <w:tc>
          <w:tcPr>
            <w:tcW w:w="240" w:type="dxa"/>
            <w:vAlign w:val="bottom"/>
          </w:tcPr>
          <w:p>
            <w:pPr>
              <w:spacing w:after="0"/>
              <w:rPr>
                <w:sz w:val="17"/>
                <w:szCs w:val="17"/>
                <w:color w:val="auto"/>
              </w:rPr>
            </w:pPr>
          </w:p>
        </w:tc>
        <w:tc>
          <w:tcPr>
            <w:tcW w:w="14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4.7%</w:t>
            </w:r>
          </w:p>
        </w:tc>
      </w:tr>
      <w:tr>
        <w:trPr>
          <w:trHeight w:val="230"/>
        </w:trPr>
        <w:tc>
          <w:tcPr>
            <w:tcW w:w="5980" w:type="dxa"/>
            <w:vAlign w:val="bottom"/>
          </w:tcPr>
          <w:p>
            <w:pPr>
              <w:spacing w:after="0"/>
              <w:rPr>
                <w:sz w:val="20"/>
                <w:szCs w:val="20"/>
                <w:color w:val="auto"/>
              </w:rPr>
            </w:pPr>
            <w:r>
              <w:rPr>
                <w:rFonts w:ascii="Arial" w:cs="Arial" w:eastAsia="Arial" w:hAnsi="Arial"/>
                <w:sz w:val="18"/>
                <w:szCs w:val="18"/>
                <w:i w:val="1"/>
                <w:iCs w:val="1"/>
                <w:color w:val="auto"/>
              </w:rPr>
              <w:t>_________________________</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ind w:firstLine="8"/>
        <w:spacing w:after="0" w:line="250" w:lineRule="auto"/>
        <w:tabs>
          <w:tab w:leader="none" w:pos="271"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73" w:lineRule="auto"/>
        <w:tabs>
          <w:tab w:leader="none" w:pos="257"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June 30, 2022 and June 30, 2021 percentages represent three months ended June 30, 2022 and June 30, 2021 annualized. December 31, 2021 represents 12 months ended December 31, 2021.</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certain circumstances we will grant obligors one-month payment extensions to assist them with temporary cash flow problems. In general, we are bound by our securitization agreements to refrain from agreeing to more than two such extensions in any 12-month period and to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 Because financial regulatory authorities have encouraged obligors to expect payment deferrals as a response to the pandemic, we may seek amendments or waivers of our securitization agreements to relax the limits on extensions; however, we have not sought such changes in terms as of the date of this report, and if we do seek such changes, there can be no assurance that the other parties to our securitization agreements will agree to such amendments or waivers, nor as to the effect on credit performance that may result if such amendments or waivers are agreed to.</w:t>
      </w:r>
    </w:p>
    <w:p>
      <w:pPr>
        <w:spacing w:after="0" w:line="16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so that the obligor might prioritize us over other creditors on future payments. Our servicing staff are trained to identify when a past due obligor is facing a temporary problem that may be resolved with an extension. In some cases, the extension will be granted in conjunction with our receiving all or a portion of a past due payment from the obligor, thereby indicating an additional monetary and psychological commitment to the contract on the obligor’s part.</w:t>
      </w:r>
    </w:p>
    <w:p>
      <w:pPr>
        <w:spacing w:after="0" w:line="17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0" w:lineRule="auto"/>
        <w:tabs>
          <w:tab w:leader="none" w:pos="256"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(4) the obligor’s willingness to communicate and cooperate on resolving the delinquency; and (5) a numeric score from our internal risk assessment system that indicating the likelihood that the extension will prove beneficial. If the collector believes the obligor is a good candidate for an extension, an approval is obtained from a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June 30, 2022, for accounts that received extensions from 2008 through 2020:</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Charged Off</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 Charged</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Charged Off</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 Charged</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Avg Months</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Active or</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 Active or</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&gt; 6 Months</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Off &gt; 6</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&lt;= 6 Months</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Off &lt;= 6</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to Charge Off</w:t>
            </w:r>
          </w:p>
        </w:tc>
      </w:tr>
      <w:tr>
        <w:trPr>
          <w:trHeight w:val="216"/>
        </w:trPr>
        <w:tc>
          <w:tcPr>
            <w:tcW w:w="1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Period of</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 Extensions</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Paid Off at</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Paid Off at</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After</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Months After</w:t>
            </w: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After</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Months After</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83"/>
              </w:rPr>
              <w:t>Post</w:t>
            </w:r>
          </w:p>
        </w:tc>
      </w:tr>
      <w:tr>
        <w:trPr>
          <w:trHeight w:val="230"/>
        </w:trPr>
        <w:tc>
          <w:tcPr>
            <w:tcW w:w="14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Extension</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June 30, 2022</w:t>
            </w: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June 30, 2022</w:t>
            </w: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Extension</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Extension</w:t>
            </w:r>
          </w:p>
        </w:tc>
      </w:tr>
      <w:tr>
        <w:trPr>
          <w:trHeight w:val="209"/>
        </w:trPr>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35,588</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10,708</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30.1%</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20,061</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56.4%</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4,819</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13.5%</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2009</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32,226</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10,273</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31.9%</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16,170</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50.2%</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5,783</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17.9%</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2010</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26,167</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12,159</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46.5%</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12,009</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45.9%</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1,999</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7.6%</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2011</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18,786</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10,972</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58.4%</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6,882</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36.6%</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932</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18,783</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11,320</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60.3%</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6,667</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35.5%</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796</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23,398</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11,148</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47.6%</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11,274</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48.2%</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976</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4.2%</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25,773</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10,499</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40.7%</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14,448</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56.1%</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826</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53,319</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22,507</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42.2%</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29,730</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55.8%</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1,082</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80,897</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37,261</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46.1%</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41,703</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51.6%</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1,933</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133,881</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62,848</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46.9%</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64,107</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47.9%</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6,926</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5.2%</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121,531</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67,933</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55.9%</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47,591</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39.2%</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6,007</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4.9%</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71,548</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52,525</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73.4%</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17,081</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23.9%</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1,942</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83,170</w:t>
            </w:r>
          </w:p>
        </w:tc>
        <w:tc>
          <w:tcPr>
            <w:tcW w:w="12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67,893</w:t>
            </w:r>
          </w:p>
        </w:tc>
        <w:tc>
          <w:tcPr>
            <w:tcW w:w="12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81.6%</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12,755</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15.3%</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2,099</w:t>
            </w:r>
          </w:p>
        </w:tc>
        <w:tc>
          <w:tcPr>
            <w:tcW w:w="12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2.5%</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extensions on portfolios serviced for third parties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2018, 56.4% were either paid in full or active and performing as of June 30, 2022. Each of these successful accounts represent continued payments of interest and principal (including payment in full in many cases), where without the extension we likely would have incurred a substantial loss and no interest revenue after the extension.</w:t>
      </w:r>
    </w:p>
    <w:p>
      <w:pPr>
        <w:spacing w:after="0" w:line="18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2012 that subsequently charged off, such charge offs occurred, on average, 18 months after the extension, indicating that even in the cases of an ultimate loss, the obligor serviced the account with additional payments of principal and interest.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Additional information about our extensions is provided in the tables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5"/>
          </w:tcPr>
          <w:p>
            <w:pPr>
              <w:jc w:val="center"/>
              <w:ind w:right="90"/>
              <w:spacing w:after="0"/>
              <w:rPr>
                <w:sz w:val="20"/>
                <w:szCs w:val="20"/>
                <w:color w:val="auto"/>
              </w:rPr>
            </w:pPr>
            <w:r>
              <w:rPr>
                <w:rFonts w:ascii="Arial" w:cs="Arial" w:eastAsia="Arial" w:hAnsi="Arial"/>
                <w:sz w:val="18"/>
                <w:szCs w:val="18"/>
                <w:color w:val="auto"/>
                <w:w w:val="90"/>
              </w:rPr>
              <w:t>Three Months Ended</w:t>
            </w:r>
          </w:p>
        </w:tc>
        <w:tc>
          <w:tcPr>
            <w:tcW w:w="20" w:type="dxa"/>
            <w:vAlign w:val="bottom"/>
          </w:tcPr>
          <w:p>
            <w:pPr>
              <w:spacing w:after="0"/>
              <w:rPr>
                <w:sz w:val="18"/>
                <w:szCs w:val="18"/>
                <w:color w:val="auto"/>
              </w:rPr>
            </w:pPr>
          </w:p>
        </w:tc>
        <w:tc>
          <w:tcPr>
            <w:tcW w:w="1360" w:type="dxa"/>
            <w:vAlign w:val="bottom"/>
            <w:gridSpan w:val="4"/>
          </w:tcPr>
          <w:p>
            <w:pPr>
              <w:jc w:val="center"/>
              <w:ind w:left="110"/>
              <w:spacing w:after="0"/>
              <w:rPr>
                <w:sz w:val="20"/>
                <w:szCs w:val="20"/>
                <w:color w:val="auto"/>
              </w:rPr>
            </w:pPr>
            <w:r>
              <w:rPr>
                <w:rFonts w:ascii="Arial" w:cs="Arial" w:eastAsia="Arial" w:hAnsi="Arial"/>
                <w:sz w:val="18"/>
                <w:szCs w:val="18"/>
                <w:color w:val="auto"/>
                <w:w w:val="88"/>
              </w:rPr>
              <w:t>Year Ended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5"/>
          </w:tcPr>
          <w:p>
            <w:pPr>
              <w:jc w:val="center"/>
              <w:ind w:right="100"/>
              <w:spacing w:after="0"/>
              <w:rPr>
                <w:sz w:val="20"/>
                <w:szCs w:val="20"/>
                <w:color w:val="auto"/>
              </w:rPr>
            </w:pPr>
            <w:r>
              <w:rPr>
                <w:rFonts w:ascii="Arial" w:cs="Arial" w:eastAsia="Arial" w:hAnsi="Arial"/>
                <w:sz w:val="18"/>
                <w:szCs w:val="18"/>
                <w:color w:val="auto"/>
                <w:w w:val="91"/>
              </w:rPr>
              <w:t>Six Months Ended</w:t>
            </w:r>
          </w:p>
        </w:tc>
      </w:tr>
      <w:tr>
        <w:trPr>
          <w:trHeight w:val="230"/>
        </w:trPr>
        <w:tc>
          <w:tcPr>
            <w:tcW w:w="3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Pr>
          <w:p>
            <w:pPr>
              <w:jc w:val="center"/>
              <w:ind w:left="290"/>
              <w:spacing w:after="0"/>
              <w:rPr>
                <w:sz w:val="20"/>
                <w:szCs w:val="20"/>
                <w:color w:val="auto"/>
              </w:rPr>
            </w:pPr>
            <w:r>
              <w:rPr>
                <w:rFonts w:ascii="Arial" w:cs="Arial" w:eastAsia="Arial" w:hAnsi="Arial"/>
                <w:sz w:val="18"/>
                <w:szCs w:val="18"/>
                <w:color w:val="auto"/>
                <w:w w:val="86"/>
              </w:rPr>
              <w:t>June 30,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gridSpan w:val="4"/>
          </w:tcPr>
          <w:p>
            <w:pPr>
              <w:jc w:val="center"/>
              <w:ind w:left="130"/>
              <w:spacing w:after="0"/>
              <w:rPr>
                <w:sz w:val="20"/>
                <w:szCs w:val="20"/>
                <w:color w:val="auto"/>
              </w:rPr>
            </w:pPr>
            <w:r>
              <w:rPr>
                <w:rFonts w:ascii="Arial" w:cs="Arial" w:eastAsia="Arial" w:hAnsi="Arial"/>
                <w:sz w:val="18"/>
                <w:szCs w:val="18"/>
                <w:color w:val="auto"/>
                <w:w w:val="90"/>
              </w:rPr>
              <w:t>December 31,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center"/>
              <w:ind w:right="580"/>
              <w:spacing w:after="0"/>
              <w:rPr>
                <w:sz w:val="20"/>
                <w:szCs w:val="20"/>
                <w:color w:val="auto"/>
              </w:rPr>
            </w:pPr>
            <w:r>
              <w:rPr>
                <w:rFonts w:ascii="Arial" w:cs="Arial" w:eastAsia="Arial" w:hAnsi="Arial"/>
                <w:sz w:val="18"/>
                <w:szCs w:val="18"/>
                <w:color w:val="auto"/>
                <w:w w:val="86"/>
              </w:rPr>
              <w:t>June 30,</w:t>
            </w:r>
          </w:p>
        </w:tc>
      </w:tr>
      <w:tr>
        <w:trPr>
          <w:trHeight w:val="210"/>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Borders>
              <w:top w:val="single" w:sz="8" w:color="auto"/>
              <w:bottom w:val="single" w:sz="8" w:color="auto"/>
            </w:tcBorders>
            <w:gridSpan w:val="2"/>
          </w:tcPr>
          <w:p>
            <w:pPr>
              <w:jc w:val="center"/>
              <w:ind w:left="330"/>
              <w:spacing w:after="0"/>
              <w:rPr>
                <w:sz w:val="20"/>
                <w:szCs w:val="20"/>
                <w:color w:val="auto"/>
              </w:rPr>
            </w:pPr>
            <w:r>
              <w:rPr>
                <w:rFonts w:ascii="Arial" w:cs="Arial" w:eastAsia="Arial" w:hAnsi="Arial"/>
                <w:sz w:val="18"/>
                <w:szCs w:val="18"/>
                <w:color w:val="auto"/>
                <w:w w:val="89"/>
              </w:rPr>
              <w:t>2022</w:t>
            </w: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bottom w:val="single" w:sz="8" w:color="auto"/>
            </w:tcBorders>
            <w:gridSpan w:val="3"/>
          </w:tcPr>
          <w:p>
            <w:pPr>
              <w:jc w:val="center"/>
              <w:ind w:left="490"/>
              <w:spacing w:after="0"/>
              <w:rPr>
                <w:sz w:val="20"/>
                <w:szCs w:val="20"/>
                <w:color w:val="auto"/>
              </w:rPr>
            </w:pPr>
            <w:r>
              <w:rPr>
                <w:rFonts w:ascii="Arial" w:cs="Arial" w:eastAsia="Arial" w:hAnsi="Arial"/>
                <w:sz w:val="18"/>
                <w:szCs w:val="18"/>
                <w:color w:val="auto"/>
                <w:w w:val="89"/>
              </w:rPr>
              <w:t>2021</w:t>
            </w:r>
          </w:p>
        </w:tc>
        <w:tc>
          <w:tcPr>
            <w:tcW w:w="3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center"/>
              <w:ind w:right="51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8"/>
                <w:szCs w:val="18"/>
                <w:color w:val="auto"/>
              </w:rPr>
            </w:pPr>
          </w:p>
        </w:tc>
      </w:tr>
      <w:tr>
        <w:trPr>
          <w:trHeight w:val="209"/>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ind w:right="110"/>
              <w:spacing w:after="0"/>
              <w:rPr>
                <w:sz w:val="20"/>
                <w:szCs w:val="20"/>
                <w:color w:val="auto"/>
              </w:rPr>
            </w:pPr>
            <w:r>
              <w:rPr>
                <w:rFonts w:ascii="Arial" w:cs="Arial" w:eastAsia="Arial" w:hAnsi="Arial"/>
                <w:sz w:val="18"/>
                <w:szCs w:val="18"/>
                <w:color w:val="auto"/>
                <w:w w:val="84"/>
              </w:rPr>
              <w:t>4,164</w:t>
            </w: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3,918</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3,371</w:t>
            </w: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w w:val="99"/>
              </w:rPr>
              <w:t>Average number of outstanding accounts</w:t>
            </w:r>
          </w:p>
        </w:tc>
        <w:tc>
          <w:tcPr>
            <w:tcW w:w="1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780" w:type="dxa"/>
            <w:vAlign w:val="bottom"/>
            <w:gridSpan w:val="5"/>
            <w:shd w:val="clear" w:color="auto" w:fill="EEEEEE"/>
          </w:tcPr>
          <w:p>
            <w:pPr>
              <w:jc w:val="right"/>
              <w:ind w:right="110"/>
              <w:spacing w:after="0"/>
              <w:rPr>
                <w:sz w:val="20"/>
                <w:szCs w:val="20"/>
                <w:color w:val="auto"/>
              </w:rPr>
            </w:pPr>
            <w:r>
              <w:rPr>
                <w:rFonts w:ascii="Arial" w:cs="Arial" w:eastAsia="Arial" w:hAnsi="Arial"/>
                <w:sz w:val="18"/>
                <w:szCs w:val="18"/>
                <w:color w:val="auto"/>
              </w:rPr>
              <w:t>157,273</w:t>
            </w: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w w:val="89"/>
              </w:rPr>
              <w:t>157,076</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159,185</w:t>
            </w:r>
          </w:p>
        </w:tc>
      </w:tr>
      <w:tr>
        <w:trPr>
          <w:trHeight w:val="216"/>
        </w:trPr>
        <w:tc>
          <w:tcPr>
            <w:tcW w:w="440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gridSpan w:val="3"/>
            <w:shd w:val="clear" w:color="auto" w:fill="EEEEEE"/>
          </w:tcPr>
          <w:p>
            <w:pPr>
              <w:spacing w:after="0"/>
              <w:rPr>
                <w:sz w:val="20"/>
                <w:szCs w:val="20"/>
                <w:color w:val="auto"/>
              </w:rPr>
            </w:pPr>
            <w:r>
              <w:rPr>
                <w:rFonts w:ascii="Arial" w:cs="Arial" w:eastAsia="Arial" w:hAnsi="Arial"/>
                <w:sz w:val="18"/>
                <w:szCs w:val="18"/>
                <w:color w:val="auto"/>
                <w:w w:val="99"/>
              </w:rPr>
              <w:t>Average monthly extensions as % of average outstandings</w:t>
            </w:r>
          </w:p>
        </w:tc>
        <w:tc>
          <w:tcPr>
            <w:tcW w:w="18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600" w:type="dxa"/>
            <w:vAlign w:val="bottom"/>
            <w:gridSpan w:val="3"/>
            <w:shd w:val="clear" w:color="auto" w:fill="EEEEEE"/>
          </w:tcPr>
          <w:p>
            <w:pPr>
              <w:jc w:val="right"/>
              <w:ind w:right="110"/>
              <w:spacing w:after="0"/>
              <w:rPr>
                <w:sz w:val="20"/>
                <w:szCs w:val="20"/>
                <w:color w:val="auto"/>
              </w:rPr>
            </w:pPr>
            <w:r>
              <w:rPr>
                <w:rFonts w:ascii="Arial" w:cs="Arial" w:eastAsia="Arial" w:hAnsi="Arial"/>
                <w:sz w:val="18"/>
                <w:szCs w:val="18"/>
                <w:color w:val="auto"/>
                <w:w w:val="92"/>
              </w:rPr>
              <w:t>2.6%</w:t>
            </w:r>
          </w:p>
        </w:tc>
        <w:tc>
          <w:tcPr>
            <w:tcW w:w="2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20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w:t>
            </w:r>
          </w:p>
        </w:tc>
      </w:tr>
      <w:tr>
        <w:trPr>
          <w:trHeight w:val="418"/>
        </w:trPr>
        <w:tc>
          <w:tcPr>
            <w:tcW w:w="328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5980" w:type="dxa"/>
            <w:vAlign w:val="bottom"/>
            <w:gridSpan w:val="6"/>
          </w:tcPr>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61"/>
        </w:trPr>
        <w:tc>
          <w:tcPr>
            <w:tcW w:w="3280" w:type="dxa"/>
            <w:vAlign w:val="bottom"/>
          </w:tcPr>
          <w:p>
            <w:pPr>
              <w:spacing w:after="0"/>
              <w:rPr>
                <w:sz w:val="24"/>
                <w:szCs w:val="24"/>
                <w:color w:val="auto"/>
              </w:rPr>
            </w:pPr>
          </w:p>
        </w:tc>
        <w:tc>
          <w:tcPr>
            <w:tcW w:w="2700" w:type="dxa"/>
            <w:vAlign w:val="bottom"/>
            <w:gridSpan w:val="5"/>
          </w:tcPr>
          <w:p>
            <w:pPr>
              <w:jc w:val="right"/>
              <w:ind w:right="940"/>
              <w:spacing w:after="0"/>
              <w:rPr>
                <w:sz w:val="20"/>
                <w:szCs w:val="20"/>
                <w:color w:val="auto"/>
              </w:rPr>
            </w:pPr>
            <w:r>
              <w:rPr>
                <w:rFonts w:ascii="Arial" w:cs="Arial" w:eastAsia="Arial" w:hAnsi="Arial"/>
                <w:sz w:val="18"/>
                <w:szCs w:val="18"/>
                <w:color w:val="auto"/>
              </w:rPr>
              <w:t>June 30, 2022</w:t>
            </w:r>
          </w:p>
        </w:tc>
        <w:tc>
          <w:tcPr>
            <w:tcW w:w="40" w:type="dxa"/>
            <w:vAlign w:val="bottom"/>
          </w:tcPr>
          <w:p>
            <w:pPr>
              <w:spacing w:after="0"/>
              <w:rPr>
                <w:sz w:val="24"/>
                <w:szCs w:val="24"/>
                <w:color w:val="auto"/>
              </w:rPr>
            </w:pPr>
          </w:p>
        </w:tc>
        <w:tc>
          <w:tcPr>
            <w:tcW w:w="1740" w:type="dxa"/>
            <w:vAlign w:val="bottom"/>
            <w:gridSpan w:val="4"/>
          </w:tcPr>
          <w:p>
            <w:pPr>
              <w:jc w:val="right"/>
              <w:spacing w:after="0"/>
              <w:rPr>
                <w:sz w:val="20"/>
                <w:szCs w:val="20"/>
                <w:color w:val="auto"/>
              </w:rPr>
            </w:pPr>
            <w:r>
              <w:rPr>
                <w:rFonts w:ascii="Arial" w:cs="Arial" w:eastAsia="Arial" w:hAnsi="Arial"/>
                <w:sz w:val="18"/>
                <w:szCs w:val="18"/>
                <w:color w:val="auto"/>
              </w:rPr>
              <w:t>June 30, 2021</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00" w:type="dxa"/>
            <w:vAlign w:val="bottom"/>
            <w:gridSpan w:val="7"/>
          </w:tcPr>
          <w:p>
            <w:pPr>
              <w:ind w:left="80"/>
              <w:spacing w:after="0"/>
              <w:rPr>
                <w:sz w:val="20"/>
                <w:szCs w:val="20"/>
                <w:color w:val="auto"/>
              </w:rPr>
            </w:pPr>
            <w:r>
              <w:rPr>
                <w:rFonts w:ascii="Arial" w:cs="Arial" w:eastAsia="Arial" w:hAnsi="Arial"/>
                <w:sz w:val="18"/>
                <w:szCs w:val="18"/>
                <w:color w:val="auto"/>
              </w:rPr>
              <w:t>December 31, 2021</w:t>
            </w:r>
          </w:p>
        </w:tc>
      </w:tr>
      <w:tr>
        <w:trPr>
          <w:trHeight w:val="195"/>
        </w:trPr>
        <w:tc>
          <w:tcPr>
            <w:tcW w:w="3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20"/>
              <w:spacing w:after="0" w:line="195" w:lineRule="exact"/>
              <w:rPr>
                <w:sz w:val="20"/>
                <w:szCs w:val="20"/>
                <w:color w:val="auto"/>
              </w:rPr>
            </w:pPr>
            <w:r>
              <w:rPr>
                <w:rFonts w:ascii="Arial" w:cs="Arial" w:eastAsia="Arial" w:hAnsi="Arial"/>
                <w:sz w:val="18"/>
                <w:szCs w:val="18"/>
                <w:color w:val="auto"/>
              </w:rPr>
              <w:t>Number of</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color w:val="auto"/>
              </w:rPr>
              <w:t>Number of</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5"/>
          </w:tcPr>
          <w:p>
            <w:pPr>
              <w:jc w:val="right"/>
              <w:ind w:right="380"/>
              <w:spacing w:after="0" w:line="195" w:lineRule="exact"/>
              <w:rPr>
                <w:sz w:val="20"/>
                <w:szCs w:val="20"/>
                <w:color w:val="auto"/>
              </w:rPr>
            </w:pPr>
            <w:r>
              <w:rPr>
                <w:rFonts w:ascii="Arial" w:cs="Arial" w:eastAsia="Arial" w:hAnsi="Arial"/>
                <w:sz w:val="18"/>
                <w:szCs w:val="18"/>
                <w:color w:val="auto"/>
              </w:rPr>
              <w:t>Number of</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32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color w:val="auto"/>
              </w:rPr>
              <w:t>Contracts</w:t>
            </w:r>
          </w:p>
        </w:tc>
        <w:tc>
          <w:tcPr>
            <w:tcW w:w="180" w:type="dxa"/>
            <w:vAlign w:val="bottom"/>
          </w:tcPr>
          <w:p>
            <w:pPr>
              <w:spacing w:after="0"/>
              <w:rPr>
                <w:sz w:val="20"/>
                <w:szCs w:val="20"/>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Amount</w:t>
            </w:r>
          </w:p>
        </w:tc>
        <w:tc>
          <w:tcPr>
            <w:tcW w:w="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Contracts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5"/>
          </w:tcPr>
          <w:p>
            <w:pPr>
              <w:ind w:left="80"/>
              <w:spacing w:after="0"/>
              <w:rPr>
                <w:sz w:val="20"/>
                <w:szCs w:val="20"/>
                <w:color w:val="auto"/>
              </w:rPr>
            </w:pPr>
            <w:r>
              <w:rPr>
                <w:rFonts w:ascii="Arial" w:cs="Arial" w:eastAsia="Arial" w:hAnsi="Arial"/>
                <w:sz w:val="18"/>
                <w:szCs w:val="18"/>
                <w:color w:val="auto"/>
              </w:rPr>
              <w:t>Amount</w:t>
            </w:r>
          </w:p>
        </w:tc>
        <w:tc>
          <w:tcPr>
            <w:tcW w:w="1260" w:type="dxa"/>
            <w:vAlign w:val="bottom"/>
            <w:gridSpan w:val="5"/>
          </w:tcPr>
          <w:p>
            <w:pPr>
              <w:jc w:val="right"/>
              <w:ind w:right="420"/>
              <w:spacing w:after="0"/>
              <w:rPr>
                <w:sz w:val="20"/>
                <w:szCs w:val="20"/>
                <w:color w:val="auto"/>
              </w:rPr>
            </w:pPr>
            <w:r>
              <w:rPr>
                <w:rFonts w:ascii="Arial" w:cs="Arial" w:eastAsia="Arial" w:hAnsi="Arial"/>
                <w:sz w:val="18"/>
                <w:szCs w:val="18"/>
                <w:color w:val="auto"/>
              </w:rPr>
              <w:t>Contracts</w:t>
            </w:r>
          </w:p>
        </w:tc>
        <w:tc>
          <w:tcPr>
            <w:tcW w:w="12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Amount</w:t>
            </w:r>
          </w:p>
        </w:tc>
      </w:tr>
      <w:tr>
        <w:trPr>
          <w:trHeight w:val="224"/>
        </w:trPr>
        <w:tc>
          <w:tcPr>
            <w:tcW w:w="328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60" w:type="dxa"/>
            <w:vAlign w:val="bottom"/>
            <w:tcBorders>
              <w:top w:val="single" w:sz="8" w:color="auto"/>
            </w:tcBorders>
            <w:gridSpan w:val="6"/>
          </w:tcPr>
          <w:p>
            <w:pPr>
              <w:jc w:val="right"/>
              <w:ind w:right="330"/>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gridSpan w:val="3"/>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spacing w:after="0"/>
              <w:rPr>
                <w:sz w:val="17"/>
                <w:szCs w:val="17"/>
                <w:color w:val="auto"/>
              </w:rPr>
            </w:pPr>
          </w:p>
        </w:tc>
      </w:tr>
      <w:tr>
        <w:trPr>
          <w:trHeight w:val="216"/>
        </w:trPr>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23,874</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350,740</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25,796</w:t>
            </w:r>
          </w:p>
        </w:tc>
        <w:tc>
          <w:tcPr>
            <w:tcW w:w="400" w:type="dxa"/>
            <w:vAlign w:val="bottom"/>
            <w:gridSpan w:val="2"/>
            <w:shd w:val="clear" w:color="auto" w:fill="EEEEEE"/>
          </w:tcPr>
          <w:p>
            <w:pPr>
              <w:jc w:val="right"/>
              <w:ind w:right="27"/>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345,995</w:t>
            </w: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24,337</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335,864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14,125</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177,498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17,638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229,674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15,861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200,705</w:t>
            </w:r>
          </w:p>
        </w:tc>
      </w:tr>
      <w:tr>
        <w:trPr>
          <w:trHeight w:val="216"/>
        </w:trPr>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10,692</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121,038</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12,309</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146,570</w:t>
            </w: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11,755</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136,970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8,543</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84,683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9,668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102,208</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9,272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95,182</w:t>
            </w:r>
          </w:p>
        </w:tc>
      </w:tr>
      <w:tr>
        <w:trPr>
          <w:trHeight w:val="216"/>
        </w:trPr>
        <w:tc>
          <w:tcPr>
            <w:tcW w:w="328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5,819</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50,235</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7,199</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69,841</w:t>
            </w: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rPr>
              <w:t>6,531</w:t>
            </w: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59,651</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3,812</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27,393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5,324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46,033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4"/>
          </w:tcPr>
          <w:p>
            <w:pPr>
              <w:jc w:val="right"/>
              <w:ind w:right="220"/>
              <w:spacing w:after="0"/>
              <w:rPr>
                <w:sz w:val="20"/>
                <w:szCs w:val="20"/>
                <w:color w:val="auto"/>
              </w:rPr>
            </w:pPr>
            <w:r>
              <w:rPr>
                <w:rFonts w:ascii="Arial" w:cs="Arial" w:eastAsia="Arial" w:hAnsi="Arial"/>
                <w:sz w:val="18"/>
                <w:szCs w:val="18"/>
                <w:color w:val="auto"/>
              </w:rPr>
              <w:t>4,536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35,803</w:t>
            </w:r>
          </w:p>
        </w:tc>
      </w:tr>
      <w:tr>
        <w:trPr>
          <w:trHeight w:val="223"/>
        </w:trPr>
        <w:tc>
          <w:tcPr>
            <w:tcW w:w="3280" w:type="dxa"/>
            <w:vAlign w:val="bottom"/>
            <w:tcBorders>
              <w:top w:val="single" w:sz="8" w:color="EEEEEE"/>
              <w:bottom w:val="single" w:sz="8" w:color="EEEEEE"/>
            </w:tcBorders>
            <w:shd w:val="clear" w:color="auto" w:fill="EEEEEE"/>
          </w:tcPr>
          <w:p>
            <w:pPr>
              <w:spacing w:after="0"/>
              <w:rPr>
                <w:sz w:val="19"/>
                <w:szCs w:val="19"/>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66,865</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811,587</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4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77,934</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EEEEEE"/>
          </w:tcPr>
          <w:p>
            <w:pPr>
              <w:spacing w:after="0"/>
              <w:rPr>
                <w:sz w:val="19"/>
                <w:szCs w:val="19"/>
                <w:color w:val="auto"/>
              </w:rPr>
            </w:pPr>
          </w:p>
        </w:tc>
        <w:tc>
          <w:tcPr>
            <w:tcW w:w="72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Arial" w:cs="Arial" w:eastAsia="Arial" w:hAnsi="Arial"/>
                <w:sz w:val="18"/>
                <w:szCs w:val="18"/>
                <w:color w:val="auto"/>
              </w:rPr>
              <w:t>940,321</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60" w:type="dxa"/>
            <w:vAlign w:val="bottom"/>
            <w:tcBorders>
              <w:top w:val="single" w:sz="8" w:color="auto"/>
              <w:bottom w:val="single" w:sz="8" w:color="auto"/>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spacing w:after="0"/>
              <w:rPr>
                <w:sz w:val="19"/>
                <w:szCs w:val="19"/>
                <w:color w:val="auto"/>
              </w:rPr>
            </w:pPr>
          </w:p>
        </w:tc>
        <w:tc>
          <w:tcPr>
            <w:tcW w:w="660" w:type="dxa"/>
            <w:vAlign w:val="bottom"/>
            <w:tcBorders>
              <w:top w:val="single" w:sz="8" w:color="auto"/>
              <w:bottom w:val="single" w:sz="8" w:color="auto"/>
            </w:tcBorders>
            <w:gridSpan w:val="3"/>
            <w:shd w:val="clear" w:color="auto" w:fill="EEEEEE"/>
          </w:tcPr>
          <w:p>
            <w:pPr>
              <w:jc w:val="right"/>
              <w:spacing w:after="0"/>
              <w:rPr>
                <w:sz w:val="20"/>
                <w:szCs w:val="20"/>
                <w:color w:val="auto"/>
              </w:rPr>
            </w:pPr>
            <w:r>
              <w:rPr>
                <w:rFonts w:ascii="Arial" w:cs="Arial" w:eastAsia="Arial" w:hAnsi="Arial"/>
                <w:sz w:val="18"/>
                <w:szCs w:val="18"/>
                <w:color w:val="auto"/>
              </w:rPr>
              <w:t>72,292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864,175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3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 originated</w:t>
            </w:r>
          </w:p>
        </w:tc>
        <w:tc>
          <w:tcPr>
            <w:tcW w:w="1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4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32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and owned by 3rd parties)</w:t>
            </w:r>
          </w:p>
        </w:tc>
        <w:tc>
          <w:tcPr>
            <w:tcW w:w="13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162,296</w:t>
            </w:r>
          </w:p>
        </w:tc>
        <w:tc>
          <w:tcPr>
            <w:tcW w:w="180" w:type="dxa"/>
            <w:vAlign w:val="bottom"/>
            <w:shd w:val="clear" w:color="auto" w:fill="EEEEEE"/>
          </w:tcPr>
          <w:p>
            <w:pPr>
              <w:jc w:val="right"/>
              <w:ind w:right="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2,554,855</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156,701</w:t>
            </w:r>
          </w:p>
        </w:tc>
        <w:tc>
          <w:tcPr>
            <w:tcW w:w="400" w:type="dxa"/>
            <w:vAlign w:val="bottom"/>
            <w:gridSpan w:val="2"/>
            <w:shd w:val="clear" w:color="auto" w:fill="EEEEEE"/>
          </w:tcPr>
          <w:p>
            <w:pPr>
              <w:jc w:val="right"/>
              <w:ind w:right="27"/>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9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w w:val="87"/>
              </w:rPr>
              <w:t>2,115,612</w:t>
            </w:r>
          </w:p>
        </w:tc>
        <w:tc>
          <w:tcPr>
            <w:tcW w:w="6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880" w:type="dxa"/>
            <w:vAlign w:val="bottom"/>
            <w:gridSpan w:val="4"/>
            <w:shd w:val="clear" w:color="auto" w:fill="EEEEEE"/>
          </w:tcPr>
          <w:p>
            <w:pPr>
              <w:jc w:val="right"/>
              <w:ind w:right="220"/>
              <w:spacing w:after="0"/>
              <w:rPr>
                <w:sz w:val="20"/>
                <w:szCs w:val="20"/>
                <w:color w:val="auto"/>
              </w:rPr>
            </w:pPr>
            <w:r>
              <w:rPr>
                <w:rFonts w:ascii="Arial" w:cs="Arial" w:eastAsia="Arial" w:hAnsi="Arial"/>
                <w:sz w:val="18"/>
                <w:szCs w:val="18"/>
                <w:color w:val="auto"/>
                <w:w w:val="98"/>
              </w:rPr>
              <w:t>154,151</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2,209,430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Table excludes portfolios originated and owned by third parties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January of 2019, we have attempted to reduce extensions by working with our servicing staff to be more selective in granting extensions including, where appropriate, to exhaust all possibilities of payment by the customer before granting an extension.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for the six-month period ended June 30, 2022 was $119.7 million, an increase of $7.3 million, compared to net cash provided by operating activities for the six-month period ended June 30, 2021 of $112.4 million. Net cash from operating activities is generally provided by net income from operations adjusted for significant non-cash items such as our provision for credit losses and marks to finance receivables measured at fair value.</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investing activities was $398.4 million for the six months ended June 30, 2022. Net cash provided by investing activities for the six-month period ended June 30, 2021 was $12.7 million. Cash provided by investing activities primarily results from principal payments and other proceeds received on finance receivables. Cash used in investing activities generally relates to purchases of automobile contracts. Purchases of finance receivables excluding acquisition fees were $904.5 million and $485.1 million during the first six months of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spacing w:after="0" w:line="254" w:lineRule="auto"/>
        <w:rPr>
          <w:sz w:val="20"/>
          <w:szCs w:val="20"/>
          <w:color w:val="auto"/>
        </w:rPr>
      </w:pPr>
      <w:r>
        <w:rPr>
          <w:rFonts w:ascii="Arial" w:cs="Arial" w:eastAsia="Arial" w:hAnsi="Arial"/>
          <w:sz w:val="18"/>
          <w:szCs w:val="18"/>
          <w:color w:val="auto"/>
        </w:rPr>
        <w:t>Net cash provided by financing activities for the six months ended June 30, 2022 was $270.5 million compared to net cash used in financing activities of $70.4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six months of 2022, we issued $712.4 million in new securitization trust debt compared to $470.5 million in the same period of 2021. We repaid $536.8 million in securitization trust debt in the six months ended June 30, 2022 compared to repayments of securitization trust debt of $541.1 million in the prior year period. In the six months ended June 30, 2022, we had net advances on warehouse lines of credit of $124.6 million, compared to net repayments of $42.6 million in the prior year’s period.</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We have been dependent on warehouse credit facilities to purchase automobile contracts and our securitization transactions for long term financing of our contracts. In addition, we have accessed other sources, such as residual financings and subordinated debt in order to finance our continuing operations.</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and may in the future be limited in our ability to purchase automobile contracts due to limits on our capital. As of June 30, 2022, we had unrestricted cash of $11.3 million and $171.1 million aggregate available borrowings under our two warehouse credit facilities (assuming the availability of sufficient eligible collateral). As of June 30, 2022, we had approximately $82.0 million of such eligible collateral. Our plans to manage our liquidity include maintaining our rate of automobile contract purchases at a level that matches our available capital, and, as appropriate, minimizing our operating costs. During the six-month period ended June 30, 2022, we completed two securitizations aggregating $712.4 million of notes sold.</w:t>
      </w:r>
    </w:p>
    <w:p>
      <w:pPr>
        <w:spacing w:after="0" w:line="1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term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2022, we were in compliance with all such financial covenants.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and will continue to have a substantial amount of indebtedness. At June 30, 2022, we had approximately $2,239.8 million of debt outstanding. Such debt consisted primarily of $1,934.2 million of securitization trust debt and $228.9 million of debt from warehouse lines of credit. Our securitization trust debt has increased by $174.2 million while our warehouse lines of credit debt has increased by $123.3 million since December 31, 2021 (each net of deferred financing costs). Since 2005, we have offered renewable subordinated notes to the public on a continuous basis, and such notes have maturities that range from six months to 10 years. We had $27.2 million and $26.5 million in subordinated renewable notes outstanding at June 30, 2022 and December 31, 2021, respectively. On June 30, 2021, we completed a $50.0 million securitization of residual interests from other previously issued securitizations. As of June 31, 2022, all $50.0 million of this debt remains outstanding.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7" w:name="page48"/>
    <w:bookmarkEnd w:id="47"/>
    <w:p>
      <w:pPr>
        <w:jc w:val="both"/>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Our valuation of receivables measured at fair value is a forward-looking statement, as it is dependent, among other things, on our estimates of cash to be received in the future with respect to such receivables. Each of the factors listed above as affecting charge-offs and recovery rates could have a similar effect on cash to be received in the future with respect to receivables measured at fair value.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 The factors identified in this and other reports as “Risk Factors” could affect our revenues, expenses, liquidity and financial condition, and the timing and amount of cash received with respect to our automobile contracts.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15, 2022. Where we are aware of material changes to such risk factors as previously disclosed, we set forth below an updated discussion of such risks. The reader should note that the other risks identified in our report on Form 10-K remain applicable.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and will continue to have a substantial amount of indebtedness. At June 30, 2022, we had approximately $2,239.8 million of debt outstanding. Such debt consisted primarily of $1,934.2 million of securitization trust debt and $228.9 million of debt from warehouse lines of credit. Our securitization trust debt has increased by $174.2 million while our warehouse lines of credit debt has increased by $123.3 million since December 31, 2021 (each net of deferred financing costs). Since 2005, we have offered renewable subordinated notes to the public on a continuous basis, and such notes have maturities that range from six months to 10 years. We had $27.2 million and $26.5 million in subordinated renewable notes outstanding at June 30, 2022 and December 31, 2021, respectively. On June 30, 2021, we completed a $50.0 million securitization of residual interests from other previously issued securitizations. As of June 31, 2022, all $50.0 million of this debt remains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 adversely affect our financial condition by, among other things:</w:t>
      </w:r>
    </w:p>
    <w:p>
      <w:pPr>
        <w:spacing w:after="0" w:line="252" w:lineRule="exact"/>
        <w:rPr>
          <w:sz w:val="20"/>
          <w:szCs w:val="20"/>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225" w:lineRule="exact"/>
        <w:rPr>
          <w:rFonts w:ascii="Arial" w:cs="Arial" w:eastAsia="Arial" w:hAnsi="Arial"/>
          <w:sz w:val="18"/>
          <w:szCs w:val="18"/>
          <w:color w:val="auto"/>
        </w:rPr>
      </w:pPr>
    </w:p>
    <w:p>
      <w:pPr>
        <w:ind w:left="780" w:hanging="259"/>
        <w:spacing w:after="0" w:line="277"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170"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225" w:lineRule="exact"/>
        <w:rPr>
          <w:rFonts w:ascii="Arial" w:cs="Arial" w:eastAsia="Arial" w:hAnsi="Arial"/>
          <w:sz w:val="18"/>
          <w:szCs w:val="18"/>
          <w:color w:val="auto"/>
        </w:rPr>
      </w:pPr>
    </w:p>
    <w:p>
      <w:pPr>
        <w:ind w:left="780" w:hanging="25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6"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Forward-looking statements in this report also include our recorded figures representing allowances for remaining expected lifetime credit losses, our markdown of the recorded value for the portion of our portfolio accounted for at fair value, our charge to the provision for credit losses for the our legacy portfolio, our estimates of fair value (most significantly for our receivables accounted for at fair value), our entries offsetting the preceding, and figures derived from any of the preceding. In each case, such figures are forward-looking statements because they are dependent on our estimates of cash to be received and losses to be incurred in the future. The accuracy of such estimates may be adversely affected by various factors, which include (in addition to risks relating to the COVD-19 pandemic and to the economy generally) the following: possible increased delinquencies; repossessions and losses on retail installment contracts; incorrect prepayment speed and/or discount rate assumptions; possible unavailability of qualified personnel, which could adversely affect our ability to service our portfolio; possible increases in the rate of consumer bankruptcy filings, which could adversely affect our rights to collect payments from our portfolio; other changes in government regulations affecting consumer credit; possible declines in the market price for used vehicles, which could adversely affect our realization upon repossessed vehicles; and economic conditions in geographic areas in which the Company's business is concentrated. The accuracy of such estimates may also be affected by the effects of the COVID-19 pandemic and of governmental responses to said pandemic, which have included prohibitions on certain means of enforcement of receivables, and may include additional restrictions, as yet unknown, in the future. Any or all of such factors also may affect our future financial results, as to which there can be no assurance. Any implication that past results or past consecutive earnings are indicative of future results or future earnings is disclaimed, and the reader should draw no such inference. Factors such as those identified above in relation to losses to be incurred in the future may affect future performance.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June 30, 2022, we repurchased 1,016,274 shares from existing shareholders, as reflected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Issuer Purchases of Equity Securities</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Yet be Purchased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Average Price Paid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 Plans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Under the Plans</w:t>
            </w:r>
          </w:p>
        </w:tc>
      </w:tr>
      <w:tr>
        <w:trPr>
          <w:trHeight w:val="234"/>
        </w:trPr>
        <w:tc>
          <w:tcPr>
            <w:tcW w:w="4620" w:type="dxa"/>
            <w:vAlign w:val="bottom"/>
            <w:gridSpan w:val="2"/>
          </w:tcPr>
          <w:p>
            <w:pPr>
              <w:ind w:left="1900"/>
              <w:spacing w:after="0"/>
              <w:rPr>
                <w:sz w:val="20"/>
                <w:szCs w:val="20"/>
                <w:color w:val="auto"/>
              </w:rPr>
            </w:pPr>
            <w:r>
              <w:rPr>
                <w:rFonts w:ascii="Arial" w:cs="Arial" w:eastAsia="Arial" w:hAnsi="Arial"/>
                <w:sz w:val="18"/>
                <w:szCs w:val="18"/>
                <w:b w:val="1"/>
                <w:bCs w:val="1"/>
                <w:color w:val="auto"/>
              </w:rPr>
              <w:t>Period(1)</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per Share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or Programs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or Programs (2)</w:t>
            </w:r>
          </w:p>
        </w:tc>
      </w:tr>
      <w:tr>
        <w:trPr>
          <w:trHeight w:val="209"/>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April 2022</w:t>
            </w:r>
          </w:p>
        </w:tc>
        <w:tc>
          <w:tcPr>
            <w:tcW w:w="1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432,654</w:t>
            </w:r>
          </w:p>
        </w:tc>
        <w:tc>
          <w:tcPr>
            <w:tcW w:w="3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11.45</w:t>
            </w: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432,654</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6,947,806</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May 2022</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188,907</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13.23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188,907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4,448,824</w:t>
            </w:r>
          </w:p>
        </w:tc>
      </w:tr>
      <w:tr>
        <w:trPr>
          <w:trHeight w:val="230"/>
        </w:trPr>
        <w:tc>
          <w:tcPr>
            <w:tcW w:w="462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June 2022</w:t>
            </w:r>
          </w:p>
        </w:tc>
        <w:tc>
          <w:tcPr>
            <w:tcW w:w="160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394,713</w:t>
            </w:r>
          </w:p>
        </w:tc>
        <w:tc>
          <w:tcPr>
            <w:tcW w:w="34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11.04</w:t>
            </w:r>
          </w:p>
        </w:tc>
        <w:tc>
          <w:tcPr>
            <w:tcW w:w="15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394,713</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92,591</w:t>
            </w:r>
          </w:p>
        </w:tc>
      </w:tr>
      <w:tr>
        <w:trPr>
          <w:trHeight w:val="224"/>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1,016,274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w:t>
            </w:r>
          </w:p>
        </w:tc>
        <w:tc>
          <w:tcPr>
            <w:tcW w:w="200" w:type="dxa"/>
            <w:vAlign w:val="bottom"/>
          </w:tcPr>
          <w:p>
            <w:pPr>
              <w:spacing w:after="0"/>
              <w:rPr>
                <w:sz w:val="19"/>
                <w:szCs w:val="19"/>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1,016,274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0</wp:posOffset>
            </wp:positionV>
            <wp:extent cx="30772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-154940</wp:posOffset>
            </wp:positionV>
            <wp:extent cx="307721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236" w:lineRule="exact"/>
        <w:rPr>
          <w:rFonts w:ascii="Arial" w:cs="Arial" w:eastAsia="Arial" w:hAnsi="Arial"/>
          <w:sz w:val="18"/>
          <w:szCs w:val="18"/>
          <w:i w:val="1"/>
          <w:iCs w:val="1"/>
          <w:color w:val="auto"/>
        </w:rPr>
      </w:pPr>
    </w:p>
    <w:p>
      <w:pPr>
        <w:jc w:val="both"/>
        <w:ind w:left="660" w:hanging="328"/>
        <w:spacing w:after="0" w:line="279" w:lineRule="auto"/>
        <w:tabs>
          <w:tab w:leader="none" w:pos="66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Our board of directors authorized the purchase of an additional $5.0 million, $10.0 million and $20 million of our outstanding securities in January, March and July 2022, respectively. Through June 30, 2022, our board of directors had authorized the purchase of up to $103.2 million of our outstanding securities, under a program first announced in our annual report for the year 2002, filed on June 26, 2003. All purchases described in the table above were under the program announced in June 2003, which has no fixed expiration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with this report.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950"/>
              <w:spacing w:after="0"/>
              <w:rPr>
                <w:sz w:val="20"/>
                <w:szCs w:val="20"/>
                <w:color w:val="auto"/>
              </w:rPr>
            </w:pPr>
            <w:r>
              <w:rPr>
                <w:rFonts w:ascii="Arial" w:cs="Arial" w:eastAsia="Arial" w:hAnsi="Arial"/>
                <w:sz w:val="18"/>
                <w:szCs w:val="18"/>
                <w:color w:val="auto"/>
                <w:w w:val="85"/>
              </w:rPr>
              <w:t>4.14</w:t>
            </w:r>
          </w:p>
        </w:tc>
        <w:tc>
          <w:tcPr>
            <w:tcW w:w="9880" w:type="dxa"/>
            <w:vAlign w:val="bottom"/>
            <w:gridSpan w:val="3"/>
          </w:tcPr>
          <w:p>
            <w:pPr>
              <w:spacing w:after="0"/>
              <w:rPr>
                <w:sz w:val="20"/>
                <w:szCs w:val="20"/>
                <w:color w:val="auto"/>
              </w:rPr>
            </w:pPr>
            <w:r>
              <w:rPr>
                <w:rFonts w:ascii="Arial" w:cs="Arial" w:eastAsia="Arial" w:hAnsi="Arial"/>
                <w:sz w:val="18"/>
                <w:szCs w:val="18"/>
                <w:color w:val="auto"/>
                <w:w w:val="92"/>
              </w:rPr>
              <w:t>Instruments defining the rights of holders of long-term debt of certain consolidated subsidiaries of the registrant are omitted pursuant to</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w w:val="93"/>
              </w:rPr>
              <w:t>the exclusion set forth in subdivisions (b)(iv)(iii)(A) and (b)(v) of Item 601 of Regulation S-K (17 CFR 229.601). The registrant agrees</w:t>
            </w:r>
          </w:p>
        </w:tc>
      </w:tr>
      <w:tr>
        <w:trPr>
          <w:trHeight w:val="216"/>
        </w:trPr>
        <w:tc>
          <w:tcPr>
            <w:tcW w:w="1360" w:type="dxa"/>
            <w:vAlign w:val="bottom"/>
          </w:tcPr>
          <w:p>
            <w:pPr>
              <w:spacing w:after="0"/>
              <w:rPr>
                <w:sz w:val="18"/>
                <w:szCs w:val="18"/>
                <w:color w:val="auto"/>
              </w:rPr>
            </w:pPr>
          </w:p>
        </w:tc>
        <w:tc>
          <w:tcPr>
            <w:tcW w:w="9880" w:type="dxa"/>
            <w:vAlign w:val="bottom"/>
            <w:gridSpan w:val="3"/>
          </w:tcPr>
          <w:p>
            <w:pPr>
              <w:spacing w:after="0"/>
              <w:rPr>
                <w:sz w:val="20"/>
                <w:szCs w:val="20"/>
                <w:color w:val="auto"/>
              </w:rPr>
            </w:pPr>
            <w:r>
              <w:rPr>
                <w:rFonts w:ascii="Arial" w:cs="Arial" w:eastAsia="Arial" w:hAnsi="Arial"/>
                <w:sz w:val="18"/>
                <w:szCs w:val="18"/>
                <w:color w:val="auto"/>
              </w:rPr>
              <w:t>to provide copies of such instruments to the United States Securities and Exchange Commission upon request.</w:t>
            </w:r>
          </w:p>
        </w:tc>
      </w:tr>
      <w:tr>
        <w:trPr>
          <w:trHeight w:val="190"/>
        </w:trPr>
        <w:tc>
          <w:tcPr>
            <w:tcW w:w="1360" w:type="dxa"/>
            <w:vAlign w:val="bottom"/>
          </w:tcPr>
          <w:p>
            <w:pPr>
              <w:jc w:val="right"/>
              <w:ind w:right="950"/>
              <w:spacing w:after="0" w:line="190" w:lineRule="exact"/>
              <w:rPr>
                <w:sz w:val="20"/>
                <w:szCs w:val="20"/>
                <w:color w:val="auto"/>
              </w:rPr>
            </w:pPr>
            <w:r>
              <w:rPr>
                <w:rFonts w:ascii="Arial" w:cs="Arial" w:eastAsia="Arial" w:hAnsi="Arial"/>
                <w:sz w:val="18"/>
                <w:szCs w:val="18"/>
                <w:color w:val="auto"/>
                <w:w w:val="85"/>
              </w:rPr>
              <w:t>31.1</w:t>
            </w:r>
          </w:p>
        </w:tc>
        <w:tc>
          <w:tcPr>
            <w:tcW w:w="9880" w:type="dxa"/>
            <w:vAlign w:val="bottom"/>
            <w:gridSpan w:val="3"/>
          </w:tcPr>
          <w:p>
            <w:pPr>
              <w:spacing w:after="0" w:line="190" w:lineRule="exact"/>
              <w:rPr>
                <w:rFonts w:ascii="Arial" w:cs="Arial" w:eastAsia="Arial" w:hAnsi="Arial"/>
                <w:sz w:val="18"/>
                <w:szCs w:val="18"/>
                <w:color w:val="0000EE"/>
              </w:rPr>
            </w:pPr>
            <w:hyperlink w:anchor="page53">
              <w:r>
                <w:rPr>
                  <w:rFonts w:ascii="Arial" w:cs="Arial" w:eastAsia="Arial" w:hAnsi="Arial"/>
                  <w:sz w:val="18"/>
                  <w:szCs w:val="18"/>
                  <w:color w:val="0000EE"/>
                </w:rPr>
                <w:t>Rule 13a-14(a) Certification of the Chief Executive Officer of the registrant</w:t>
              </w:r>
            </w:hyperlink>
            <w:r>
              <w:rPr>
                <w:rFonts w:ascii="Arial" w:cs="Arial" w:eastAsia="Arial" w:hAnsi="Arial"/>
                <w:sz w:val="18"/>
                <w:szCs w:val="18"/>
                <w:color w:val="000000"/>
              </w:rPr>
              <w:t>.</w:t>
            </w:r>
          </w:p>
        </w:tc>
      </w:tr>
      <w:tr>
        <w:trPr>
          <w:trHeight w:val="196"/>
        </w:trPr>
        <w:tc>
          <w:tcPr>
            <w:tcW w:w="1360" w:type="dxa"/>
            <w:vAlign w:val="bottom"/>
          </w:tcPr>
          <w:p>
            <w:pPr>
              <w:jc w:val="right"/>
              <w:ind w:right="950"/>
              <w:spacing w:after="0" w:line="196" w:lineRule="exact"/>
              <w:rPr>
                <w:sz w:val="20"/>
                <w:szCs w:val="20"/>
                <w:color w:val="auto"/>
              </w:rPr>
            </w:pPr>
            <w:r>
              <w:rPr>
                <w:rFonts w:ascii="Arial" w:cs="Arial" w:eastAsia="Arial" w:hAnsi="Arial"/>
                <w:sz w:val="18"/>
                <w:szCs w:val="18"/>
                <w:color w:val="auto"/>
                <w:w w:val="85"/>
              </w:rPr>
              <w:t>31.2</w:t>
            </w:r>
          </w:p>
        </w:tc>
        <w:tc>
          <w:tcPr>
            <w:tcW w:w="5460" w:type="dxa"/>
            <w:vAlign w:val="bottom"/>
            <w:tcBorders>
              <w:top w:val="single" w:sz="8" w:color="0000EE"/>
            </w:tcBorders>
            <w:gridSpan w:val="2"/>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Rule 13a-14(a) Certification of the Chief Financial Officer of the registrant</w:t>
              </w:r>
            </w:hyperlink>
            <w:r>
              <w:rPr>
                <w:rFonts w:ascii="Arial" w:cs="Arial" w:eastAsia="Arial" w:hAnsi="Arial"/>
                <w:sz w:val="18"/>
                <w:szCs w:val="18"/>
                <w:color w:val="000000"/>
                <w:w w:val="92"/>
              </w:rPr>
              <w:t>.</w:t>
            </w:r>
          </w:p>
        </w:tc>
        <w:tc>
          <w:tcPr>
            <w:tcW w:w="4420" w:type="dxa"/>
            <w:vAlign w:val="bottom"/>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r>
    </w:tbl>
    <w:p>
      <w:pPr>
        <w:spacing w:after="0" w:line="13" w:lineRule="exact"/>
        <w:rPr>
          <w:sz w:val="20"/>
          <w:szCs w:val="20"/>
          <w:color w:val="auto"/>
        </w:rPr>
      </w:pPr>
    </w:p>
    <w:p>
      <w:pPr>
        <w:ind w:left="1360" w:hanging="1352"/>
        <w:spacing w:after="0"/>
        <w:tabs>
          <w:tab w:leader="none" w:pos="1360" w:val="left"/>
        </w:tabs>
        <w:numPr>
          <w:ilvl w:val="0"/>
          <w:numId w:val="20"/>
        </w:numPr>
        <w:rPr>
          <w:rFonts w:ascii="Arial" w:cs="Arial" w:eastAsia="Arial" w:hAnsi="Arial"/>
          <w:sz w:val="18"/>
          <w:szCs w:val="18"/>
          <w:color w:val="0000EE"/>
        </w:rPr>
      </w:pPr>
      <w:hyperlink w:anchor="page55">
        <w:r>
          <w:rPr>
            <w:rFonts w:ascii="Arial" w:cs="Arial" w:eastAsia="Arial" w:hAnsi="Arial"/>
            <w:sz w:val="18"/>
            <w:szCs w:val="18"/>
            <w:u w:val="single" w:color="auto"/>
            <w:color w:val="0000EE"/>
          </w:rPr>
          <w:t>Section 1350 Certifications</w:t>
        </w:r>
      </w:hyperlink>
      <w:r>
        <w:rPr>
          <w:rFonts w:ascii="Arial" w:cs="Arial" w:eastAsia="Arial" w:hAnsi="Arial"/>
          <w:sz w:val="18"/>
          <w:szCs w:val="18"/>
          <w:color w:val="000000"/>
        </w:rPr>
        <w:t>.*</w:t>
      </w:r>
    </w:p>
    <w:p>
      <w:pPr>
        <w:spacing w:after="0" w:line="225" w:lineRule="exact"/>
        <w:rPr>
          <w:rFonts w:ascii="Arial" w:cs="Arial" w:eastAsia="Arial" w:hAnsi="Arial"/>
          <w:sz w:val="18"/>
          <w:szCs w:val="18"/>
          <w:color w:val="0000EE"/>
        </w:rPr>
      </w:pPr>
    </w:p>
    <w:p>
      <w:pPr>
        <w:jc w:val="both"/>
        <w:ind w:left="260" w:firstLine="311"/>
        <w:spacing w:after="0" w:line="259" w:lineRule="auto"/>
        <w:rPr>
          <w:rFonts w:ascii="Arial" w:cs="Arial" w:eastAsia="Arial" w:hAnsi="Arial"/>
          <w:sz w:val="18"/>
          <w:szCs w:val="18"/>
          <w:color w:val="0000EE"/>
        </w:rPr>
      </w:pPr>
      <w:r>
        <w:rPr>
          <w:rFonts w:ascii="Arial" w:cs="Arial" w:eastAsia="Arial" w:hAnsi="Arial"/>
          <w:sz w:val="18"/>
          <w:szCs w:val="18"/>
          <w:color w:val="auto"/>
        </w:rPr>
        <w:t>* 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6360" w:type="dxa"/>
            <w:vAlign w:val="bottom"/>
            <w:gridSpan w:val="2"/>
          </w:tcPr>
          <w:p>
            <w:pPr>
              <w:ind w:left="2040"/>
              <w:spacing w:after="0"/>
              <w:rPr>
                <w:sz w:val="20"/>
                <w:szCs w:val="20"/>
                <w:color w:val="auto"/>
              </w:rPr>
            </w:pPr>
            <w:r>
              <w:rPr>
                <w:rFonts w:ascii="Arial" w:cs="Arial" w:eastAsia="Arial" w:hAnsi="Arial"/>
                <w:sz w:val="18"/>
                <w:szCs w:val="18"/>
                <w:color w:val="auto"/>
              </w:rPr>
              <w:t>CONSUMER PORTFOLIO SERVICES, INC.</w:t>
            </w:r>
          </w:p>
        </w:tc>
        <w:tc>
          <w:tcPr>
            <w:tcW w:w="0" w:type="dxa"/>
            <w:vAlign w:val="bottom"/>
          </w:tcPr>
          <w:p>
            <w:pPr>
              <w:spacing w:after="0"/>
              <w:rPr>
                <w:sz w:val="1"/>
                <w:szCs w:val="1"/>
                <w:color w:val="auto"/>
              </w:rPr>
            </w:pPr>
          </w:p>
        </w:tc>
      </w:tr>
      <w:tr>
        <w:trPr>
          <w:trHeight w:val="230"/>
        </w:trPr>
        <w:tc>
          <w:tcPr>
            <w:tcW w:w="3580" w:type="dxa"/>
            <w:vAlign w:val="bottom"/>
            <w:vMerge w:val="restart"/>
          </w:tcPr>
          <w:p>
            <w:pPr>
              <w:spacing w:after="0"/>
              <w:rPr>
                <w:sz w:val="20"/>
                <w:szCs w:val="20"/>
                <w:color w:val="auto"/>
              </w:rPr>
            </w:pPr>
            <w:r>
              <w:rPr>
                <w:rFonts w:ascii="Arial" w:cs="Arial" w:eastAsia="Arial" w:hAnsi="Arial"/>
                <w:sz w:val="18"/>
                <w:szCs w:val="18"/>
                <w:color w:val="auto"/>
              </w:rPr>
              <w:t>Date: August 8, 2022</w:t>
            </w:r>
          </w:p>
        </w:tc>
        <w:tc>
          <w:tcPr>
            <w:tcW w:w="6360" w:type="dxa"/>
            <w:vAlign w:val="bottom"/>
            <w:gridSpan w:val="2"/>
          </w:tcPr>
          <w:p>
            <w:pPr>
              <w:ind w:left="20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216"/>
        </w:trPr>
        <w:tc>
          <w:tcPr>
            <w:tcW w:w="3580" w:type="dxa"/>
            <w:vAlign w:val="bottom"/>
            <w:vMerge w:val="continue"/>
          </w:tcPr>
          <w:p>
            <w:pPr>
              <w:spacing w:after="0"/>
              <w:rPr>
                <w:sz w:val="18"/>
                <w:szCs w:val="18"/>
                <w:color w:val="auto"/>
              </w:rPr>
            </w:pPr>
          </w:p>
        </w:tc>
        <w:tc>
          <w:tcPr>
            <w:tcW w:w="6360" w:type="dxa"/>
            <w:vAlign w:val="bottom"/>
            <w:gridSpan w:val="2"/>
            <w:vMerge w:val="restart"/>
          </w:tcPr>
          <w:p>
            <w:pPr>
              <w:ind w:left="2040"/>
              <w:spacing w:after="0"/>
              <w:rPr>
                <w:sz w:val="20"/>
                <w:szCs w:val="20"/>
                <w:color w:val="auto"/>
              </w:rPr>
            </w:pPr>
            <w:r>
              <w:rPr>
                <w:rFonts w:ascii="Arial" w:cs="Arial" w:eastAsia="Arial" w:hAnsi="Arial"/>
                <w:sz w:val="18"/>
                <w:szCs w:val="18"/>
                <w:color w:val="auto"/>
              </w:rPr>
              <w:t>By: /s/  CHARLES E. BRADLEY, JR.</w:t>
            </w:r>
          </w:p>
        </w:tc>
        <w:tc>
          <w:tcPr>
            <w:tcW w:w="0" w:type="dxa"/>
            <w:vAlign w:val="bottom"/>
          </w:tcPr>
          <w:p>
            <w:pPr>
              <w:spacing w:after="0"/>
              <w:rPr>
                <w:sz w:val="1"/>
                <w:szCs w:val="1"/>
                <w:color w:val="auto"/>
              </w:rPr>
            </w:pPr>
          </w:p>
        </w:tc>
      </w:tr>
      <w:tr>
        <w:trPr>
          <w:trHeight w:val="176"/>
        </w:trPr>
        <w:tc>
          <w:tcPr>
            <w:tcW w:w="3580" w:type="dxa"/>
            <w:vAlign w:val="bottom"/>
          </w:tcPr>
          <w:p>
            <w:pPr>
              <w:spacing w:after="0"/>
              <w:rPr>
                <w:sz w:val="15"/>
                <w:szCs w:val="15"/>
                <w:color w:val="auto"/>
              </w:rPr>
            </w:pPr>
          </w:p>
        </w:tc>
        <w:tc>
          <w:tcPr>
            <w:tcW w:w="6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400" w:type="dxa"/>
            <w:vAlign w:val="bottom"/>
            <w:tcBorders>
              <w:right w:val="single" w:sz="8" w:color="auto"/>
            </w:tcBorders>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tcPr>
          <w:p>
            <w:pPr>
              <w:spacing w:after="0"/>
              <w:rPr>
                <w:sz w:val="19"/>
                <w:szCs w:val="19"/>
                <w:color w:val="auto"/>
              </w:rPr>
            </w:pPr>
          </w:p>
        </w:tc>
        <w:tc>
          <w:tcPr>
            <w:tcW w:w="6360" w:type="dxa"/>
            <w:vAlign w:val="bottom"/>
            <w:gridSpan w:val="2"/>
          </w:tcPr>
          <w:p>
            <w:pPr>
              <w:ind w:left="2040"/>
              <w:spacing w:after="0"/>
              <w:rPr>
                <w:sz w:val="20"/>
                <w:szCs w:val="20"/>
                <w:color w:val="auto"/>
              </w:rPr>
            </w:pPr>
            <w:r>
              <w:rPr>
                <w:rFonts w:ascii="Arial" w:cs="Arial" w:eastAsia="Arial" w:hAnsi="Arial"/>
                <w:sz w:val="18"/>
                <w:szCs w:val="18"/>
                <w:color w:val="auto"/>
              </w:rPr>
              <w:t>Charles E. Bradley, Jr.</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6360" w:type="dxa"/>
            <w:vAlign w:val="bottom"/>
            <w:gridSpan w:val="2"/>
          </w:tcPr>
          <w:p>
            <w:pPr>
              <w:ind w:left="2040"/>
              <w:spacing w:after="0"/>
              <w:rPr>
                <w:sz w:val="20"/>
                <w:szCs w:val="20"/>
                <w:color w:val="auto"/>
              </w:rPr>
            </w:pPr>
            <w:r>
              <w:rPr>
                <w:rFonts w:ascii="Arial" w:cs="Arial" w:eastAsia="Arial" w:hAnsi="Arial"/>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6360" w:type="dxa"/>
            <w:vAlign w:val="bottom"/>
            <w:gridSpan w:val="2"/>
          </w:tcPr>
          <w:p>
            <w:pPr>
              <w:ind w:left="204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392"/>
        </w:trPr>
        <w:tc>
          <w:tcPr>
            <w:tcW w:w="3580" w:type="dxa"/>
            <w:vAlign w:val="bottom"/>
          </w:tcPr>
          <w:p>
            <w:pPr>
              <w:spacing w:after="0"/>
              <w:rPr>
                <w:sz w:val="20"/>
                <w:szCs w:val="20"/>
                <w:color w:val="auto"/>
              </w:rPr>
            </w:pPr>
            <w:r>
              <w:rPr>
                <w:rFonts w:ascii="Arial" w:cs="Arial" w:eastAsia="Arial" w:hAnsi="Arial"/>
                <w:sz w:val="18"/>
                <w:szCs w:val="18"/>
                <w:color w:val="auto"/>
              </w:rPr>
              <w:t>Date: August 8, 2022</w:t>
            </w:r>
          </w:p>
        </w:tc>
        <w:tc>
          <w:tcPr>
            <w:tcW w:w="6360" w:type="dxa"/>
            <w:vAlign w:val="bottom"/>
            <w:gridSpan w:val="2"/>
          </w:tcPr>
          <w:p>
            <w:pPr>
              <w:ind w:left="2040"/>
              <w:spacing w:after="0"/>
              <w:rPr>
                <w:sz w:val="20"/>
                <w:szCs w:val="20"/>
                <w:color w:val="auto"/>
              </w:rPr>
            </w:pPr>
            <w:r>
              <w:rPr>
                <w:rFonts w:ascii="Arial" w:cs="Arial" w:eastAsia="Arial" w:hAnsi="Arial"/>
                <w:sz w:val="18"/>
                <w:szCs w:val="18"/>
                <w:color w:val="auto"/>
              </w:rPr>
              <w:t>By: /s/  JEFFREY P. FRITZ</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580" w:type="dxa"/>
            <w:vAlign w:val="bottom"/>
          </w:tcPr>
          <w:p>
            <w:pPr>
              <w:spacing w:after="0"/>
              <w:rPr>
                <w:sz w:val="19"/>
                <w:szCs w:val="19"/>
                <w:color w:val="auto"/>
              </w:rPr>
            </w:pPr>
          </w:p>
        </w:tc>
        <w:tc>
          <w:tcPr>
            <w:tcW w:w="6360" w:type="dxa"/>
            <w:vAlign w:val="bottom"/>
            <w:gridSpan w:val="2"/>
          </w:tcPr>
          <w:p>
            <w:pPr>
              <w:ind w:left="2040"/>
              <w:spacing w:after="0"/>
              <w:rPr>
                <w:sz w:val="20"/>
                <w:szCs w:val="20"/>
                <w:color w:val="auto"/>
              </w:rPr>
            </w:pPr>
            <w:r>
              <w:rPr>
                <w:rFonts w:ascii="Arial" w:cs="Arial" w:eastAsia="Arial" w:hAnsi="Arial"/>
                <w:sz w:val="18"/>
                <w:szCs w:val="18"/>
                <w:color w:val="auto"/>
              </w:rPr>
              <w:t>Jeffrey P. Fritz</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6360" w:type="dxa"/>
            <w:vAlign w:val="bottom"/>
            <w:gridSpan w:val="2"/>
          </w:tcPr>
          <w:p>
            <w:pPr>
              <w:ind w:left="2040"/>
              <w:spacing w:after="0"/>
              <w:rPr>
                <w:sz w:val="20"/>
                <w:szCs w:val="20"/>
                <w:color w:val="auto"/>
              </w:rPr>
            </w:pPr>
            <w:r>
              <w:rPr>
                <w:rFonts w:ascii="Arial" w:cs="Arial" w:eastAsia="Arial" w:hAnsi="Arial"/>
                <w:sz w:val="18"/>
                <w:szCs w:val="18"/>
                <w:i w:val="1"/>
                <w:iCs w:val="1"/>
                <w:color w:val="auto"/>
              </w:rPr>
              <w:t>Executive Vice President and Chief Financial Officer</w:t>
            </w:r>
          </w:p>
        </w:tc>
        <w:tc>
          <w:tcPr>
            <w:tcW w:w="0" w:type="dxa"/>
            <w:vAlign w:val="bottom"/>
          </w:tcPr>
          <w:p>
            <w:pPr>
              <w:spacing w:after="0"/>
              <w:rPr>
                <w:sz w:val="1"/>
                <w:szCs w:val="1"/>
                <w:color w:val="auto"/>
              </w:rPr>
            </w:pPr>
          </w:p>
        </w:tc>
      </w:tr>
      <w:tr>
        <w:trPr>
          <w:trHeight w:val="230"/>
        </w:trPr>
        <w:tc>
          <w:tcPr>
            <w:tcW w:w="3580" w:type="dxa"/>
            <w:vAlign w:val="bottom"/>
          </w:tcPr>
          <w:p>
            <w:pPr>
              <w:spacing w:after="0"/>
              <w:rPr>
                <w:sz w:val="20"/>
                <w:szCs w:val="20"/>
                <w:color w:val="auto"/>
              </w:rPr>
            </w:pPr>
          </w:p>
        </w:tc>
        <w:tc>
          <w:tcPr>
            <w:tcW w:w="6360" w:type="dxa"/>
            <w:vAlign w:val="bottom"/>
            <w:gridSpan w:val="2"/>
          </w:tcPr>
          <w:p>
            <w:pPr>
              <w:ind w:left="2040"/>
              <w:spacing w:after="0"/>
              <w:rPr>
                <w:sz w:val="20"/>
                <w:szCs w:val="20"/>
                <w:color w:val="auto"/>
              </w:rPr>
            </w:pPr>
            <w:r>
              <w:rPr>
                <w:rFonts w:ascii="Arial" w:cs="Arial" w:eastAsia="Arial" w:hAnsi="Arial"/>
                <w:sz w:val="18"/>
                <w:szCs w:val="18"/>
                <w:color w:val="auto"/>
              </w:rPr>
              <w:t>(Principal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2" w:name="page53"/>
    <w:bookmarkEnd w:id="52"/>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25"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2022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ectPr>
          <w:pgSz w:w="11900" w:h="16838" w:orient="portrait"/>
          <w:cols w:equalWidth="0" w:num="1">
            <w:col w:w="11240"/>
          </w:cols>
          <w:pgMar w:left="320" w:top="337" w:right="339" w:bottom="1440" w:gutter="0" w:footer="0" w:header="0"/>
        </w:sectPr>
      </w:pPr>
    </w:p>
    <w:bookmarkStart w:id="53" w:name="page54"/>
    <w:bookmarkEnd w:id="53"/>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2022 of Consumer Portfolio Services, Inc.;</w:t>
      </w:r>
    </w:p>
    <w:p>
      <w:pPr>
        <w:spacing w:after="0" w:line="225" w:lineRule="exact"/>
        <w:rPr>
          <w:rFonts w:ascii="Arial" w:cs="Arial" w:eastAsia="Arial" w:hAnsi="Arial"/>
          <w:sz w:val="18"/>
          <w:szCs w:val="18"/>
          <w:color w:val="auto"/>
        </w:rPr>
      </w:pPr>
    </w:p>
    <w:p>
      <w:pPr>
        <w:ind w:firstLine="8"/>
        <w:spacing w:after="0" w:line="342" w:lineRule="auto"/>
        <w:tabs>
          <w:tab w:leader="none" w:pos="201"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209"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11"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4"/>
        <w:spacing w:after="0" w:line="263" w:lineRule="auto"/>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4"/>
        <w:spacing w:after="0" w:line="308" w:lineRule="auto"/>
        <w:tabs>
          <w:tab w:leader="none" w:pos="938"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3" w:lineRule="auto"/>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06"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ectPr>
          <w:pgSz w:w="11900" w:h="16838" w:orient="portrait"/>
          <w:cols w:equalWidth="0" w:num="1">
            <w:col w:w="11240"/>
          </w:cols>
          <w:pgMar w:left="320" w:top="12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June 30, 2022,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040" w:hanging="348"/>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040" w:hanging="348"/>
        <w:spacing w:after="0"/>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744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Roman"/>
      <w:start w:val="3"/>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3"/>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4"/>
    </w:lvl>
  </w:abstractNum>
  <w:abstractNum w:abstractNumId="8">
    <w:nsid w:val="6B68079A"/>
    <w:multiLevelType w:val="hybridMultilevel"/>
    <w:lvl w:ilvl="0">
      <w:lvlJc w:val="left"/>
      <w:lvlText w:val="(%1)"/>
      <w:numFmt w:val="decimal"/>
      <w:start w:val="6"/>
    </w:lvl>
  </w:abstractNum>
  <w:abstractNum w:abstractNumId="9">
    <w:nsid w:val="4E6AFB66"/>
    <w:multiLevelType w:val="hybridMultilevel"/>
    <w:lvl w:ilvl="0">
      <w:lvlJc w:val="left"/>
      <w:lvlText w:val="(%1)"/>
      <w:numFmt w:val="decimal"/>
      <w:start w:val="7"/>
    </w:lvl>
  </w:abstractNum>
  <w:abstractNum w:abstractNumId="10">
    <w:nsid w:val="25E45D32"/>
    <w:multiLevelType w:val="hybridMultilevel"/>
    <w:lvl w:ilvl="0">
      <w:lvlJc w:val="left"/>
      <w:lvlText w:val="(%1)"/>
      <w:numFmt w:val="decimal"/>
      <w:start w:val="8"/>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2"/>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32"/>
    </w:lvl>
    <w:lvl w:ilvl="1">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2022-08-09T04:06:32Z</dcterms:created>
  <dcterms:modified xsi:type="dcterms:W3CDTF">2022-08-09T04:06:32Z</dcterms:modified>
</cp:coreProperties>
</file>