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880" w:right="1620" w:hanging="3872"/>
        <w:spacing w:after="0" w:line="484" w:lineRule="auto"/>
        <w:tabs>
          <w:tab w:leader="none" w:pos="4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33" w:lineRule="exact"/>
        <w:rPr>
          <w:sz w:val="24"/>
          <w:szCs w:val="24"/>
          <w:color w:val="auto"/>
        </w:rPr>
      </w:pPr>
    </w:p>
    <w:p>
      <w:pPr>
        <w:ind w:left="3240" w:right="2120" w:hanging="3232"/>
        <w:spacing w:after="0" w:line="527" w:lineRule="auto"/>
        <w:tabs>
          <w:tab w:leader="none" w:pos="429"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 For the transition period from ____________ to ______________</w:t>
      </w:r>
    </w:p>
    <w:p>
      <w:pPr>
        <w:spacing w:after="0" w:line="1" w:lineRule="exact"/>
        <w:rPr>
          <w:rFonts w:ascii="MS PGothic" w:cs="MS PGothic" w:eastAsia="MS PGothic" w:hAnsi="MS PGothic"/>
          <w:sz w:val="17"/>
          <w:szCs w:val="17"/>
          <w:color w:val="auto"/>
        </w:rPr>
      </w:pPr>
    </w:p>
    <w:p>
      <w:pPr>
        <w:ind w:left="434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Commission file number: 1-11416</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CONSUMER PORTFOLIO SERVICES,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9" w:lineRule="exact"/>
        <w:rPr>
          <w:sz w:val="24"/>
          <w:szCs w:val="24"/>
          <w:color w:val="auto"/>
        </w:rPr>
      </w:pPr>
    </w:p>
    <w:tbl>
      <w:tblPr>
        <w:tblLayout w:type="fixed"/>
        <w:tblInd w:w="1680" w:type="dxa"/>
        <w:tblCellMar>
          <w:top w:w="0" w:type="dxa"/>
          <w:left w:w="0" w:type="dxa"/>
          <w:bottom w:w="0" w:type="dxa"/>
          <w:right w:w="0" w:type="dxa"/>
        </w:tblCellMar>
      </w:tblPr>
      <w:tr>
        <w:trPr>
          <w:trHeight w:val="216"/>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7"/>
              </w:rPr>
              <w:t>California</w:t>
            </w:r>
          </w:p>
        </w:tc>
        <w:tc>
          <w:tcPr>
            <w:tcW w:w="3580" w:type="dxa"/>
            <w:vAlign w:val="bottom"/>
          </w:tcPr>
          <w:p>
            <w:pPr>
              <w:jc w:val="right"/>
              <w:ind w:right="710"/>
              <w:spacing w:after="0"/>
              <w:rPr>
                <w:sz w:val="20"/>
                <w:szCs w:val="20"/>
                <w:color w:val="auto"/>
              </w:rPr>
            </w:pPr>
            <w:r>
              <w:rPr>
                <w:rFonts w:ascii="Arial" w:cs="Arial" w:eastAsia="Arial" w:hAnsi="Arial"/>
                <w:sz w:val="18"/>
                <w:szCs w:val="18"/>
                <w:color w:val="auto"/>
              </w:rPr>
              <w:t>33-0459135</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580" w:type="dxa"/>
            <w:vAlign w:val="bottom"/>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1"/>
              </w:rPr>
              <w:t>3800 Howard Hughes Parkway, Suite 1400,</w:t>
            </w:r>
          </w:p>
        </w:tc>
        <w:tc>
          <w:tcPr>
            <w:tcW w:w="3580" w:type="dxa"/>
            <w:vAlign w:val="bottom"/>
          </w:tcPr>
          <w:p>
            <w:pPr>
              <w:spacing w:after="0"/>
              <w:rPr>
                <w:sz w:val="24"/>
                <w:szCs w:val="24"/>
                <w:color w:val="auto"/>
              </w:rPr>
            </w:pPr>
          </w:p>
        </w:tc>
      </w:tr>
      <w:tr>
        <w:trPr>
          <w:trHeight w:val="216"/>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87"/>
              </w:rPr>
              <w:t>Las Vegas, Nevada</w:t>
            </w:r>
          </w:p>
        </w:tc>
        <w:tc>
          <w:tcPr>
            <w:tcW w:w="3580" w:type="dxa"/>
            <w:vAlign w:val="bottom"/>
          </w:tcPr>
          <w:p>
            <w:pPr>
              <w:jc w:val="right"/>
              <w:ind w:right="930"/>
              <w:spacing w:after="0"/>
              <w:rPr>
                <w:sz w:val="20"/>
                <w:szCs w:val="20"/>
                <w:color w:val="auto"/>
              </w:rPr>
            </w:pPr>
            <w:r>
              <w:rPr>
                <w:rFonts w:ascii="Arial" w:cs="Arial" w:eastAsia="Arial" w:hAnsi="Arial"/>
                <w:sz w:val="18"/>
                <w:szCs w:val="18"/>
                <w:color w:val="auto"/>
              </w:rPr>
              <w:t>89169</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(Address of principal executive offices)</w:t>
            </w:r>
          </w:p>
        </w:tc>
        <w:tc>
          <w:tcPr>
            <w:tcW w:w="3580" w:type="dxa"/>
            <w:vAlign w:val="bottom"/>
          </w:tcPr>
          <w:p>
            <w:pPr>
              <w:jc w:val="center"/>
              <w:ind w:left="101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(949) 753-6800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 N/A</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91"/>
        </w:trPr>
        <w:tc>
          <w:tcPr>
            <w:tcW w:w="1180" w:type="dxa"/>
            <w:vAlign w:val="bottom"/>
          </w:tcPr>
          <w:p>
            <w:pPr>
              <w:spacing w:after="0"/>
              <w:rPr>
                <w:sz w:val="24"/>
                <w:szCs w:val="24"/>
                <w:color w:val="auto"/>
              </w:rPr>
            </w:pPr>
          </w:p>
        </w:tc>
        <w:tc>
          <w:tcPr>
            <w:tcW w:w="3340" w:type="dxa"/>
            <w:vAlign w:val="bottom"/>
            <w:gridSpan w:val="2"/>
          </w:tcPr>
          <w:p>
            <w:pPr>
              <w:jc w:val="center"/>
              <w:ind w:right="1980"/>
              <w:spacing w:after="0"/>
              <w:rPr>
                <w:sz w:val="20"/>
                <w:szCs w:val="20"/>
                <w:color w:val="auto"/>
              </w:rPr>
            </w:pPr>
            <w:r>
              <w:rPr>
                <w:rFonts w:ascii="Arial" w:cs="Arial" w:eastAsia="Arial" w:hAnsi="Arial"/>
                <w:sz w:val="18"/>
                <w:szCs w:val="18"/>
                <w:color w:val="auto"/>
                <w:w w:val="90"/>
              </w:rPr>
              <w:t>Title of Each Class</w:t>
            </w:r>
          </w:p>
        </w:tc>
        <w:tc>
          <w:tcPr>
            <w:tcW w:w="220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Trading Symbol</w:t>
            </w:r>
          </w:p>
        </w:tc>
        <w:tc>
          <w:tcPr>
            <w:tcW w:w="820" w:type="dxa"/>
            <w:vAlign w:val="bottom"/>
          </w:tcPr>
          <w:p>
            <w:pPr>
              <w:spacing w:after="0"/>
              <w:rPr>
                <w:sz w:val="24"/>
                <w:szCs w:val="24"/>
                <w:color w:val="auto"/>
              </w:rPr>
            </w:pPr>
          </w:p>
        </w:tc>
        <w:tc>
          <w:tcPr>
            <w:tcW w:w="35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Name of Each Exchange on Which Registered</w:t>
            </w:r>
          </w:p>
        </w:tc>
      </w:tr>
      <w:tr>
        <w:trPr>
          <w:trHeight w:val="20"/>
        </w:trPr>
        <w:tc>
          <w:tcPr>
            <w:tcW w:w="11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4520" w:type="dxa"/>
            <w:vAlign w:val="bottom"/>
            <w:gridSpan w:val="3"/>
          </w:tcPr>
          <w:p>
            <w:pPr>
              <w:jc w:val="center"/>
              <w:ind w:right="780"/>
              <w:spacing w:after="0"/>
              <w:rPr>
                <w:sz w:val="20"/>
                <w:szCs w:val="20"/>
                <w:color w:val="auto"/>
              </w:rPr>
            </w:pPr>
            <w:r>
              <w:rPr>
                <w:rFonts w:ascii="Arial" w:cs="Arial" w:eastAsia="Arial" w:hAnsi="Arial"/>
                <w:sz w:val="18"/>
                <w:szCs w:val="18"/>
                <w:color w:val="auto"/>
                <w:w w:val="90"/>
              </w:rPr>
              <w:t>Common Stock, no par value</w:t>
            </w:r>
          </w:p>
        </w:tc>
        <w:tc>
          <w:tcPr>
            <w:tcW w:w="360" w:type="dxa"/>
            <w:vAlign w:val="bottom"/>
          </w:tcPr>
          <w:p>
            <w:pPr>
              <w:spacing w:after="0"/>
              <w:rPr>
                <w:sz w:val="20"/>
                <w:szCs w:val="20"/>
                <w:color w:val="auto"/>
              </w:rPr>
            </w:pPr>
          </w:p>
        </w:tc>
        <w:tc>
          <w:tcPr>
            <w:tcW w:w="1840" w:type="dxa"/>
            <w:vAlign w:val="bottom"/>
            <w:gridSpan w:val="2"/>
          </w:tcPr>
          <w:p>
            <w:pPr>
              <w:jc w:val="center"/>
              <w:ind w:right="660"/>
              <w:spacing w:after="0"/>
              <w:rPr>
                <w:sz w:val="20"/>
                <w:szCs w:val="20"/>
                <w:color w:val="auto"/>
              </w:rPr>
            </w:pPr>
            <w:r>
              <w:rPr>
                <w:rFonts w:ascii="Arial" w:cs="Arial" w:eastAsia="Arial" w:hAnsi="Arial"/>
                <w:sz w:val="18"/>
                <w:szCs w:val="18"/>
                <w:color w:val="auto"/>
                <w:w w:val="85"/>
              </w:rPr>
              <w:t>CPSS</w:t>
            </w:r>
          </w:p>
        </w:tc>
        <w:tc>
          <w:tcPr>
            <w:tcW w:w="4360" w:type="dxa"/>
            <w:vAlign w:val="bottom"/>
            <w:gridSpan w:val="3"/>
          </w:tcPr>
          <w:p>
            <w:pPr>
              <w:jc w:val="center"/>
              <w:ind w:left="570"/>
              <w:spacing w:after="0"/>
              <w:rPr>
                <w:sz w:val="20"/>
                <w:szCs w:val="20"/>
                <w:color w:val="auto"/>
              </w:rPr>
            </w:pPr>
            <w:r>
              <w:rPr>
                <w:rFonts w:ascii="Arial" w:cs="Arial" w:eastAsia="Arial" w:hAnsi="Arial"/>
                <w:sz w:val="18"/>
                <w:szCs w:val="18"/>
                <w:color w:val="auto"/>
                <w:w w:val="95"/>
              </w:rPr>
              <w:t>The NASDAQ Stock Market LLC (Global Market)</w:t>
            </w:r>
          </w:p>
        </w:tc>
      </w:tr>
    </w:tbl>
    <w:p>
      <w:pPr>
        <w:spacing w:after="0" w:line="202"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ectPr>
          <w:pgSz w:w="11900" w:h="16838" w:orient="portrait"/>
          <w:cols w:equalWidth="0" w:num="1">
            <w:col w:w="11240"/>
          </w:cols>
          <w:pgMar w:left="320" w:top="233" w:right="339" w:bottom="1440" w:gutter="0" w:footer="0" w:header="0"/>
        </w:sectPr>
      </w:pP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16" w:lineRule="exact"/>
        <w:rPr>
          <w:sz w:val="24"/>
          <w:szCs w:val="24"/>
          <w:color w:val="auto"/>
        </w:rPr>
      </w:pPr>
    </w:p>
    <w:p>
      <w:pPr>
        <w:sectPr>
          <w:pgSz w:w="11900" w:h="16838" w:orient="portrait"/>
          <w:cols w:equalWidth="0" w:num="2">
            <w:col w:w="6820" w:space="720"/>
            <w:col w:w="3700"/>
          </w:cols>
          <w:pgMar w:left="320" w:top="233" w:right="339" w:bottom="1440" w:gutter="0" w:footer="0" w:header="0"/>
          <w:type w:val="continuous"/>
        </w:sectPr>
      </w:pPr>
    </w:p>
    <w:p>
      <w:pPr>
        <w:spacing w:after="0" w:line="3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August 6, 2021 the registrant had 22,943,689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jc w:val="center"/>
        <w:ind w:right="-25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INDEX TO FORM 10-Q</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80" w:type="dxa"/>
            <w:vAlign w:val="bottom"/>
            <w:gridSpan w:val="8"/>
            <w:vMerge w:val="restart"/>
          </w:tcPr>
          <w:p>
            <w:pPr>
              <w:ind w:left="1080"/>
              <w:spacing w:after="0"/>
              <w:rPr>
                <w:sz w:val="20"/>
                <w:szCs w:val="20"/>
                <w:color w:val="auto"/>
              </w:rPr>
            </w:pPr>
            <w:r>
              <w:rPr>
                <w:rFonts w:ascii="Arial" w:cs="Arial" w:eastAsia="Arial" w:hAnsi="Arial"/>
                <w:sz w:val="18"/>
                <w:szCs w:val="18"/>
                <w:b w:val="1"/>
                <w:bCs w:val="1"/>
                <w:color w:val="auto"/>
              </w:rPr>
              <w:t>PART I. FINANCIAL INFORMATION</w:t>
            </w: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37"/>
        </w:trPr>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580" w:type="dxa"/>
            <w:vAlign w:val="bottom"/>
            <w:gridSpan w:val="8"/>
            <w:vMerge w:val="continue"/>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2"/>
          </w:tcPr>
          <w:p>
            <w:pPr>
              <w:ind w:left="20"/>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7840" w:type="dxa"/>
            <w:vAlign w:val="bottom"/>
            <w:gridSpan w:val="10"/>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12"/>
          </w:tcPr>
          <w:p>
            <w:pPr>
              <w:ind w:lef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as of June 30, 2021 and December 31, 2020</w:t>
              </w:r>
            </w:hyperlink>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12"/>
          </w:tcPr>
          <w:p>
            <w:pPr>
              <w:ind w:left="20"/>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Unaudited Condensed Consolidated Statements of Operations for the three-month and six-month periods ended June 30, 2021</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68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and 2020</w:t>
              </w:r>
            </w:hyperlink>
          </w:p>
        </w:tc>
        <w:tc>
          <w:tcPr>
            <w:tcW w:w="8400" w:type="dxa"/>
            <w:vAlign w:val="bottom"/>
            <w:tcBorders>
              <w:top w:val="single" w:sz="8" w:color="0000EE"/>
            </w:tcBorders>
            <w:gridSpan w:val="10"/>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8960" w:type="dxa"/>
            <w:vAlign w:val="bottom"/>
            <w:tcBorders>
              <w:bottom w:val="single" w:sz="8" w:color="0000EE"/>
            </w:tcBorders>
            <w:gridSpan w:val="10"/>
          </w:tcPr>
          <w:p>
            <w:pPr>
              <w:ind w:left="20"/>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Comprehensive Income for the three-month and six-month periods ended</w:t>
              </w:r>
            </w:hyperlink>
          </w:p>
        </w:tc>
        <w:tc>
          <w:tcPr>
            <w:tcW w:w="40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12"/>
          </w:tcPr>
          <w:p>
            <w:pPr>
              <w:ind w:lef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June 30, 2021 and 2020</w:t>
              </w:r>
            </w:hyperlink>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12"/>
          </w:tcPr>
          <w:p>
            <w:pPr>
              <w:ind w:left="20"/>
              <w:spacing w:after="0" w:line="19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Unaudited Condensed Consolidated Statements of Cash Flows for the six-month periods ended June 30, 2021 and 2020</w:t>
              </w:r>
            </w:hyperlink>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12"/>
          </w:tcPr>
          <w:p>
            <w:pPr>
              <w:ind w:left="20"/>
              <w:spacing w:after="0" w:line="19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Unaudited Condensed Consolidated Statements of Shareholders’ Equity for the three-month and six-month periods ended</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8760" w:type="dxa"/>
            <w:vAlign w:val="bottom"/>
            <w:tcBorders>
              <w:top w:val="single" w:sz="8" w:color="0000EE"/>
            </w:tcBorders>
            <w:gridSpan w:val="9"/>
          </w:tcPr>
          <w:p>
            <w:pPr>
              <w:ind w:left="2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June 30, 2021 and 2020</w:t>
              </w:r>
            </w:hyperlink>
          </w:p>
        </w:tc>
        <w:tc>
          <w:tcPr>
            <w:tcW w:w="600" w:type="dxa"/>
            <w:vAlign w:val="bottom"/>
            <w:gridSpan w:val="3"/>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4800" w:type="dxa"/>
            <w:vAlign w:val="bottom"/>
            <w:tcBorders>
              <w:bottom w:val="single" w:sz="8" w:color="0000EE"/>
            </w:tcBorders>
            <w:gridSpan w:val="5"/>
          </w:tcPr>
          <w:p>
            <w:pPr>
              <w:ind w:left="20"/>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Consolidated Financial Statements</w:t>
              </w:r>
            </w:hyperlink>
          </w:p>
        </w:tc>
        <w:tc>
          <w:tcPr>
            <w:tcW w:w="4560" w:type="dxa"/>
            <w:vAlign w:val="bottom"/>
            <w:gridSpan w:val="7"/>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360" w:type="dxa"/>
            <w:vAlign w:val="bottom"/>
            <w:gridSpan w:val="12"/>
          </w:tcPr>
          <w:p>
            <w:pPr>
              <w:ind w:left="2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Controls and Procedures</w:t>
              </w:r>
            </w:hyperlink>
          </w:p>
        </w:tc>
        <w:tc>
          <w:tcPr>
            <w:tcW w:w="4680" w:type="dxa"/>
            <w:vAlign w:val="bottom"/>
            <w:tcBorders>
              <w:top w:val="single" w:sz="8" w:color="0000EE"/>
            </w:tcBorders>
            <w:gridSpan w:val="2"/>
          </w:tcPr>
          <w:p>
            <w:pPr>
              <w:spacing w:after="0"/>
              <w:rPr>
                <w:sz w:val="17"/>
                <w:szCs w:val="17"/>
                <w:color w:val="auto"/>
              </w:rPr>
            </w:pPr>
          </w:p>
        </w:tc>
        <w:tc>
          <w:tcPr>
            <w:tcW w:w="2900" w:type="dxa"/>
            <w:vAlign w:val="bottom"/>
            <w:gridSpan w:val="6"/>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620" w:type="dxa"/>
            <w:vAlign w:val="bottom"/>
            <w:gridSpan w:val="3"/>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PART II. OTHER INFORMATION</w:t>
              </w:r>
            </w:hyperlink>
          </w:p>
        </w:tc>
        <w:tc>
          <w:tcPr>
            <w:tcW w:w="2020" w:type="dxa"/>
            <w:vAlign w:val="bottom"/>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3000" w:type="dxa"/>
            <w:vAlign w:val="bottom"/>
            <w:gridSpan w:val="5"/>
          </w:tcPr>
          <w:p>
            <w:pPr>
              <w:ind w:left="20"/>
              <w:spacing w:after="0"/>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2760" w:type="dxa"/>
            <w:vAlign w:val="bottom"/>
            <w:tcBorders>
              <w:top w:val="single" w:sz="8" w:color="0000EE"/>
            </w:tcBorders>
            <w:gridSpan w:val="2"/>
          </w:tcPr>
          <w:p>
            <w:pPr>
              <w:spacing w:after="0"/>
              <w:rPr>
                <w:sz w:val="24"/>
                <w:szCs w:val="24"/>
                <w:color w:val="auto"/>
              </w:rPr>
            </w:pPr>
          </w:p>
        </w:tc>
        <w:tc>
          <w:tcPr>
            <w:tcW w:w="18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ind w:left="20"/>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Risk Factors</w:t>
              </w:r>
            </w:hyperlink>
          </w:p>
        </w:tc>
        <w:tc>
          <w:tcPr>
            <w:tcW w:w="420" w:type="dxa"/>
            <w:vAlign w:val="bottom"/>
            <w:tcBorders>
              <w:top w:val="single" w:sz="8" w:color="0000EE"/>
            </w:tcBorders>
          </w:tcPr>
          <w:p>
            <w:pPr>
              <w:spacing w:after="0"/>
              <w:rPr>
                <w:sz w:val="17"/>
                <w:szCs w:val="17"/>
                <w:color w:val="auto"/>
              </w:rPr>
            </w:pPr>
          </w:p>
        </w:tc>
        <w:tc>
          <w:tcPr>
            <w:tcW w:w="6280" w:type="dxa"/>
            <w:vAlign w:val="bottom"/>
            <w:gridSpan w:val="4"/>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6"/>
          </w:tcPr>
          <w:p>
            <w:pPr>
              <w:ind w:left="20"/>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Unregistered Sales of Equity Securities and Use of Proceeds</w:t>
              </w:r>
            </w:hyperlink>
          </w:p>
        </w:tc>
        <w:tc>
          <w:tcPr>
            <w:tcW w:w="3260" w:type="dxa"/>
            <w:vAlign w:val="bottom"/>
            <w:gridSpan w:val="2"/>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7620" w:type="dxa"/>
            <w:vAlign w:val="bottom"/>
            <w:gridSpan w:val="8"/>
          </w:tcPr>
          <w:p>
            <w:pPr>
              <w:ind w:left="20"/>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60" w:type="dxa"/>
            <w:vAlign w:val="bottom"/>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7620" w:type="dxa"/>
            <w:vAlign w:val="bottom"/>
            <w:gridSpan w:val="8"/>
          </w:tcPr>
          <w:p>
            <w:pPr>
              <w:ind w:left="20"/>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Signatures</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796" w:right="5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6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2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43,131</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13,466</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Restricted cash and equivalents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155,776</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130,686</w:t>
            </w:r>
          </w:p>
        </w:tc>
        <w:tc>
          <w:tcPr>
            <w:tcW w:w="0" w:type="dxa"/>
            <w:vAlign w:val="bottom"/>
          </w:tcPr>
          <w:p>
            <w:pPr>
              <w:spacing w:after="0"/>
              <w:rPr>
                <w:sz w:val="1"/>
                <w:szCs w:val="1"/>
                <w:color w:val="auto"/>
              </w:rPr>
            </w:pPr>
          </w:p>
        </w:tc>
      </w:tr>
      <w:tr>
        <w:trPr>
          <w:trHeight w:val="216"/>
        </w:trPr>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2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1,582,175</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1,523,726</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2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340,470</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492,133</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Less: Allowance for finance credit losses</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(72,242)</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(80,790)</w:t>
            </w:r>
          </w:p>
        </w:tc>
        <w:tc>
          <w:tcPr>
            <w:tcW w:w="0" w:type="dxa"/>
            <w:vAlign w:val="bottom"/>
          </w:tcPr>
          <w:p>
            <w:pPr>
              <w:spacing w:after="0"/>
              <w:rPr>
                <w:sz w:val="1"/>
                <w:szCs w:val="1"/>
                <w:color w:val="auto"/>
              </w:rPr>
            </w:pPr>
          </w:p>
        </w:tc>
      </w:tr>
      <w:tr>
        <w:trPr>
          <w:trHeight w:val="209"/>
        </w:trPr>
        <w:tc>
          <w:tcPr>
            <w:tcW w:w="53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230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268,228</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411,343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96"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Furniture and equipment,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net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Accrued interest receivable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EEEEEE"/>
        </w:rPr>
        <w:t>Total asset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1,007</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828</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27,131</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28,512</w:t>
            </w:r>
          </w:p>
        </w:tc>
      </w:tr>
      <w:tr>
        <w:trPr>
          <w:trHeight w:val="229"/>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3,601</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5,017</w:t>
            </w: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22,691</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32,317</w:t>
            </w:r>
          </w:p>
        </w:tc>
      </w:tr>
      <w:tr>
        <w:trPr>
          <w:trHeight w:val="223"/>
        </w:trPr>
        <w:tc>
          <w:tcPr>
            <w:tcW w:w="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2,103,740</w:t>
            </w:r>
          </w:p>
        </w:tc>
        <w:tc>
          <w:tcPr>
            <w:tcW w:w="3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2,145,895</w:t>
            </w: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-736600</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-462280</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-179070</wp:posOffset>
            </wp:positionV>
            <wp:extent cx="7132320"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580"/>
          </w:cols>
          <w:pgMar w:left="320" w:top="796"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 and accrued expenses</w:t>
            </w:r>
          </w:p>
        </w:tc>
        <w:tc>
          <w:tcPr>
            <w:tcW w:w="2120" w:type="dxa"/>
            <w:vAlign w:val="bottom"/>
            <w:gridSpan w:val="2"/>
            <w:shd w:val="clear" w:color="auto" w:fill="EEEEEE"/>
          </w:tcPr>
          <w:p>
            <w:pPr>
              <w:jc w:val="right"/>
              <w:ind w:right="2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52,142</w:t>
            </w:r>
          </w:p>
        </w:tc>
        <w:tc>
          <w:tcPr>
            <w:tcW w:w="48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43,112</w:t>
            </w:r>
          </w:p>
        </w:tc>
        <w:tc>
          <w:tcPr>
            <w:tcW w:w="80" w:type="dxa"/>
            <w:vAlign w:val="bottom"/>
            <w:shd w:val="clear" w:color="auto" w:fill="EEEEEE"/>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77,044</w:t>
            </w:r>
          </w:p>
        </w:tc>
        <w:tc>
          <w:tcPr>
            <w:tcW w:w="48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118,999</w:t>
            </w:r>
          </w:p>
        </w:tc>
      </w:tr>
      <w:tr>
        <w:trPr>
          <w:trHeight w:val="216"/>
        </w:trPr>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6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67,153</w:t>
            </w:r>
          </w:p>
        </w:tc>
        <w:tc>
          <w:tcPr>
            <w:tcW w:w="48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25,426</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Securitization trust debt</w:t>
            </w: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1,732,879</w:t>
            </w:r>
          </w:p>
        </w:tc>
        <w:tc>
          <w:tcPr>
            <w:tcW w:w="4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1,803,673</w:t>
            </w:r>
          </w:p>
        </w:tc>
        <w:tc>
          <w:tcPr>
            <w:tcW w:w="80" w:type="dxa"/>
            <w:vAlign w:val="bottom"/>
          </w:tcPr>
          <w:p>
            <w:pPr>
              <w:spacing w:after="0"/>
              <w:rPr>
                <w:sz w:val="18"/>
                <w:szCs w:val="18"/>
                <w:color w:val="auto"/>
              </w:rPr>
            </w:pPr>
          </w:p>
        </w:tc>
      </w:tr>
      <w:tr>
        <w:trPr>
          <w:trHeight w:val="230"/>
        </w:trPr>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64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26,005</w:t>
            </w:r>
          </w:p>
        </w:tc>
        <w:tc>
          <w:tcPr>
            <w:tcW w:w="480" w:type="dxa"/>
            <w:vAlign w:val="bottom"/>
            <w:shd w:val="clear" w:color="auto" w:fill="EEEEEE"/>
          </w:tcPr>
          <w:p>
            <w:pPr>
              <w:spacing w:after="0"/>
              <w:rPr>
                <w:sz w:val="19"/>
                <w:szCs w:val="19"/>
                <w:color w:val="auto"/>
              </w:rPr>
            </w:pPr>
          </w:p>
        </w:tc>
        <w:tc>
          <w:tcPr>
            <w:tcW w:w="12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21,323</w:t>
            </w:r>
          </w:p>
        </w:tc>
      </w:tr>
      <w:tr>
        <w:trPr>
          <w:trHeight w:val="210"/>
        </w:trPr>
        <w:tc>
          <w:tcPr>
            <w:tcW w:w="6020" w:type="dxa"/>
            <w:vAlign w:val="bottom"/>
          </w:tcPr>
          <w:p>
            <w:pPr>
              <w:spacing w:after="0"/>
              <w:rPr>
                <w:sz w:val="20"/>
                <w:szCs w:val="20"/>
                <w:color w:val="auto"/>
              </w:rPr>
            </w:pPr>
            <w:r>
              <w:rPr>
                <w:rFonts w:ascii="Arial" w:cs="Arial" w:eastAsia="Arial" w:hAnsi="Arial"/>
                <w:sz w:val="18"/>
                <w:szCs w:val="18"/>
                <w:color w:val="FFFFFF"/>
              </w:rPr>
              <w:t>Total liabilities</w:t>
            </w:r>
          </w:p>
        </w:tc>
        <w:tc>
          <w:tcPr>
            <w:tcW w:w="16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1,955,223</w:t>
            </w:r>
          </w:p>
        </w:tc>
        <w:tc>
          <w:tcPr>
            <w:tcW w:w="3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2,012,533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COMMITMENTS AND CONTINGENCIES</w:t>
            </w:r>
          </w:p>
        </w:tc>
        <w:tc>
          <w:tcPr>
            <w:tcW w:w="16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60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Preferred stock, $1 par value;</w:t>
            </w:r>
          </w:p>
        </w:tc>
        <w:tc>
          <w:tcPr>
            <w:tcW w:w="164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0"/>
        </w:trPr>
        <w:tc>
          <w:tcPr>
            <w:tcW w:w="60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authorized 4,998,130 shares; none issued</w:t>
            </w:r>
          </w:p>
        </w:tc>
        <w:tc>
          <w:tcPr>
            <w:tcW w:w="1640" w:type="dxa"/>
            <w:vAlign w:val="bottom"/>
            <w:shd w:val="clear" w:color="auto" w:fill="EEEEEE"/>
          </w:tcPr>
          <w:p>
            <w:pPr>
              <w:spacing w:after="0"/>
              <w:rPr>
                <w:sz w:val="20"/>
                <w:szCs w:val="20"/>
                <w:color w:val="auto"/>
              </w:rPr>
            </w:pPr>
          </w:p>
        </w:tc>
        <w:tc>
          <w:tcPr>
            <w:tcW w:w="480" w:type="dxa"/>
            <w:vAlign w:val="bottom"/>
            <w:shd w:val="clear" w:color="auto" w:fill="EEEEEE"/>
          </w:tcPr>
          <w:p>
            <w:pPr>
              <w:spacing w:after="0"/>
              <w:rPr>
                <w:sz w:val="20"/>
                <w:szCs w:val="20"/>
                <w:color w:val="auto"/>
              </w:rPr>
            </w:pP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spacing w:after="0"/>
              <w:rPr>
                <w:sz w:val="20"/>
                <w:szCs w:val="20"/>
                <w:color w:val="auto"/>
              </w:rPr>
            </w:pPr>
          </w:p>
        </w:tc>
        <w:tc>
          <w:tcPr>
            <w:tcW w:w="12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020" w:type="dxa"/>
            <w:vAlign w:val="bottom"/>
          </w:tcPr>
          <w:p>
            <w:pPr>
              <w:spacing w:after="0" w:line="201" w:lineRule="exact"/>
              <w:rPr>
                <w:sz w:val="20"/>
                <w:szCs w:val="20"/>
                <w:color w:val="auto"/>
              </w:rPr>
            </w:pPr>
            <w:r>
              <w:rPr>
                <w:rFonts w:ascii="Arial" w:cs="Arial" w:eastAsia="Arial" w:hAnsi="Arial"/>
                <w:sz w:val="18"/>
                <w:szCs w:val="18"/>
                <w:color w:val="auto"/>
              </w:rPr>
              <w:t>Series A preferred stock, $1 par value;</w:t>
            </w:r>
          </w:p>
        </w:tc>
        <w:tc>
          <w:tcPr>
            <w:tcW w:w="1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020" w:type="dxa"/>
            <w:vAlign w:val="bottom"/>
          </w:tcPr>
          <w:p>
            <w:pPr>
              <w:ind w:left="180"/>
              <w:spacing w:after="0"/>
              <w:rPr>
                <w:sz w:val="20"/>
                <w:szCs w:val="20"/>
                <w:color w:val="auto"/>
              </w:rPr>
            </w:pPr>
            <w:r>
              <w:rPr>
                <w:rFonts w:ascii="Arial" w:cs="Arial" w:eastAsia="Arial" w:hAnsi="Arial"/>
                <w:sz w:val="18"/>
                <w:szCs w:val="18"/>
                <w:color w:val="auto"/>
              </w:rPr>
              <w:t>authorized 5,000,000 shares; none issued</w:t>
            </w:r>
          </w:p>
        </w:tc>
        <w:tc>
          <w:tcPr>
            <w:tcW w:w="1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0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Series B preferred stock, $1 par value;</w:t>
            </w:r>
          </w:p>
        </w:tc>
        <w:tc>
          <w:tcPr>
            <w:tcW w:w="164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0"/>
        </w:trPr>
        <w:tc>
          <w:tcPr>
            <w:tcW w:w="60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authorized 1,870 shares; none issued</w:t>
            </w:r>
          </w:p>
        </w:tc>
        <w:tc>
          <w:tcPr>
            <w:tcW w:w="1640" w:type="dxa"/>
            <w:vAlign w:val="bottom"/>
            <w:shd w:val="clear" w:color="auto" w:fill="EEEEEE"/>
          </w:tcPr>
          <w:p>
            <w:pPr>
              <w:spacing w:after="0"/>
              <w:rPr>
                <w:sz w:val="20"/>
                <w:szCs w:val="20"/>
                <w:color w:val="auto"/>
              </w:rPr>
            </w:pPr>
          </w:p>
        </w:tc>
        <w:tc>
          <w:tcPr>
            <w:tcW w:w="480" w:type="dxa"/>
            <w:vAlign w:val="bottom"/>
            <w:shd w:val="clear" w:color="auto" w:fill="EEEEEE"/>
          </w:tcPr>
          <w:p>
            <w:pPr>
              <w:spacing w:after="0"/>
              <w:rPr>
                <w:sz w:val="20"/>
                <w:szCs w:val="20"/>
                <w:color w:val="auto"/>
              </w:rPr>
            </w:pP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spacing w:after="0"/>
              <w:rPr>
                <w:sz w:val="20"/>
                <w:szCs w:val="20"/>
                <w:color w:val="auto"/>
              </w:rPr>
            </w:pPr>
          </w:p>
        </w:tc>
        <w:tc>
          <w:tcPr>
            <w:tcW w:w="12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020" w:type="dxa"/>
            <w:vAlign w:val="bottom"/>
          </w:tcPr>
          <w:p>
            <w:pPr>
              <w:spacing w:after="0" w:line="201" w:lineRule="exact"/>
              <w:rPr>
                <w:sz w:val="20"/>
                <w:szCs w:val="20"/>
                <w:color w:val="auto"/>
              </w:rPr>
            </w:pPr>
            <w:r>
              <w:rPr>
                <w:rFonts w:ascii="Arial" w:cs="Arial" w:eastAsia="Arial" w:hAnsi="Arial"/>
                <w:sz w:val="18"/>
                <w:szCs w:val="18"/>
                <w:color w:val="auto"/>
              </w:rPr>
              <w:t>Common stock, no par value;</w:t>
            </w:r>
          </w:p>
        </w:tc>
        <w:tc>
          <w:tcPr>
            <w:tcW w:w="1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authorized 75,000,000 shares; 23,055,239 and 22,737,342</w:t>
            </w: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shares issued and outstanding at June 30, 2021 and</w:t>
            </w: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020" w:type="dxa"/>
            <w:vAlign w:val="bottom"/>
          </w:tcPr>
          <w:p>
            <w:pPr>
              <w:ind w:left="180"/>
              <w:spacing w:after="0"/>
              <w:rPr>
                <w:sz w:val="20"/>
                <w:szCs w:val="20"/>
                <w:color w:val="auto"/>
              </w:rPr>
            </w:pPr>
            <w:r>
              <w:rPr>
                <w:rFonts w:ascii="Arial" w:cs="Arial" w:eastAsia="Arial" w:hAnsi="Arial"/>
                <w:sz w:val="18"/>
                <w:szCs w:val="18"/>
                <w:color w:val="auto"/>
              </w:rPr>
              <w:t>December 31, 2020, respectively</w:t>
            </w:r>
          </w:p>
        </w:tc>
        <w:tc>
          <w:tcPr>
            <w:tcW w:w="1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73,204</w:t>
            </w:r>
          </w:p>
        </w:tc>
        <w:tc>
          <w:tcPr>
            <w:tcW w:w="480" w:type="dxa"/>
            <w:vAlign w:val="bottom"/>
          </w:tcPr>
          <w:p>
            <w:pPr>
              <w:spacing w:after="0"/>
              <w:rPr>
                <w:sz w:val="20"/>
                <w:szCs w:val="20"/>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72,926</w:t>
            </w:r>
          </w:p>
        </w:tc>
      </w:tr>
      <w:tr>
        <w:trPr>
          <w:trHeight w:val="216"/>
        </w:trPr>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Retained earnings</w:t>
            </w:r>
          </w:p>
        </w:tc>
        <w:tc>
          <w:tcPr>
            <w:tcW w:w="16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83,884</w:t>
            </w:r>
          </w:p>
        </w:tc>
        <w:tc>
          <w:tcPr>
            <w:tcW w:w="48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69,007</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(8,571)</w:t>
            </w:r>
          </w:p>
        </w:tc>
        <w:tc>
          <w:tcPr>
            <w:tcW w:w="48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(8,571)</w:t>
            </w:r>
          </w:p>
        </w:tc>
      </w:tr>
      <w:tr>
        <w:trPr>
          <w:trHeight w:val="210"/>
        </w:trPr>
        <w:tc>
          <w:tcPr>
            <w:tcW w:w="6020" w:type="dxa"/>
            <w:vAlign w:val="bottom"/>
            <w:tcBorders>
              <w:top w:val="single" w:sz="8" w:color="EEEEEE"/>
            </w:tcBorders>
            <w:shd w:val="clear" w:color="auto" w:fill="EEEEEE"/>
          </w:tcPr>
          <w:p>
            <w:pPr>
              <w:spacing w:after="0"/>
              <w:rPr>
                <w:sz w:val="18"/>
                <w:szCs w:val="18"/>
                <w:color w:val="auto"/>
              </w:rPr>
            </w:pPr>
          </w:p>
        </w:tc>
        <w:tc>
          <w:tcPr>
            <w:tcW w:w="164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bottom w:val="single" w:sz="8" w:color="auto"/>
            </w:tcBorders>
            <w:shd w:val="clear" w:color="auto" w:fill="EEEEEE"/>
          </w:tcPr>
          <w:p>
            <w:pPr>
              <w:spacing w:after="0"/>
              <w:rPr>
                <w:sz w:val="18"/>
                <w:szCs w:val="18"/>
                <w:color w:val="auto"/>
              </w:rPr>
            </w:pP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148,517</w:t>
            </w:r>
          </w:p>
        </w:tc>
        <w:tc>
          <w:tcPr>
            <w:tcW w:w="32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bottom w:val="single" w:sz="8" w:color="auto"/>
            </w:tcBorders>
            <w:shd w:val="clear" w:color="auto" w:fill="EEEEEE"/>
          </w:tcPr>
          <w:p>
            <w:pPr>
              <w:spacing w:after="0"/>
              <w:rPr>
                <w:sz w:val="18"/>
                <w:szCs w:val="18"/>
                <w:color w:val="auto"/>
              </w:rPr>
            </w:pP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133,362</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23"/>
        </w:trPr>
        <w:tc>
          <w:tcPr>
            <w:tcW w:w="6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2,103,740</w:t>
            </w:r>
          </w:p>
        </w:tc>
        <w:tc>
          <w:tcPr>
            <w:tcW w:w="3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2,145,895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3" w:name="page4"/>
    <w:bookmarkEnd w:id="3"/>
    <w:p>
      <w:pPr>
        <w:jc w:val="center"/>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OPERATIONS (In thousands, except per share data)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258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June 30,</w:t>
            </w:r>
          </w:p>
        </w:tc>
        <w:tc>
          <w:tcPr>
            <w:tcW w:w="5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860" w:type="dxa"/>
            <w:vAlign w:val="bottom"/>
            <w:shd w:val="clear" w:color="auto" w:fill="EEEEEE"/>
          </w:tcPr>
          <w:p>
            <w:pPr>
              <w:jc w:val="right"/>
              <w:ind w:right="70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7"/>
              </w:rPr>
              <w:t>65,440</w:t>
            </w:r>
          </w:p>
        </w:tc>
        <w:tc>
          <w:tcPr>
            <w:tcW w:w="1040" w:type="dxa"/>
            <w:vAlign w:val="bottom"/>
            <w:gridSpan w:val="2"/>
            <w:shd w:val="clear" w:color="auto" w:fill="EEEEEE"/>
          </w:tcPr>
          <w:p>
            <w:pPr>
              <w:jc w:val="right"/>
              <w:ind w:right="6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7"/>
              </w:rPr>
              <w:t>75,552</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131,533</w:t>
            </w:r>
          </w:p>
        </w:tc>
        <w:tc>
          <w:tcPr>
            <w:tcW w:w="460" w:type="dxa"/>
            <w:vAlign w:val="bottom"/>
            <w:gridSpan w:val="2"/>
            <w:shd w:val="clear" w:color="auto" w:fill="EEEEEE"/>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154,689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Mark to finance receivables measured at fair value</w:t>
            </w:r>
          </w:p>
        </w:tc>
        <w:tc>
          <w:tcPr>
            <w:tcW w:w="8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(9,549)</w:t>
            </w:r>
          </w:p>
        </w:tc>
        <w:tc>
          <w:tcPr>
            <w:tcW w:w="2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(4,417)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(19,899)</w:t>
            </w:r>
          </w:p>
        </w:tc>
        <w:tc>
          <w:tcPr>
            <w:tcW w:w="0" w:type="dxa"/>
            <w:vAlign w:val="bottom"/>
          </w:tcPr>
          <w:p>
            <w:pPr>
              <w:spacing w:after="0"/>
              <w:rPr>
                <w:sz w:val="1"/>
                <w:szCs w:val="1"/>
                <w:color w:val="auto"/>
              </w:rPr>
            </w:pPr>
          </w:p>
        </w:tc>
      </w:tr>
      <w:tr>
        <w:trPr>
          <w:trHeight w:val="230"/>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Other income</w:t>
            </w:r>
          </w:p>
        </w:tc>
        <w:tc>
          <w:tcPr>
            <w:tcW w:w="860" w:type="dxa"/>
            <w:vAlign w:val="bottom"/>
            <w:shd w:val="clear" w:color="auto" w:fill="EEEEEE"/>
          </w:tcPr>
          <w:p>
            <w:pPr>
              <w:spacing w:after="0"/>
              <w:rPr>
                <w:sz w:val="19"/>
                <w:szCs w:val="19"/>
                <w:color w:val="auto"/>
              </w:rPr>
            </w:pP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1,329</w:t>
            </w:r>
          </w:p>
        </w:tc>
        <w:tc>
          <w:tcPr>
            <w:tcW w:w="160" w:type="dxa"/>
            <w:vAlign w:val="bottom"/>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1,289</w:t>
            </w:r>
          </w:p>
        </w:tc>
        <w:tc>
          <w:tcPr>
            <w:tcW w:w="28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2,765</w:t>
            </w:r>
          </w:p>
        </w:tc>
        <w:tc>
          <w:tcPr>
            <w:tcW w:w="1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Total revenues</w:t>
            </w:r>
          </w:p>
        </w:tc>
        <w:tc>
          <w:tcPr>
            <w:tcW w:w="8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66,769</w:t>
            </w:r>
          </w:p>
        </w:tc>
        <w:tc>
          <w:tcPr>
            <w:tcW w:w="18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67,292</w:t>
            </w:r>
          </w:p>
        </w:tc>
        <w:tc>
          <w:tcPr>
            <w:tcW w:w="32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129,881</w:t>
            </w:r>
          </w:p>
        </w:tc>
        <w:tc>
          <w:tcPr>
            <w:tcW w:w="1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138,059</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Employee costs</w:t>
            </w:r>
          </w:p>
        </w:tc>
        <w:tc>
          <w:tcPr>
            <w:tcW w:w="86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7"/>
              </w:rPr>
              <w:t>19,448</w:t>
            </w: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7"/>
              </w:rPr>
              <w:t>19,828</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39,607</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41,671</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7,831</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7,837</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15,579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16,506</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86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7"/>
              </w:rPr>
              <w:t>18,980</w:t>
            </w: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7"/>
              </w:rPr>
              <w:t>26,485</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39,925</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53,476</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8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3,100</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6,713</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Sales</w:t>
            </w:r>
          </w:p>
        </w:tc>
        <w:tc>
          <w:tcPr>
            <w:tcW w:w="86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4,201</w:t>
            </w: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3,079</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8,187</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7,508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Occupancy</w:t>
            </w:r>
          </w:p>
        </w:tc>
        <w:tc>
          <w:tcPr>
            <w:tcW w:w="8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1,833</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3,918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29"/>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EEEEEE"/>
          </w:tcPr>
          <w:p>
            <w:pPr>
              <w:spacing w:after="0"/>
              <w:rPr>
                <w:sz w:val="19"/>
                <w:szCs w:val="19"/>
                <w:color w:val="auto"/>
              </w:rPr>
            </w:pP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417</w:t>
            </w:r>
          </w:p>
        </w:tc>
        <w:tc>
          <w:tcPr>
            <w:tcW w:w="160" w:type="dxa"/>
            <w:vAlign w:val="bottom"/>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487</w:t>
            </w:r>
          </w:p>
        </w:tc>
        <w:tc>
          <w:tcPr>
            <w:tcW w:w="28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845</w:t>
            </w:r>
          </w:p>
        </w:tc>
        <w:tc>
          <w:tcPr>
            <w:tcW w:w="1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52,893</w:t>
            </w:r>
          </w:p>
        </w:tc>
        <w:tc>
          <w:tcPr>
            <w:tcW w:w="18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62,649</w:t>
            </w:r>
          </w:p>
        </w:tc>
        <w:tc>
          <w:tcPr>
            <w:tcW w:w="32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108,061</w:t>
            </w:r>
          </w:p>
        </w:tc>
        <w:tc>
          <w:tcPr>
            <w:tcW w:w="1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130,304</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 expense (benefit)</w:t>
            </w:r>
          </w:p>
        </w:tc>
        <w:tc>
          <w:tcPr>
            <w:tcW w:w="8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13,876</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4,643</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21,820</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7,755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8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4,163</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1,671</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6,943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(6,009)</w:t>
            </w:r>
          </w:p>
        </w:tc>
        <w:tc>
          <w:tcPr>
            <w:tcW w:w="0" w:type="dxa"/>
            <w:vAlign w:val="bottom"/>
          </w:tcPr>
          <w:p>
            <w:pPr>
              <w:spacing w:after="0"/>
              <w:rPr>
                <w:sz w:val="1"/>
                <w:szCs w:val="1"/>
                <w:color w:val="auto"/>
              </w:rPr>
            </w:pPr>
          </w:p>
        </w:tc>
      </w:tr>
      <w:tr>
        <w:trPr>
          <w:trHeight w:val="223"/>
        </w:trPr>
        <w:tc>
          <w:tcPr>
            <w:tcW w:w="47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auto"/>
              <w:bottom w:val="single" w:sz="8" w:color="auto"/>
            </w:tcBorders>
            <w:shd w:val="clear" w:color="auto" w:fill="EEEEEE"/>
          </w:tcPr>
          <w:p>
            <w:pPr>
              <w:jc w:val="right"/>
              <w:ind w:right="70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9,713</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880" w:type="dxa"/>
            <w:vAlign w:val="bottom"/>
            <w:tcBorders>
              <w:top w:val="single" w:sz="8" w:color="auto"/>
              <w:bottom w:val="single" w:sz="8" w:color="auto"/>
            </w:tcBorders>
            <w:shd w:val="clear" w:color="auto" w:fill="EEEEEE"/>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2,972</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14,877</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13,764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8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Basic</w:t>
            </w:r>
          </w:p>
        </w:tc>
        <w:tc>
          <w:tcPr>
            <w:tcW w:w="860" w:type="dxa"/>
            <w:vAlign w:val="bottom"/>
          </w:tcPr>
          <w:p>
            <w:pPr>
              <w:jc w:val="right"/>
              <w:ind w:right="70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0.43</w:t>
            </w:r>
          </w:p>
        </w:tc>
        <w:tc>
          <w:tcPr>
            <w:tcW w:w="104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0.13</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0.65</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Diluted</w:t>
            </w:r>
          </w:p>
        </w:tc>
        <w:tc>
          <w:tcPr>
            <w:tcW w:w="86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0.13</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0.59</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Number of shares used in computing earnings per share:</w:t>
            </w:r>
          </w:p>
        </w:tc>
        <w:tc>
          <w:tcPr>
            <w:tcW w:w="8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Basic</w:t>
            </w:r>
          </w:p>
        </w:tc>
        <w:tc>
          <w:tcPr>
            <w:tcW w:w="8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22,842</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22,685</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22,791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22,612</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Diluted</w:t>
            </w:r>
          </w:p>
        </w:tc>
        <w:tc>
          <w:tcPr>
            <w:tcW w:w="86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7"/>
              </w:rPr>
              <w:t>25,130</w:t>
            </w: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7"/>
              </w:rPr>
              <w:t>23,687</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25,048</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23,783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p>
      <w:pPr>
        <w:jc w:val="center"/>
        <w:spacing w:after="0" w:line="275"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COMPREHENSIVE INCOME (In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262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7"/>
          </w:tcPr>
          <w:p>
            <w:pPr>
              <w:ind w:left="5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7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June 30,</w:t>
            </w:r>
          </w:p>
        </w:tc>
        <w:tc>
          <w:tcPr>
            <w:tcW w:w="4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109"/>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EEEEEE"/>
          </w:tcPr>
          <w:p>
            <w:pPr>
              <w:jc w:val="right"/>
              <w:ind w:right="738"/>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7"/>
              </w:rPr>
              <w:t>9,713</w:t>
            </w:r>
          </w:p>
        </w:tc>
        <w:tc>
          <w:tcPr>
            <w:tcW w:w="1080" w:type="dxa"/>
            <w:vAlign w:val="bottom"/>
            <w:gridSpan w:val="2"/>
            <w:shd w:val="clear" w:color="auto" w:fill="EEEEEE"/>
          </w:tcPr>
          <w:p>
            <w:pPr>
              <w:jc w:val="right"/>
              <w:ind w:right="7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7"/>
              </w:rPr>
              <w:t>2,972</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14,877</w:t>
            </w:r>
          </w:p>
        </w:tc>
        <w:tc>
          <w:tcPr>
            <w:tcW w:w="320" w:type="dxa"/>
            <w:vAlign w:val="bottom"/>
            <w:gridSpan w:val="2"/>
            <w:shd w:val="clear" w:color="auto" w:fill="EEEEEE"/>
          </w:tcPr>
          <w:p>
            <w:pPr>
              <w:jc w:val="right"/>
              <w:ind w:right="189"/>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13,764</w:t>
            </w: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47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Other comprehensive income/(loss); change in</w:t>
            </w:r>
          </w:p>
        </w:tc>
        <w:tc>
          <w:tcPr>
            <w:tcW w:w="90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44"/>
        </w:trPr>
        <w:tc>
          <w:tcPr>
            <w:tcW w:w="47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funded status of pension plan</w:t>
            </w:r>
          </w:p>
        </w:tc>
        <w:tc>
          <w:tcPr>
            <w:tcW w:w="900" w:type="dxa"/>
            <w:vAlign w:val="bottom"/>
            <w:shd w:val="clear" w:color="auto" w:fill="EEEEEE"/>
          </w:tcPr>
          <w:p>
            <w:pPr>
              <w:spacing w:after="0"/>
              <w:rPr>
                <w:sz w:val="21"/>
                <w:szCs w:val="21"/>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21"/>
                <w:szCs w:val="21"/>
                <w:color w:val="auto"/>
              </w:rPr>
            </w:pPr>
          </w:p>
        </w:tc>
        <w:tc>
          <w:tcPr>
            <w:tcW w:w="920" w:type="dxa"/>
            <w:vAlign w:val="bottom"/>
            <w:shd w:val="clear" w:color="auto" w:fill="EEEEEE"/>
          </w:tcPr>
          <w:p>
            <w:pPr>
              <w:spacing w:after="0"/>
              <w:rPr>
                <w:sz w:val="21"/>
                <w:szCs w:val="21"/>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21"/>
                <w:szCs w:val="21"/>
                <w:color w:val="auto"/>
              </w:rPr>
            </w:pPr>
          </w:p>
        </w:tc>
        <w:tc>
          <w:tcPr>
            <w:tcW w:w="13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Comprehensive income</w:t>
            </w:r>
          </w:p>
        </w:tc>
        <w:tc>
          <w:tcPr>
            <w:tcW w:w="900" w:type="dxa"/>
            <w:vAlign w:val="bottom"/>
            <w:tcBorders>
              <w:top w:val="single" w:sz="8" w:color="auto"/>
              <w:bottom w:val="single" w:sz="8" w:color="auto"/>
            </w:tcBorders>
          </w:tcPr>
          <w:p>
            <w:pPr>
              <w:jc w:val="right"/>
              <w:ind w:right="73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9,713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2,972</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14,877</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jc w:val="center"/>
        <w:ind w:left="340" w:right="2340"/>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CASH FLOWS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40" w:type="dxa"/>
            <w:vAlign w:val="bottom"/>
            <w:vMerge w:val="restart"/>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4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14,877</w:t>
            </w:r>
          </w:p>
        </w:tc>
        <w:tc>
          <w:tcPr>
            <w:tcW w:w="580" w:type="dxa"/>
            <w:vAlign w:val="bottom"/>
            <w:shd w:val="clear" w:color="auto" w:fill="EEEEEE"/>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13,764</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Accretion of deferred acquisition fees and origination costs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651</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Net interest income accretion on fair value receivables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66,812</w:t>
            </w:r>
          </w:p>
        </w:tc>
        <w:tc>
          <w:tcPr>
            <w:tcW w:w="5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64,156</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Depreciation and amortization</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845</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3,598</w:t>
            </w:r>
          </w:p>
        </w:tc>
        <w:tc>
          <w:tcPr>
            <w:tcW w:w="5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Mark to finance receivables measured at fair value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4,417</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19,899</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Provision for credit losses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6,713</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Stock-based compensation expense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735</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Accrued interest receivable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1,416</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Deferred tax assets, net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1,381</w:t>
            </w:r>
          </w:p>
        </w:tc>
        <w:tc>
          <w:tcPr>
            <w:tcW w:w="5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16,569</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Other assets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8,644</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30"/>
        </w:trPr>
        <w:tc>
          <w:tcPr>
            <w:tcW w:w="684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9,030</w:t>
            </w:r>
          </w:p>
        </w:tc>
        <w:tc>
          <w:tcPr>
            <w:tcW w:w="58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9"/>
        </w:trPr>
        <w:tc>
          <w:tcPr>
            <w:tcW w:w="6840" w:type="dxa"/>
            <w:vAlign w:val="bottom"/>
            <w:tcBorders>
              <w:top w:val="single" w:sz="8" w:color="EEEEEE"/>
            </w:tcBorders>
            <w:shd w:val="clear" w:color="auto" w:fill="EEEEEE"/>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8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112,406</w:t>
            </w:r>
          </w:p>
        </w:tc>
        <w:tc>
          <w:tcPr>
            <w:tcW w:w="32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129,353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Payments received on finance receivables held for investment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142,464</w:t>
            </w:r>
          </w:p>
        </w:tc>
        <w:tc>
          <w:tcPr>
            <w:tcW w:w="5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180,366</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Purchases of finance receivables measured at fair value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(485,117)</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(399,729)</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Payments received on finance receivables at fair value</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355,439</w:t>
            </w:r>
          </w:p>
        </w:tc>
        <w:tc>
          <w:tcPr>
            <w:tcW w:w="5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222,063</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Change in repossessions held in inventory</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982</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30"/>
        </w:trPr>
        <w:tc>
          <w:tcPr>
            <w:tcW w:w="6840" w:type="dxa"/>
            <w:vAlign w:val="bottom"/>
          </w:tcPr>
          <w:p>
            <w:pPr>
              <w:ind w:left="180"/>
              <w:spacing w:after="0"/>
              <w:rPr>
                <w:sz w:val="20"/>
                <w:szCs w:val="20"/>
                <w:color w:val="auto"/>
              </w:rPr>
            </w:pPr>
            <w:r>
              <w:rPr>
                <w:rFonts w:ascii="Arial" w:cs="Arial" w:eastAsia="Arial" w:hAnsi="Arial"/>
                <w:sz w:val="18"/>
                <w:szCs w:val="18"/>
                <w:color w:val="auto"/>
              </w:rPr>
              <w:t>Purchase of furniture and equipment</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(1,024)</w:t>
            </w:r>
          </w:p>
        </w:tc>
        <w:tc>
          <w:tcPr>
            <w:tcW w:w="5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0"/>
        </w:trPr>
        <w:tc>
          <w:tcPr>
            <w:tcW w:w="6840" w:type="dxa"/>
            <w:vAlign w:val="bottom"/>
            <w:tcBorders>
              <w:top w:val="single" w:sz="8" w:color="EEEEEE"/>
            </w:tcBorders>
            <w:shd w:val="clear" w:color="auto" w:fill="EEEEEE"/>
          </w:tcPr>
          <w:p>
            <w:pPr>
              <w:ind w:left="540"/>
              <w:spacing w:after="0"/>
              <w:rPr>
                <w:sz w:val="20"/>
                <w:szCs w:val="20"/>
                <w:color w:val="auto"/>
              </w:rPr>
            </w:pPr>
            <w:r>
              <w:rPr>
                <w:rFonts w:ascii="Arial" w:cs="Arial" w:eastAsia="Arial" w:hAnsi="Arial"/>
                <w:sz w:val="18"/>
                <w:szCs w:val="18"/>
                <w:color w:val="auto"/>
              </w:rPr>
              <w:t>Net cash provided by investing activities</w:t>
            </w:r>
          </w:p>
        </w:tc>
        <w:tc>
          <w:tcPr>
            <w:tcW w:w="8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12,744</w:t>
            </w:r>
          </w:p>
        </w:tc>
        <w:tc>
          <w:tcPr>
            <w:tcW w:w="32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4,928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Proceeds from issuance of securitization trust debt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470,545</w:t>
            </w:r>
          </w:p>
        </w:tc>
        <w:tc>
          <w:tcPr>
            <w:tcW w:w="5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462,343</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issuance of subordinated renewable notes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5,684</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Payments on subordinated renewable notes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(1,002)</w:t>
            </w: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Repayments of warehouse lines of credit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(42,560)</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(78,843)</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Net Proceeds from (repayment of) residual interest financing debt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42,332</w:t>
            </w: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Repayment of securitization trust debt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(541,065)</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(508,942)</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Payment of financing costs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(3,872)</w:t>
            </w: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(3,178)</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 of common stock</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(1,582)</w:t>
            </w: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6840" w:type="dxa"/>
            <w:vAlign w:val="bottom"/>
          </w:tcPr>
          <w:p>
            <w:pPr>
              <w:ind w:left="180"/>
              <w:spacing w:after="0"/>
              <w:rPr>
                <w:sz w:val="20"/>
                <w:szCs w:val="20"/>
                <w:color w:val="auto"/>
              </w:rPr>
            </w:pPr>
            <w:r>
              <w:rPr>
                <w:rFonts w:ascii="Arial" w:cs="Arial" w:eastAsia="Arial" w:hAnsi="Arial"/>
                <w:sz w:val="18"/>
                <w:szCs w:val="18"/>
                <w:color w:val="auto"/>
              </w:rPr>
              <w:t>Exercise of options and warrants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1,125</w:t>
            </w:r>
          </w:p>
        </w:tc>
        <w:tc>
          <w:tcPr>
            <w:tcW w:w="58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9"/>
        </w:trPr>
        <w:tc>
          <w:tcPr>
            <w:tcW w:w="6840" w:type="dxa"/>
            <w:vAlign w:val="bottom"/>
            <w:tcBorders>
              <w:top w:val="single" w:sz="8" w:color="EEEEEE"/>
            </w:tcBorders>
            <w:shd w:val="clear" w:color="auto" w:fill="EEEEEE"/>
          </w:tcPr>
          <w:p>
            <w:pPr>
              <w:ind w:left="540"/>
              <w:spacing w:after="0"/>
              <w:rPr>
                <w:sz w:val="20"/>
                <w:szCs w:val="20"/>
                <w:color w:val="auto"/>
              </w:rPr>
            </w:pPr>
            <w:r>
              <w:rPr>
                <w:rFonts w:ascii="Arial" w:cs="Arial" w:eastAsia="Arial" w:hAnsi="Arial"/>
                <w:sz w:val="18"/>
                <w:szCs w:val="18"/>
                <w:color w:val="auto"/>
              </w:rPr>
              <w:t>Net cash used in financing activities</w:t>
            </w:r>
          </w:p>
        </w:tc>
        <w:tc>
          <w:tcPr>
            <w:tcW w:w="8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(70,395</w:t>
            </w:r>
          </w:p>
        </w:tc>
        <w:tc>
          <w:tcPr>
            <w:tcW w:w="320" w:type="dxa"/>
            <w:vAlign w:val="bottom"/>
            <w:tcBorders>
              <w:top w:val="single" w:sz="8" w:color="EEEEEE"/>
            </w:tcBorders>
            <w:shd w:val="clear" w:color="auto" w:fill="EEEEEE"/>
          </w:tcPr>
          <w:p>
            <w:pPr>
              <w:jc w:val="right"/>
              <w:ind w:right="181"/>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(128,447</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84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54,755</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EEEEEE"/>
          </w:tcPr>
          <w:p>
            <w:pPr>
              <w:spacing w:after="0"/>
              <w:rPr>
                <w:sz w:val="20"/>
                <w:szCs w:val="20"/>
                <w:color w:val="auto"/>
              </w:rPr>
            </w:pPr>
            <w:r>
              <w:rPr>
                <w:rFonts w:ascii="Arial" w:cs="Arial" w:eastAsia="Arial" w:hAnsi="Arial"/>
                <w:sz w:val="18"/>
                <w:szCs w:val="18"/>
                <w:color w:val="auto"/>
              </w:rPr>
              <w:t>Cash and restricted cash at beginning of period</w:t>
            </w:r>
          </w:p>
        </w:tc>
        <w:tc>
          <w:tcPr>
            <w:tcW w:w="8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144,152</w:t>
            </w:r>
          </w:p>
        </w:tc>
        <w:tc>
          <w:tcPr>
            <w:tcW w:w="5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140,832</w:t>
            </w:r>
          </w:p>
        </w:tc>
        <w:tc>
          <w:tcPr>
            <w:tcW w:w="0" w:type="dxa"/>
            <w:vAlign w:val="bottom"/>
          </w:tcPr>
          <w:p>
            <w:pPr>
              <w:spacing w:after="0"/>
              <w:rPr>
                <w:sz w:val="1"/>
                <w:szCs w:val="1"/>
                <w:color w:val="auto"/>
              </w:rPr>
            </w:pPr>
          </w:p>
        </w:tc>
      </w:tr>
      <w:tr>
        <w:trPr>
          <w:trHeight w:val="263"/>
        </w:trPr>
        <w:tc>
          <w:tcPr>
            <w:tcW w:w="68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Cash and restricted cash at end of period</w:t>
            </w:r>
          </w:p>
        </w:tc>
        <w:tc>
          <w:tcPr>
            <w:tcW w:w="820" w:type="dxa"/>
            <w:vAlign w:val="bottom"/>
            <w:tcBorders>
              <w:bottom w:val="single" w:sz="8" w:color="EEEEEE"/>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198,907</w:t>
            </w:r>
          </w:p>
        </w:tc>
        <w:tc>
          <w:tcPr>
            <w:tcW w:w="320" w:type="dxa"/>
            <w:vAlign w:val="bottom"/>
            <w:tcBorders>
              <w:bottom w:val="single" w:sz="8" w:color="EEEEEE"/>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146,666</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8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Cash paid (received) during the period for:</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Interest</w:t>
            </w: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36,665</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49,372</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Income taxes</w:t>
            </w:r>
          </w:p>
        </w:tc>
        <w:tc>
          <w:tcPr>
            <w:tcW w:w="118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2,962</w:t>
            </w:r>
          </w:p>
        </w:tc>
        <w:tc>
          <w:tcPr>
            <w:tcW w:w="580" w:type="dxa"/>
            <w:vAlign w:val="bottom"/>
            <w:shd w:val="clear" w:color="auto" w:fill="EEEEEE"/>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(17,580)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20" w:type="dxa"/>
            <w:vAlign w:val="bottom"/>
            <w:gridSpan w:val="6"/>
          </w:tcPr>
          <w:p>
            <w:pPr>
              <w:jc w:val="right"/>
              <w:ind w:right="961"/>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9"/>
                <w:szCs w:val="19"/>
                <w:color w:val="auto"/>
              </w:rPr>
            </w:pPr>
          </w:p>
        </w:tc>
        <w:tc>
          <w:tcPr>
            <w:tcW w:w="2820" w:type="dxa"/>
            <w:vAlign w:val="bottom"/>
            <w:gridSpan w:val="6"/>
          </w:tcPr>
          <w:p>
            <w:pPr>
              <w:jc w:val="right"/>
              <w:ind w:right="821"/>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Borders>
              <w:bottom w:val="single" w:sz="8" w:color="EEEEE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EEEEE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EEEEEE"/>
            </w:tcBorders>
          </w:tcPr>
          <w:p>
            <w:pPr>
              <w:spacing w:after="0"/>
              <w:rPr>
                <w:sz w:val="19"/>
                <w:szCs w:val="19"/>
                <w:color w:val="auto"/>
              </w:rPr>
            </w:pPr>
          </w:p>
        </w:tc>
      </w:tr>
      <w:tr>
        <w:trPr>
          <w:trHeight w:val="209"/>
        </w:trPr>
        <w:tc>
          <w:tcPr>
            <w:tcW w:w="47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Common Stock (Shares Outstanding)</w:t>
            </w: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28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22,656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41"/>
              <w:spacing w:after="0"/>
              <w:rPr>
                <w:sz w:val="20"/>
                <w:szCs w:val="20"/>
                <w:color w:val="auto"/>
              </w:rPr>
            </w:pPr>
            <w:r>
              <w:rPr>
                <w:rFonts w:ascii="Arial" w:cs="Arial" w:eastAsia="Arial" w:hAnsi="Arial"/>
                <w:sz w:val="18"/>
                <w:szCs w:val="18"/>
                <w:color w:val="auto"/>
              </w:rPr>
              <w:t>22,559</w:t>
            </w:r>
          </w:p>
        </w:tc>
        <w:tc>
          <w:tcPr>
            <w:tcW w:w="28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22,737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22,531</w:t>
            </w: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w w:val="97"/>
              </w:rPr>
              <w:t>Common stock issued upon exercise of options and warrants</w:t>
            </w:r>
          </w:p>
        </w:tc>
        <w:tc>
          <w:tcPr>
            <w:tcW w:w="2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21"/>
              <w:spacing w:after="0"/>
              <w:rPr>
                <w:sz w:val="20"/>
                <w:szCs w:val="20"/>
                <w:color w:val="auto"/>
              </w:rPr>
            </w:pPr>
            <w:r>
              <w:rPr>
                <w:rFonts w:ascii="Arial" w:cs="Arial" w:eastAsia="Arial" w:hAnsi="Arial"/>
                <w:sz w:val="18"/>
                <w:szCs w:val="18"/>
                <w:color w:val="auto"/>
              </w:rPr>
              <w:t>578</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228</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676</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256</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28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81"/>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9"/>
                <w:szCs w:val="19"/>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(358)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209"/>
        </w:trPr>
        <w:tc>
          <w:tcPr>
            <w:tcW w:w="47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end of period</w:t>
            </w: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23,055</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22,715</w:t>
            </w: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23,055</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22,715</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Common Stock</w:t>
            </w: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72,877</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1"/>
              <w:spacing w:after="0"/>
              <w:rPr>
                <w:sz w:val="20"/>
                <w:szCs w:val="20"/>
                <w:color w:val="auto"/>
              </w:rPr>
            </w:pPr>
            <w:r>
              <w:rPr>
                <w:rFonts w:ascii="Arial" w:cs="Arial" w:eastAsia="Arial" w:hAnsi="Arial"/>
                <w:sz w:val="18"/>
                <w:szCs w:val="18"/>
                <w:color w:val="auto"/>
              </w:rPr>
              <w:t>71,792</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72,926</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71,257</w:t>
            </w:r>
          </w:p>
        </w:tc>
      </w:tr>
      <w:tr>
        <w:trPr>
          <w:trHeight w:val="229"/>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w w:val="97"/>
              </w:rPr>
              <w:t>Common stock issued upon exercise of options and warrants</w:t>
            </w:r>
          </w:p>
        </w:tc>
        <w:tc>
          <w:tcPr>
            <w:tcW w:w="2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21"/>
              <w:spacing w:after="0"/>
              <w:rPr>
                <w:sz w:val="20"/>
                <w:szCs w:val="20"/>
                <w:color w:val="auto"/>
              </w:rPr>
            </w:pPr>
            <w:r>
              <w:rPr>
                <w:rFonts w:ascii="Arial" w:cs="Arial" w:eastAsia="Arial" w:hAnsi="Arial"/>
                <w:sz w:val="18"/>
                <w:szCs w:val="18"/>
                <w:color w:val="auto"/>
              </w:rPr>
              <w:t>827</w:t>
            </w:r>
          </w:p>
        </w:tc>
        <w:tc>
          <w:tcPr>
            <w:tcW w:w="14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404</w:t>
            </w:r>
          </w:p>
        </w:tc>
        <w:tc>
          <w:tcPr>
            <w:tcW w:w="28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1,125</w:t>
            </w:r>
          </w:p>
        </w:tc>
        <w:tc>
          <w:tcPr>
            <w:tcW w:w="1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452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28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(827)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1"/>
              <w:spacing w:after="0"/>
              <w:rPr>
                <w:sz w:val="20"/>
                <w:szCs w:val="20"/>
                <w:color w:val="auto"/>
              </w:rPr>
            </w:pPr>
            <w:r>
              <w:rPr>
                <w:rFonts w:ascii="Arial" w:cs="Arial" w:eastAsia="Arial" w:hAnsi="Arial"/>
                <w:sz w:val="18"/>
                <w:szCs w:val="18"/>
                <w:color w:val="auto"/>
              </w:rPr>
              <w:t>(205)</w:t>
            </w:r>
          </w:p>
        </w:tc>
        <w:tc>
          <w:tcPr>
            <w:tcW w:w="28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(1,582)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(205)</w:t>
            </w:r>
          </w:p>
        </w:tc>
      </w:tr>
      <w:tr>
        <w:trPr>
          <w:trHeight w:val="230"/>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21"/>
              <w:spacing w:after="0"/>
              <w:rPr>
                <w:sz w:val="20"/>
                <w:szCs w:val="20"/>
                <w:color w:val="auto"/>
              </w:rPr>
            </w:pPr>
            <w:r>
              <w:rPr>
                <w:rFonts w:ascii="Arial" w:cs="Arial" w:eastAsia="Arial" w:hAnsi="Arial"/>
                <w:sz w:val="18"/>
                <w:szCs w:val="18"/>
                <w:color w:val="auto"/>
              </w:rPr>
              <w:t>327</w:t>
            </w:r>
          </w:p>
        </w:tc>
        <w:tc>
          <w:tcPr>
            <w:tcW w:w="14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411</w:t>
            </w:r>
          </w:p>
        </w:tc>
        <w:tc>
          <w:tcPr>
            <w:tcW w:w="28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735</w:t>
            </w:r>
          </w:p>
        </w:tc>
        <w:tc>
          <w:tcPr>
            <w:tcW w:w="1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898</w:t>
            </w:r>
          </w:p>
        </w:tc>
      </w:tr>
      <w:tr>
        <w:trPr>
          <w:trHeight w:val="209"/>
        </w:trPr>
        <w:tc>
          <w:tcPr>
            <w:tcW w:w="47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Balance, end of period</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73,204</w:t>
            </w:r>
          </w:p>
        </w:tc>
        <w:tc>
          <w:tcPr>
            <w:tcW w:w="2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72,402</w:t>
            </w:r>
          </w:p>
        </w:tc>
        <w:tc>
          <w:tcPr>
            <w:tcW w:w="32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73,204</w:t>
            </w:r>
          </w:p>
        </w:tc>
        <w:tc>
          <w:tcPr>
            <w:tcW w:w="1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72,402</w:t>
            </w:r>
          </w:p>
        </w:tc>
        <w:tc>
          <w:tcPr>
            <w:tcW w:w="100" w:type="dxa"/>
            <w:vAlign w:val="bottom"/>
            <w:tcBorders>
              <w:bottom w:val="single" w:sz="8" w:color="EEEEEE"/>
            </w:tcBorders>
          </w:tcPr>
          <w:p>
            <w:pPr>
              <w:spacing w:after="0"/>
              <w:rPr>
                <w:sz w:val="18"/>
                <w:szCs w:val="18"/>
                <w:color w:val="auto"/>
              </w:rPr>
            </w:pPr>
          </w:p>
        </w:tc>
      </w:tr>
      <w:tr>
        <w:trPr>
          <w:trHeight w:val="210"/>
        </w:trPr>
        <w:tc>
          <w:tcPr>
            <w:tcW w:w="4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Retained Earnings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Balance, beginning of period</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121"/>
              <w:spacing w:after="0"/>
              <w:rPr>
                <w:sz w:val="20"/>
                <w:szCs w:val="20"/>
                <w:color w:val="auto"/>
              </w:rPr>
            </w:pPr>
            <w:r>
              <w:rPr>
                <w:rFonts w:ascii="Arial" w:cs="Arial" w:eastAsia="Arial" w:hAnsi="Arial"/>
                <w:sz w:val="18"/>
                <w:szCs w:val="18"/>
                <w:color w:val="auto"/>
              </w:rPr>
              <w:t>74,171</w:t>
            </w:r>
          </w:p>
        </w:tc>
        <w:tc>
          <w:tcPr>
            <w:tcW w:w="480" w:type="dxa"/>
            <w:vAlign w:val="bottom"/>
            <w:gridSpan w:val="2"/>
            <w:shd w:val="clear" w:color="auto" w:fill="EEEEEE"/>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58,128</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69,007</w:t>
            </w:r>
          </w:p>
        </w:tc>
        <w:tc>
          <w:tcPr>
            <w:tcW w:w="460" w:type="dxa"/>
            <w:vAlign w:val="bottom"/>
            <w:gridSpan w:val="2"/>
            <w:shd w:val="clear" w:color="auto" w:fill="EEEEEE"/>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139,805</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Cumulative change in accounting principle (Note 2)</w:t>
            </w:r>
          </w:p>
        </w:tc>
        <w:tc>
          <w:tcPr>
            <w:tcW w:w="280" w:type="dxa"/>
            <w:vAlign w:val="bottom"/>
          </w:tcPr>
          <w:p>
            <w:pPr>
              <w:spacing w:after="0"/>
              <w:rPr>
                <w:sz w:val="19"/>
                <w:szCs w:val="19"/>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(92,469)</w:t>
            </w:r>
          </w:p>
        </w:tc>
      </w:tr>
      <w:tr>
        <w:trPr>
          <w:trHeight w:val="182"/>
        </w:trPr>
        <w:tc>
          <w:tcPr>
            <w:tcW w:w="4740" w:type="dxa"/>
            <w:vAlign w:val="bottom"/>
            <w:tcBorders>
              <w:top w:val="single" w:sz="8" w:color="EEEEEE"/>
            </w:tcBorders>
            <w:shd w:val="clear" w:color="auto" w:fill="EEEEEE"/>
          </w:tcPr>
          <w:p>
            <w:pPr>
              <w:spacing w:after="0" w:line="182" w:lineRule="exact"/>
              <w:rPr>
                <w:sz w:val="20"/>
                <w:szCs w:val="20"/>
                <w:color w:val="auto"/>
              </w:rPr>
            </w:pPr>
            <w:r>
              <w:rPr>
                <w:rFonts w:ascii="Arial" w:cs="Arial" w:eastAsia="Arial" w:hAnsi="Arial"/>
                <w:sz w:val="18"/>
                <w:szCs w:val="18"/>
                <w:color w:val="auto"/>
              </w:rPr>
              <w:t>Balance, beginning of period (as adjusted for change in</w:t>
            </w:r>
          </w:p>
        </w:tc>
        <w:tc>
          <w:tcPr>
            <w:tcW w:w="280" w:type="dxa"/>
            <w:vAlign w:val="bottom"/>
            <w:tcBorders>
              <w:top w:val="single" w:sz="8" w:color="auto"/>
            </w:tcBorders>
            <w:shd w:val="clear" w:color="auto" w:fill="EEEEEE"/>
          </w:tcPr>
          <w:p>
            <w:pPr>
              <w:spacing w:after="0"/>
              <w:rPr>
                <w:sz w:val="15"/>
                <w:szCs w:val="15"/>
                <w:color w:val="auto"/>
              </w:rPr>
            </w:pPr>
          </w:p>
        </w:tc>
        <w:tc>
          <w:tcPr>
            <w:tcW w:w="1080" w:type="dxa"/>
            <w:vAlign w:val="bottom"/>
            <w:tcBorders>
              <w:top w:val="single" w:sz="8" w:color="auto"/>
            </w:tcBorders>
            <w:shd w:val="clear" w:color="auto" w:fill="EEEEEE"/>
          </w:tcPr>
          <w:p>
            <w:pPr>
              <w:spacing w:after="0"/>
              <w:rPr>
                <w:sz w:val="15"/>
                <w:szCs w:val="15"/>
                <w:color w:val="auto"/>
              </w:rPr>
            </w:pPr>
          </w:p>
        </w:tc>
        <w:tc>
          <w:tcPr>
            <w:tcW w:w="200" w:type="dxa"/>
            <w:vAlign w:val="bottom"/>
            <w:tcBorders>
              <w:top w:val="single" w:sz="8" w:color="EEEEEE"/>
            </w:tcBorders>
            <w:shd w:val="clear" w:color="auto" w:fill="EEEEEE"/>
          </w:tcPr>
          <w:p>
            <w:pPr>
              <w:spacing w:after="0"/>
              <w:rPr>
                <w:sz w:val="15"/>
                <w:szCs w:val="15"/>
                <w:color w:val="auto"/>
              </w:rPr>
            </w:pPr>
          </w:p>
        </w:tc>
        <w:tc>
          <w:tcPr>
            <w:tcW w:w="140" w:type="dxa"/>
            <w:vAlign w:val="bottom"/>
            <w:tcBorders>
              <w:top w:val="single" w:sz="8" w:color="EEEEEE"/>
            </w:tcBorders>
            <w:shd w:val="clear" w:color="auto" w:fill="EEEEEE"/>
          </w:tcPr>
          <w:p>
            <w:pPr>
              <w:spacing w:after="0"/>
              <w:rPr>
                <w:sz w:val="15"/>
                <w:szCs w:val="15"/>
                <w:color w:val="auto"/>
              </w:rPr>
            </w:pPr>
          </w:p>
        </w:tc>
        <w:tc>
          <w:tcPr>
            <w:tcW w:w="340" w:type="dxa"/>
            <w:vAlign w:val="bottom"/>
            <w:tcBorders>
              <w:top w:val="single" w:sz="8" w:color="auto"/>
            </w:tcBorders>
            <w:shd w:val="clear" w:color="auto" w:fill="EEEEEE"/>
          </w:tcPr>
          <w:p>
            <w:pPr>
              <w:spacing w:after="0"/>
              <w:rPr>
                <w:sz w:val="15"/>
                <w:szCs w:val="15"/>
                <w:color w:val="auto"/>
              </w:rPr>
            </w:pPr>
          </w:p>
        </w:tc>
        <w:tc>
          <w:tcPr>
            <w:tcW w:w="104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280" w:type="dxa"/>
            <w:vAlign w:val="bottom"/>
            <w:tcBorders>
              <w:top w:val="single" w:sz="8" w:color="auto"/>
            </w:tcBorders>
            <w:shd w:val="clear" w:color="auto" w:fill="EEEEEE"/>
          </w:tcPr>
          <w:p>
            <w:pPr>
              <w:spacing w:after="0"/>
              <w:rPr>
                <w:sz w:val="15"/>
                <w:szCs w:val="15"/>
                <w:color w:val="auto"/>
              </w:rPr>
            </w:pPr>
          </w:p>
        </w:tc>
        <w:tc>
          <w:tcPr>
            <w:tcW w:w="1060" w:type="dxa"/>
            <w:vAlign w:val="bottom"/>
            <w:tcBorders>
              <w:top w:val="single" w:sz="8" w:color="auto"/>
            </w:tcBorders>
            <w:shd w:val="clear" w:color="auto" w:fill="EEEEEE"/>
          </w:tcPr>
          <w:p>
            <w:pPr>
              <w:spacing w:after="0"/>
              <w:rPr>
                <w:sz w:val="15"/>
                <w:szCs w:val="15"/>
                <w:color w:val="auto"/>
              </w:rPr>
            </w:pPr>
          </w:p>
        </w:tc>
        <w:tc>
          <w:tcPr>
            <w:tcW w:w="180" w:type="dxa"/>
            <w:vAlign w:val="bottom"/>
            <w:tcBorders>
              <w:top w:val="single" w:sz="8" w:color="EEEEEE"/>
            </w:tcBorders>
            <w:shd w:val="clear" w:color="auto" w:fill="EEEEEE"/>
          </w:tcPr>
          <w:p>
            <w:pPr>
              <w:spacing w:after="0"/>
              <w:rPr>
                <w:sz w:val="15"/>
                <w:szCs w:val="15"/>
                <w:color w:val="auto"/>
              </w:rPr>
            </w:pPr>
          </w:p>
        </w:tc>
        <w:tc>
          <w:tcPr>
            <w:tcW w:w="140" w:type="dxa"/>
            <w:vAlign w:val="bottom"/>
            <w:tcBorders>
              <w:top w:val="single" w:sz="8" w:color="EEEEEE"/>
            </w:tcBorders>
            <w:shd w:val="clear" w:color="auto" w:fill="EEEEEE"/>
          </w:tcPr>
          <w:p>
            <w:pPr>
              <w:spacing w:after="0"/>
              <w:rPr>
                <w:sz w:val="15"/>
                <w:szCs w:val="15"/>
                <w:color w:val="auto"/>
              </w:rPr>
            </w:pPr>
          </w:p>
        </w:tc>
        <w:tc>
          <w:tcPr>
            <w:tcW w:w="320" w:type="dxa"/>
            <w:vAlign w:val="bottom"/>
            <w:tcBorders>
              <w:top w:val="single" w:sz="8" w:color="auto"/>
            </w:tcBorders>
            <w:shd w:val="clear" w:color="auto" w:fill="EEEEEE"/>
          </w:tcPr>
          <w:p>
            <w:pPr>
              <w:spacing w:after="0"/>
              <w:rPr>
                <w:sz w:val="15"/>
                <w:szCs w:val="15"/>
                <w:color w:val="auto"/>
              </w:rPr>
            </w:pPr>
          </w:p>
        </w:tc>
        <w:tc>
          <w:tcPr>
            <w:tcW w:w="102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r>
      <w:tr>
        <w:trPr>
          <w:trHeight w:val="244"/>
        </w:trPr>
        <w:tc>
          <w:tcPr>
            <w:tcW w:w="4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accounting principle)</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121"/>
              <w:spacing w:after="0"/>
              <w:rPr>
                <w:sz w:val="20"/>
                <w:szCs w:val="20"/>
                <w:color w:val="auto"/>
              </w:rPr>
            </w:pPr>
            <w:r>
              <w:rPr>
                <w:rFonts w:ascii="Arial" w:cs="Arial" w:eastAsia="Arial" w:hAnsi="Arial"/>
                <w:sz w:val="18"/>
                <w:szCs w:val="18"/>
                <w:color w:val="auto"/>
              </w:rPr>
              <w:t>74,171</w:t>
            </w:r>
          </w:p>
        </w:tc>
        <w:tc>
          <w:tcPr>
            <w:tcW w:w="480" w:type="dxa"/>
            <w:vAlign w:val="bottom"/>
            <w:gridSpan w:val="2"/>
            <w:shd w:val="clear" w:color="auto" w:fill="EEEEEE"/>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58,128</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69,007</w:t>
            </w:r>
          </w:p>
        </w:tc>
        <w:tc>
          <w:tcPr>
            <w:tcW w:w="460" w:type="dxa"/>
            <w:vAlign w:val="bottom"/>
            <w:gridSpan w:val="2"/>
            <w:shd w:val="clear" w:color="auto" w:fill="EEEEEE"/>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47,336</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9"/>
                <w:szCs w:val="19"/>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9,713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241"/>
              <w:spacing w:after="0"/>
              <w:rPr>
                <w:sz w:val="20"/>
                <w:szCs w:val="20"/>
                <w:color w:val="auto"/>
              </w:rPr>
            </w:pPr>
            <w:r>
              <w:rPr>
                <w:rFonts w:ascii="Arial" w:cs="Arial" w:eastAsia="Arial" w:hAnsi="Arial"/>
                <w:sz w:val="18"/>
                <w:szCs w:val="18"/>
                <w:color w:val="auto"/>
              </w:rPr>
              <w:t>2,972</w:t>
            </w:r>
          </w:p>
        </w:tc>
        <w:tc>
          <w:tcPr>
            <w:tcW w:w="280" w:type="dxa"/>
            <w:vAlign w:val="bottom"/>
          </w:tcPr>
          <w:p>
            <w:pPr>
              <w:spacing w:after="0"/>
              <w:rPr>
                <w:sz w:val="19"/>
                <w:szCs w:val="19"/>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14,877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13,764</w:t>
            </w:r>
          </w:p>
        </w:tc>
      </w:tr>
      <w:tr>
        <w:trPr>
          <w:trHeight w:val="209"/>
        </w:trPr>
        <w:tc>
          <w:tcPr>
            <w:tcW w:w="47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end of period</w:t>
            </w: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83,884</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61,100</w:t>
            </w: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83,884</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61,100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(8,571)</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1"/>
              <w:spacing w:after="0"/>
              <w:rPr>
                <w:sz w:val="20"/>
                <w:szCs w:val="20"/>
                <w:color w:val="auto"/>
              </w:rPr>
            </w:pPr>
            <w:r>
              <w:rPr>
                <w:rFonts w:ascii="Arial" w:cs="Arial" w:eastAsia="Arial" w:hAnsi="Arial"/>
                <w:sz w:val="18"/>
                <w:szCs w:val="18"/>
                <w:color w:val="auto"/>
              </w:rPr>
              <w:t>(8,421)</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(8,571)</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(8,421)</w:t>
            </w:r>
          </w:p>
        </w:tc>
      </w:tr>
      <w:tr>
        <w:trPr>
          <w:trHeight w:val="230"/>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Pension benefit obligation</w:t>
            </w:r>
          </w:p>
        </w:tc>
        <w:tc>
          <w:tcPr>
            <w:tcW w:w="2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r>
      <w:tr>
        <w:trPr>
          <w:trHeight w:val="209"/>
        </w:trPr>
        <w:tc>
          <w:tcPr>
            <w:tcW w:w="47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Balance, end of period</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(8,571</w:t>
            </w:r>
          </w:p>
        </w:tc>
        <w:tc>
          <w:tcPr>
            <w:tcW w:w="200" w:type="dxa"/>
            <w:vAlign w:val="bottom"/>
            <w:tcBorders>
              <w:bottom w:val="single" w:sz="8" w:color="EEEEEE"/>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(8,421</w:t>
            </w:r>
          </w:p>
        </w:tc>
        <w:tc>
          <w:tcPr>
            <w:tcW w:w="320" w:type="dxa"/>
            <w:vAlign w:val="bottom"/>
            <w:tcBorders>
              <w:bottom w:val="single" w:sz="8" w:color="EEEEEE"/>
            </w:tcBorders>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(8,571</w:t>
            </w:r>
          </w:p>
        </w:tc>
        <w:tc>
          <w:tcPr>
            <w:tcW w:w="180" w:type="dxa"/>
            <w:vAlign w:val="bottom"/>
            <w:tcBorders>
              <w:bottom w:val="single" w:sz="8" w:color="EEEEEE"/>
            </w:tcBorders>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(8,421</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43"/>
        </w:trPr>
        <w:tc>
          <w:tcPr>
            <w:tcW w:w="474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148,517</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1"/>
              <w:spacing w:after="0"/>
              <w:rPr>
                <w:sz w:val="20"/>
                <w:szCs w:val="20"/>
                <w:color w:val="auto"/>
              </w:rPr>
            </w:pPr>
            <w:r>
              <w:rPr>
                <w:rFonts w:ascii="Arial" w:cs="Arial" w:eastAsia="Arial" w:hAnsi="Arial"/>
                <w:sz w:val="18"/>
                <w:szCs w:val="18"/>
                <w:color w:val="auto"/>
              </w:rPr>
              <w:t>125,081</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148,517</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125,081</w:t>
            </w:r>
          </w:p>
        </w:tc>
      </w:tr>
      <w:tr>
        <w:trPr>
          <w:trHeight w:val="20"/>
        </w:trPr>
        <w:tc>
          <w:tcPr>
            <w:tcW w:w="4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37"/>
        </w:trPr>
        <w:tc>
          <w:tcPr>
            <w:tcW w:w="4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lent money directly to consumers for loans secured by vehicles, (ii) purchased immaterial amounts of vehicle purchase money loans from non-affiliated lenders, and</w:t>
      </w:r>
    </w:p>
    <w:p>
      <w:pPr>
        <w:spacing w:after="0" w:line="4" w:lineRule="exact"/>
        <w:rPr>
          <w:sz w:val="20"/>
          <w:szCs w:val="20"/>
          <w:color w:val="auto"/>
        </w:rPr>
      </w:pPr>
    </w:p>
    <w:p>
      <w:pPr>
        <w:ind w:firstLine="8"/>
        <w:spacing w:after="0" w:line="260" w:lineRule="auto"/>
        <w:tabs>
          <w:tab w:leader="none" w:pos="343"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acquired installment purchase contracts in four merger and acquisition transactions. In this report, we refer to all of such contracts and loans as "automobile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six-month period ended June 30, 2021 are not necessarily indicative of the operating results to be expected for the full year.</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Receivables Measured at Fair Value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recorded value of the receivables.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re-evaluate the fair value of such receivables at the close of each measurement period. If the reevaluation were to yield a value materially different from the recorded value, an adjustment would be required. There are no adjustments to the carrying value of the portion of the receivables portfolio accounted for at fair value in the second quarter of 2021. Results for the second quarter of 2020 include a $9.5 million mark down. Mark downs of $4.4 million and $19.9 million were included in the results for the six months ending June 30, 2021 and 2020, respectively. The mark down is an estimate based on our evaluation of the appropriate fair value and future earnings rate of existing receivables compared to recently acquired receivables and our assessment of potential additional future net losses. Mark downs are reflected as a reduction in revenue.</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Anticipated credit losses are included in our estimation of cash to be received with respect to receivables. Because such credit losses are included in our computation of the appropriate level yield,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recorded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primary components of Other Income for the three-month and six-month periods ending June 30, 2021 and 2020:</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264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80" w:type="dxa"/>
            <w:vAlign w:val="bottom"/>
            <w:gridSpan w:val="7"/>
          </w:tcPr>
          <w:p>
            <w:pPr>
              <w:ind w:left="46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7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June 30,</w:t>
            </w:r>
          </w:p>
        </w:tc>
        <w:tc>
          <w:tcPr>
            <w:tcW w:w="4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289"/>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4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6"/>
              </w:rPr>
              <w:t>(In thousands)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4"/>
          </w:tcPr>
          <w:p>
            <w:pPr>
              <w:jc w:val="right"/>
              <w:ind w:right="9"/>
              <w:spacing w:after="0"/>
              <w:rPr>
                <w:sz w:val="20"/>
                <w:szCs w:val="20"/>
                <w:color w:val="auto"/>
              </w:rPr>
            </w:pPr>
            <w:r>
              <w:rPr>
                <w:rFonts w:ascii="Arial" w:cs="Arial" w:eastAsia="Arial" w:hAnsi="Arial"/>
                <w:sz w:val="18"/>
                <w:szCs w:val="18"/>
                <w:b w:val="1"/>
                <w:bCs w:val="1"/>
                <w:color w:val="auto"/>
              </w:rPr>
              <w:t>(In thousands)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940" w:type="dxa"/>
            <w:vAlign w:val="bottom"/>
            <w:shd w:val="clear" w:color="auto" w:fill="EEEEEE"/>
          </w:tcPr>
          <w:p>
            <w:pPr>
              <w:jc w:val="right"/>
              <w:ind w:right="778"/>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890</w:t>
            </w:r>
          </w:p>
        </w:tc>
        <w:tc>
          <w:tcPr>
            <w:tcW w:w="1100" w:type="dxa"/>
            <w:vAlign w:val="bottom"/>
            <w:gridSpan w:val="2"/>
            <w:shd w:val="clear" w:color="auto" w:fill="EEEEEE"/>
          </w:tcPr>
          <w:p>
            <w:pPr>
              <w:jc w:val="right"/>
              <w:ind w:right="75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501</w:t>
            </w:r>
          </w:p>
        </w:tc>
        <w:tc>
          <w:tcPr>
            <w:tcW w:w="320" w:type="dxa"/>
            <w:vAlign w:val="bottom"/>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1,869</w:t>
            </w:r>
          </w:p>
        </w:tc>
        <w:tc>
          <w:tcPr>
            <w:tcW w:w="500" w:type="dxa"/>
            <w:vAlign w:val="bottom"/>
            <w:gridSpan w:val="2"/>
            <w:shd w:val="clear" w:color="auto" w:fill="EEEEEE"/>
          </w:tcPr>
          <w:p>
            <w:pPr>
              <w:jc w:val="right"/>
              <w:ind w:right="369"/>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1,684</w:t>
            </w: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Convenience fee revenue</w:t>
            </w:r>
          </w:p>
        </w:tc>
        <w:tc>
          <w:tcPr>
            <w:tcW w:w="9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530</w:t>
            </w:r>
          </w:p>
        </w:tc>
        <w:tc>
          <w:tcPr>
            <w:tcW w:w="3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1,060</w:t>
            </w: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Recoveries on previously charged-off contracts</w:t>
            </w:r>
          </w:p>
        </w:tc>
        <w:tc>
          <w:tcPr>
            <w:tcW w:w="94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50</w:t>
            </w:r>
          </w:p>
        </w:tc>
        <w:tc>
          <w:tcPr>
            <w:tcW w:w="3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60</w:t>
            </w:r>
          </w:p>
        </w:tc>
        <w:tc>
          <w:tcPr>
            <w:tcW w:w="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75</w:t>
            </w: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Sales tax refunds</w:t>
            </w:r>
          </w:p>
        </w:tc>
        <w:tc>
          <w:tcPr>
            <w:tcW w:w="9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208</w:t>
            </w:r>
          </w:p>
        </w:tc>
        <w:tc>
          <w:tcPr>
            <w:tcW w:w="3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409</w:t>
            </w:r>
          </w:p>
        </w:tc>
      </w:tr>
      <w:tr>
        <w:trPr>
          <w:trHeight w:val="230"/>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EEEEEE"/>
          </w:tcPr>
          <w:p>
            <w:pPr>
              <w:spacing w:after="0"/>
              <w:rPr>
                <w:sz w:val="19"/>
                <w:szCs w:val="19"/>
                <w:color w:val="auto"/>
              </w:rPr>
            </w:pPr>
          </w:p>
        </w:tc>
        <w:tc>
          <w:tcPr>
            <w:tcW w:w="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96</w:t>
            </w:r>
          </w:p>
        </w:tc>
        <w:tc>
          <w:tcPr>
            <w:tcW w:w="160" w:type="dxa"/>
            <w:vAlign w:val="bottom"/>
            <w:shd w:val="clear" w:color="auto" w:fill="EEEEEE"/>
          </w:tcPr>
          <w:p>
            <w:pPr>
              <w:spacing w:after="0"/>
              <w:rPr>
                <w:sz w:val="19"/>
                <w:szCs w:val="19"/>
                <w:color w:val="auto"/>
              </w:rPr>
            </w:pPr>
          </w:p>
        </w:tc>
        <w:tc>
          <w:tcPr>
            <w:tcW w:w="94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127</w:t>
            </w:r>
          </w:p>
        </w:tc>
        <w:tc>
          <w:tcPr>
            <w:tcW w:w="2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41</w:t>
            </w:r>
          </w:p>
        </w:tc>
        <w:tc>
          <w:tcPr>
            <w:tcW w:w="80" w:type="dxa"/>
            <w:vAlign w:val="bottom"/>
            <w:shd w:val="clear" w:color="auto" w:fill="EEEEEE"/>
          </w:tcPr>
          <w:p>
            <w:pPr>
              <w:spacing w:after="0"/>
              <w:rPr>
                <w:sz w:val="19"/>
                <w:szCs w:val="19"/>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Other income for the period</w:t>
            </w:r>
          </w:p>
        </w:tc>
        <w:tc>
          <w:tcPr>
            <w:tcW w:w="940" w:type="dxa"/>
            <w:vAlign w:val="bottom"/>
            <w:tcBorders>
              <w:top w:val="single" w:sz="8" w:color="auto"/>
              <w:bottom w:val="single" w:sz="8" w:color="auto"/>
            </w:tcBorders>
          </w:tcPr>
          <w:p>
            <w:pPr>
              <w:jc w:val="right"/>
              <w:ind w:right="77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1,329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1,289</w:t>
            </w:r>
          </w:p>
        </w:tc>
        <w:tc>
          <w:tcPr>
            <w:tcW w:w="3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operating leases for corporate offices, equipment, software and hardware. The Company has entered into operating leases for the majority of its real estate locations, primarily office space. These leases are generally for periods of three to seven years with various renewal options. The depreciable life of leased assets is limited by the expected lease term. Leases with an initial term of 12 months or less are not recorded on the balance sheet and the related lease expense is recognized on a straight-line basis over the lease 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supplemental balance sheet information related to leases: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9"/>
                <w:szCs w:val="19"/>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0" w:type="dxa"/>
            <w:vAlign w:val="bottom"/>
            <w:gridSpan w:val="4"/>
          </w:tcPr>
          <w:p>
            <w:pPr>
              <w:jc w:val="right"/>
              <w:ind w:right="127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Leases</w:t>
            </w:r>
          </w:p>
        </w:tc>
        <w:tc>
          <w:tcPr>
            <w:tcW w:w="2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8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23,850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23,735</w:t>
            </w:r>
          </w:p>
        </w:tc>
        <w:tc>
          <w:tcPr>
            <w:tcW w:w="0" w:type="dxa"/>
            <w:vAlign w:val="bottom"/>
          </w:tcPr>
          <w:p>
            <w:pPr>
              <w:spacing w:after="0"/>
              <w:rPr>
                <w:sz w:val="1"/>
                <w:szCs w:val="1"/>
                <w:color w:val="auto"/>
              </w:rPr>
            </w:pPr>
          </w:p>
        </w:tc>
      </w:tr>
      <w:tr>
        <w:trPr>
          <w:trHeight w:val="229"/>
        </w:trPr>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Less: Accumulated amortization right-of-use assets</w:t>
            </w:r>
          </w:p>
        </w:tc>
        <w:tc>
          <w:tcPr>
            <w:tcW w:w="25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(15,668)</w:t>
            </w:r>
          </w:p>
        </w:tc>
        <w:tc>
          <w:tcPr>
            <w:tcW w:w="24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(12,792)</w:t>
            </w:r>
          </w:p>
        </w:tc>
        <w:tc>
          <w:tcPr>
            <w:tcW w:w="0" w:type="dxa"/>
            <w:vAlign w:val="bottom"/>
          </w:tcPr>
          <w:p>
            <w:pPr>
              <w:spacing w:after="0"/>
              <w:rPr>
                <w:sz w:val="1"/>
                <w:szCs w:val="1"/>
                <w:color w:val="auto"/>
              </w:rPr>
            </w:pPr>
          </w:p>
        </w:tc>
      </w:tr>
      <w:tr>
        <w:trPr>
          <w:trHeight w:val="263"/>
        </w:trPr>
        <w:tc>
          <w:tcPr>
            <w:tcW w:w="47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Operating lease right-of-use assets, net</w:t>
            </w:r>
          </w:p>
        </w:tc>
        <w:tc>
          <w:tcPr>
            <w:tcW w:w="2500" w:type="dxa"/>
            <w:vAlign w:val="bottom"/>
            <w:tcBorders>
              <w:bottom w:val="single" w:sz="8" w:color="EEEEEE"/>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8,182</w:t>
            </w:r>
          </w:p>
        </w:tc>
        <w:tc>
          <w:tcPr>
            <w:tcW w:w="320" w:type="dxa"/>
            <w:vAlign w:val="bottom"/>
            <w:tcBorders>
              <w:bottom w:val="single" w:sz="8" w:color="EEEEEE"/>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10,943</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700" w:type="dxa"/>
            <w:vAlign w:val="bottom"/>
            <w:shd w:val="clear" w:color="auto" w:fill="EEEEEE"/>
          </w:tcPr>
          <w:p>
            <w:pPr>
              <w:spacing w:after="0"/>
              <w:rPr>
                <w:sz w:val="17"/>
                <w:szCs w:val="17"/>
                <w:color w:val="auto"/>
              </w:rPr>
            </w:pPr>
          </w:p>
        </w:tc>
        <w:tc>
          <w:tcPr>
            <w:tcW w:w="25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5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8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(9,143)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(12,096)</w:t>
            </w:r>
          </w:p>
        </w:tc>
        <w:tc>
          <w:tcPr>
            <w:tcW w:w="0" w:type="dxa"/>
            <w:vAlign w:val="bottom"/>
          </w:tcPr>
          <w:p>
            <w:pPr>
              <w:spacing w:after="0"/>
              <w:rPr>
                <w:sz w:val="1"/>
                <w:szCs w:val="1"/>
                <w:color w:val="auto"/>
              </w:rPr>
            </w:pPr>
          </w:p>
        </w:tc>
      </w:tr>
      <w:tr>
        <w:trPr>
          <w:trHeight w:val="216"/>
        </w:trPr>
        <w:tc>
          <w:tcPr>
            <w:tcW w:w="4700" w:type="dxa"/>
            <w:vAlign w:val="bottom"/>
            <w:shd w:val="clear" w:color="auto" w:fill="EEEEEE"/>
          </w:tcPr>
          <w:p>
            <w:pPr>
              <w:spacing w:after="0"/>
              <w:rPr>
                <w:sz w:val="18"/>
                <w:szCs w:val="18"/>
                <w:color w:val="auto"/>
              </w:rPr>
            </w:pPr>
          </w:p>
        </w:tc>
        <w:tc>
          <w:tcPr>
            <w:tcW w:w="2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Finance Leases</w:t>
            </w:r>
          </w:p>
        </w:tc>
        <w:tc>
          <w:tcPr>
            <w:tcW w:w="2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Property and equipment, at cost</w:t>
            </w:r>
          </w:p>
        </w:tc>
        <w:tc>
          <w:tcPr>
            <w:tcW w:w="2840" w:type="dxa"/>
            <w:vAlign w:val="bottom"/>
            <w:gridSpan w:val="2"/>
            <w:shd w:val="clear" w:color="auto" w:fill="EEEEEE"/>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3,407</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(1,788)</w:t>
            </w:r>
          </w:p>
        </w:tc>
        <w:tc>
          <w:tcPr>
            <w:tcW w:w="24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23"/>
        </w:trPr>
        <w:tc>
          <w:tcPr>
            <w:tcW w:w="47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Property and equipment, net</w:t>
            </w:r>
          </w:p>
        </w:tc>
        <w:tc>
          <w:tcPr>
            <w:tcW w:w="250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1,619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2,181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Finance lease liabilities</w:t>
            </w:r>
          </w:p>
        </w:tc>
        <w:tc>
          <w:tcPr>
            <w:tcW w:w="2840" w:type="dxa"/>
            <w:vAlign w:val="bottom"/>
            <w:gridSpan w:val="2"/>
            <w:shd w:val="clear" w:color="auto" w:fill="EEEEEE"/>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(1,691)</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Weighted Average Discount Rate</w:t>
            </w:r>
          </w:p>
        </w:tc>
        <w:tc>
          <w:tcPr>
            <w:tcW w:w="2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Operating lease</w:t>
            </w:r>
          </w:p>
        </w:tc>
        <w:tc>
          <w:tcPr>
            <w:tcW w:w="2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Finance lease</w:t>
            </w:r>
          </w:p>
        </w:tc>
        <w:tc>
          <w:tcPr>
            <w:tcW w:w="2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6.5%</w:t>
            </w: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904"/>
        </w:trPr>
        <w:tc>
          <w:tcPr>
            <w:tcW w:w="4700" w:type="dxa"/>
            <w:vAlign w:val="bottom"/>
          </w:tcPr>
          <w:p>
            <w:pPr>
              <w:spacing w:after="0"/>
              <w:rPr>
                <w:sz w:val="20"/>
                <w:szCs w:val="20"/>
                <w:color w:val="auto"/>
              </w:rPr>
            </w:pPr>
            <w:r>
              <w:rPr>
                <w:rFonts w:ascii="Arial" w:cs="Arial" w:eastAsia="Arial" w:hAnsi="Arial"/>
                <w:sz w:val="18"/>
                <w:szCs w:val="18"/>
                <w:b w:val="1"/>
                <w:bCs w:val="1"/>
                <w:color w:val="auto"/>
              </w:rPr>
              <w:t>Maturities of lease liabilities were as follows:</w:t>
            </w:r>
          </w:p>
        </w:tc>
        <w:tc>
          <w:tcPr>
            <w:tcW w:w="2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2"/>
            <w:vMerge w:val="restart"/>
          </w:tcPr>
          <w:p>
            <w:pPr>
              <w:jc w:val="right"/>
              <w:ind w:right="780"/>
              <w:spacing w:after="0"/>
              <w:rPr>
                <w:sz w:val="20"/>
                <w:szCs w:val="20"/>
                <w:color w:val="auto"/>
              </w:rPr>
            </w:pPr>
            <w:r>
              <w:rPr>
                <w:rFonts w:ascii="Arial" w:cs="Arial" w:eastAsia="Arial" w:hAnsi="Arial"/>
                <w:sz w:val="18"/>
                <w:szCs w:val="18"/>
                <w:b w:val="1"/>
                <w:bCs w:val="1"/>
                <w:color w:val="auto"/>
              </w:rPr>
              <w:t>Operating</w:t>
            </w:r>
          </w:p>
        </w:tc>
        <w:tc>
          <w:tcPr>
            <w:tcW w:w="240" w:type="dxa"/>
            <w:vAlign w:val="bottom"/>
          </w:tcPr>
          <w:p>
            <w:pPr>
              <w:spacing w:after="0"/>
              <w:rPr>
                <w:sz w:val="24"/>
                <w:szCs w:val="24"/>
                <w:color w:val="auto"/>
              </w:rPr>
            </w:pPr>
          </w:p>
        </w:tc>
        <w:tc>
          <w:tcPr>
            <w:tcW w:w="1660" w:type="dxa"/>
            <w:vAlign w:val="bottom"/>
            <w:gridSpan w:val="2"/>
            <w:vMerge w:val="restart"/>
          </w:tcPr>
          <w:p>
            <w:pPr>
              <w:jc w:val="right"/>
              <w:ind w:right="640"/>
              <w:spacing w:after="0"/>
              <w:rPr>
                <w:sz w:val="20"/>
                <w:szCs w:val="20"/>
                <w:color w:val="auto"/>
              </w:rPr>
            </w:pPr>
            <w:r>
              <w:rPr>
                <w:rFonts w:ascii="Arial" w:cs="Arial" w:eastAsia="Arial" w:hAnsi="Arial"/>
                <w:sz w:val="18"/>
                <w:szCs w:val="18"/>
                <w:b w:val="1"/>
                <w:bCs w:val="1"/>
                <w:color w:val="auto"/>
              </w:rPr>
              <w:t>Finance</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 thousands)</w:t>
            </w:r>
          </w:p>
        </w:tc>
        <w:tc>
          <w:tcPr>
            <w:tcW w:w="2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2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Lease</w:t>
            </w:r>
          </w:p>
        </w:tc>
        <w:tc>
          <w:tcPr>
            <w:tcW w:w="240" w:type="dxa"/>
            <w:vAlign w:val="bottom"/>
          </w:tcPr>
          <w:p>
            <w:pPr>
              <w:spacing w:after="0"/>
              <w:rPr>
                <w:sz w:val="21"/>
                <w:szCs w:val="21"/>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Lease</w:t>
            </w:r>
          </w:p>
        </w:tc>
        <w:tc>
          <w:tcPr>
            <w:tcW w:w="0" w:type="dxa"/>
            <w:vAlign w:val="bottom"/>
          </w:tcPr>
          <w:p>
            <w:pPr>
              <w:spacing w:after="0"/>
              <w:rPr>
                <w:sz w:val="1"/>
                <w:szCs w:val="1"/>
                <w:color w:val="auto"/>
              </w:rPr>
            </w:pPr>
          </w:p>
        </w:tc>
      </w:tr>
      <w:tr>
        <w:trPr>
          <w:trHeight w:val="210"/>
        </w:trPr>
        <w:tc>
          <w:tcPr>
            <w:tcW w:w="47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2021 (excluding the six months ended June 30, 2021)</w:t>
            </w:r>
          </w:p>
        </w:tc>
        <w:tc>
          <w:tcPr>
            <w:tcW w:w="250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3,659</w:t>
            </w:r>
          </w:p>
        </w:tc>
        <w:tc>
          <w:tcPr>
            <w:tcW w:w="3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2022</w:t>
            </w:r>
          </w:p>
        </w:tc>
        <w:tc>
          <w:tcPr>
            <w:tcW w:w="2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6,092</w:t>
            </w:r>
          </w:p>
        </w:tc>
        <w:tc>
          <w:tcPr>
            <w:tcW w:w="2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2023</w:t>
            </w:r>
          </w:p>
        </w:tc>
        <w:tc>
          <w:tcPr>
            <w:tcW w:w="2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1,423</w:t>
            </w: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2024</w:t>
            </w:r>
          </w:p>
        </w:tc>
        <w:tc>
          <w:tcPr>
            <w:tcW w:w="2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445</w:t>
            </w:r>
          </w:p>
        </w:tc>
        <w:tc>
          <w:tcPr>
            <w:tcW w:w="2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2025</w:t>
            </w:r>
          </w:p>
        </w:tc>
        <w:tc>
          <w:tcPr>
            <w:tcW w:w="2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308</w:t>
            </w: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Thereafter</w:t>
            </w:r>
          </w:p>
        </w:tc>
        <w:tc>
          <w:tcPr>
            <w:tcW w:w="2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undiscounted lease payments</w:t>
            </w:r>
          </w:p>
        </w:tc>
        <w:tc>
          <w:tcPr>
            <w:tcW w:w="250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11,930</w:t>
            </w:r>
          </w:p>
        </w:tc>
        <w:tc>
          <w:tcPr>
            <w:tcW w:w="3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Less amounts representing interest</w:t>
            </w:r>
          </w:p>
        </w:tc>
        <w:tc>
          <w:tcPr>
            <w:tcW w:w="2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(2,787)</w:t>
            </w:r>
          </w:p>
        </w:tc>
        <w:tc>
          <w:tcPr>
            <w:tcW w:w="24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47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Lease Liability</w:t>
            </w:r>
          </w:p>
        </w:tc>
        <w:tc>
          <w:tcPr>
            <w:tcW w:w="250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9,143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500" w:type="dxa"/>
            <w:vAlign w:val="bottom"/>
            <w:vMerge w:val="restart"/>
          </w:tcPr>
          <w:p>
            <w:pPr>
              <w:jc w:val="right"/>
              <w:ind w:right="1390"/>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4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lease expense included in General and administrative and Occupancy expense on our Unaudited Condensed Consolidated Statement of Operations:</w:t>
      </w:r>
    </w:p>
    <w:p>
      <w:pPr>
        <w:sectPr>
          <w:pgSz w:w="11900" w:h="16838" w:orient="portrait"/>
          <w:cols w:equalWidth="0" w:num="1">
            <w:col w:w="11240"/>
          </w:cols>
          <w:pgMar w:left="320" w:top="796" w:right="339" w:bottom="1440" w:gutter="0" w:footer="0" w:header="0"/>
        </w:sectPr>
      </w:pP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2640" w:type="dxa"/>
            <w:vAlign w:val="bottom"/>
            <w:gridSpan w:val="5"/>
          </w:tcPr>
          <w:p>
            <w:pPr>
              <w:jc w:val="right"/>
              <w:ind w:right="207"/>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9"/>
                <w:szCs w:val="19"/>
                <w:color w:val="auto"/>
              </w:rPr>
            </w:pPr>
          </w:p>
        </w:tc>
      </w:tr>
      <w:tr>
        <w:trPr>
          <w:trHeight w:val="234"/>
        </w:trPr>
        <w:tc>
          <w:tcPr>
            <w:tcW w:w="47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707"/>
              <w:spacing w:after="0"/>
              <w:rPr>
                <w:sz w:val="20"/>
                <w:szCs w:val="20"/>
                <w:color w:val="auto"/>
              </w:rPr>
            </w:pPr>
            <w:r>
              <w:rPr>
                <w:rFonts w:ascii="Arial" w:cs="Arial" w:eastAsia="Arial" w:hAnsi="Arial"/>
                <w:sz w:val="18"/>
                <w:szCs w:val="18"/>
                <w:b w:val="1"/>
                <w:bCs w:val="1"/>
                <w:color w:val="auto"/>
              </w:rPr>
              <w:t>June 30,</w:t>
            </w:r>
          </w:p>
        </w:tc>
        <w:tc>
          <w:tcPr>
            <w:tcW w:w="440" w:type="dxa"/>
            <w:vAlign w:val="bottom"/>
            <w:tcBorders>
              <w:bottom w:val="single" w:sz="8" w:color="auto"/>
            </w:tcBorders>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r>
      <w:tr>
        <w:trPr>
          <w:trHeight w:val="195"/>
        </w:trPr>
        <w:tc>
          <w:tcPr>
            <w:tcW w:w="4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00" w:type="dxa"/>
            <w:vAlign w:val="bottom"/>
            <w:gridSpan w:val="4"/>
          </w:tcPr>
          <w:p>
            <w:pPr>
              <w:jc w:val="right"/>
              <w:ind w:right="407"/>
              <w:spacing w:after="0" w:line="195" w:lineRule="exact"/>
              <w:rPr>
                <w:sz w:val="20"/>
                <w:szCs w:val="20"/>
                <w:color w:val="auto"/>
              </w:rPr>
            </w:pPr>
            <w:r>
              <w:rPr>
                <w:rFonts w:ascii="Arial" w:cs="Arial" w:eastAsia="Arial" w:hAnsi="Arial"/>
                <w:sz w:val="18"/>
                <w:szCs w:val="18"/>
                <w:b w:val="1"/>
                <w:bCs w:val="1"/>
                <w:color w:val="auto"/>
                <w:w w:val="96"/>
              </w:rPr>
              <w:t>(In thousands)</w:t>
            </w:r>
          </w:p>
        </w:tc>
        <w:tc>
          <w:tcPr>
            <w:tcW w:w="440" w:type="dxa"/>
            <w:vAlign w:val="bottom"/>
          </w:tcPr>
          <w:p>
            <w:pPr>
              <w:spacing w:after="0"/>
              <w:rPr>
                <w:sz w:val="16"/>
                <w:szCs w:val="16"/>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Operating lease cost</w:t>
            </w:r>
          </w:p>
        </w:tc>
        <w:tc>
          <w:tcPr>
            <w:tcW w:w="940" w:type="dxa"/>
            <w:vAlign w:val="bottom"/>
          </w:tcPr>
          <w:p>
            <w:pPr>
              <w:jc w:val="right"/>
              <w:ind w:right="778"/>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1,793</w:t>
            </w:r>
          </w:p>
        </w:tc>
        <w:tc>
          <w:tcPr>
            <w:tcW w:w="940" w:type="dxa"/>
            <w:vAlign w:val="bottom"/>
            <w:gridSpan w:val="2"/>
          </w:tcPr>
          <w:p>
            <w:pPr>
              <w:jc w:val="right"/>
              <w:ind w:right="767"/>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1,885</w:t>
            </w:r>
          </w:p>
        </w:tc>
      </w:tr>
      <w:tr>
        <w:trPr>
          <w:trHeight w:val="244"/>
        </w:trPr>
        <w:tc>
          <w:tcPr>
            <w:tcW w:w="4740" w:type="dxa"/>
            <w:vAlign w:val="bottom"/>
          </w:tcPr>
          <w:p>
            <w:pPr>
              <w:spacing w:after="0"/>
              <w:rPr>
                <w:sz w:val="20"/>
                <w:szCs w:val="20"/>
                <w:color w:val="auto"/>
              </w:rPr>
            </w:pPr>
            <w:r>
              <w:rPr>
                <w:rFonts w:ascii="Arial" w:cs="Arial" w:eastAsia="Arial" w:hAnsi="Arial"/>
                <w:sz w:val="18"/>
                <w:szCs w:val="18"/>
                <w:color w:val="auto"/>
              </w:rPr>
              <w:t>Finance lease cost</w:t>
            </w:r>
          </w:p>
        </w:tc>
        <w:tc>
          <w:tcPr>
            <w:tcW w:w="940" w:type="dxa"/>
            <w:vAlign w:val="bottom"/>
          </w:tcPr>
          <w:p>
            <w:pPr>
              <w:spacing w:after="0"/>
              <w:rPr>
                <w:sz w:val="21"/>
                <w:szCs w:val="21"/>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Total lease cost</w:t>
            </w:r>
          </w:p>
        </w:tc>
        <w:tc>
          <w:tcPr>
            <w:tcW w:w="940" w:type="dxa"/>
            <w:vAlign w:val="bottom"/>
            <w:tcBorders>
              <w:top w:val="single" w:sz="8" w:color="auto"/>
              <w:bottom w:val="single" w:sz="8" w:color="auto"/>
            </w:tcBorders>
          </w:tcPr>
          <w:p>
            <w:pPr>
              <w:jc w:val="right"/>
              <w:ind w:right="77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2,101</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2,178</w:t>
            </w:r>
          </w:p>
        </w:tc>
      </w:tr>
      <w:tr>
        <w:trPr>
          <w:trHeight w:val="20"/>
        </w:trPr>
        <w:tc>
          <w:tcPr>
            <w:tcW w:w="4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supplemental cash flow information related to leases: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2640" w:type="dxa"/>
            <w:vAlign w:val="bottom"/>
            <w:gridSpan w:val="3"/>
          </w:tcPr>
          <w:p>
            <w:pPr>
              <w:jc w:val="center"/>
              <w:ind w:left="356"/>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410"/>
              <w:spacing w:after="0"/>
              <w:rPr>
                <w:sz w:val="20"/>
                <w:szCs w:val="20"/>
                <w:color w:val="auto"/>
              </w:rPr>
            </w:pPr>
            <w:r>
              <w:rPr>
                <w:rFonts w:ascii="Arial" w:cs="Arial" w:eastAsia="Arial" w:hAnsi="Arial"/>
                <w:sz w:val="18"/>
                <w:szCs w:val="18"/>
                <w:b w:val="1"/>
                <w:bCs w:val="1"/>
                <w:color w:val="auto"/>
                <w:w w:val="88"/>
              </w:rPr>
              <w:t>June 30,</w:t>
            </w: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Cash paid for amounts included in the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474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740" w:type="dxa"/>
            <w:vAlign w:val="bottom"/>
          </w:tcPr>
          <w:p>
            <w:pPr>
              <w:spacing w:after="0"/>
              <w:rPr>
                <w:sz w:val="20"/>
                <w:szCs w:val="20"/>
                <w:color w:val="auto"/>
              </w:rPr>
            </w:pPr>
            <w:r>
              <w:rPr>
                <w:rFonts w:ascii="Arial" w:cs="Arial" w:eastAsia="Arial" w:hAnsi="Arial"/>
                <w:sz w:val="18"/>
                <w:szCs w:val="18"/>
                <w:b w:val="1"/>
                <w:bCs w:val="1"/>
                <w:color w:val="auto"/>
              </w:rPr>
              <w:t>measurement of lease liabilities:</w:t>
            </w:r>
          </w:p>
        </w:tc>
        <w:tc>
          <w:tcPr>
            <w:tcW w:w="940" w:type="dxa"/>
            <w:vAlign w:val="bottom"/>
          </w:tcPr>
          <w:p>
            <w:pPr>
              <w:spacing w:after="0"/>
              <w:rPr>
                <w:sz w:val="19"/>
                <w:szCs w:val="19"/>
                <w:color w:val="auto"/>
              </w:rPr>
            </w:pPr>
          </w:p>
        </w:tc>
        <w:tc>
          <w:tcPr>
            <w:tcW w:w="17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6"/>
              </w:rPr>
              <w:t>(In thousands)</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Operating cash flows from operating leases</w:t>
            </w:r>
          </w:p>
        </w:tc>
        <w:tc>
          <w:tcPr>
            <w:tcW w:w="940" w:type="dxa"/>
            <w:vAlign w:val="bottom"/>
          </w:tcPr>
          <w:p>
            <w:pPr>
              <w:jc w:val="right"/>
              <w:ind w:right="776"/>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1,892</w:t>
            </w:r>
          </w:p>
        </w:tc>
        <w:tc>
          <w:tcPr>
            <w:tcW w:w="110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1,932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Operating cash flows from finance leases</w:t>
            </w:r>
          </w:p>
        </w:tc>
        <w:tc>
          <w:tcPr>
            <w:tcW w:w="940" w:type="dxa"/>
            <w:vAlign w:val="bottom"/>
          </w:tcPr>
          <w:p>
            <w:pPr>
              <w:spacing w:after="0"/>
              <w:rPr>
                <w:sz w:val="18"/>
                <w:szCs w:val="18"/>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278</w:t>
            </w: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Financing cash flows from finance leases</w:t>
            </w:r>
          </w:p>
        </w:tc>
        <w:tc>
          <w:tcPr>
            <w:tcW w:w="94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30</w:t>
            </w:r>
          </w:p>
        </w:tc>
        <w:tc>
          <w:tcPr>
            <w:tcW w:w="1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2020</w:t>
            </w:r>
          </w:p>
        </w:tc>
      </w:tr>
      <w:tr>
        <w:trPr>
          <w:trHeight w:val="195"/>
        </w:trPr>
        <w:tc>
          <w:tcPr>
            <w:tcW w:w="320" w:type="dxa"/>
            <w:vAlign w:val="bottom"/>
          </w:tcPr>
          <w:p>
            <w:pPr>
              <w:spacing w:after="0"/>
              <w:rPr>
                <w:sz w:val="16"/>
                <w:szCs w:val="16"/>
                <w:color w:val="auto"/>
              </w:rPr>
            </w:pPr>
          </w:p>
        </w:tc>
        <w:tc>
          <w:tcPr>
            <w:tcW w:w="1840" w:type="dxa"/>
            <w:vAlign w:val="bottom"/>
            <w:gridSpan w:val="4"/>
          </w:tcPr>
          <w:p>
            <w:pPr>
              <w:jc w:val="right"/>
              <w:ind w:right="9"/>
              <w:spacing w:after="0" w:line="195" w:lineRule="exact"/>
              <w:rPr>
                <w:sz w:val="20"/>
                <w:szCs w:val="20"/>
                <w:color w:val="auto"/>
              </w:rPr>
            </w:pPr>
            <w:r>
              <w:rPr>
                <w:rFonts w:ascii="Arial" w:cs="Arial" w:eastAsia="Arial" w:hAnsi="Arial"/>
                <w:sz w:val="18"/>
                <w:szCs w:val="18"/>
                <w:b w:val="1"/>
                <w:bCs w:val="1"/>
                <w:color w:val="auto"/>
              </w:rPr>
              <w:t>(In thousands)</w:t>
            </w:r>
          </w:p>
        </w:tc>
        <w:tc>
          <w:tcPr>
            <w:tcW w:w="840" w:type="dxa"/>
            <w:vAlign w:val="bottom"/>
          </w:tcPr>
          <w:p>
            <w:pPr>
              <w:spacing w:after="0"/>
              <w:rPr>
                <w:sz w:val="16"/>
                <w:szCs w:val="16"/>
                <w:color w:val="auto"/>
              </w:rPr>
            </w:pPr>
          </w:p>
        </w:tc>
      </w:tr>
      <w:tr>
        <w:trPr>
          <w:trHeight w:val="229"/>
        </w:trPr>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3,630</w:t>
            </w:r>
          </w:p>
        </w:tc>
        <w:tc>
          <w:tcPr>
            <w:tcW w:w="500" w:type="dxa"/>
            <w:vAlign w:val="bottom"/>
            <w:gridSpan w:val="2"/>
          </w:tcPr>
          <w:p>
            <w:pPr>
              <w:jc w:val="right"/>
              <w:ind w:right="36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3,769</w:t>
            </w:r>
          </w:p>
        </w:tc>
      </w:tr>
      <w:tr>
        <w:trPr>
          <w:trHeight w:val="230"/>
        </w:trPr>
        <w:tc>
          <w:tcPr>
            <w:tcW w:w="3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223"/>
        </w:trPr>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4,341</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r>
      <w:tr>
        <w:trPr>
          <w:trHeight w:val="853"/>
        </w:trPr>
        <w:tc>
          <w:tcPr>
            <w:tcW w:w="320" w:type="dxa"/>
            <w:vAlign w:val="bottom"/>
          </w:tcPr>
          <w:p>
            <w:pPr>
              <w:spacing w:after="0"/>
              <w:rPr>
                <w:sz w:val="24"/>
                <w:szCs w:val="24"/>
                <w:color w:val="auto"/>
              </w:rPr>
            </w:pPr>
          </w:p>
        </w:tc>
        <w:tc>
          <w:tcPr>
            <w:tcW w:w="2680" w:type="dxa"/>
            <w:vAlign w:val="bottom"/>
            <w:gridSpan w:val="5"/>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289"/>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r>
      <w:tr>
        <w:trPr>
          <w:trHeight w:val="223"/>
        </w:trPr>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2020</w:t>
            </w:r>
          </w:p>
        </w:tc>
      </w:tr>
      <w:tr>
        <w:trPr>
          <w:trHeight w:val="398"/>
        </w:trPr>
        <w:tc>
          <w:tcPr>
            <w:tcW w:w="320" w:type="dxa"/>
            <w:vAlign w:val="bottom"/>
          </w:tcPr>
          <w:p>
            <w:pPr>
              <w:spacing w:after="0"/>
              <w:rPr>
                <w:sz w:val="24"/>
                <w:szCs w:val="24"/>
                <w:color w:val="auto"/>
              </w:rPr>
            </w:pPr>
          </w:p>
        </w:tc>
        <w:tc>
          <w:tcPr>
            <w:tcW w:w="1840" w:type="dxa"/>
            <w:vAlign w:val="bottom"/>
            <w:gridSpan w:val="4"/>
          </w:tcPr>
          <w:p>
            <w:pPr>
              <w:jc w:val="right"/>
              <w:ind w:right="9"/>
              <w:spacing w:after="0"/>
              <w:rPr>
                <w:sz w:val="20"/>
                <w:szCs w:val="20"/>
                <w:color w:val="auto"/>
              </w:rPr>
            </w:pPr>
            <w:r>
              <w:rPr>
                <w:rFonts w:ascii="Arial" w:cs="Arial" w:eastAsia="Arial" w:hAnsi="Arial"/>
                <w:sz w:val="18"/>
                <w:szCs w:val="18"/>
                <w:b w:val="1"/>
                <w:bCs w:val="1"/>
                <w:color w:val="auto"/>
              </w:rPr>
              <w:t>(In thousands)</w:t>
            </w:r>
          </w:p>
        </w:tc>
        <w:tc>
          <w:tcPr>
            <w:tcW w:w="840" w:type="dxa"/>
            <w:vAlign w:val="bottom"/>
          </w:tcPr>
          <w:p>
            <w:pPr>
              <w:spacing w:after="0"/>
              <w:rPr>
                <w:sz w:val="24"/>
                <w:szCs w:val="24"/>
                <w:color w:val="auto"/>
              </w:rPr>
            </w:pPr>
          </w:p>
        </w:tc>
      </w:tr>
      <w:tr>
        <w:trPr>
          <w:trHeight w:val="216"/>
        </w:trPr>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3,822</w:t>
            </w:r>
          </w:p>
        </w:tc>
        <w:tc>
          <w:tcPr>
            <w:tcW w:w="500" w:type="dxa"/>
            <w:vAlign w:val="bottom"/>
            <w:gridSpan w:val="2"/>
          </w:tcPr>
          <w:p>
            <w:pPr>
              <w:jc w:val="right"/>
              <w:ind w:right="36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3,858</w:t>
            </w:r>
          </w:p>
        </w:tc>
      </w:tr>
      <w:tr>
        <w:trPr>
          <w:trHeight w:val="216"/>
        </w:trPr>
        <w:tc>
          <w:tcPr>
            <w:tcW w:w="3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552</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30"/>
        </w:trPr>
        <w:tc>
          <w:tcPr>
            <w:tcW w:w="3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w:t>
            </w:r>
          </w:p>
        </w:tc>
      </w:tr>
    </w:tbl>
    <w:p>
      <w:pPr>
        <w:spacing w:after="0" w:line="820" w:lineRule="exact"/>
        <w:rPr>
          <w:sz w:val="20"/>
          <w:szCs w:val="20"/>
          <w:color w:val="auto"/>
        </w:rPr>
      </w:pPr>
    </w:p>
    <w:p>
      <w:pPr>
        <w:sectPr>
          <w:pgSz w:w="11900" w:h="16838" w:orient="portrait"/>
          <w:cols w:equalWidth="0" w:num="2">
            <w:col w:w="7820" w:space="320"/>
            <w:col w:w="3100"/>
          </w:cols>
          <w:pgMar w:left="320" w:top="796" w:right="339" w:bottom="1440" w:gutter="0" w:footer="0" w:header="0"/>
          <w:type w:val="continuous"/>
        </w:sectPr>
      </w:pPr>
    </w:p>
    <w:p>
      <w:pPr>
        <w:spacing w:after="0" w:line="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six months ended June 30, 2021, we recorded stock-based compensation costs in the amount of $327,000 and $735,000, respectively. These stock-based compensation costs were $412,000 and $898,000 for the three and six months ended June 30, 2020. As of June 30, 2021, unrecognized stock-based compensation costs to be recognized over future periods equaled $2.4 million. This amount will be recognized as expense over a weighted-average period of 2.1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stock option activity for the six months ended June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Weighted</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9"/>
                <w:szCs w:val="19"/>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Average</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20"/>
                <w:szCs w:val="20"/>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Exercise Price</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0" w:type="dxa"/>
            <w:vAlign w:val="bottom"/>
          </w:tcPr>
          <w:p>
            <w:pPr>
              <w:spacing w:after="0"/>
              <w:rPr>
                <w:sz w:val="1"/>
                <w:szCs w:val="1"/>
                <w:color w:val="auto"/>
              </w:rPr>
            </w:pPr>
          </w:p>
        </w:tc>
      </w:tr>
      <w:tr>
        <w:trPr>
          <w:trHeight w:val="210"/>
        </w:trPr>
        <w:tc>
          <w:tcPr>
            <w:tcW w:w="44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2180" w:type="dxa"/>
            <w:vAlign w:val="bottom"/>
            <w:tcBorders>
              <w:top w:val="single" w:sz="8" w:color="EEEEEE"/>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15,977</w:t>
            </w:r>
          </w:p>
        </w:tc>
        <w:tc>
          <w:tcPr>
            <w:tcW w:w="3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4.46</w:t>
            </w:r>
          </w:p>
        </w:tc>
        <w:tc>
          <w:tcPr>
            <w:tcW w:w="34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Granted</w:t>
            </w:r>
          </w:p>
        </w:tc>
        <w:tc>
          <w:tcPr>
            <w:tcW w:w="218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44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Exercised</w:t>
            </w:r>
          </w:p>
        </w:tc>
        <w:tc>
          <w:tcPr>
            <w:tcW w:w="390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1.66</w:t>
            </w:r>
          </w:p>
        </w:tc>
        <w:tc>
          <w:tcPr>
            <w:tcW w:w="12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2180" w:type="dxa"/>
            <w:vAlign w:val="bottom"/>
          </w:tcPr>
          <w:p>
            <w:pPr>
              <w:spacing w:after="0"/>
              <w:rPr>
                <w:sz w:val="19"/>
                <w:szCs w:val="19"/>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5.07</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6"/>
        </w:trPr>
        <w:tc>
          <w:tcPr>
            <w:tcW w:w="44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2180" w:type="dxa"/>
            <w:vAlign w:val="bottom"/>
            <w:tcBorders>
              <w:top w:val="single" w:sz="8" w:color="EEEEEE"/>
            </w:tcBorders>
            <w:shd w:val="clear" w:color="auto" w:fill="EEEEEE"/>
          </w:tcPr>
          <w:p>
            <w:pPr>
              <w:spacing w:after="0"/>
              <w:rPr>
                <w:sz w:val="20"/>
                <w:szCs w:val="20"/>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15,029</w:t>
            </w:r>
          </w:p>
        </w:tc>
        <w:tc>
          <w:tcPr>
            <w:tcW w:w="340" w:type="dxa"/>
            <w:vAlign w:val="bottom"/>
            <w:tcBorders>
              <w:top w:val="single" w:sz="8" w:color="EEEEEE"/>
            </w:tcBorders>
            <w:shd w:val="clear" w:color="auto" w:fill="EEEEEE"/>
          </w:tcPr>
          <w:p>
            <w:pPr>
              <w:spacing w:after="0"/>
              <w:rPr>
                <w:sz w:val="20"/>
                <w:szCs w:val="20"/>
                <w:color w:val="auto"/>
              </w:rPr>
            </w:pP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EEEEEE"/>
            </w:tcBorders>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4.57</w:t>
            </w:r>
          </w:p>
        </w:tc>
        <w:tc>
          <w:tcPr>
            <w:tcW w:w="1220" w:type="dxa"/>
            <w:vAlign w:val="bottom"/>
            <w:tcBorders>
              <w:top w:val="single" w:sz="8" w:color="EEEEEE"/>
            </w:tcBorders>
            <w:shd w:val="clear" w:color="auto" w:fill="EEEEEE"/>
          </w:tcPr>
          <w:p>
            <w:pPr>
              <w:jc w:val="center"/>
              <w:spacing w:after="0"/>
              <w:rPr>
                <w:sz w:val="20"/>
                <w:szCs w:val="20"/>
                <w:color w:val="auto"/>
              </w:rPr>
            </w:pPr>
            <w:r>
              <w:rPr>
                <w:rFonts w:ascii="Arial" w:cs="Arial" w:eastAsia="Arial" w:hAnsi="Arial"/>
                <w:sz w:val="18"/>
                <w:szCs w:val="18"/>
                <w:color w:val="auto"/>
                <w:w w:val="87"/>
              </w:rPr>
              <w:t>2.38 years</w:t>
            </w:r>
          </w:p>
        </w:tc>
        <w:tc>
          <w:tcPr>
            <w:tcW w:w="0" w:type="dxa"/>
            <w:vAlign w:val="bottom"/>
          </w:tcPr>
          <w:p>
            <w:pPr>
              <w:spacing w:after="0"/>
              <w:rPr>
                <w:sz w:val="1"/>
                <w:szCs w:val="1"/>
                <w:color w:val="auto"/>
              </w:rPr>
            </w:pPr>
          </w:p>
        </w:tc>
      </w:tr>
      <w:tr>
        <w:trPr>
          <w:trHeight w:val="20"/>
        </w:trPr>
        <w:tc>
          <w:tcPr>
            <w:tcW w:w="4460" w:type="dxa"/>
            <w:vAlign w:val="bottom"/>
            <w:tcBorders>
              <w:top w:val="single" w:sz="8" w:color="EEEEEE"/>
            </w:tcBorders>
          </w:tcPr>
          <w:p>
            <w:pPr>
              <w:spacing w:after="0" w:line="20" w:lineRule="exact"/>
              <w:rPr>
                <w:sz w:val="1"/>
                <w:szCs w:val="1"/>
                <w:color w:val="auto"/>
              </w:rPr>
            </w:pPr>
          </w:p>
        </w:tc>
        <w:tc>
          <w:tcPr>
            <w:tcW w:w="2180" w:type="dxa"/>
            <w:vAlign w:val="bottom"/>
            <w:tcBorders>
              <w:top w:val="single" w:sz="8" w:color="EEEEEE"/>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390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12,741</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4.85</w:t>
            </w:r>
          </w:p>
        </w:tc>
        <w:tc>
          <w:tcPr>
            <w:tcW w:w="12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1.86 years</w:t>
            </w:r>
          </w:p>
        </w:tc>
        <w:tc>
          <w:tcPr>
            <w:tcW w:w="0" w:type="dxa"/>
            <w:vAlign w:val="bottom"/>
          </w:tcPr>
          <w:p>
            <w:pPr>
              <w:spacing w:after="0"/>
              <w:rPr>
                <w:sz w:val="1"/>
                <w:szCs w:val="1"/>
                <w:color w:val="auto"/>
              </w:rPr>
            </w:pPr>
          </w:p>
        </w:tc>
      </w:tr>
      <w:tr>
        <w:trPr>
          <w:trHeight w:val="20"/>
        </w:trPr>
        <w:tc>
          <w:tcPr>
            <w:tcW w:w="4460" w:type="dxa"/>
            <w:vAlign w:val="bottom"/>
            <w:tcBorders>
              <w:top w:val="single" w:sz="8" w:color="EEEEEE"/>
            </w:tcBorders>
          </w:tcPr>
          <w:p>
            <w:pPr>
              <w:spacing w:after="0" w:line="20" w:lineRule="exact"/>
              <w:rPr>
                <w:sz w:val="1"/>
                <w:szCs w:val="1"/>
                <w:color w:val="auto"/>
              </w:rPr>
            </w:pPr>
          </w:p>
        </w:tc>
        <w:tc>
          <w:tcPr>
            <w:tcW w:w="2180" w:type="dxa"/>
            <w:vAlign w:val="bottom"/>
            <w:tcBorders>
              <w:top w:val="single" w:sz="8" w:color="EEEEEE"/>
              <w:bottom w:val="single" w:sz="8" w:color="EEEEEE"/>
            </w:tcBorders>
            <w:vMerge w:val="restart"/>
          </w:tcPr>
          <w:p>
            <w:pPr>
              <w:jc w:val="right"/>
              <w:ind w:right="830"/>
              <w:spacing w:after="0"/>
              <w:rPr>
                <w:sz w:val="20"/>
                <w:szCs w:val="20"/>
                <w:color w:val="auto"/>
              </w:rPr>
            </w:pPr>
            <w:r>
              <w:rPr>
                <w:rFonts w:ascii="Arial" w:cs="Arial" w:eastAsia="Arial" w:hAnsi="Arial"/>
                <w:sz w:val="18"/>
                <w:szCs w:val="18"/>
                <w:color w:val="auto"/>
              </w:rPr>
              <w:t>11</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44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price distribution of stock options outstanding and exercisable for the years ended June 30, 2021 and December 31, 2020:</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340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8"/>
              </w:rPr>
              <w:t>Number of shares as of</w:t>
            </w:r>
          </w:p>
        </w:tc>
        <w:tc>
          <w:tcPr>
            <w:tcW w:w="31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7"/>
              </w:rPr>
              <w:t>Number of shares as of</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340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0"/>
              </w:rPr>
              <w:t>June 30, 2021</w:t>
            </w:r>
          </w:p>
        </w:tc>
        <w:tc>
          <w:tcPr>
            <w:tcW w:w="31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December 31, 2020</w:t>
            </w:r>
          </w:p>
        </w:tc>
        <w:tc>
          <w:tcPr>
            <w:tcW w:w="0" w:type="dxa"/>
            <w:vAlign w:val="bottom"/>
          </w:tcPr>
          <w:p>
            <w:pPr>
              <w:spacing w:after="0"/>
              <w:rPr>
                <w:sz w:val="1"/>
                <w:szCs w:val="1"/>
                <w:color w:val="auto"/>
              </w:rPr>
            </w:pPr>
          </w:p>
        </w:tc>
      </w:tr>
      <w:tr>
        <w:trPr>
          <w:trHeight w:val="223"/>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Range of exercise prices:</w:t>
            </w:r>
          </w:p>
        </w:tc>
        <w:tc>
          <w:tcPr>
            <w:tcW w:w="170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Outstanding</w:t>
            </w:r>
          </w:p>
        </w:tc>
        <w:tc>
          <w:tcPr>
            <w:tcW w:w="13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Exercisable</w:t>
            </w:r>
          </w:p>
        </w:tc>
        <w:tc>
          <w:tcPr>
            <w:tcW w:w="320" w:type="dxa"/>
            <w:vAlign w:val="bottom"/>
          </w:tcPr>
          <w:p>
            <w:pPr>
              <w:spacing w:after="0"/>
              <w:rPr>
                <w:sz w:val="19"/>
                <w:szCs w:val="19"/>
                <w:color w:val="auto"/>
              </w:rPr>
            </w:pPr>
          </w:p>
        </w:tc>
        <w:tc>
          <w:tcPr>
            <w:tcW w:w="176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Outstanding</w:t>
            </w: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Exercisable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308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18"/>
                <w:szCs w:val="18"/>
                <w:color w:val="auto"/>
              </w:rPr>
            </w:pPr>
          </w:p>
        </w:tc>
        <w:tc>
          <w:tcPr>
            <w:tcW w:w="300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$0.95 - $1.99</w:t>
            </w:r>
          </w:p>
        </w:tc>
        <w:tc>
          <w:tcPr>
            <w:tcW w:w="17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1,390</w:t>
            </w: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1,390</w:t>
            </w:r>
          </w:p>
        </w:tc>
        <w:tc>
          <w:tcPr>
            <w:tcW w:w="1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1,904</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$2.00 - $2.99</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1,570</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528</w:t>
            </w:r>
          </w:p>
        </w:tc>
        <w:tc>
          <w:tcPr>
            <w:tcW w:w="1760" w:type="dxa"/>
            <w:vAlign w:val="bottom"/>
            <w:gridSpan w:val="2"/>
          </w:tcPr>
          <w:p>
            <w:pPr>
              <w:jc w:val="right"/>
              <w:ind w:right="420"/>
              <w:spacing w:after="0"/>
              <w:rPr>
                <w:sz w:val="20"/>
                <w:szCs w:val="20"/>
                <w:color w:val="auto"/>
              </w:rPr>
            </w:pPr>
            <w:r>
              <w:rPr>
                <w:rFonts w:ascii="Arial" w:cs="Arial" w:eastAsia="Arial" w:hAnsi="Arial"/>
                <w:sz w:val="18"/>
                <w:szCs w:val="18"/>
                <w:color w:val="auto"/>
              </w:rPr>
              <w:t>1,570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$3.00 - $3.99</w:t>
            </w:r>
          </w:p>
        </w:tc>
        <w:tc>
          <w:tcPr>
            <w:tcW w:w="17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4,774</w:t>
            </w: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3,469</w:t>
            </w:r>
          </w:p>
        </w:tc>
        <w:tc>
          <w:tcPr>
            <w:tcW w:w="1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4,973</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$4.00 - $4.99</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1,510</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1,510</w:t>
            </w:r>
          </w:p>
        </w:tc>
        <w:tc>
          <w:tcPr>
            <w:tcW w:w="1760" w:type="dxa"/>
            <w:vAlign w:val="bottom"/>
            <w:gridSpan w:val="2"/>
          </w:tcPr>
          <w:p>
            <w:pPr>
              <w:jc w:val="right"/>
              <w:ind w:right="420"/>
              <w:spacing w:after="0"/>
              <w:rPr>
                <w:sz w:val="20"/>
                <w:szCs w:val="20"/>
                <w:color w:val="auto"/>
              </w:rPr>
            </w:pPr>
            <w:r>
              <w:rPr>
                <w:rFonts w:ascii="Arial" w:cs="Arial" w:eastAsia="Arial" w:hAnsi="Arial"/>
                <w:sz w:val="18"/>
                <w:szCs w:val="18"/>
                <w:color w:val="auto"/>
              </w:rPr>
              <w:t>1,540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$5.00 - $5.99</w:t>
            </w:r>
          </w:p>
        </w:tc>
        <w:tc>
          <w:tcPr>
            <w:tcW w:w="17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$6.00 - $6.99</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4,685</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4,685</w:t>
            </w:r>
          </w:p>
        </w:tc>
        <w:tc>
          <w:tcPr>
            <w:tcW w:w="1760" w:type="dxa"/>
            <w:vAlign w:val="bottom"/>
            <w:gridSpan w:val="2"/>
          </w:tcPr>
          <w:p>
            <w:pPr>
              <w:jc w:val="right"/>
              <w:ind w:right="420"/>
              <w:spacing w:after="0"/>
              <w:rPr>
                <w:sz w:val="20"/>
                <w:szCs w:val="20"/>
                <w:color w:val="auto"/>
              </w:rPr>
            </w:pPr>
            <w:r>
              <w:rPr>
                <w:rFonts w:ascii="Arial" w:cs="Arial" w:eastAsia="Arial" w:hAnsi="Arial"/>
                <w:sz w:val="18"/>
                <w:szCs w:val="18"/>
                <w:color w:val="auto"/>
              </w:rPr>
              <w:t>4,770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4,770</w:t>
            </w:r>
          </w:p>
        </w:tc>
        <w:tc>
          <w:tcPr>
            <w:tcW w:w="0" w:type="dxa"/>
            <w:vAlign w:val="bottom"/>
          </w:tcPr>
          <w:p>
            <w:pPr>
              <w:spacing w:after="0"/>
              <w:rPr>
                <w:sz w:val="1"/>
                <w:szCs w:val="1"/>
                <w:color w:val="auto"/>
              </w:rPr>
            </w:pPr>
          </w:p>
        </w:tc>
      </w:tr>
      <w:tr>
        <w:trPr>
          <w:trHeight w:val="229"/>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$7.00 - $7.99</w:t>
            </w:r>
          </w:p>
        </w:tc>
        <w:tc>
          <w:tcPr>
            <w:tcW w:w="17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1,190</w:t>
            </w: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1,190</w:t>
            </w:r>
          </w:p>
        </w:tc>
        <w:tc>
          <w:tcPr>
            <w:tcW w:w="1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1,220</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Total shares</w:t>
            </w:r>
          </w:p>
        </w:tc>
        <w:tc>
          <w:tcPr>
            <w:tcW w:w="17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15,119</w:t>
            </w: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12,772</w:t>
            </w:r>
          </w:p>
        </w:tc>
        <w:tc>
          <w:tcPr>
            <w:tcW w:w="1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15,977</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12,597</w:t>
            </w:r>
          </w:p>
        </w:tc>
        <w:tc>
          <w:tcPr>
            <w:tcW w:w="0" w:type="dxa"/>
            <w:vAlign w:val="bottom"/>
          </w:tcPr>
          <w:p>
            <w:pPr>
              <w:spacing w:after="0"/>
              <w:rPr>
                <w:sz w:val="1"/>
                <w:szCs w:val="1"/>
                <w:color w:val="auto"/>
              </w:rPr>
            </w:pPr>
          </w:p>
        </w:tc>
      </w:tr>
      <w:tr>
        <w:trPr>
          <w:trHeight w:val="20"/>
        </w:trPr>
        <w:tc>
          <w:tcPr>
            <w:tcW w:w="4740" w:type="dxa"/>
            <w:vAlign w:val="bottom"/>
            <w:tcBorders>
              <w:top w:val="single" w:sz="8" w:color="EEEEEE"/>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2021 the aggregate intrinsic value of options outstanding and exercisable was $12.3 million and $8.9 million, respectively. There were 676,000 options exercised for the six months ended June 30, 2021 compared to 256,600 for the comparable period in 2020. The total intrinsic value of options exercised was $1.9 million and $285,000 for the six-month periods ended June 30, 2021 and 2020. There were 453,000 shares available for future stock option grants under existing plans as of June 30,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Company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describes the purchase of our common stock for the six-month ended June 30,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0" w:type="dxa"/>
            <w:vAlign w:val="bottom"/>
            <w:gridSpan w:val="4"/>
          </w:tcPr>
          <w:p>
            <w:pPr>
              <w:ind w:left="420"/>
              <w:spacing w:after="0"/>
              <w:rPr>
                <w:sz w:val="20"/>
                <w:szCs w:val="20"/>
                <w:color w:val="auto"/>
              </w:rPr>
            </w:pPr>
            <w:r>
              <w:rPr>
                <w:rFonts w:ascii="Arial" w:cs="Arial" w:eastAsia="Arial" w:hAnsi="Arial"/>
                <w:sz w:val="18"/>
                <w:szCs w:val="18"/>
                <w:b w:val="1"/>
                <w:bCs w:val="1"/>
                <w:color w:val="auto"/>
              </w:rPr>
              <w:t>Six Months Ended</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740" w:type="dxa"/>
            <w:vAlign w:val="bottom"/>
          </w:tcPr>
          <w:p>
            <w:pPr>
              <w:spacing w:after="0"/>
              <w:rPr>
                <w:sz w:val="20"/>
                <w:szCs w:val="20"/>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 2021</w:t>
            </w: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gridSpan w:val="5"/>
          </w:tcPr>
          <w:p>
            <w:pPr>
              <w:ind w:left="980"/>
              <w:spacing w:after="0"/>
              <w:rPr>
                <w:sz w:val="20"/>
                <w:szCs w:val="20"/>
                <w:color w:val="auto"/>
              </w:rPr>
            </w:pPr>
            <w:r>
              <w:rPr>
                <w:rFonts w:ascii="Arial" w:cs="Arial" w:eastAsia="Arial" w:hAnsi="Arial"/>
                <w:sz w:val="18"/>
                <w:szCs w:val="18"/>
                <w:b w:val="1"/>
                <w:bCs w:val="1"/>
                <w:color w:val="auto"/>
              </w:rPr>
              <w:t>June 30, 2020</w:t>
            </w:r>
          </w:p>
        </w:tc>
      </w:tr>
      <w:tr>
        <w:trPr>
          <w:trHeight w:val="223"/>
        </w:trPr>
        <w:tc>
          <w:tcPr>
            <w:tcW w:w="4740" w:type="dxa"/>
            <w:vAlign w:val="bottom"/>
          </w:tcPr>
          <w:p>
            <w:pPr>
              <w:spacing w:after="0"/>
              <w:rPr>
                <w:sz w:val="19"/>
                <w:szCs w:val="19"/>
                <w:color w:val="auto"/>
              </w:rPr>
            </w:pPr>
          </w:p>
        </w:tc>
        <w:tc>
          <w:tcPr>
            <w:tcW w:w="1700" w:type="dxa"/>
            <w:vAlign w:val="bottom"/>
            <w:tcBorders>
              <w:top w:val="single" w:sz="8" w:color="auto"/>
            </w:tcBorders>
            <w:gridSpan w:val="2"/>
          </w:tcPr>
          <w:p>
            <w:pPr>
              <w:ind w:left="480"/>
              <w:spacing w:after="0"/>
              <w:rPr>
                <w:sz w:val="20"/>
                <w:szCs w:val="20"/>
                <w:color w:val="auto"/>
              </w:rPr>
            </w:pPr>
            <w:r>
              <w:rPr>
                <w:rFonts w:ascii="Arial" w:cs="Arial" w:eastAsia="Arial" w:hAnsi="Arial"/>
                <w:sz w:val="18"/>
                <w:szCs w:val="18"/>
                <w:b w:val="1"/>
                <w:bCs w:val="1"/>
                <w:color w:val="auto"/>
              </w:rPr>
              <w:t>Shares</w:t>
            </w: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6"/>
              </w:rPr>
              <w:t>Avg. Price</w:t>
            </w:r>
          </w:p>
        </w:tc>
        <w:tc>
          <w:tcPr>
            <w:tcW w:w="320" w:type="dxa"/>
            <w:vAlign w:val="bottom"/>
          </w:tcPr>
          <w:p>
            <w:pPr>
              <w:spacing w:after="0"/>
              <w:rPr>
                <w:sz w:val="19"/>
                <w:szCs w:val="19"/>
                <w:color w:val="auto"/>
              </w:rPr>
            </w:pPr>
          </w:p>
        </w:tc>
        <w:tc>
          <w:tcPr>
            <w:tcW w:w="1660" w:type="dxa"/>
            <w:vAlign w:val="bottom"/>
            <w:tcBorders>
              <w:top w:val="single" w:sz="8" w:color="auto"/>
            </w:tcBorders>
            <w:gridSpan w:val="2"/>
          </w:tcPr>
          <w:p>
            <w:pPr>
              <w:ind w:left="46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Avg. Price</w:t>
            </w:r>
          </w:p>
        </w:tc>
        <w:tc>
          <w:tcPr>
            <w:tcW w:w="100" w:type="dxa"/>
            <w:vAlign w:val="bottom"/>
          </w:tcPr>
          <w:p>
            <w:pPr>
              <w:spacing w:after="0"/>
              <w:rPr>
                <w:sz w:val="19"/>
                <w:szCs w:val="19"/>
                <w:color w:val="auto"/>
              </w:rPr>
            </w:pPr>
          </w:p>
        </w:tc>
      </w:tr>
      <w:tr>
        <w:trPr>
          <w:trHeight w:val="210"/>
        </w:trPr>
        <w:tc>
          <w:tcPr>
            <w:tcW w:w="47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Open market purchases</w:t>
            </w: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301,088</w:t>
            </w:r>
          </w:p>
        </w:tc>
        <w:tc>
          <w:tcPr>
            <w:tcW w:w="34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4.18</w:t>
            </w: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25,113</w:t>
            </w:r>
          </w:p>
        </w:tc>
        <w:tc>
          <w:tcPr>
            <w:tcW w:w="3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Shares redeemed upon net exercise of stock options</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56,983</w:t>
            </w:r>
          </w:p>
        </w:tc>
        <w:tc>
          <w:tcPr>
            <w:tcW w:w="36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4.47</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46,909</w:t>
            </w:r>
          </w:p>
        </w:tc>
        <w:tc>
          <w:tcPr>
            <w:tcW w:w="2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r>
      <w:tr>
        <w:trPr>
          <w:trHeight w:val="223"/>
        </w:trPr>
        <w:tc>
          <w:tcPr>
            <w:tcW w:w="47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stock purchases</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358,071</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4.42</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72,022</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Some items in the prior year financial statements were reclassified to conform to the current presentation. Reclassifications had no effect on net income or shareholders’ equity.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June 30, 2021,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Contingent Liabilities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Pandemic</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2019, a new strain of coronavirus (the “COVID-19 virus”) originated in Wuhan, China. Since its discovery, the COVID-19 virus has spread throughout the world, and the outbreak has been declared to be a pandemic by the World Health Organization. We refer from time to time in this report to the outbreak and spread of the COVID-19 virus as “the pandemic.”</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our portfolio of finance receivables carried at fair value with consideration for unobservable inputs that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The pandemic and the adverse effect it may have on the U.S. economy and our obligors may cause us to consider significant changes in any of those inputs, which in turn may have a significant effect on our fair value measurement.</w:t>
      </w:r>
    </w:p>
    <w:p>
      <w:pPr>
        <w:spacing w:after="0" w:line="188"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Finance Receivables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2018 the Company adopted the fair value method of accounting for finance receivables acquired after 2017. Finance receivables measured at fair value are recorded separately on the Company’s Balance Sheet and are excluded from all tables in this footnote.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tcPr>
          <w:p>
            <w:pPr>
              <w:spacing w:after="0"/>
              <w:rPr>
                <w:sz w:val="20"/>
                <w:szCs w:val="20"/>
                <w:color w:val="auto"/>
              </w:rPr>
            </w:pPr>
            <w:r>
              <w:rPr>
                <w:rFonts w:ascii="Arial" w:cs="Arial" w:eastAsia="Arial" w:hAnsi="Arial"/>
                <w:sz w:val="18"/>
                <w:szCs w:val="18"/>
                <w:color w:val="auto"/>
                <w:w w:val="95"/>
              </w:rPr>
              <w:t>The following table presents the components of Finance Receivables, net of unearned interest:</w:t>
            </w: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7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0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7240" w:type="dxa"/>
            <w:vAlign w:val="bottom"/>
            <w:vMerge w:val="restart"/>
          </w:tcPr>
          <w:p>
            <w:pPr>
              <w:spacing w:after="0"/>
              <w:rPr>
                <w:sz w:val="20"/>
                <w:szCs w:val="20"/>
                <w:color w:val="auto"/>
              </w:rPr>
            </w:pPr>
            <w:r>
              <w:rPr>
                <w:rFonts w:ascii="Arial" w:cs="Arial" w:eastAsia="Arial" w:hAnsi="Arial"/>
                <w:sz w:val="18"/>
                <w:szCs w:val="18"/>
                <w:color w:val="auto"/>
              </w:rPr>
              <w:t>Finance receivables</w:t>
            </w: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2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gridSpan w:val="4"/>
          </w:tcPr>
          <w:p>
            <w:pPr>
              <w:jc w:val="right"/>
              <w:ind w:right="109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EEEEEE"/>
          </w:tcPr>
          <w:p>
            <w:pPr>
              <w:spacing w:after="0"/>
              <w:rPr>
                <w:sz w:val="20"/>
                <w:szCs w:val="20"/>
                <w:color w:val="auto"/>
              </w:rPr>
            </w:pPr>
            <w:r>
              <w:rPr>
                <w:rFonts w:ascii="Arial" w:cs="Arial" w:eastAsia="Arial" w:hAnsi="Arial"/>
                <w:sz w:val="18"/>
                <w:szCs w:val="18"/>
                <w:color w:val="auto"/>
              </w:rPr>
              <w:t>Automobile finance receivables, net of unearned interest</w:t>
            </w:r>
          </w:p>
        </w:tc>
        <w:tc>
          <w:tcPr>
            <w:tcW w:w="1400" w:type="dxa"/>
            <w:vAlign w:val="bottom"/>
            <w:gridSpan w:val="2"/>
            <w:shd w:val="clear" w:color="auto" w:fill="EEEEEE"/>
          </w:tcPr>
          <w:p>
            <w:pPr>
              <w:jc w:val="right"/>
              <w:ind w:right="79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9"/>
              </w:rPr>
              <w:t>340,470</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491,307</w:t>
            </w: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Unearned acquisition fees and originations costs</w:t>
            </w: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23"/>
        </w:trPr>
        <w:tc>
          <w:tcPr>
            <w:tcW w:w="72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420" w:type="dxa"/>
            <w:vAlign w:val="bottom"/>
            <w:tcBorders>
              <w:top w:val="single" w:sz="8" w:color="EEEEEE"/>
              <w:bottom w:val="single" w:sz="8" w:color="EEEEEE"/>
            </w:tcBorders>
            <w:shd w:val="clear" w:color="auto" w:fill="EEEEEE"/>
          </w:tcPr>
          <w:p>
            <w:pPr>
              <w:spacing w:after="0"/>
              <w:rPr>
                <w:sz w:val="19"/>
                <w:szCs w:val="19"/>
                <w:color w:val="auto"/>
              </w:rPr>
            </w:pPr>
          </w:p>
        </w:tc>
        <w:tc>
          <w:tcPr>
            <w:tcW w:w="980" w:type="dxa"/>
            <w:vAlign w:val="bottom"/>
            <w:tcBorders>
              <w:top w:val="single" w:sz="8" w:color="auto"/>
              <w:bottom w:val="single" w:sz="8" w:color="auto"/>
            </w:tcBorders>
            <w:shd w:val="clear" w:color="auto" w:fill="EEEEEE"/>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9"/>
              </w:rPr>
              <w:t>340,470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492,133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June 30, 2021 and December 31, 2020:</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Delinquency Status</w:t>
            </w:r>
          </w:p>
        </w:tc>
        <w:tc>
          <w:tcPr>
            <w:tcW w:w="3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0" w:type="dxa"/>
            <w:vAlign w:val="bottom"/>
            <w:gridSpan w:val="4"/>
          </w:tcPr>
          <w:p>
            <w:pPr>
              <w:jc w:val="right"/>
              <w:ind w:right="109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540" w:type="dxa"/>
            <w:vAlign w:val="bottom"/>
            <w:gridSpan w:val="2"/>
            <w:vMerge w:val="continue"/>
          </w:tcPr>
          <w:p>
            <w:pPr>
              <w:spacing w:after="0"/>
              <w:rPr>
                <w:sz w:val="17"/>
                <w:szCs w:val="17"/>
                <w:color w:val="auto"/>
              </w:rPr>
            </w:pPr>
          </w:p>
        </w:tc>
        <w:tc>
          <w:tcPr>
            <w:tcW w:w="3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Current</w:t>
            </w:r>
          </w:p>
        </w:tc>
        <w:tc>
          <w:tcPr>
            <w:tcW w:w="340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294,043</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406,693</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31</w:t>
            </w:r>
          </w:p>
        </w:tc>
        <w:tc>
          <w:tcPr>
            <w:tcW w:w="4320" w:type="dxa"/>
            <w:vAlign w:val="bottom"/>
          </w:tcPr>
          <w:p>
            <w:pPr>
              <w:ind w:left="20"/>
              <w:spacing w:after="0"/>
              <w:rPr>
                <w:sz w:val="20"/>
                <w:szCs w:val="20"/>
                <w:color w:val="auto"/>
              </w:rPr>
            </w:pPr>
            <w:r>
              <w:rPr>
                <w:rFonts w:ascii="Arial" w:cs="Arial" w:eastAsia="Arial" w:hAnsi="Arial"/>
                <w:sz w:val="18"/>
                <w:szCs w:val="18"/>
                <w:color w:val="auto"/>
              </w:rPr>
              <w:t>- 60 days</w:t>
            </w:r>
          </w:p>
        </w:tc>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34,437</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56,572</w:t>
            </w:r>
          </w:p>
        </w:tc>
        <w:tc>
          <w:tcPr>
            <w:tcW w:w="0" w:type="dxa"/>
            <w:vAlign w:val="bottom"/>
          </w:tcPr>
          <w:p>
            <w:pPr>
              <w:spacing w:after="0"/>
              <w:rPr>
                <w:sz w:val="1"/>
                <w:szCs w:val="1"/>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61</w:t>
            </w:r>
          </w:p>
        </w:tc>
        <w:tc>
          <w:tcPr>
            <w:tcW w:w="4320" w:type="dxa"/>
            <w:vAlign w:val="bottom"/>
            <w:shd w:val="clear" w:color="auto" w:fill="EEEEEE"/>
          </w:tcPr>
          <w:p>
            <w:pPr>
              <w:ind w:left="20"/>
              <w:spacing w:after="0"/>
              <w:rPr>
                <w:sz w:val="20"/>
                <w:szCs w:val="20"/>
                <w:color w:val="auto"/>
              </w:rPr>
            </w:pPr>
            <w:r>
              <w:rPr>
                <w:rFonts w:ascii="Arial" w:cs="Arial" w:eastAsia="Arial" w:hAnsi="Arial"/>
                <w:sz w:val="18"/>
                <w:szCs w:val="18"/>
                <w:color w:val="auto"/>
              </w:rPr>
              <w:t>- 90 days</w:t>
            </w:r>
          </w:p>
        </w:tc>
        <w:tc>
          <w:tcPr>
            <w:tcW w:w="3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10,093</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22,660</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w w:val="99"/>
              </w:rPr>
              <w:t>91</w:t>
            </w:r>
          </w:p>
        </w:tc>
        <w:tc>
          <w:tcPr>
            <w:tcW w:w="4320" w:type="dxa"/>
            <w:vAlign w:val="bottom"/>
          </w:tcPr>
          <w:p>
            <w:pPr>
              <w:ind w:left="20"/>
              <w:spacing w:after="0"/>
              <w:rPr>
                <w:sz w:val="20"/>
                <w:szCs w:val="20"/>
                <w:color w:val="auto"/>
              </w:rPr>
            </w:pPr>
            <w:r>
              <w:rPr>
                <w:rFonts w:ascii="Arial" w:cs="Arial" w:eastAsia="Arial" w:hAnsi="Arial"/>
                <w:sz w:val="18"/>
                <w:szCs w:val="18"/>
                <w:color w:val="auto"/>
              </w:rPr>
              <w:t>+ days</w:t>
            </w:r>
          </w:p>
        </w:tc>
        <w:tc>
          <w:tcPr>
            <w:tcW w:w="3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1,897</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5,382</w:t>
            </w:r>
          </w:p>
        </w:tc>
        <w:tc>
          <w:tcPr>
            <w:tcW w:w="0" w:type="dxa"/>
            <w:vAlign w:val="bottom"/>
          </w:tcPr>
          <w:p>
            <w:pPr>
              <w:spacing w:after="0"/>
              <w:rPr>
                <w:sz w:val="1"/>
                <w:szCs w:val="1"/>
                <w:color w:val="auto"/>
              </w:rPr>
            </w:pPr>
          </w:p>
        </w:tc>
      </w:tr>
      <w:tr>
        <w:trPr>
          <w:trHeight w:val="223"/>
        </w:trPr>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4320" w:type="dxa"/>
            <w:vAlign w:val="bottom"/>
            <w:tcBorders>
              <w:top w:val="single" w:sz="8" w:color="EEEEEE"/>
              <w:bottom w:val="single" w:sz="8" w:color="EEEEEE"/>
            </w:tcBorders>
            <w:shd w:val="clear" w:color="auto" w:fill="EEEEEE"/>
          </w:tcPr>
          <w:p>
            <w:pPr>
              <w:spacing w:after="0"/>
              <w:rPr>
                <w:sz w:val="19"/>
                <w:szCs w:val="19"/>
                <w:color w:val="auto"/>
              </w:rPr>
            </w:pPr>
          </w:p>
        </w:tc>
        <w:tc>
          <w:tcPr>
            <w:tcW w:w="31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340,470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491,307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Finance receivables totaling $1.9 million and $5.4 million at June 30, 2021 and December 31, 2020, respectively, including all receivables greater than 90 days delinquent, have been placed on non-accrual status as a result of their delinquency status.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 – Finance Receivables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allowance for credit losses is a valuation account that is deducted from the amortized cost basis of finance receivables to present the net amount expected to be collected. Charge offs are deducted from the allowance when management believes that collectability is unlikely.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estimates the allowance using relevant available information, from internal and external sources, relating to past events, current conditions and, reasonable and supportable forecasts. We believe our historical credit loss experience provides the best basis for the estimation of expected credit losses. Consequently, we use historical loss experience for older receivables, aggregated into vintage pools based on their calendar quarter of origination, to forecast expected losses for less seasoned quarterly vintage pools.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the weighted average monthly incremental change in cumulative net losses for the vintage pools in the relevant historical period. For the pools in the relevant historical period, we consider each pool’s performance from its inception through the end of the current period. We then apply the results of the historical analysis to less seasoned vintage pools beginning with each vintage pool’s most recent actual cumulative net loss experience and extrapolating from that point based on the historical data. We believe the pattern and magnitude of losses on older vintages allows us to establish a reasonable and supportable forecast of less seasoned vintages.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contract purchase guidelines are designed to produce a homogenous portfolio. For key credit characteristics of individual contracts such as obligor credit history, job stability, residence stability and ability to pay, there is relatively little variation from the average for the portfolio. Similarly, for key structural characteristics such as loan-to-value, length of contract, monthly payment and amount financed, there is relatively little variation from the average for the portfolio. Consequently, we do not believe there are significant differences in risk characteristics between various segments of our portfolio.</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methodology incorporates historical pools that are sufficiently seasoned to capture the magnitude and trends of losses within those vintage pools. Furthermore, the historical period encompasses a substantial volume of receivables over periods that include fluctuations in the competitive landscape, the Company’s rates of growth, size of our managed portfolio and fluctuations in economic growth and unemployment.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consideration of the depth and breadth of the historical period, and the homogeneity of our portfolio, we generally do not adjust historical loss information for differences in risk characteristics such as credit or structural composition of segments of the portfolio or for changes in environmental conditions such as changes in unemployment rates, collateral values or other factors. However, we have considered how certain qualitative factors may affect future credit losses and have incorporated our judgement of the effect of such factors into our estimates.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Effective January 1, 2020, the Company adopted Accounting Standards Codification ("ASC") 326, which changes the criteria under which credit losses on financial instruments (such as the Company’s finance receivables) are measured. ASC 326 introduced a new credit reserving model known as the Current Expected Credit Loss (“CECL”) model, which replaces the incurred loss impairment methodology previously used under U.S. GAAP with a methodology that records currently the expected lifetime credit losses on financial instruments. The adoption of CECL required that we establish an allowance for the remaining expected lifetime credit losses on the portion of the Company’s receivable portfolio for which the Company was not already using fair value accounting. We refer to that portion, which is those receivables that were originated prior to January 2018, as our “legacy portfolio”. To comply with CECL, the Company recorded an addition to its allowance for finance credit losses of $127.0 million. The offset to the addition to the allowance for finance credit losses was a tax affected reduction to retained earnings using the modified retrospective method.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amortized cost basis of our finance receivables by annual vintage as of June 30, 2021 and December 31,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960" w:type="dxa"/>
            <w:vAlign w:val="bottom"/>
          </w:tcPr>
          <w:p>
            <w:pPr>
              <w:spacing w:after="0"/>
              <w:rPr>
                <w:sz w:val="19"/>
                <w:szCs w:val="19"/>
                <w:color w:val="auto"/>
              </w:rPr>
            </w:pPr>
          </w:p>
        </w:tc>
        <w:tc>
          <w:tcPr>
            <w:tcW w:w="4980" w:type="dxa"/>
            <w:vAlign w:val="bottom"/>
            <w:gridSpan w:val="3"/>
            <w:vMerge w:val="restart"/>
          </w:tcPr>
          <w:p>
            <w:pPr>
              <w:jc w:val="right"/>
              <w:ind w:right="3370"/>
              <w:spacing w:after="0"/>
              <w:rPr>
                <w:sz w:val="20"/>
                <w:szCs w:val="20"/>
                <w:color w:val="auto"/>
              </w:rPr>
            </w:pPr>
            <w:r>
              <w:rPr>
                <w:rFonts w:ascii="Arial" w:cs="Arial" w:eastAsia="Arial" w:hAnsi="Arial"/>
                <w:sz w:val="18"/>
                <w:szCs w:val="18"/>
                <w:color w:val="auto"/>
                <w:w w:val="91"/>
              </w:rPr>
              <w:t>Annual Vintage Pool</w:t>
            </w:r>
          </w:p>
        </w:tc>
        <w:tc>
          <w:tcPr>
            <w:tcW w:w="3200" w:type="dxa"/>
            <w:vAlign w:val="bottom"/>
            <w:gridSpan w:val="4"/>
          </w:tcPr>
          <w:p>
            <w:pPr>
              <w:jc w:val="right"/>
              <w:ind w:right="109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960" w:type="dxa"/>
            <w:vAlign w:val="bottom"/>
          </w:tcPr>
          <w:p>
            <w:pPr>
              <w:spacing w:after="0"/>
              <w:rPr>
                <w:sz w:val="13"/>
                <w:szCs w:val="13"/>
                <w:color w:val="auto"/>
              </w:rPr>
            </w:pPr>
          </w:p>
        </w:tc>
        <w:tc>
          <w:tcPr>
            <w:tcW w:w="4980" w:type="dxa"/>
            <w:vAlign w:val="bottom"/>
            <w:gridSpan w:val="3"/>
            <w:vMerge w:val="continue"/>
          </w:tcPr>
          <w:p>
            <w:pPr>
              <w:spacing w:after="0"/>
              <w:rPr>
                <w:sz w:val="13"/>
                <w:szCs w:val="13"/>
                <w:color w:val="auto"/>
              </w:rPr>
            </w:pP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2012 and prior</w:t>
            </w:r>
          </w:p>
        </w:tc>
        <w:tc>
          <w:tcPr>
            <w:tcW w:w="4980" w:type="dxa"/>
            <w:vAlign w:val="bottom"/>
            <w:gridSpan w:val="3"/>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306</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2013</w:t>
            </w:r>
          </w:p>
        </w:tc>
        <w:tc>
          <w:tcPr>
            <w:tcW w:w="15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2,257</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16"/>
        </w:trPr>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2014</w:t>
            </w:r>
          </w:p>
        </w:tc>
        <w:tc>
          <w:tcPr>
            <w:tcW w:w="1520" w:type="dxa"/>
            <w:vAlign w:val="bottom"/>
            <w:shd w:val="clear" w:color="auto" w:fill="EEEEEE"/>
          </w:tcPr>
          <w:p>
            <w:pPr>
              <w:spacing w:after="0"/>
              <w:rPr>
                <w:sz w:val="18"/>
                <w:szCs w:val="18"/>
                <w:color w:val="auto"/>
              </w:rPr>
            </w:pPr>
          </w:p>
        </w:tc>
        <w:tc>
          <w:tcPr>
            <w:tcW w:w="3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12,750</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23,115</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2015</w:t>
            </w:r>
          </w:p>
        </w:tc>
        <w:tc>
          <w:tcPr>
            <w:tcW w:w="15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48,953</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78,457</w:t>
            </w:r>
          </w:p>
        </w:tc>
        <w:tc>
          <w:tcPr>
            <w:tcW w:w="0" w:type="dxa"/>
            <w:vAlign w:val="bottom"/>
          </w:tcPr>
          <w:p>
            <w:pPr>
              <w:spacing w:after="0"/>
              <w:rPr>
                <w:sz w:val="1"/>
                <w:szCs w:val="1"/>
                <w:color w:val="auto"/>
              </w:rPr>
            </w:pPr>
          </w:p>
        </w:tc>
      </w:tr>
      <w:tr>
        <w:trPr>
          <w:trHeight w:val="216"/>
        </w:trPr>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2016</w:t>
            </w:r>
          </w:p>
        </w:tc>
        <w:tc>
          <w:tcPr>
            <w:tcW w:w="1520" w:type="dxa"/>
            <w:vAlign w:val="bottom"/>
            <w:shd w:val="clear" w:color="auto" w:fill="EEEEEE"/>
          </w:tcPr>
          <w:p>
            <w:pPr>
              <w:spacing w:after="0"/>
              <w:rPr>
                <w:sz w:val="18"/>
                <w:szCs w:val="18"/>
                <w:color w:val="auto"/>
              </w:rPr>
            </w:pPr>
          </w:p>
        </w:tc>
        <w:tc>
          <w:tcPr>
            <w:tcW w:w="3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113,339</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163,677</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2017</w:t>
            </w:r>
          </w:p>
        </w:tc>
        <w:tc>
          <w:tcPr>
            <w:tcW w:w="15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162,865</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220,967</w:t>
            </w:r>
          </w:p>
        </w:tc>
        <w:tc>
          <w:tcPr>
            <w:tcW w:w="0" w:type="dxa"/>
            <w:vAlign w:val="bottom"/>
          </w:tcPr>
          <w:p>
            <w:pPr>
              <w:spacing w:after="0"/>
              <w:rPr>
                <w:sz w:val="1"/>
                <w:szCs w:val="1"/>
                <w:color w:val="auto"/>
              </w:rPr>
            </w:pPr>
          </w:p>
        </w:tc>
      </w:tr>
      <w:tr>
        <w:trPr>
          <w:trHeight w:val="223"/>
        </w:trPr>
        <w:tc>
          <w:tcPr>
            <w:tcW w:w="2960" w:type="dxa"/>
            <w:vAlign w:val="bottom"/>
            <w:tcBorders>
              <w:top w:val="single" w:sz="8" w:color="EEEEEE"/>
              <w:bottom w:val="single" w:sz="8" w:color="EEEEEE"/>
            </w:tcBorders>
            <w:shd w:val="clear" w:color="auto" w:fill="EEEEEE"/>
          </w:tcPr>
          <w:p>
            <w:pPr>
              <w:spacing w:after="0"/>
              <w:rPr>
                <w:sz w:val="19"/>
                <w:szCs w:val="19"/>
                <w:color w:val="auto"/>
              </w:rPr>
            </w:pPr>
          </w:p>
        </w:tc>
        <w:tc>
          <w:tcPr>
            <w:tcW w:w="1520" w:type="dxa"/>
            <w:vAlign w:val="bottom"/>
            <w:tcBorders>
              <w:top w:val="single" w:sz="8" w:color="EEEEEE"/>
              <w:bottom w:val="single" w:sz="8" w:color="EEEEEE"/>
            </w:tcBorders>
            <w:shd w:val="clear" w:color="auto" w:fill="EEEEEE"/>
          </w:tcPr>
          <w:p>
            <w:pPr>
              <w:spacing w:after="0"/>
              <w:rPr>
                <w:sz w:val="19"/>
                <w:szCs w:val="19"/>
                <w:color w:val="auto"/>
              </w:rPr>
            </w:pPr>
          </w:p>
        </w:tc>
        <w:tc>
          <w:tcPr>
            <w:tcW w:w="318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340,470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491,307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a summary of the activity for the allowance for finance credit losses for the three-month and six-month periods ended June 30,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80" w:type="dxa"/>
            <w:vAlign w:val="bottom"/>
            <w:gridSpan w:val="6"/>
          </w:tcPr>
          <w:p>
            <w:pPr>
              <w:jc w:val="right"/>
              <w:ind w:right="104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9"/>
                <w:szCs w:val="19"/>
                <w:color w:val="auto"/>
              </w:rPr>
            </w:pPr>
          </w:p>
        </w:tc>
        <w:tc>
          <w:tcPr>
            <w:tcW w:w="2780" w:type="dxa"/>
            <w:vAlign w:val="bottom"/>
            <w:gridSpan w:val="7"/>
          </w:tcPr>
          <w:p>
            <w:pPr>
              <w:jc w:val="right"/>
              <w:ind w:right="9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289"/>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2020</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4"/>
          </w:tcPr>
          <w:p>
            <w:pPr>
              <w:jc w:val="right"/>
              <w:ind w:right="9"/>
              <w:spacing w:after="0"/>
              <w:rPr>
                <w:sz w:val="20"/>
                <w:szCs w:val="20"/>
                <w:color w:val="auto"/>
              </w:rPr>
            </w:pPr>
            <w:r>
              <w:rPr>
                <w:rFonts w:ascii="Arial" w:cs="Arial" w:eastAsia="Arial" w:hAnsi="Arial"/>
                <w:sz w:val="18"/>
                <w:szCs w:val="18"/>
                <w:b w:val="1"/>
                <w:bCs w:val="1"/>
                <w:color w:val="auto"/>
              </w:rPr>
              <w:t>(In thousands)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320" w:type="dxa"/>
            <w:vAlign w:val="bottom"/>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73,497</w:t>
            </w:r>
          </w:p>
        </w:tc>
        <w:tc>
          <w:tcPr>
            <w:tcW w:w="660" w:type="dxa"/>
            <w:vAlign w:val="bottom"/>
            <w:gridSpan w:val="2"/>
            <w:shd w:val="clear" w:color="auto" w:fill="EEEEEE"/>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114,073</w:t>
            </w:r>
          </w:p>
        </w:tc>
        <w:tc>
          <w:tcPr>
            <w:tcW w:w="320" w:type="dxa"/>
            <w:vAlign w:val="bottom"/>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80,790</w:t>
            </w:r>
          </w:p>
        </w:tc>
        <w:tc>
          <w:tcPr>
            <w:tcW w:w="500" w:type="dxa"/>
            <w:vAlign w:val="bottom"/>
            <w:gridSpan w:val="2"/>
            <w:shd w:val="clear" w:color="auto" w:fill="EEEEEE"/>
          </w:tcPr>
          <w:p>
            <w:pPr>
              <w:jc w:val="right"/>
              <w:ind w:right="369"/>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11,640</w:t>
            </w: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Early adoption of CECL</w:t>
            </w: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127,000</w:t>
            </w: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Provision for credit losses on finance receivables</w:t>
            </w:r>
          </w:p>
        </w:tc>
        <w:tc>
          <w:tcPr>
            <w:tcW w:w="3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3,100</w:t>
            </w:r>
          </w:p>
        </w:tc>
        <w:tc>
          <w:tcPr>
            <w:tcW w:w="3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6,713</w:t>
            </w: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Charge-offs</w:t>
            </w:r>
          </w:p>
        </w:tc>
        <w:tc>
          <w:tcPr>
            <w:tcW w:w="3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(6,699)</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(23,308)</w:t>
            </w:r>
          </w:p>
        </w:tc>
        <w:tc>
          <w:tcPr>
            <w:tcW w:w="3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(18,820)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(57,522)</w:t>
            </w:r>
          </w:p>
        </w:tc>
      </w:tr>
      <w:tr>
        <w:trPr>
          <w:trHeight w:val="230"/>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Recoveries</w:t>
            </w:r>
          </w:p>
        </w:tc>
        <w:tc>
          <w:tcPr>
            <w:tcW w:w="32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5,444</w:t>
            </w:r>
          </w:p>
        </w:tc>
        <w:tc>
          <w:tcPr>
            <w:tcW w:w="14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4,737</w:t>
            </w:r>
          </w:p>
        </w:tc>
        <w:tc>
          <w:tcPr>
            <w:tcW w:w="3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10,272</w:t>
            </w:r>
          </w:p>
        </w:tc>
        <w:tc>
          <w:tcPr>
            <w:tcW w:w="2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10,771</w:t>
            </w:r>
          </w:p>
        </w:tc>
        <w:tc>
          <w:tcPr>
            <w:tcW w:w="80" w:type="dxa"/>
            <w:vAlign w:val="bottom"/>
            <w:shd w:val="clear" w:color="auto" w:fill="EEEEEE"/>
          </w:tcPr>
          <w:p>
            <w:pPr>
              <w:spacing w:after="0"/>
              <w:rPr>
                <w:sz w:val="19"/>
                <w:szCs w:val="19"/>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72,242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98,602</w:t>
            </w:r>
          </w:p>
        </w:tc>
        <w:tc>
          <w:tcPr>
            <w:tcW w:w="3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72,242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5640" w:type="dxa"/>
            <w:vAlign w:val="bottom"/>
          </w:tcPr>
          <w:p>
            <w:pPr>
              <w:spacing w:after="0"/>
              <w:rPr>
                <w:sz w:val="20"/>
                <w:szCs w:val="20"/>
                <w:color w:val="auto"/>
              </w:rPr>
            </w:pPr>
          </w:p>
        </w:tc>
        <w:tc>
          <w:tcPr>
            <w:tcW w:w="31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56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gridSpan w:val="4"/>
          </w:tcPr>
          <w:p>
            <w:pPr>
              <w:jc w:val="right"/>
              <w:ind w:right="1090"/>
              <w:spacing w:after="0"/>
              <w:rPr>
                <w:sz w:val="20"/>
                <w:szCs w:val="20"/>
                <w:color w:val="auto"/>
              </w:rPr>
            </w:pPr>
            <w:r>
              <w:rPr>
                <w:rFonts w:ascii="Arial" w:cs="Arial" w:eastAsia="Arial" w:hAnsi="Arial"/>
                <w:sz w:val="18"/>
                <w:szCs w:val="18"/>
                <w:b w:val="1"/>
                <w:bCs w:val="1"/>
                <w:color w:val="auto"/>
                <w:w w:val="93"/>
              </w:rPr>
              <w:t>(In thousands)</w:t>
            </w:r>
          </w:p>
        </w:tc>
        <w:tc>
          <w:tcPr>
            <w:tcW w:w="100" w:type="dxa"/>
            <w:vAlign w:val="bottom"/>
          </w:tcPr>
          <w:p>
            <w:pPr>
              <w:spacing w:after="0"/>
              <w:rPr>
                <w:sz w:val="18"/>
                <w:szCs w:val="18"/>
                <w:color w:val="auto"/>
              </w:rPr>
            </w:pPr>
          </w:p>
        </w:tc>
      </w:tr>
      <w:tr>
        <w:trPr>
          <w:trHeight w:val="216"/>
        </w:trPr>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Gross balance of repossessions in inventory</w:t>
            </w:r>
          </w:p>
        </w:tc>
        <w:tc>
          <w:tcPr>
            <w:tcW w:w="3140" w:type="dxa"/>
            <w:vAlign w:val="bottom"/>
            <w:gridSpan w:val="2"/>
            <w:shd w:val="clear" w:color="auto" w:fill="EEEEEE"/>
          </w:tcPr>
          <w:p>
            <w:pPr>
              <w:jc w:val="right"/>
              <w:ind w:right="9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7"/>
              </w:rPr>
              <w:t>6,154</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15,589</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Allowance for losses on repossessed inventory</w:t>
            </w:r>
          </w:p>
        </w:tc>
        <w:tc>
          <w:tcPr>
            <w:tcW w:w="2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(3,337)</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(11,790)</w:t>
            </w:r>
          </w:p>
        </w:tc>
      </w:tr>
      <w:tr>
        <w:trPr>
          <w:trHeight w:val="223"/>
        </w:trPr>
        <w:tc>
          <w:tcPr>
            <w:tcW w:w="56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repossessed inventory included in other assets</w:t>
            </w:r>
          </w:p>
        </w:tc>
        <w:tc>
          <w:tcPr>
            <w:tcW w:w="202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ind w:right="9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7"/>
              </w:rPr>
              <w:t>2,817</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3,799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Securitization Trust Debt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0" w:type="dxa"/>
            <w:vAlign w:val="bottom"/>
            <w:gridSpan w:val="2"/>
          </w:tcPr>
          <w:p>
            <w:pPr>
              <w:jc w:val="center"/>
              <w:ind w:right="807"/>
              <w:spacing w:after="0"/>
              <w:rPr>
                <w:sz w:val="20"/>
                <w:szCs w:val="20"/>
                <w:color w:val="auto"/>
              </w:rPr>
            </w:pPr>
            <w:r>
              <w:rPr>
                <w:rFonts w:ascii="Arial" w:cs="Arial" w:eastAsia="Arial" w:hAnsi="Arial"/>
                <w:sz w:val="18"/>
                <w:szCs w:val="18"/>
                <w:b w:val="1"/>
                <w:bCs w:val="1"/>
                <w:color w:val="auto"/>
                <w:w w:val="95"/>
              </w:rPr>
              <w:t>Final</w:t>
            </w: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Receivables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Outstanding</w:t>
            </w:r>
          </w:p>
        </w:tc>
        <w:tc>
          <w:tcPr>
            <w:tcW w:w="14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0" w:type="dxa"/>
            <w:vAlign w:val="bottom"/>
            <w:gridSpan w:val="2"/>
          </w:tcPr>
          <w:p>
            <w:pPr>
              <w:jc w:val="center"/>
              <w:ind w:right="787"/>
              <w:spacing w:after="0"/>
              <w:rPr>
                <w:sz w:val="20"/>
                <w:szCs w:val="20"/>
                <w:color w:val="auto"/>
              </w:rPr>
            </w:pPr>
            <w:r>
              <w:rPr>
                <w:rFonts w:ascii="Arial" w:cs="Arial" w:eastAsia="Arial" w:hAnsi="Arial"/>
                <w:sz w:val="18"/>
                <w:szCs w:val="18"/>
                <w:b w:val="1"/>
                <w:bCs w:val="1"/>
                <w:color w:val="auto"/>
                <w:w w:val="85"/>
              </w:rPr>
              <w:t>Scheduled</w:t>
            </w: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Pledged at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Principal at</w:t>
            </w:r>
          </w:p>
        </w:tc>
        <w:tc>
          <w:tcPr>
            <w:tcW w:w="14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Principal at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0" w:type="dxa"/>
            <w:vAlign w:val="bottom"/>
            <w:gridSpan w:val="2"/>
          </w:tcPr>
          <w:p>
            <w:pPr>
              <w:jc w:val="center"/>
              <w:ind w:right="807"/>
              <w:spacing w:after="0"/>
              <w:rPr>
                <w:sz w:val="20"/>
                <w:szCs w:val="20"/>
                <w:color w:val="auto"/>
              </w:rPr>
            </w:pPr>
            <w:r>
              <w:rPr>
                <w:rFonts w:ascii="Arial" w:cs="Arial" w:eastAsia="Arial" w:hAnsi="Arial"/>
                <w:sz w:val="18"/>
                <w:szCs w:val="18"/>
                <w:b w:val="1"/>
                <w:bCs w:val="1"/>
                <w:color w:val="auto"/>
                <w:w w:val="90"/>
              </w:rPr>
              <w:t>Payment</w:t>
            </w: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Pr>
          <w:p>
            <w:pPr>
              <w:spacing w:after="0"/>
              <w:rPr>
                <w:sz w:val="19"/>
                <w:szCs w:val="19"/>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7"/>
              </w:rPr>
              <w:t>Initial</w:t>
            </w: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4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at June 30,</w:t>
            </w:r>
          </w:p>
        </w:tc>
        <w:tc>
          <w:tcPr>
            <w:tcW w:w="0" w:type="dxa"/>
            <w:vAlign w:val="bottom"/>
          </w:tcPr>
          <w:p>
            <w:pPr>
              <w:spacing w:after="0"/>
              <w:rPr>
                <w:sz w:val="1"/>
                <w:szCs w:val="1"/>
                <w:color w:val="auto"/>
              </w:rPr>
            </w:pPr>
          </w:p>
        </w:tc>
      </w:tr>
      <w:tr>
        <w:trPr>
          <w:trHeight w:val="234"/>
        </w:trPr>
        <w:tc>
          <w:tcPr>
            <w:tcW w:w="1900" w:type="dxa"/>
            <w:vAlign w:val="bottom"/>
            <w:gridSpan w:val="3"/>
          </w:tcPr>
          <w:p>
            <w:pPr>
              <w:ind w:left="280"/>
              <w:spacing w:after="0"/>
              <w:rPr>
                <w:sz w:val="20"/>
                <w:szCs w:val="20"/>
                <w:color w:val="auto"/>
              </w:rPr>
            </w:pPr>
            <w:r>
              <w:rPr>
                <w:rFonts w:ascii="Arial" w:cs="Arial" w:eastAsia="Arial" w:hAnsi="Arial"/>
                <w:sz w:val="18"/>
                <w:szCs w:val="18"/>
                <w:b w:val="1"/>
                <w:bCs w:val="1"/>
                <w:color w:val="auto"/>
              </w:rPr>
              <w:t>Series</w:t>
            </w:r>
          </w:p>
        </w:tc>
        <w:tc>
          <w:tcPr>
            <w:tcW w:w="2400" w:type="dxa"/>
            <w:vAlign w:val="bottom"/>
            <w:gridSpan w:val="2"/>
          </w:tcPr>
          <w:p>
            <w:pPr>
              <w:jc w:val="center"/>
              <w:ind w:right="787"/>
              <w:spacing w:after="0"/>
              <w:rPr>
                <w:sz w:val="20"/>
                <w:szCs w:val="20"/>
                <w:color w:val="auto"/>
              </w:rPr>
            </w:pPr>
            <w:r>
              <w:rPr>
                <w:rFonts w:ascii="Arial" w:cs="Arial" w:eastAsia="Arial" w:hAnsi="Arial"/>
                <w:sz w:val="18"/>
                <w:szCs w:val="18"/>
                <w:b w:val="1"/>
                <w:bCs w:val="1"/>
                <w:color w:val="auto"/>
                <w:w w:val="93"/>
              </w:rPr>
              <w:t>Date (1)</w:t>
            </w: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 (2)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Principal</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3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gridSpan w:val="5"/>
          </w:tcPr>
          <w:p>
            <w:pPr>
              <w:ind w:left="44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2015-B</w:t>
            </w:r>
          </w:p>
        </w:tc>
        <w:tc>
          <w:tcPr>
            <w:tcW w:w="2400" w:type="dxa"/>
            <w:vAlign w:val="bottom"/>
            <w:gridSpan w:val="2"/>
            <w:shd w:val="clear" w:color="auto" w:fill="EEEEEE"/>
          </w:tcPr>
          <w:p>
            <w:pPr>
              <w:jc w:val="right"/>
              <w:ind w:right="267"/>
              <w:spacing w:after="0"/>
              <w:rPr>
                <w:sz w:val="20"/>
                <w:szCs w:val="20"/>
                <w:color w:val="auto"/>
              </w:rPr>
            </w:pPr>
            <w:r>
              <w:rPr>
                <w:rFonts w:ascii="Arial" w:cs="Arial" w:eastAsia="Arial" w:hAnsi="Arial"/>
                <w:sz w:val="18"/>
                <w:szCs w:val="18"/>
                <w:color w:val="auto"/>
              </w:rPr>
              <w:t>September 2022</w:t>
            </w:r>
          </w:p>
        </w:tc>
        <w:tc>
          <w:tcPr>
            <w:tcW w:w="13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250,000</w:t>
            </w: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17,984</w:t>
            </w:r>
          </w:p>
        </w:tc>
        <w:tc>
          <w:tcPr>
            <w:tcW w:w="2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rPr>
              <w:t>CPS 2015-C</w:t>
            </w:r>
          </w:p>
        </w:tc>
        <w:tc>
          <w:tcPr>
            <w:tcW w:w="2400" w:type="dxa"/>
            <w:vAlign w:val="bottom"/>
            <w:gridSpan w:val="2"/>
          </w:tcPr>
          <w:p>
            <w:pPr>
              <w:jc w:val="right"/>
              <w:ind w:right="267"/>
              <w:spacing w:after="0"/>
              <w:rPr>
                <w:sz w:val="20"/>
                <w:szCs w:val="20"/>
                <w:color w:val="auto"/>
              </w:rPr>
            </w:pPr>
            <w:r>
              <w:rPr>
                <w:rFonts w:ascii="Arial" w:cs="Arial" w:eastAsia="Arial" w:hAnsi="Arial"/>
                <w:sz w:val="18"/>
                <w:szCs w:val="18"/>
                <w:color w:val="auto"/>
              </w:rPr>
              <w:t>December 2022</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300,000</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28,529</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2016-A</w:t>
            </w:r>
          </w:p>
        </w:tc>
        <w:tc>
          <w:tcPr>
            <w:tcW w:w="2400" w:type="dxa"/>
            <w:vAlign w:val="bottom"/>
            <w:gridSpan w:val="2"/>
            <w:shd w:val="clear" w:color="auto" w:fill="EEEEEE"/>
          </w:tcPr>
          <w:p>
            <w:pPr>
              <w:jc w:val="right"/>
              <w:ind w:right="267"/>
              <w:spacing w:after="0"/>
              <w:rPr>
                <w:sz w:val="20"/>
                <w:szCs w:val="20"/>
                <w:color w:val="auto"/>
              </w:rPr>
            </w:pPr>
            <w:r>
              <w:rPr>
                <w:rFonts w:ascii="Arial" w:cs="Arial" w:eastAsia="Arial" w:hAnsi="Arial"/>
                <w:sz w:val="18"/>
                <w:szCs w:val="18"/>
                <w:color w:val="auto"/>
              </w:rPr>
              <w:t>March 2023</w:t>
            </w:r>
          </w:p>
        </w:tc>
        <w:tc>
          <w:tcPr>
            <w:tcW w:w="13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329,460</w:t>
            </w: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24,551</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37,158</w:t>
            </w:r>
          </w:p>
        </w:tc>
        <w:tc>
          <w:tcPr>
            <w:tcW w:w="2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rPr>
              <w:t>CPS 2016-B</w:t>
            </w:r>
          </w:p>
        </w:tc>
        <w:tc>
          <w:tcPr>
            <w:tcW w:w="2400" w:type="dxa"/>
            <w:vAlign w:val="bottom"/>
            <w:gridSpan w:val="2"/>
          </w:tcPr>
          <w:p>
            <w:pPr>
              <w:jc w:val="right"/>
              <w:ind w:right="267"/>
              <w:spacing w:after="0"/>
              <w:rPr>
                <w:sz w:val="20"/>
                <w:szCs w:val="20"/>
                <w:color w:val="auto"/>
              </w:rPr>
            </w:pPr>
            <w:r>
              <w:rPr>
                <w:rFonts w:ascii="Arial" w:cs="Arial" w:eastAsia="Arial" w:hAnsi="Arial"/>
                <w:sz w:val="18"/>
                <w:szCs w:val="18"/>
                <w:color w:val="auto"/>
              </w:rPr>
              <w:t>June 2023</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30,449</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332,690</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30,632</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46,079</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19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2016-C</w:t>
            </w:r>
          </w:p>
        </w:tc>
        <w:tc>
          <w:tcPr>
            <w:tcW w:w="2400" w:type="dxa"/>
            <w:vAlign w:val="bottom"/>
            <w:gridSpan w:val="2"/>
            <w:shd w:val="clear" w:color="auto" w:fill="EEEEEE"/>
          </w:tcPr>
          <w:p>
            <w:pPr>
              <w:jc w:val="right"/>
              <w:ind w:right="267"/>
              <w:spacing w:after="0"/>
              <w:rPr>
                <w:sz w:val="20"/>
                <w:szCs w:val="20"/>
                <w:color w:val="auto"/>
              </w:rPr>
            </w:pPr>
            <w:r>
              <w:rPr>
                <w:rFonts w:ascii="Arial" w:cs="Arial" w:eastAsia="Arial" w:hAnsi="Arial"/>
                <w:sz w:val="18"/>
                <w:szCs w:val="18"/>
                <w:color w:val="auto"/>
              </w:rPr>
              <w:t>September 2023</w:t>
            </w:r>
          </w:p>
        </w:tc>
        <w:tc>
          <w:tcPr>
            <w:tcW w:w="13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32,501</w:t>
            </w:r>
          </w:p>
        </w:tc>
        <w:tc>
          <w:tcPr>
            <w:tcW w:w="1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318,500</w:t>
            </w: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32,010</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47,325</w:t>
            </w:r>
          </w:p>
        </w:tc>
        <w:tc>
          <w:tcPr>
            <w:tcW w:w="2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rPr>
              <w:t>CPS 2016-D</w:t>
            </w:r>
          </w:p>
        </w:tc>
        <w:tc>
          <w:tcPr>
            <w:tcW w:w="2400" w:type="dxa"/>
            <w:vAlign w:val="bottom"/>
            <w:gridSpan w:val="2"/>
          </w:tcPr>
          <w:p>
            <w:pPr>
              <w:jc w:val="right"/>
              <w:ind w:right="267"/>
              <w:spacing w:after="0"/>
              <w:rPr>
                <w:sz w:val="20"/>
                <w:szCs w:val="20"/>
                <w:color w:val="auto"/>
              </w:rPr>
            </w:pPr>
            <w:r>
              <w:rPr>
                <w:rFonts w:ascii="Arial" w:cs="Arial" w:eastAsia="Arial" w:hAnsi="Arial"/>
                <w:sz w:val="18"/>
                <w:szCs w:val="18"/>
                <w:color w:val="auto"/>
              </w:rPr>
              <w:t>April 2024</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27,003</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206,325</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24,564</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36,455</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19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2017-A</w:t>
            </w:r>
          </w:p>
        </w:tc>
        <w:tc>
          <w:tcPr>
            <w:tcW w:w="2400" w:type="dxa"/>
            <w:vAlign w:val="bottom"/>
            <w:gridSpan w:val="2"/>
            <w:shd w:val="clear" w:color="auto" w:fill="EEEEEE"/>
          </w:tcPr>
          <w:p>
            <w:pPr>
              <w:jc w:val="right"/>
              <w:ind w:right="267"/>
              <w:spacing w:after="0"/>
              <w:rPr>
                <w:sz w:val="20"/>
                <w:szCs w:val="20"/>
                <w:color w:val="auto"/>
              </w:rPr>
            </w:pPr>
            <w:r>
              <w:rPr>
                <w:rFonts w:ascii="Arial" w:cs="Arial" w:eastAsia="Arial" w:hAnsi="Arial"/>
                <w:sz w:val="18"/>
                <w:szCs w:val="18"/>
                <w:color w:val="auto"/>
              </w:rPr>
              <w:t>April 2024</w:t>
            </w:r>
          </w:p>
        </w:tc>
        <w:tc>
          <w:tcPr>
            <w:tcW w:w="13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30,562</w:t>
            </w:r>
          </w:p>
        </w:tc>
        <w:tc>
          <w:tcPr>
            <w:tcW w:w="1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206,320</w:t>
            </w: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27,466</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40,619</w:t>
            </w:r>
          </w:p>
        </w:tc>
        <w:tc>
          <w:tcPr>
            <w:tcW w:w="2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rPr>
              <w:t>CPS 2017-B</w:t>
            </w:r>
          </w:p>
        </w:tc>
        <w:tc>
          <w:tcPr>
            <w:tcW w:w="2400" w:type="dxa"/>
            <w:vAlign w:val="bottom"/>
            <w:gridSpan w:val="2"/>
          </w:tcPr>
          <w:p>
            <w:pPr>
              <w:jc w:val="right"/>
              <w:ind w:right="267"/>
              <w:spacing w:after="0"/>
              <w:rPr>
                <w:sz w:val="20"/>
                <w:szCs w:val="20"/>
                <w:color w:val="auto"/>
              </w:rPr>
            </w:pPr>
            <w:r>
              <w:rPr>
                <w:rFonts w:ascii="Arial" w:cs="Arial" w:eastAsia="Arial" w:hAnsi="Arial"/>
                <w:sz w:val="18"/>
                <w:szCs w:val="18"/>
                <w:color w:val="auto"/>
              </w:rPr>
              <w:t>December 2023</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38,953</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225,170</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23,983</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39,016</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19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2017-C</w:t>
            </w:r>
          </w:p>
        </w:tc>
        <w:tc>
          <w:tcPr>
            <w:tcW w:w="2400" w:type="dxa"/>
            <w:vAlign w:val="bottom"/>
            <w:gridSpan w:val="2"/>
            <w:shd w:val="clear" w:color="auto" w:fill="EEEEEE"/>
          </w:tcPr>
          <w:p>
            <w:pPr>
              <w:jc w:val="right"/>
              <w:ind w:right="267"/>
              <w:spacing w:after="0"/>
              <w:rPr>
                <w:sz w:val="20"/>
                <w:szCs w:val="20"/>
                <w:color w:val="auto"/>
              </w:rPr>
            </w:pPr>
            <w:r>
              <w:rPr>
                <w:rFonts w:ascii="Arial" w:cs="Arial" w:eastAsia="Arial" w:hAnsi="Arial"/>
                <w:sz w:val="18"/>
                <w:szCs w:val="18"/>
                <w:color w:val="auto"/>
              </w:rPr>
              <w:t>September 2024</w:t>
            </w:r>
          </w:p>
        </w:tc>
        <w:tc>
          <w:tcPr>
            <w:tcW w:w="13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41,567</w:t>
            </w:r>
          </w:p>
        </w:tc>
        <w:tc>
          <w:tcPr>
            <w:tcW w:w="1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224,825</w:t>
            </w: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35,619</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47,553</w:t>
            </w:r>
          </w:p>
        </w:tc>
        <w:tc>
          <w:tcPr>
            <w:tcW w:w="2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rPr>
              <w:t>CPS 2017-D</w:t>
            </w:r>
          </w:p>
        </w:tc>
        <w:tc>
          <w:tcPr>
            <w:tcW w:w="2400" w:type="dxa"/>
            <w:vAlign w:val="bottom"/>
            <w:gridSpan w:val="2"/>
          </w:tcPr>
          <w:p>
            <w:pPr>
              <w:jc w:val="right"/>
              <w:ind w:right="267"/>
              <w:spacing w:after="0"/>
              <w:rPr>
                <w:sz w:val="20"/>
                <w:szCs w:val="20"/>
                <w:color w:val="auto"/>
              </w:rPr>
            </w:pPr>
            <w:r>
              <w:rPr>
                <w:rFonts w:ascii="Arial" w:cs="Arial" w:eastAsia="Arial" w:hAnsi="Arial"/>
                <w:sz w:val="18"/>
                <w:szCs w:val="18"/>
                <w:color w:val="auto"/>
              </w:rPr>
              <w:t>June 2024</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42,475</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196,300</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36,645</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49,297</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19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2018-A</w:t>
            </w:r>
          </w:p>
        </w:tc>
        <w:tc>
          <w:tcPr>
            <w:tcW w:w="2400" w:type="dxa"/>
            <w:vAlign w:val="bottom"/>
            <w:gridSpan w:val="2"/>
            <w:shd w:val="clear" w:color="auto" w:fill="EEEEEE"/>
          </w:tcPr>
          <w:p>
            <w:pPr>
              <w:jc w:val="right"/>
              <w:ind w:right="267"/>
              <w:spacing w:after="0"/>
              <w:rPr>
                <w:sz w:val="20"/>
                <w:szCs w:val="20"/>
                <w:color w:val="auto"/>
              </w:rPr>
            </w:pPr>
            <w:r>
              <w:rPr>
                <w:rFonts w:ascii="Arial" w:cs="Arial" w:eastAsia="Arial" w:hAnsi="Arial"/>
                <w:sz w:val="18"/>
                <w:szCs w:val="18"/>
                <w:color w:val="auto"/>
              </w:rPr>
              <w:t>March 2025</w:t>
            </w:r>
          </w:p>
        </w:tc>
        <w:tc>
          <w:tcPr>
            <w:tcW w:w="13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46,399</w:t>
            </w:r>
          </w:p>
        </w:tc>
        <w:tc>
          <w:tcPr>
            <w:tcW w:w="1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190,000</w:t>
            </w: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40,124</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53,549</w:t>
            </w:r>
          </w:p>
        </w:tc>
        <w:tc>
          <w:tcPr>
            <w:tcW w:w="2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rPr>
              <w:t>CPS 2018-B</w:t>
            </w:r>
          </w:p>
        </w:tc>
        <w:tc>
          <w:tcPr>
            <w:tcW w:w="2400" w:type="dxa"/>
            <w:vAlign w:val="bottom"/>
            <w:gridSpan w:val="2"/>
          </w:tcPr>
          <w:p>
            <w:pPr>
              <w:jc w:val="right"/>
              <w:ind w:right="267"/>
              <w:spacing w:after="0"/>
              <w:rPr>
                <w:sz w:val="20"/>
                <w:szCs w:val="20"/>
                <w:color w:val="auto"/>
              </w:rPr>
            </w:pPr>
            <w:r>
              <w:rPr>
                <w:rFonts w:ascii="Arial" w:cs="Arial" w:eastAsia="Arial" w:hAnsi="Arial"/>
                <w:sz w:val="18"/>
                <w:szCs w:val="18"/>
                <w:color w:val="auto"/>
              </w:rPr>
              <w:t>December 2024</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56,439</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201,823</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48,683</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66,955</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19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2018-C</w:t>
            </w:r>
          </w:p>
        </w:tc>
        <w:tc>
          <w:tcPr>
            <w:tcW w:w="2400" w:type="dxa"/>
            <w:vAlign w:val="bottom"/>
            <w:gridSpan w:val="2"/>
            <w:shd w:val="clear" w:color="auto" w:fill="EEEEEE"/>
          </w:tcPr>
          <w:p>
            <w:pPr>
              <w:jc w:val="right"/>
              <w:ind w:right="267"/>
              <w:spacing w:after="0"/>
              <w:rPr>
                <w:sz w:val="20"/>
                <w:szCs w:val="20"/>
                <w:color w:val="auto"/>
              </w:rPr>
            </w:pPr>
            <w:r>
              <w:rPr>
                <w:rFonts w:ascii="Arial" w:cs="Arial" w:eastAsia="Arial" w:hAnsi="Arial"/>
                <w:sz w:val="18"/>
                <w:szCs w:val="18"/>
                <w:color w:val="auto"/>
              </w:rPr>
              <w:t>September 2025</w:t>
            </w:r>
          </w:p>
        </w:tc>
        <w:tc>
          <w:tcPr>
            <w:tcW w:w="13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64,829</w:t>
            </w:r>
          </w:p>
        </w:tc>
        <w:tc>
          <w:tcPr>
            <w:tcW w:w="1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230,275</w:t>
            </w: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58,318</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77,345</w:t>
            </w:r>
          </w:p>
        </w:tc>
        <w:tc>
          <w:tcPr>
            <w:tcW w:w="2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rPr>
              <w:t>CPS 2018-D</w:t>
            </w:r>
          </w:p>
        </w:tc>
        <w:tc>
          <w:tcPr>
            <w:tcW w:w="2400" w:type="dxa"/>
            <w:vAlign w:val="bottom"/>
            <w:gridSpan w:val="2"/>
          </w:tcPr>
          <w:p>
            <w:pPr>
              <w:jc w:val="right"/>
              <w:ind w:right="267"/>
              <w:spacing w:after="0"/>
              <w:rPr>
                <w:sz w:val="20"/>
                <w:szCs w:val="20"/>
                <w:color w:val="auto"/>
              </w:rPr>
            </w:pPr>
            <w:r>
              <w:rPr>
                <w:rFonts w:ascii="Arial" w:cs="Arial" w:eastAsia="Arial" w:hAnsi="Arial"/>
                <w:sz w:val="18"/>
                <w:szCs w:val="18"/>
                <w:color w:val="auto"/>
              </w:rPr>
              <w:t>June 2025</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78,903</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233,730</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67,767</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88,228</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19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2019-A</w:t>
            </w:r>
          </w:p>
        </w:tc>
        <w:tc>
          <w:tcPr>
            <w:tcW w:w="2400" w:type="dxa"/>
            <w:vAlign w:val="bottom"/>
            <w:gridSpan w:val="2"/>
            <w:shd w:val="clear" w:color="auto" w:fill="EEEEEE"/>
          </w:tcPr>
          <w:p>
            <w:pPr>
              <w:jc w:val="right"/>
              <w:ind w:right="267"/>
              <w:spacing w:after="0"/>
              <w:rPr>
                <w:sz w:val="20"/>
                <w:szCs w:val="20"/>
                <w:color w:val="auto"/>
              </w:rPr>
            </w:pPr>
            <w:r>
              <w:rPr>
                <w:rFonts w:ascii="Arial" w:cs="Arial" w:eastAsia="Arial" w:hAnsi="Arial"/>
                <w:sz w:val="18"/>
                <w:szCs w:val="18"/>
                <w:color w:val="auto"/>
              </w:rPr>
              <w:t>March 2026</w:t>
            </w:r>
          </w:p>
        </w:tc>
        <w:tc>
          <w:tcPr>
            <w:tcW w:w="13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98,774</w:t>
            </w:r>
          </w:p>
        </w:tc>
        <w:tc>
          <w:tcPr>
            <w:tcW w:w="1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254,400</w:t>
            </w: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84,920</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114,373</w:t>
            </w:r>
          </w:p>
        </w:tc>
        <w:tc>
          <w:tcPr>
            <w:tcW w:w="2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rPr>
              <w:t>CPS 2019-B</w:t>
            </w:r>
          </w:p>
        </w:tc>
        <w:tc>
          <w:tcPr>
            <w:tcW w:w="2400" w:type="dxa"/>
            <w:vAlign w:val="bottom"/>
            <w:gridSpan w:val="2"/>
          </w:tcPr>
          <w:p>
            <w:pPr>
              <w:jc w:val="right"/>
              <w:ind w:right="267"/>
              <w:spacing w:after="0"/>
              <w:rPr>
                <w:sz w:val="20"/>
                <w:szCs w:val="20"/>
                <w:color w:val="auto"/>
              </w:rPr>
            </w:pPr>
            <w:r>
              <w:rPr>
                <w:rFonts w:ascii="Arial" w:cs="Arial" w:eastAsia="Arial" w:hAnsi="Arial"/>
                <w:sz w:val="18"/>
                <w:szCs w:val="18"/>
                <w:color w:val="auto"/>
              </w:rPr>
              <w:t>June 2026</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97,182</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228,275</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87,833</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118,982</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19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2019-C</w:t>
            </w:r>
          </w:p>
        </w:tc>
        <w:tc>
          <w:tcPr>
            <w:tcW w:w="2400" w:type="dxa"/>
            <w:vAlign w:val="bottom"/>
            <w:gridSpan w:val="2"/>
            <w:shd w:val="clear" w:color="auto" w:fill="EEEEEE"/>
          </w:tcPr>
          <w:p>
            <w:pPr>
              <w:jc w:val="right"/>
              <w:ind w:right="267"/>
              <w:spacing w:after="0"/>
              <w:rPr>
                <w:sz w:val="20"/>
                <w:szCs w:val="20"/>
                <w:color w:val="auto"/>
              </w:rPr>
            </w:pPr>
            <w:r>
              <w:rPr>
                <w:rFonts w:ascii="Arial" w:cs="Arial" w:eastAsia="Arial" w:hAnsi="Arial"/>
                <w:sz w:val="18"/>
                <w:szCs w:val="18"/>
                <w:color w:val="auto"/>
              </w:rPr>
              <w:t>September 2026</w:t>
            </w:r>
          </w:p>
        </w:tc>
        <w:tc>
          <w:tcPr>
            <w:tcW w:w="13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114,238</w:t>
            </w:r>
          </w:p>
        </w:tc>
        <w:tc>
          <w:tcPr>
            <w:tcW w:w="1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243,513</w:t>
            </w: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106,354</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142,080</w:t>
            </w:r>
          </w:p>
        </w:tc>
        <w:tc>
          <w:tcPr>
            <w:tcW w:w="2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rPr>
              <w:t>CPS 2019-D</w:t>
            </w:r>
          </w:p>
        </w:tc>
        <w:tc>
          <w:tcPr>
            <w:tcW w:w="2400" w:type="dxa"/>
            <w:vAlign w:val="bottom"/>
            <w:gridSpan w:val="2"/>
          </w:tcPr>
          <w:p>
            <w:pPr>
              <w:jc w:val="right"/>
              <w:ind w:right="267"/>
              <w:spacing w:after="0"/>
              <w:rPr>
                <w:sz w:val="20"/>
                <w:szCs w:val="20"/>
                <w:color w:val="auto"/>
              </w:rPr>
            </w:pPr>
            <w:r>
              <w:rPr>
                <w:rFonts w:ascii="Arial" w:cs="Arial" w:eastAsia="Arial" w:hAnsi="Arial"/>
                <w:sz w:val="18"/>
                <w:szCs w:val="18"/>
                <w:color w:val="auto"/>
              </w:rPr>
              <w:t>December 2026</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145,606</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274,313</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137,180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181,485</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19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2020-A</w:t>
            </w:r>
          </w:p>
        </w:tc>
        <w:tc>
          <w:tcPr>
            <w:tcW w:w="2400" w:type="dxa"/>
            <w:vAlign w:val="bottom"/>
            <w:gridSpan w:val="2"/>
            <w:shd w:val="clear" w:color="auto" w:fill="EEEEEE"/>
          </w:tcPr>
          <w:p>
            <w:pPr>
              <w:jc w:val="right"/>
              <w:ind w:right="267"/>
              <w:spacing w:after="0"/>
              <w:rPr>
                <w:sz w:val="20"/>
                <w:szCs w:val="20"/>
                <w:color w:val="auto"/>
              </w:rPr>
            </w:pPr>
            <w:r>
              <w:rPr>
                <w:rFonts w:ascii="Arial" w:cs="Arial" w:eastAsia="Arial" w:hAnsi="Arial"/>
                <w:sz w:val="18"/>
                <w:szCs w:val="18"/>
                <w:color w:val="auto"/>
              </w:rPr>
              <w:t>March 2027</w:t>
            </w:r>
          </w:p>
        </w:tc>
        <w:tc>
          <w:tcPr>
            <w:tcW w:w="13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141,542</w:t>
            </w:r>
          </w:p>
        </w:tc>
        <w:tc>
          <w:tcPr>
            <w:tcW w:w="1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260,000</w:t>
            </w: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139,485</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184,944</w:t>
            </w:r>
          </w:p>
        </w:tc>
        <w:tc>
          <w:tcPr>
            <w:tcW w:w="2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rPr>
              <w:t>CPS 2020-B</w:t>
            </w:r>
          </w:p>
        </w:tc>
        <w:tc>
          <w:tcPr>
            <w:tcW w:w="2400" w:type="dxa"/>
            <w:vAlign w:val="bottom"/>
            <w:gridSpan w:val="2"/>
          </w:tcPr>
          <w:p>
            <w:pPr>
              <w:jc w:val="right"/>
              <w:ind w:right="267"/>
              <w:spacing w:after="0"/>
              <w:rPr>
                <w:sz w:val="20"/>
                <w:szCs w:val="20"/>
                <w:color w:val="auto"/>
              </w:rPr>
            </w:pPr>
            <w:r>
              <w:rPr>
                <w:rFonts w:ascii="Arial" w:cs="Arial" w:eastAsia="Arial" w:hAnsi="Arial"/>
                <w:sz w:val="18"/>
                <w:szCs w:val="18"/>
                <w:color w:val="auto"/>
              </w:rPr>
              <w:t>June 2027</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145,858</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202,343</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124,382</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164,403</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19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2020-C</w:t>
            </w:r>
          </w:p>
        </w:tc>
        <w:tc>
          <w:tcPr>
            <w:tcW w:w="2400" w:type="dxa"/>
            <w:vAlign w:val="bottom"/>
            <w:gridSpan w:val="2"/>
            <w:shd w:val="clear" w:color="auto" w:fill="EEEEEE"/>
          </w:tcPr>
          <w:p>
            <w:pPr>
              <w:jc w:val="right"/>
              <w:ind w:right="267"/>
              <w:spacing w:after="0"/>
              <w:rPr>
                <w:sz w:val="20"/>
                <w:szCs w:val="20"/>
                <w:color w:val="auto"/>
              </w:rPr>
            </w:pPr>
            <w:r>
              <w:rPr>
                <w:rFonts w:ascii="Arial" w:cs="Arial" w:eastAsia="Arial" w:hAnsi="Arial"/>
                <w:sz w:val="18"/>
                <w:szCs w:val="18"/>
                <w:color w:val="auto"/>
              </w:rPr>
              <w:t>November 2027</w:t>
            </w:r>
          </w:p>
        </w:tc>
        <w:tc>
          <w:tcPr>
            <w:tcW w:w="13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196,785</w:t>
            </w:r>
          </w:p>
        </w:tc>
        <w:tc>
          <w:tcPr>
            <w:tcW w:w="1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252,200</w:t>
            </w: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187,529</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231,961</w:t>
            </w:r>
          </w:p>
        </w:tc>
        <w:tc>
          <w:tcPr>
            <w:tcW w:w="2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rPr>
              <w:t>CPS 2021-A</w:t>
            </w:r>
          </w:p>
        </w:tc>
        <w:tc>
          <w:tcPr>
            <w:tcW w:w="2400" w:type="dxa"/>
            <w:vAlign w:val="bottom"/>
            <w:gridSpan w:val="2"/>
          </w:tcPr>
          <w:p>
            <w:pPr>
              <w:jc w:val="right"/>
              <w:ind w:right="267"/>
              <w:spacing w:after="0"/>
              <w:rPr>
                <w:sz w:val="20"/>
                <w:szCs w:val="20"/>
                <w:color w:val="auto"/>
              </w:rPr>
            </w:pPr>
            <w:r>
              <w:rPr>
                <w:rFonts w:ascii="Arial" w:cs="Arial" w:eastAsia="Arial" w:hAnsi="Arial"/>
                <w:sz w:val="18"/>
                <w:szCs w:val="18"/>
                <w:color w:val="auto"/>
              </w:rPr>
              <w:t>March 2028</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211,575</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230,545</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197,170</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30"/>
        </w:trPr>
        <w:tc>
          <w:tcPr>
            <w:tcW w:w="19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CPS 2021-B</w:t>
            </w:r>
          </w:p>
        </w:tc>
        <w:tc>
          <w:tcPr>
            <w:tcW w:w="2400" w:type="dxa"/>
            <w:vAlign w:val="bottom"/>
            <w:gridSpan w:val="2"/>
            <w:shd w:val="clear" w:color="auto" w:fill="EEEEEE"/>
          </w:tcPr>
          <w:p>
            <w:pPr>
              <w:jc w:val="right"/>
              <w:ind w:right="267"/>
              <w:spacing w:after="0"/>
              <w:rPr>
                <w:sz w:val="20"/>
                <w:szCs w:val="20"/>
                <w:color w:val="auto"/>
              </w:rPr>
            </w:pPr>
            <w:r>
              <w:rPr>
                <w:rFonts w:ascii="Arial" w:cs="Arial" w:eastAsia="Arial" w:hAnsi="Arial"/>
                <w:sz w:val="18"/>
                <w:szCs w:val="18"/>
                <w:color w:val="auto"/>
              </w:rPr>
              <w:t>June 2028</w:t>
            </w:r>
          </w:p>
        </w:tc>
        <w:tc>
          <w:tcPr>
            <w:tcW w:w="13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228,935</w:t>
            </w:r>
          </w:p>
        </w:tc>
        <w:tc>
          <w:tcPr>
            <w:tcW w:w="1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240,000</w:t>
            </w: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228,585</w:t>
            </w:r>
          </w:p>
        </w:tc>
        <w:tc>
          <w:tcPr>
            <w:tcW w:w="142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1,870,574</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5,631,007</w:t>
            </w:r>
          </w:p>
        </w:tc>
        <w:tc>
          <w:tcPr>
            <w:tcW w:w="3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   1,743,799</w:t>
            </w:r>
          </w:p>
        </w:tc>
        <w:tc>
          <w:tcPr>
            <w:tcW w:w="3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1,814,320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w:t>
            </w:r>
          </w:p>
        </w:tc>
        <w:tc>
          <w:tcPr>
            <w:tcW w:w="2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00" w:type="dxa"/>
            <w:vAlign w:val="bottom"/>
            <w:gridSpan w:val="3"/>
            <w:vMerge w:val="continue"/>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000" w:hanging="992"/>
        <w:spacing w:after="0" w:line="301" w:lineRule="auto"/>
        <w:tabs>
          <w:tab w:leader="none" w:pos="100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$442.0 million in 2021, $543.0 million in 2022, $451.5 million in 2023, $112.3 million in 2024, $119.4 million in 2025, $53.2 million in 2026, and $11.4 million in 2027.</w:t>
      </w:r>
    </w:p>
    <w:p>
      <w:pPr>
        <w:spacing w:after="0" w:line="157" w:lineRule="exact"/>
        <w:rPr>
          <w:rFonts w:ascii="Arial" w:cs="Arial" w:eastAsia="Arial" w:hAnsi="Arial"/>
          <w:sz w:val="16"/>
          <w:szCs w:val="16"/>
          <w:i w:val="1"/>
          <w:iCs w:val="1"/>
          <w:color w:val="auto"/>
        </w:rPr>
      </w:pPr>
    </w:p>
    <w:p>
      <w:pPr>
        <w:ind w:left="1000" w:hanging="992"/>
        <w:spacing w:after="0"/>
        <w:tabs>
          <w:tab w:leader="none" w:pos="10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Unaudited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Debt issuance costs of $10.9 million and $10.6 million as of June 30, 2021 and December 31, 2020, respectively, have been excluded from the table above. These debt issuance costs are presented as a direct deduction to the carrying amount of the securitization trust debt on our Unaudited Condensed Consolidated Balance Sheets.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As of June 30, 2021, we were in compliance with all such covenants.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June 30, 2021, restricted cash under the various agreements totaled approximately $155.8 million.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July 28, 2021 we completed our third securitization transaction of 2021. In the transaction, qualified institutional buyers purchased $291.0 million of asset-backed notes secured by $300.0 million in automobile receivables originated by CPS. The sold notes, issued by CPS Auto Receivables Trust 2021-C, consist of five classes. Ratings of the notes were provided by Standard &amp; Poor’s and DBRS Morningstar, and were based on the structure of the transaction, the historical performance of similar receivables and CPS’s experience as a servicer. The weighted average yield on the notes is approximately 1.55%.</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terms and amounts of our other debt outstanding at June 30, 2021 and December 31, 2020 are summarized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Amount Outstanding at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80" w:type="dxa"/>
            <w:vAlign w:val="bottom"/>
          </w:tcPr>
          <w:p>
            <w:pPr>
              <w:ind w:left="600"/>
              <w:spacing w:after="0"/>
              <w:rPr>
                <w:sz w:val="20"/>
                <w:szCs w:val="20"/>
                <w:color w:val="auto"/>
              </w:rPr>
            </w:pPr>
            <w:r>
              <w:rPr>
                <w:rFonts w:ascii="Arial" w:cs="Arial" w:eastAsia="Arial" w:hAnsi="Arial"/>
                <w:sz w:val="18"/>
                <w:szCs w:val="18"/>
                <w:b w:val="1"/>
                <w:bCs w:val="1"/>
                <w:color w:val="auto"/>
                <w:w w:val="85"/>
              </w:rPr>
              <w:t>June</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gridSpan w:val="3"/>
          </w:tcPr>
          <w:p>
            <w:pPr>
              <w:ind w:left="2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8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w w:val="89"/>
              </w:rPr>
              <w:t>2021</w:t>
            </w: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360" w:type="dxa"/>
            <w:vAlign w:val="bottom"/>
            <w:gridSpan w:val="3"/>
            <w:vMerge w:val="restart"/>
          </w:tcPr>
          <w:p>
            <w:pPr>
              <w:ind w:left="720"/>
              <w:spacing w:after="0"/>
              <w:rPr>
                <w:sz w:val="20"/>
                <w:szCs w:val="20"/>
                <w:color w:val="auto"/>
              </w:rPr>
            </w:pPr>
            <w:r>
              <w:rPr>
                <w:rFonts w:ascii="Arial" w:cs="Arial" w:eastAsia="Arial" w:hAnsi="Arial"/>
                <w:sz w:val="18"/>
                <w:szCs w:val="18"/>
                <w:color w:val="auto"/>
              </w:rPr>
              <w:t>Description</w:t>
            </w:r>
          </w:p>
        </w:tc>
        <w:tc>
          <w:tcPr>
            <w:tcW w:w="800" w:type="dxa"/>
            <w:vAlign w:val="bottom"/>
          </w:tcPr>
          <w:p>
            <w:pPr>
              <w:spacing w:after="0"/>
              <w:rPr>
                <w:sz w:val="19"/>
                <w:szCs w:val="19"/>
                <w:color w:val="auto"/>
              </w:rPr>
            </w:pPr>
          </w:p>
        </w:tc>
        <w:tc>
          <w:tcPr>
            <w:tcW w:w="1780" w:type="dxa"/>
            <w:vAlign w:val="bottom"/>
            <w:gridSpan w:val="2"/>
            <w:vMerge w:val="restart"/>
          </w:tcPr>
          <w:p>
            <w:pPr>
              <w:jc w:val="center"/>
              <w:ind w:right="860"/>
              <w:spacing w:after="0"/>
              <w:rPr>
                <w:sz w:val="20"/>
                <w:szCs w:val="20"/>
                <w:color w:val="auto"/>
              </w:rPr>
            </w:pPr>
            <w:r>
              <w:rPr>
                <w:rFonts w:ascii="Arial" w:cs="Arial" w:eastAsia="Arial" w:hAnsi="Arial"/>
                <w:sz w:val="18"/>
                <w:szCs w:val="18"/>
                <w:color w:val="auto"/>
                <w:w w:val="89"/>
              </w:rPr>
              <w:t>Interest Rate</w:t>
            </w:r>
          </w:p>
        </w:tc>
        <w:tc>
          <w:tcPr>
            <w:tcW w:w="2740" w:type="dxa"/>
            <w:vAlign w:val="bottom"/>
            <w:gridSpan w:val="3"/>
            <w:vMerge w:val="restart"/>
          </w:tcPr>
          <w:p>
            <w:pPr>
              <w:ind w:left="900"/>
              <w:spacing w:after="0"/>
              <w:rPr>
                <w:sz w:val="20"/>
                <w:szCs w:val="20"/>
                <w:color w:val="auto"/>
              </w:rPr>
            </w:pPr>
            <w:r>
              <w:rPr>
                <w:rFonts w:ascii="Arial" w:cs="Arial" w:eastAsia="Arial" w:hAnsi="Arial"/>
                <w:sz w:val="18"/>
                <w:szCs w:val="18"/>
                <w:color w:val="auto"/>
              </w:rPr>
              <w:t>Maturity</w:t>
            </w:r>
          </w:p>
        </w:tc>
        <w:tc>
          <w:tcPr>
            <w:tcW w:w="980" w:type="dxa"/>
            <w:vAlign w:val="bottom"/>
          </w:tcPr>
          <w:p>
            <w:pPr>
              <w:spacing w:after="0"/>
              <w:rPr>
                <w:sz w:val="19"/>
                <w:szCs w:val="19"/>
                <w:color w:val="auto"/>
              </w:rPr>
            </w:pPr>
          </w:p>
        </w:tc>
        <w:tc>
          <w:tcPr>
            <w:tcW w:w="188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(In thousands)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360" w:type="dxa"/>
            <w:vAlign w:val="bottom"/>
            <w:gridSpan w:val="3"/>
            <w:vMerge w:val="continue"/>
          </w:tcPr>
          <w:p>
            <w:pPr>
              <w:spacing w:after="0"/>
              <w:rPr>
                <w:sz w:val="13"/>
                <w:szCs w:val="13"/>
                <w:color w:val="auto"/>
              </w:rPr>
            </w:pPr>
          </w:p>
        </w:tc>
        <w:tc>
          <w:tcPr>
            <w:tcW w:w="800" w:type="dxa"/>
            <w:vAlign w:val="bottom"/>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274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60" w:type="dxa"/>
            <w:vAlign w:val="bottom"/>
            <w:gridSpan w:val="3"/>
            <w:vMerge w:val="restart"/>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580" w:type="dxa"/>
            <w:vAlign w:val="bottom"/>
            <w:gridSpan w:val="3"/>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5.50% over one month Libor</w:t>
            </w:r>
          </w:p>
        </w:tc>
        <w:tc>
          <w:tcPr>
            <w:tcW w:w="900" w:type="dxa"/>
            <w:vAlign w:val="bottom"/>
            <w:shd w:val="clear" w:color="auto" w:fill="EEEEEE"/>
          </w:tcPr>
          <w:p>
            <w:pPr>
              <w:spacing w:after="0"/>
              <w:rPr>
                <w:sz w:val="17"/>
                <w:szCs w:val="17"/>
                <w:color w:val="auto"/>
              </w:rPr>
            </w:pPr>
          </w:p>
        </w:tc>
        <w:tc>
          <w:tcPr>
            <w:tcW w:w="1840" w:type="dxa"/>
            <w:vAlign w:val="bottom"/>
            <w:gridSpan w:val="2"/>
            <w:vMerge w:val="restart"/>
            <w:shd w:val="clear" w:color="auto" w:fill="EEEEEE"/>
          </w:tcPr>
          <w:p>
            <w:pPr>
              <w:jc w:val="center"/>
              <w:ind w:right="1080"/>
              <w:spacing w:after="0"/>
              <w:rPr>
                <w:sz w:val="20"/>
                <w:szCs w:val="20"/>
                <w:color w:val="auto"/>
              </w:rPr>
            </w:pPr>
            <w:r>
              <w:rPr>
                <w:rFonts w:ascii="Arial" w:cs="Arial" w:eastAsia="Arial" w:hAnsi="Arial"/>
                <w:sz w:val="18"/>
                <w:szCs w:val="18"/>
                <w:color w:val="auto"/>
              </w:rPr>
              <w:t>N/A</w:t>
            </w:r>
          </w:p>
        </w:tc>
        <w:tc>
          <w:tcPr>
            <w:tcW w:w="980" w:type="dxa"/>
            <w:vAlign w:val="bottom"/>
            <w:vMerge w:val="restart"/>
            <w:shd w:val="clear" w:color="auto" w:fill="EEEEEE"/>
          </w:tcPr>
          <w:p>
            <w:pPr>
              <w:jc w:val="right"/>
              <w:ind w:right="793"/>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EEEEE"/>
          </w:tcPr>
          <w:p>
            <w:pPr>
              <w:jc w:val="right"/>
              <w:ind w:right="770"/>
              <w:spacing w:after="0"/>
              <w:rPr>
                <w:sz w:val="20"/>
                <w:szCs w:val="20"/>
                <w:color w:val="auto"/>
              </w:rPr>
            </w:pPr>
            <w:r>
              <w:rPr>
                <w:rFonts w:ascii="Arial" w:cs="Arial" w:eastAsia="Arial" w:hAnsi="Arial"/>
                <w:sz w:val="18"/>
                <w:szCs w:val="18"/>
                <w:color w:val="auto"/>
                <w:w w:val="99"/>
              </w:rPr>
              <w:t>$</w:t>
            </w:r>
          </w:p>
        </w:tc>
        <w:tc>
          <w:tcPr>
            <w:tcW w:w="7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42,558</w:t>
            </w:r>
          </w:p>
        </w:tc>
        <w:tc>
          <w:tcPr>
            <w:tcW w:w="0" w:type="dxa"/>
            <w:vAlign w:val="bottom"/>
          </w:tcPr>
          <w:p>
            <w:pPr>
              <w:spacing w:after="0"/>
              <w:rPr>
                <w:sz w:val="1"/>
                <w:szCs w:val="1"/>
                <w:color w:val="auto"/>
              </w:rPr>
            </w:pPr>
          </w:p>
        </w:tc>
      </w:tr>
      <w:tr>
        <w:trPr>
          <w:trHeight w:val="122"/>
        </w:trPr>
        <w:tc>
          <w:tcPr>
            <w:tcW w:w="2360" w:type="dxa"/>
            <w:vAlign w:val="bottom"/>
            <w:gridSpan w:val="3"/>
            <w:vMerge w:val="continue"/>
            <w:shd w:val="clear" w:color="auto" w:fill="EEEEEE"/>
          </w:tcPr>
          <w:p>
            <w:pPr>
              <w:spacing w:after="0"/>
              <w:rPr>
                <w:sz w:val="10"/>
                <w:szCs w:val="10"/>
                <w:color w:val="auto"/>
              </w:rPr>
            </w:pPr>
          </w:p>
        </w:tc>
        <w:tc>
          <w:tcPr>
            <w:tcW w:w="2580" w:type="dxa"/>
            <w:vAlign w:val="bottom"/>
            <w:gridSpan w:val="3"/>
            <w:vMerge w:val="restart"/>
            <w:shd w:val="clear" w:color="auto" w:fill="EEEEEE"/>
          </w:tcPr>
          <w:p>
            <w:pPr>
              <w:jc w:val="center"/>
              <w:ind w:right="60"/>
              <w:spacing w:after="0"/>
              <w:rPr>
                <w:sz w:val="20"/>
                <w:szCs w:val="20"/>
                <w:color w:val="auto"/>
              </w:rPr>
            </w:pPr>
            <w:r>
              <w:rPr>
                <w:rFonts w:ascii="Arial" w:cs="Arial" w:eastAsia="Arial" w:hAnsi="Arial"/>
                <w:sz w:val="18"/>
                <w:szCs w:val="18"/>
                <w:color w:val="auto"/>
                <w:w w:val="96"/>
              </w:rPr>
              <w:t>(Minimum 6.50%)</w:t>
            </w:r>
          </w:p>
        </w:tc>
        <w:tc>
          <w:tcPr>
            <w:tcW w:w="900" w:type="dxa"/>
            <w:vAlign w:val="bottom"/>
            <w:shd w:val="clear" w:color="auto" w:fill="EEEEEE"/>
          </w:tcPr>
          <w:p>
            <w:pPr>
              <w:spacing w:after="0"/>
              <w:rPr>
                <w:sz w:val="10"/>
                <w:szCs w:val="10"/>
                <w:color w:val="auto"/>
              </w:rPr>
            </w:pPr>
          </w:p>
        </w:tc>
        <w:tc>
          <w:tcPr>
            <w:tcW w:w="1840" w:type="dxa"/>
            <w:vAlign w:val="bottom"/>
            <w:gridSpan w:val="2"/>
            <w:vMerge w:val="continue"/>
            <w:shd w:val="clear" w:color="auto" w:fill="EEEEEE"/>
          </w:tcPr>
          <w:p>
            <w:pPr>
              <w:spacing w:after="0"/>
              <w:rPr>
                <w:sz w:val="10"/>
                <w:szCs w:val="10"/>
                <w:color w:val="auto"/>
              </w:rPr>
            </w:pPr>
          </w:p>
        </w:tc>
        <w:tc>
          <w:tcPr>
            <w:tcW w:w="980" w:type="dxa"/>
            <w:vAlign w:val="bottom"/>
            <w:vMerge w:val="continue"/>
            <w:shd w:val="clear" w:color="auto" w:fill="EEEEEE"/>
          </w:tcPr>
          <w:p>
            <w:pPr>
              <w:spacing w:after="0"/>
              <w:rPr>
                <w:sz w:val="10"/>
                <w:szCs w:val="10"/>
                <w:color w:val="auto"/>
              </w:rPr>
            </w:pPr>
          </w:p>
        </w:tc>
        <w:tc>
          <w:tcPr>
            <w:tcW w:w="900" w:type="dxa"/>
            <w:vAlign w:val="bottom"/>
            <w:gridSpan w:val="2"/>
            <w:vMerge w:val="continue"/>
            <w:shd w:val="clear" w:color="auto" w:fill="EEEEEE"/>
          </w:tcPr>
          <w:p>
            <w:pPr>
              <w:spacing w:after="0"/>
              <w:rPr>
                <w:sz w:val="10"/>
                <w:szCs w:val="10"/>
                <w:color w:val="auto"/>
              </w:rPr>
            </w:pPr>
          </w:p>
        </w:tc>
        <w:tc>
          <w:tcPr>
            <w:tcW w:w="980" w:type="dxa"/>
            <w:vAlign w:val="bottom"/>
            <w:vMerge w:val="continue"/>
            <w:shd w:val="clear" w:color="auto" w:fill="EEEEEE"/>
          </w:tcPr>
          <w:p>
            <w:pPr>
              <w:spacing w:after="0"/>
              <w:rPr>
                <w:sz w:val="10"/>
                <w:szCs w:val="10"/>
                <w:color w:val="auto"/>
              </w:rPr>
            </w:pPr>
          </w:p>
        </w:tc>
        <w:tc>
          <w:tcPr>
            <w:tcW w:w="70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 w:type="dxa"/>
            <w:vAlign w:val="bottom"/>
            <w:shd w:val="clear" w:color="auto" w:fill="EEEEEE"/>
          </w:tcPr>
          <w:p>
            <w:pPr>
              <w:spacing w:after="0"/>
              <w:rPr>
                <w:sz w:val="9"/>
                <w:szCs w:val="9"/>
                <w:color w:val="auto"/>
              </w:rPr>
            </w:pPr>
          </w:p>
        </w:tc>
        <w:tc>
          <w:tcPr>
            <w:tcW w:w="840" w:type="dxa"/>
            <w:vAlign w:val="bottom"/>
            <w:shd w:val="clear" w:color="auto" w:fill="EEEEEE"/>
          </w:tcPr>
          <w:p>
            <w:pPr>
              <w:spacing w:after="0"/>
              <w:rPr>
                <w:sz w:val="9"/>
                <w:szCs w:val="9"/>
                <w:color w:val="auto"/>
              </w:rPr>
            </w:pPr>
          </w:p>
        </w:tc>
        <w:tc>
          <w:tcPr>
            <w:tcW w:w="800" w:type="dxa"/>
            <w:vAlign w:val="bottom"/>
            <w:shd w:val="clear" w:color="auto" w:fill="EEEEEE"/>
          </w:tcPr>
          <w:p>
            <w:pPr>
              <w:spacing w:after="0"/>
              <w:rPr>
                <w:sz w:val="9"/>
                <w:szCs w:val="9"/>
                <w:color w:val="auto"/>
              </w:rPr>
            </w:pPr>
          </w:p>
        </w:tc>
        <w:tc>
          <w:tcPr>
            <w:tcW w:w="2580" w:type="dxa"/>
            <w:vAlign w:val="bottom"/>
            <w:gridSpan w:val="3"/>
            <w:vMerge w:val="continue"/>
            <w:shd w:val="clear" w:color="auto" w:fill="EEEEEE"/>
          </w:tcPr>
          <w:p>
            <w:pPr>
              <w:spacing w:after="0"/>
              <w:rPr>
                <w:sz w:val="9"/>
                <w:szCs w:val="9"/>
                <w:color w:val="auto"/>
              </w:rPr>
            </w:pPr>
          </w:p>
        </w:tc>
        <w:tc>
          <w:tcPr>
            <w:tcW w:w="900" w:type="dxa"/>
            <w:vAlign w:val="bottom"/>
            <w:shd w:val="clear" w:color="auto" w:fill="EEEEEE"/>
          </w:tcPr>
          <w:p>
            <w:pPr>
              <w:spacing w:after="0"/>
              <w:rPr>
                <w:sz w:val="9"/>
                <w:szCs w:val="9"/>
                <w:color w:val="auto"/>
              </w:rPr>
            </w:pPr>
          </w:p>
        </w:tc>
        <w:tc>
          <w:tcPr>
            <w:tcW w:w="640" w:type="dxa"/>
            <w:vAlign w:val="bottom"/>
            <w:shd w:val="clear" w:color="auto" w:fill="EEEEEE"/>
          </w:tcPr>
          <w:p>
            <w:pPr>
              <w:spacing w:after="0"/>
              <w:rPr>
                <w:sz w:val="9"/>
                <w:szCs w:val="9"/>
                <w:color w:val="auto"/>
              </w:rPr>
            </w:pPr>
          </w:p>
        </w:tc>
        <w:tc>
          <w:tcPr>
            <w:tcW w:w="1200" w:type="dxa"/>
            <w:vAlign w:val="bottom"/>
            <w:shd w:val="clear" w:color="auto" w:fill="EEEEEE"/>
          </w:tcPr>
          <w:p>
            <w:pPr>
              <w:spacing w:after="0"/>
              <w:rPr>
                <w:sz w:val="9"/>
                <w:szCs w:val="9"/>
                <w:color w:val="auto"/>
              </w:rPr>
            </w:pPr>
          </w:p>
        </w:tc>
        <w:tc>
          <w:tcPr>
            <w:tcW w:w="980" w:type="dxa"/>
            <w:vAlign w:val="bottom"/>
            <w:shd w:val="clear" w:color="auto" w:fill="EEEEEE"/>
          </w:tcPr>
          <w:p>
            <w:pPr>
              <w:spacing w:after="0"/>
              <w:rPr>
                <w:sz w:val="9"/>
                <w:szCs w:val="9"/>
                <w:color w:val="auto"/>
              </w:rPr>
            </w:pPr>
          </w:p>
        </w:tc>
        <w:tc>
          <w:tcPr>
            <w:tcW w:w="5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98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2580" w:type="dxa"/>
            <w:vAlign w:val="bottom"/>
            <w:gridSpan w:val="3"/>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1"/>
              </w:rPr>
              <w:t>3.00% over one month Libor</w:t>
            </w:r>
          </w:p>
        </w:tc>
        <w:tc>
          <w:tcPr>
            <w:tcW w:w="2740" w:type="dxa"/>
            <w:vAlign w:val="bottom"/>
            <w:gridSpan w:val="3"/>
            <w:vMerge w:val="restart"/>
            <w:shd w:val="clear" w:color="auto" w:fill="EEEEEE"/>
          </w:tcPr>
          <w:p>
            <w:pPr>
              <w:jc w:val="center"/>
              <w:ind w:right="160"/>
              <w:spacing w:after="0"/>
              <w:rPr>
                <w:sz w:val="20"/>
                <w:szCs w:val="20"/>
                <w:color w:val="auto"/>
              </w:rPr>
            </w:pPr>
            <w:r>
              <w:rPr>
                <w:rFonts w:ascii="Arial" w:cs="Arial" w:eastAsia="Arial" w:hAnsi="Arial"/>
                <w:sz w:val="18"/>
                <w:szCs w:val="18"/>
                <w:color w:val="auto"/>
                <w:w w:val="88"/>
              </w:rPr>
              <w:t>December 2022</w:t>
            </w:r>
          </w:p>
        </w:tc>
        <w:tc>
          <w:tcPr>
            <w:tcW w:w="980" w:type="dxa"/>
            <w:vAlign w:val="bottom"/>
            <w:shd w:val="clear" w:color="auto" w:fill="EEEEEE"/>
          </w:tcPr>
          <w:p>
            <w:pPr>
              <w:spacing w:after="0"/>
              <w:rPr>
                <w:sz w:val="17"/>
                <w:szCs w:val="17"/>
                <w:color w:val="auto"/>
              </w:rPr>
            </w:pPr>
          </w:p>
        </w:tc>
        <w:tc>
          <w:tcPr>
            <w:tcW w:w="900" w:type="dxa"/>
            <w:vAlign w:val="bottom"/>
            <w:gridSpan w:val="2"/>
            <w:vMerge w:val="restart"/>
            <w:shd w:val="clear" w:color="auto" w:fill="EEEEEE"/>
          </w:tcPr>
          <w:p>
            <w:pPr>
              <w:jc w:val="right"/>
              <w:ind w:right="320"/>
              <w:spacing w:after="0"/>
              <w:rPr>
                <w:sz w:val="20"/>
                <w:szCs w:val="20"/>
                <w:color w:val="auto"/>
              </w:rPr>
            </w:pPr>
            <w:r>
              <w:rPr>
                <w:rFonts w:ascii="Arial" w:cs="Arial" w:eastAsia="Arial" w:hAnsi="Arial"/>
                <w:sz w:val="18"/>
                <w:szCs w:val="18"/>
                <w:color w:val="auto"/>
              </w:rPr>
              <w:t>45,642</w:t>
            </w:r>
          </w:p>
        </w:tc>
        <w:tc>
          <w:tcPr>
            <w:tcW w:w="980" w:type="dxa"/>
            <w:vAlign w:val="bottom"/>
            <w:shd w:val="clear" w:color="auto" w:fill="EEEEEE"/>
          </w:tcPr>
          <w:p>
            <w:pPr>
              <w:spacing w:after="0"/>
              <w:rPr>
                <w:sz w:val="17"/>
                <w:szCs w:val="17"/>
                <w:color w:val="auto"/>
              </w:rPr>
            </w:pPr>
          </w:p>
        </w:tc>
        <w:tc>
          <w:tcPr>
            <w:tcW w:w="7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45,689</w:t>
            </w:r>
          </w:p>
        </w:tc>
        <w:tc>
          <w:tcPr>
            <w:tcW w:w="0" w:type="dxa"/>
            <w:vAlign w:val="bottom"/>
          </w:tcPr>
          <w:p>
            <w:pPr>
              <w:spacing w:after="0"/>
              <w:rPr>
                <w:sz w:val="1"/>
                <w:szCs w:val="1"/>
                <w:color w:val="auto"/>
              </w:rPr>
            </w:pPr>
          </w:p>
        </w:tc>
      </w:tr>
      <w:tr>
        <w:trPr>
          <w:trHeight w:val="122"/>
        </w:trPr>
        <w:tc>
          <w:tcPr>
            <w:tcW w:w="720" w:type="dxa"/>
            <w:vAlign w:val="bottom"/>
            <w:shd w:val="clear" w:color="auto" w:fill="EEEEEE"/>
          </w:tcPr>
          <w:p>
            <w:pPr>
              <w:spacing w:after="0"/>
              <w:rPr>
                <w:sz w:val="10"/>
                <w:szCs w:val="10"/>
                <w:color w:val="auto"/>
              </w:rPr>
            </w:pPr>
          </w:p>
        </w:tc>
        <w:tc>
          <w:tcPr>
            <w:tcW w:w="840" w:type="dxa"/>
            <w:vAlign w:val="bottom"/>
            <w:shd w:val="clear" w:color="auto" w:fill="EEEEEE"/>
          </w:tcPr>
          <w:p>
            <w:pPr>
              <w:spacing w:after="0"/>
              <w:rPr>
                <w:sz w:val="10"/>
                <w:szCs w:val="10"/>
                <w:color w:val="auto"/>
              </w:rPr>
            </w:pPr>
          </w:p>
        </w:tc>
        <w:tc>
          <w:tcPr>
            <w:tcW w:w="800" w:type="dxa"/>
            <w:vAlign w:val="bottom"/>
            <w:shd w:val="clear" w:color="auto" w:fill="EEEEEE"/>
          </w:tcPr>
          <w:p>
            <w:pPr>
              <w:spacing w:after="0"/>
              <w:rPr>
                <w:sz w:val="10"/>
                <w:szCs w:val="10"/>
                <w:color w:val="auto"/>
              </w:rPr>
            </w:pPr>
          </w:p>
        </w:tc>
        <w:tc>
          <w:tcPr>
            <w:tcW w:w="2580" w:type="dxa"/>
            <w:vAlign w:val="bottom"/>
            <w:gridSpan w:val="3"/>
            <w:vMerge w:val="restart"/>
            <w:shd w:val="clear" w:color="auto" w:fill="EEEEEE"/>
          </w:tcPr>
          <w:p>
            <w:pPr>
              <w:jc w:val="center"/>
              <w:ind w:right="60"/>
              <w:spacing w:after="0"/>
              <w:rPr>
                <w:sz w:val="20"/>
                <w:szCs w:val="20"/>
                <w:color w:val="auto"/>
              </w:rPr>
            </w:pPr>
            <w:r>
              <w:rPr>
                <w:rFonts w:ascii="Arial" w:cs="Arial" w:eastAsia="Arial" w:hAnsi="Arial"/>
                <w:sz w:val="18"/>
                <w:szCs w:val="18"/>
                <w:color w:val="auto"/>
                <w:w w:val="96"/>
              </w:rPr>
              <w:t>(Minimum 3.75%)</w:t>
            </w:r>
          </w:p>
        </w:tc>
        <w:tc>
          <w:tcPr>
            <w:tcW w:w="2740" w:type="dxa"/>
            <w:vAlign w:val="bottom"/>
            <w:gridSpan w:val="3"/>
            <w:vMerge w:val="continue"/>
            <w:shd w:val="clear" w:color="auto" w:fill="EEEEEE"/>
          </w:tcPr>
          <w:p>
            <w:pPr>
              <w:spacing w:after="0"/>
              <w:rPr>
                <w:sz w:val="10"/>
                <w:szCs w:val="10"/>
                <w:color w:val="auto"/>
              </w:rPr>
            </w:pPr>
          </w:p>
        </w:tc>
        <w:tc>
          <w:tcPr>
            <w:tcW w:w="980" w:type="dxa"/>
            <w:vAlign w:val="bottom"/>
            <w:shd w:val="clear" w:color="auto" w:fill="EEEEEE"/>
          </w:tcPr>
          <w:p>
            <w:pPr>
              <w:spacing w:after="0"/>
              <w:rPr>
                <w:sz w:val="10"/>
                <w:szCs w:val="10"/>
                <w:color w:val="auto"/>
              </w:rPr>
            </w:pPr>
          </w:p>
        </w:tc>
        <w:tc>
          <w:tcPr>
            <w:tcW w:w="900" w:type="dxa"/>
            <w:vAlign w:val="bottom"/>
            <w:gridSpan w:val="2"/>
            <w:vMerge w:val="continue"/>
            <w:shd w:val="clear" w:color="auto" w:fill="EEEEEE"/>
          </w:tcPr>
          <w:p>
            <w:pPr>
              <w:spacing w:after="0"/>
              <w:rPr>
                <w:sz w:val="10"/>
                <w:szCs w:val="10"/>
                <w:color w:val="auto"/>
              </w:rPr>
            </w:pPr>
          </w:p>
        </w:tc>
        <w:tc>
          <w:tcPr>
            <w:tcW w:w="980" w:type="dxa"/>
            <w:vAlign w:val="bottom"/>
            <w:shd w:val="clear" w:color="auto" w:fill="EEEEEE"/>
          </w:tcPr>
          <w:p>
            <w:pPr>
              <w:spacing w:after="0"/>
              <w:rPr>
                <w:sz w:val="10"/>
                <w:szCs w:val="10"/>
                <w:color w:val="auto"/>
              </w:rPr>
            </w:pPr>
          </w:p>
        </w:tc>
        <w:tc>
          <w:tcPr>
            <w:tcW w:w="70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 w:type="dxa"/>
            <w:vAlign w:val="bottom"/>
            <w:shd w:val="clear" w:color="auto" w:fill="EEEEEE"/>
          </w:tcPr>
          <w:p>
            <w:pPr>
              <w:spacing w:after="0"/>
              <w:rPr>
                <w:sz w:val="9"/>
                <w:szCs w:val="9"/>
                <w:color w:val="auto"/>
              </w:rPr>
            </w:pPr>
          </w:p>
        </w:tc>
        <w:tc>
          <w:tcPr>
            <w:tcW w:w="840" w:type="dxa"/>
            <w:vAlign w:val="bottom"/>
            <w:shd w:val="clear" w:color="auto" w:fill="EEEEEE"/>
          </w:tcPr>
          <w:p>
            <w:pPr>
              <w:spacing w:after="0"/>
              <w:rPr>
                <w:sz w:val="9"/>
                <w:szCs w:val="9"/>
                <w:color w:val="auto"/>
              </w:rPr>
            </w:pPr>
          </w:p>
        </w:tc>
        <w:tc>
          <w:tcPr>
            <w:tcW w:w="800" w:type="dxa"/>
            <w:vAlign w:val="bottom"/>
            <w:shd w:val="clear" w:color="auto" w:fill="EEEEEE"/>
          </w:tcPr>
          <w:p>
            <w:pPr>
              <w:spacing w:after="0"/>
              <w:rPr>
                <w:sz w:val="9"/>
                <w:szCs w:val="9"/>
                <w:color w:val="auto"/>
              </w:rPr>
            </w:pPr>
          </w:p>
        </w:tc>
        <w:tc>
          <w:tcPr>
            <w:tcW w:w="2580" w:type="dxa"/>
            <w:vAlign w:val="bottom"/>
            <w:gridSpan w:val="3"/>
            <w:vMerge w:val="continue"/>
            <w:shd w:val="clear" w:color="auto" w:fill="EEEEEE"/>
          </w:tcPr>
          <w:p>
            <w:pPr>
              <w:spacing w:after="0"/>
              <w:rPr>
                <w:sz w:val="9"/>
                <w:szCs w:val="9"/>
                <w:color w:val="auto"/>
              </w:rPr>
            </w:pPr>
          </w:p>
        </w:tc>
        <w:tc>
          <w:tcPr>
            <w:tcW w:w="900" w:type="dxa"/>
            <w:vAlign w:val="bottom"/>
            <w:shd w:val="clear" w:color="auto" w:fill="EEEEEE"/>
          </w:tcPr>
          <w:p>
            <w:pPr>
              <w:spacing w:after="0"/>
              <w:rPr>
                <w:sz w:val="9"/>
                <w:szCs w:val="9"/>
                <w:color w:val="auto"/>
              </w:rPr>
            </w:pPr>
          </w:p>
        </w:tc>
        <w:tc>
          <w:tcPr>
            <w:tcW w:w="640" w:type="dxa"/>
            <w:vAlign w:val="bottom"/>
            <w:shd w:val="clear" w:color="auto" w:fill="EEEEEE"/>
          </w:tcPr>
          <w:p>
            <w:pPr>
              <w:spacing w:after="0"/>
              <w:rPr>
                <w:sz w:val="9"/>
                <w:szCs w:val="9"/>
                <w:color w:val="auto"/>
              </w:rPr>
            </w:pPr>
          </w:p>
        </w:tc>
        <w:tc>
          <w:tcPr>
            <w:tcW w:w="1200" w:type="dxa"/>
            <w:vAlign w:val="bottom"/>
            <w:shd w:val="clear" w:color="auto" w:fill="EEEEEE"/>
          </w:tcPr>
          <w:p>
            <w:pPr>
              <w:spacing w:after="0"/>
              <w:rPr>
                <w:sz w:val="9"/>
                <w:szCs w:val="9"/>
                <w:color w:val="auto"/>
              </w:rPr>
            </w:pPr>
          </w:p>
        </w:tc>
        <w:tc>
          <w:tcPr>
            <w:tcW w:w="980" w:type="dxa"/>
            <w:vAlign w:val="bottom"/>
            <w:shd w:val="clear" w:color="auto" w:fill="EEEEEE"/>
          </w:tcPr>
          <w:p>
            <w:pPr>
              <w:spacing w:after="0"/>
              <w:rPr>
                <w:sz w:val="9"/>
                <w:szCs w:val="9"/>
                <w:color w:val="auto"/>
              </w:rPr>
            </w:pPr>
          </w:p>
        </w:tc>
        <w:tc>
          <w:tcPr>
            <w:tcW w:w="5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98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2580" w:type="dxa"/>
            <w:vAlign w:val="bottom"/>
            <w:gridSpan w:val="3"/>
            <w:shd w:val="clear" w:color="auto" w:fill="EEEEEE"/>
          </w:tcPr>
          <w:p>
            <w:pPr>
              <w:jc w:val="center"/>
              <w:ind w:right="60"/>
              <w:spacing w:after="0" w:line="201" w:lineRule="exact"/>
              <w:rPr>
                <w:sz w:val="20"/>
                <w:szCs w:val="20"/>
                <w:color w:val="auto"/>
              </w:rPr>
            </w:pPr>
            <w:r>
              <w:rPr>
                <w:rFonts w:ascii="Arial" w:cs="Arial" w:eastAsia="Arial" w:hAnsi="Arial"/>
                <w:sz w:val="18"/>
                <w:szCs w:val="18"/>
                <w:color w:val="auto"/>
                <w:w w:val="90"/>
              </w:rPr>
              <w:t>4.00% over a commercial</w:t>
            </w:r>
          </w:p>
        </w:tc>
        <w:tc>
          <w:tcPr>
            <w:tcW w:w="2740" w:type="dxa"/>
            <w:vAlign w:val="bottom"/>
            <w:gridSpan w:val="3"/>
            <w:vMerge w:val="restart"/>
            <w:shd w:val="clear" w:color="auto" w:fill="EEEEEE"/>
          </w:tcPr>
          <w:p>
            <w:pPr>
              <w:jc w:val="center"/>
              <w:ind w:right="160"/>
              <w:spacing w:after="0"/>
              <w:rPr>
                <w:sz w:val="20"/>
                <w:szCs w:val="20"/>
                <w:color w:val="auto"/>
              </w:rPr>
            </w:pPr>
            <w:r>
              <w:rPr>
                <w:rFonts w:ascii="Arial" w:cs="Arial" w:eastAsia="Arial" w:hAnsi="Arial"/>
                <w:sz w:val="18"/>
                <w:szCs w:val="18"/>
                <w:color w:val="auto"/>
                <w:w w:val="88"/>
              </w:rPr>
              <w:t>December 2021</w:t>
            </w:r>
          </w:p>
        </w:tc>
        <w:tc>
          <w:tcPr>
            <w:tcW w:w="980" w:type="dxa"/>
            <w:vAlign w:val="bottom"/>
            <w:shd w:val="clear" w:color="auto" w:fill="EEEEEE"/>
          </w:tcPr>
          <w:p>
            <w:pPr>
              <w:spacing w:after="0"/>
              <w:rPr>
                <w:sz w:val="17"/>
                <w:szCs w:val="17"/>
                <w:color w:val="auto"/>
              </w:rPr>
            </w:pPr>
          </w:p>
        </w:tc>
        <w:tc>
          <w:tcPr>
            <w:tcW w:w="900" w:type="dxa"/>
            <w:vAlign w:val="bottom"/>
            <w:gridSpan w:val="2"/>
            <w:vMerge w:val="restart"/>
            <w:shd w:val="clear" w:color="auto" w:fill="EEEEEE"/>
          </w:tcPr>
          <w:p>
            <w:pPr>
              <w:jc w:val="right"/>
              <w:ind w:right="320"/>
              <w:spacing w:after="0"/>
              <w:rPr>
                <w:sz w:val="20"/>
                <w:szCs w:val="20"/>
                <w:color w:val="auto"/>
              </w:rPr>
            </w:pPr>
            <w:r>
              <w:rPr>
                <w:rFonts w:ascii="Arial" w:cs="Arial" w:eastAsia="Arial" w:hAnsi="Arial"/>
                <w:sz w:val="18"/>
                <w:szCs w:val="18"/>
                <w:color w:val="auto"/>
              </w:rPr>
              <w:t>32,310</w:t>
            </w:r>
          </w:p>
        </w:tc>
        <w:tc>
          <w:tcPr>
            <w:tcW w:w="980" w:type="dxa"/>
            <w:vAlign w:val="bottom"/>
            <w:shd w:val="clear" w:color="auto" w:fill="EEEEEE"/>
          </w:tcPr>
          <w:p>
            <w:pPr>
              <w:spacing w:after="0"/>
              <w:rPr>
                <w:sz w:val="17"/>
                <w:szCs w:val="17"/>
                <w:color w:val="auto"/>
              </w:rPr>
            </w:pPr>
          </w:p>
        </w:tc>
        <w:tc>
          <w:tcPr>
            <w:tcW w:w="7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32,265</w:t>
            </w:r>
          </w:p>
        </w:tc>
        <w:tc>
          <w:tcPr>
            <w:tcW w:w="0" w:type="dxa"/>
            <w:vAlign w:val="bottom"/>
          </w:tcPr>
          <w:p>
            <w:pPr>
              <w:spacing w:after="0"/>
              <w:rPr>
                <w:sz w:val="1"/>
                <w:szCs w:val="1"/>
                <w:color w:val="auto"/>
              </w:rPr>
            </w:pPr>
          </w:p>
        </w:tc>
      </w:tr>
      <w:tr>
        <w:trPr>
          <w:trHeight w:val="122"/>
        </w:trPr>
        <w:tc>
          <w:tcPr>
            <w:tcW w:w="720" w:type="dxa"/>
            <w:vAlign w:val="bottom"/>
            <w:shd w:val="clear" w:color="auto" w:fill="EEEEEE"/>
          </w:tcPr>
          <w:p>
            <w:pPr>
              <w:spacing w:after="0"/>
              <w:rPr>
                <w:sz w:val="10"/>
                <w:szCs w:val="10"/>
                <w:color w:val="auto"/>
              </w:rPr>
            </w:pPr>
          </w:p>
        </w:tc>
        <w:tc>
          <w:tcPr>
            <w:tcW w:w="840" w:type="dxa"/>
            <w:vAlign w:val="bottom"/>
            <w:shd w:val="clear" w:color="auto" w:fill="EEEEEE"/>
          </w:tcPr>
          <w:p>
            <w:pPr>
              <w:spacing w:after="0"/>
              <w:rPr>
                <w:sz w:val="10"/>
                <w:szCs w:val="10"/>
                <w:color w:val="auto"/>
              </w:rPr>
            </w:pPr>
          </w:p>
        </w:tc>
        <w:tc>
          <w:tcPr>
            <w:tcW w:w="800" w:type="dxa"/>
            <w:vAlign w:val="bottom"/>
            <w:shd w:val="clear" w:color="auto" w:fill="EEEEEE"/>
          </w:tcPr>
          <w:p>
            <w:pPr>
              <w:spacing w:after="0"/>
              <w:rPr>
                <w:sz w:val="10"/>
                <w:szCs w:val="10"/>
                <w:color w:val="auto"/>
              </w:rPr>
            </w:pPr>
          </w:p>
        </w:tc>
        <w:tc>
          <w:tcPr>
            <w:tcW w:w="2580" w:type="dxa"/>
            <w:vAlign w:val="bottom"/>
            <w:gridSpan w:val="3"/>
            <w:vMerge w:val="restart"/>
            <w:shd w:val="clear" w:color="auto" w:fill="EEEEEE"/>
          </w:tcPr>
          <w:p>
            <w:pPr>
              <w:jc w:val="center"/>
              <w:ind w:right="60"/>
              <w:spacing w:after="0"/>
              <w:rPr>
                <w:sz w:val="20"/>
                <w:szCs w:val="20"/>
                <w:color w:val="auto"/>
              </w:rPr>
            </w:pPr>
            <w:r>
              <w:rPr>
                <w:rFonts w:ascii="Arial" w:cs="Arial" w:eastAsia="Arial" w:hAnsi="Arial"/>
                <w:sz w:val="18"/>
                <w:szCs w:val="18"/>
                <w:color w:val="auto"/>
                <w:w w:val="92"/>
              </w:rPr>
              <w:t>paper rate (Minimum 5.00%)</w:t>
            </w:r>
          </w:p>
        </w:tc>
        <w:tc>
          <w:tcPr>
            <w:tcW w:w="2740" w:type="dxa"/>
            <w:vAlign w:val="bottom"/>
            <w:gridSpan w:val="3"/>
            <w:vMerge w:val="continue"/>
            <w:shd w:val="clear" w:color="auto" w:fill="EEEEEE"/>
          </w:tcPr>
          <w:p>
            <w:pPr>
              <w:spacing w:after="0"/>
              <w:rPr>
                <w:sz w:val="10"/>
                <w:szCs w:val="10"/>
                <w:color w:val="auto"/>
              </w:rPr>
            </w:pPr>
          </w:p>
        </w:tc>
        <w:tc>
          <w:tcPr>
            <w:tcW w:w="980" w:type="dxa"/>
            <w:vAlign w:val="bottom"/>
            <w:shd w:val="clear" w:color="auto" w:fill="EEEEEE"/>
          </w:tcPr>
          <w:p>
            <w:pPr>
              <w:spacing w:after="0"/>
              <w:rPr>
                <w:sz w:val="10"/>
                <w:szCs w:val="10"/>
                <w:color w:val="auto"/>
              </w:rPr>
            </w:pPr>
          </w:p>
        </w:tc>
        <w:tc>
          <w:tcPr>
            <w:tcW w:w="900" w:type="dxa"/>
            <w:vAlign w:val="bottom"/>
            <w:gridSpan w:val="2"/>
            <w:vMerge w:val="continue"/>
            <w:shd w:val="clear" w:color="auto" w:fill="EEEEEE"/>
          </w:tcPr>
          <w:p>
            <w:pPr>
              <w:spacing w:after="0"/>
              <w:rPr>
                <w:sz w:val="10"/>
                <w:szCs w:val="10"/>
                <w:color w:val="auto"/>
              </w:rPr>
            </w:pPr>
          </w:p>
        </w:tc>
        <w:tc>
          <w:tcPr>
            <w:tcW w:w="980" w:type="dxa"/>
            <w:vAlign w:val="bottom"/>
            <w:shd w:val="clear" w:color="auto" w:fill="EEEEEE"/>
          </w:tcPr>
          <w:p>
            <w:pPr>
              <w:spacing w:after="0"/>
              <w:rPr>
                <w:sz w:val="10"/>
                <w:szCs w:val="10"/>
                <w:color w:val="auto"/>
              </w:rPr>
            </w:pPr>
          </w:p>
        </w:tc>
        <w:tc>
          <w:tcPr>
            <w:tcW w:w="70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 w:type="dxa"/>
            <w:vAlign w:val="bottom"/>
            <w:shd w:val="clear" w:color="auto" w:fill="EEEEEE"/>
          </w:tcPr>
          <w:p>
            <w:pPr>
              <w:spacing w:after="0"/>
              <w:rPr>
                <w:sz w:val="9"/>
                <w:szCs w:val="9"/>
                <w:color w:val="auto"/>
              </w:rPr>
            </w:pPr>
          </w:p>
        </w:tc>
        <w:tc>
          <w:tcPr>
            <w:tcW w:w="840" w:type="dxa"/>
            <w:vAlign w:val="bottom"/>
            <w:shd w:val="clear" w:color="auto" w:fill="EEEEEE"/>
          </w:tcPr>
          <w:p>
            <w:pPr>
              <w:spacing w:after="0"/>
              <w:rPr>
                <w:sz w:val="9"/>
                <w:szCs w:val="9"/>
                <w:color w:val="auto"/>
              </w:rPr>
            </w:pPr>
          </w:p>
        </w:tc>
        <w:tc>
          <w:tcPr>
            <w:tcW w:w="800" w:type="dxa"/>
            <w:vAlign w:val="bottom"/>
            <w:shd w:val="clear" w:color="auto" w:fill="EEEEEE"/>
          </w:tcPr>
          <w:p>
            <w:pPr>
              <w:spacing w:after="0"/>
              <w:rPr>
                <w:sz w:val="9"/>
                <w:szCs w:val="9"/>
                <w:color w:val="auto"/>
              </w:rPr>
            </w:pPr>
          </w:p>
        </w:tc>
        <w:tc>
          <w:tcPr>
            <w:tcW w:w="2580" w:type="dxa"/>
            <w:vAlign w:val="bottom"/>
            <w:gridSpan w:val="3"/>
            <w:vMerge w:val="continue"/>
            <w:shd w:val="clear" w:color="auto" w:fill="EEEEEE"/>
          </w:tcPr>
          <w:p>
            <w:pPr>
              <w:spacing w:after="0"/>
              <w:rPr>
                <w:sz w:val="9"/>
                <w:szCs w:val="9"/>
                <w:color w:val="auto"/>
              </w:rPr>
            </w:pPr>
          </w:p>
        </w:tc>
        <w:tc>
          <w:tcPr>
            <w:tcW w:w="900" w:type="dxa"/>
            <w:vAlign w:val="bottom"/>
            <w:shd w:val="clear" w:color="auto" w:fill="EEEEEE"/>
          </w:tcPr>
          <w:p>
            <w:pPr>
              <w:spacing w:after="0"/>
              <w:rPr>
                <w:sz w:val="9"/>
                <w:szCs w:val="9"/>
                <w:color w:val="auto"/>
              </w:rPr>
            </w:pPr>
          </w:p>
        </w:tc>
        <w:tc>
          <w:tcPr>
            <w:tcW w:w="640" w:type="dxa"/>
            <w:vAlign w:val="bottom"/>
            <w:shd w:val="clear" w:color="auto" w:fill="EEEEEE"/>
          </w:tcPr>
          <w:p>
            <w:pPr>
              <w:spacing w:after="0"/>
              <w:rPr>
                <w:sz w:val="9"/>
                <w:szCs w:val="9"/>
                <w:color w:val="auto"/>
              </w:rPr>
            </w:pPr>
          </w:p>
        </w:tc>
        <w:tc>
          <w:tcPr>
            <w:tcW w:w="1200" w:type="dxa"/>
            <w:vAlign w:val="bottom"/>
            <w:shd w:val="clear" w:color="auto" w:fill="EEEEEE"/>
          </w:tcPr>
          <w:p>
            <w:pPr>
              <w:spacing w:after="0"/>
              <w:rPr>
                <w:sz w:val="9"/>
                <w:szCs w:val="9"/>
                <w:color w:val="auto"/>
              </w:rPr>
            </w:pPr>
          </w:p>
        </w:tc>
        <w:tc>
          <w:tcPr>
            <w:tcW w:w="980" w:type="dxa"/>
            <w:vAlign w:val="bottom"/>
            <w:shd w:val="clear" w:color="auto" w:fill="EEEEEE"/>
          </w:tcPr>
          <w:p>
            <w:pPr>
              <w:spacing w:after="0"/>
              <w:rPr>
                <w:sz w:val="9"/>
                <w:szCs w:val="9"/>
                <w:color w:val="auto"/>
              </w:rPr>
            </w:pPr>
          </w:p>
        </w:tc>
        <w:tc>
          <w:tcPr>
            <w:tcW w:w="5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98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720" w:type="dxa"/>
            <w:vAlign w:val="bottom"/>
            <w:gridSpan w:val="2"/>
            <w:shd w:val="clear" w:color="auto" w:fill="EEEEEE"/>
          </w:tcPr>
          <w:p>
            <w:pPr>
              <w:jc w:val="center"/>
              <w:ind w:left="710"/>
              <w:spacing w:after="0"/>
              <w:rPr>
                <w:sz w:val="20"/>
                <w:szCs w:val="20"/>
                <w:color w:val="auto"/>
              </w:rPr>
            </w:pPr>
            <w:r>
              <w:rPr>
                <w:rFonts w:ascii="Arial" w:cs="Arial" w:eastAsia="Arial" w:hAnsi="Arial"/>
                <w:sz w:val="18"/>
                <w:szCs w:val="18"/>
                <w:color w:val="auto"/>
                <w:w w:val="93"/>
              </w:rPr>
              <w:t>8.60%</w:t>
            </w:r>
          </w:p>
        </w:tc>
        <w:tc>
          <w:tcPr>
            <w:tcW w:w="860" w:type="dxa"/>
            <w:vAlign w:val="bottom"/>
            <w:shd w:val="clear" w:color="auto" w:fill="EEEEEE"/>
          </w:tcPr>
          <w:p>
            <w:pPr>
              <w:spacing w:after="0"/>
              <w:rPr>
                <w:sz w:val="18"/>
                <w:szCs w:val="18"/>
                <w:color w:val="auto"/>
              </w:rPr>
            </w:pPr>
          </w:p>
        </w:tc>
        <w:tc>
          <w:tcPr>
            <w:tcW w:w="2740" w:type="dxa"/>
            <w:vAlign w:val="bottom"/>
            <w:gridSpan w:val="3"/>
            <w:shd w:val="clear" w:color="auto" w:fill="EEEEEE"/>
          </w:tcPr>
          <w:p>
            <w:pPr>
              <w:jc w:val="center"/>
              <w:ind w:right="180"/>
              <w:spacing w:after="0"/>
              <w:rPr>
                <w:sz w:val="20"/>
                <w:szCs w:val="20"/>
                <w:color w:val="auto"/>
              </w:rPr>
            </w:pPr>
            <w:r>
              <w:rPr>
                <w:rFonts w:ascii="Arial" w:cs="Arial" w:eastAsia="Arial" w:hAnsi="Arial"/>
                <w:sz w:val="18"/>
                <w:szCs w:val="18"/>
                <w:color w:val="auto"/>
                <w:w w:val="87"/>
              </w:rPr>
              <w:t>January 2026</w:t>
            </w:r>
          </w:p>
        </w:tc>
        <w:tc>
          <w:tcPr>
            <w:tcW w:w="98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17,908</w:t>
            </w: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25,576</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center"/>
              <w:ind w:left="710"/>
              <w:spacing w:after="0"/>
              <w:rPr>
                <w:sz w:val="20"/>
                <w:szCs w:val="20"/>
                <w:color w:val="auto"/>
              </w:rPr>
            </w:pPr>
            <w:r>
              <w:rPr>
                <w:rFonts w:ascii="Arial" w:cs="Arial" w:eastAsia="Arial" w:hAnsi="Arial"/>
                <w:sz w:val="18"/>
                <w:szCs w:val="18"/>
                <w:color w:val="auto"/>
                <w:w w:val="93"/>
              </w:rPr>
              <w:t>7.86%</w:t>
            </w:r>
          </w:p>
        </w:tc>
        <w:tc>
          <w:tcPr>
            <w:tcW w:w="86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center"/>
              <w:ind w:right="1060"/>
              <w:spacing w:after="0"/>
              <w:rPr>
                <w:sz w:val="20"/>
                <w:szCs w:val="20"/>
                <w:color w:val="auto"/>
              </w:rPr>
            </w:pPr>
            <w:r>
              <w:rPr>
                <w:rFonts w:ascii="Arial" w:cs="Arial" w:eastAsia="Arial" w:hAnsi="Arial"/>
                <w:sz w:val="18"/>
                <w:szCs w:val="18"/>
                <w:color w:val="auto"/>
                <w:w w:val="87"/>
              </w:rPr>
              <w:t>June 2026</w:t>
            </w:r>
          </w:p>
        </w:tc>
        <w:tc>
          <w:tcPr>
            <w:tcW w:w="98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50,000</w:t>
            </w: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2580" w:type="dxa"/>
            <w:vAlign w:val="bottom"/>
            <w:gridSpan w:val="3"/>
            <w:vMerge w:val="restart"/>
            <w:shd w:val="clear" w:color="auto" w:fill="EEEEEE"/>
          </w:tcPr>
          <w:p>
            <w:pPr>
              <w:jc w:val="center"/>
              <w:ind w:right="60"/>
              <w:spacing w:after="0"/>
              <w:rPr>
                <w:sz w:val="20"/>
                <w:szCs w:val="20"/>
                <w:color w:val="auto"/>
              </w:rPr>
            </w:pPr>
            <w:r>
              <w:rPr>
                <w:rFonts w:ascii="Arial" w:cs="Arial" w:eastAsia="Arial" w:hAnsi="Arial"/>
                <w:sz w:val="18"/>
                <w:szCs w:val="18"/>
                <w:color w:val="auto"/>
                <w:w w:val="89"/>
              </w:rPr>
              <w:t>Weighted average rate of</w:t>
            </w:r>
          </w:p>
        </w:tc>
        <w:tc>
          <w:tcPr>
            <w:tcW w:w="2740" w:type="dxa"/>
            <w:vAlign w:val="bottom"/>
            <w:gridSpan w:val="3"/>
            <w:shd w:val="clear" w:color="auto" w:fill="EEEEEE"/>
          </w:tcPr>
          <w:p>
            <w:pPr>
              <w:jc w:val="center"/>
              <w:ind w:right="160"/>
              <w:spacing w:after="0" w:line="201" w:lineRule="exact"/>
              <w:rPr>
                <w:sz w:val="20"/>
                <w:szCs w:val="20"/>
                <w:color w:val="auto"/>
              </w:rPr>
            </w:pPr>
            <w:r>
              <w:rPr>
                <w:rFonts w:ascii="Arial" w:cs="Arial" w:eastAsia="Arial" w:hAnsi="Arial"/>
                <w:sz w:val="18"/>
                <w:szCs w:val="18"/>
                <w:color w:val="auto"/>
                <w:w w:val="91"/>
              </w:rPr>
              <w:t>Weighted average maturity of</w:t>
            </w:r>
          </w:p>
        </w:tc>
        <w:tc>
          <w:tcPr>
            <w:tcW w:w="98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720" w:type="dxa"/>
            <w:vAlign w:val="bottom"/>
            <w:shd w:val="clear" w:color="auto" w:fill="EEEEEE"/>
          </w:tcPr>
          <w:p>
            <w:pPr>
              <w:spacing w:after="0"/>
              <w:rPr>
                <w:sz w:val="9"/>
                <w:szCs w:val="9"/>
                <w:color w:val="auto"/>
              </w:rPr>
            </w:pPr>
          </w:p>
        </w:tc>
        <w:tc>
          <w:tcPr>
            <w:tcW w:w="840" w:type="dxa"/>
            <w:vAlign w:val="bottom"/>
            <w:shd w:val="clear" w:color="auto" w:fill="EEEEEE"/>
          </w:tcPr>
          <w:p>
            <w:pPr>
              <w:spacing w:after="0"/>
              <w:rPr>
                <w:sz w:val="9"/>
                <w:szCs w:val="9"/>
                <w:color w:val="auto"/>
              </w:rPr>
            </w:pPr>
          </w:p>
        </w:tc>
        <w:tc>
          <w:tcPr>
            <w:tcW w:w="800" w:type="dxa"/>
            <w:vAlign w:val="bottom"/>
            <w:shd w:val="clear" w:color="auto" w:fill="EEEEEE"/>
          </w:tcPr>
          <w:p>
            <w:pPr>
              <w:spacing w:after="0"/>
              <w:rPr>
                <w:sz w:val="9"/>
                <w:szCs w:val="9"/>
                <w:color w:val="auto"/>
              </w:rPr>
            </w:pPr>
          </w:p>
        </w:tc>
        <w:tc>
          <w:tcPr>
            <w:tcW w:w="2580" w:type="dxa"/>
            <w:vAlign w:val="bottom"/>
            <w:gridSpan w:val="3"/>
            <w:vMerge w:val="continue"/>
            <w:shd w:val="clear" w:color="auto" w:fill="EEEEEE"/>
          </w:tcPr>
          <w:p>
            <w:pPr>
              <w:spacing w:after="0"/>
              <w:rPr>
                <w:sz w:val="9"/>
                <w:szCs w:val="9"/>
                <w:color w:val="auto"/>
              </w:rPr>
            </w:pPr>
          </w:p>
        </w:tc>
        <w:tc>
          <w:tcPr>
            <w:tcW w:w="2740" w:type="dxa"/>
            <w:vAlign w:val="bottom"/>
            <w:gridSpan w:val="3"/>
            <w:vMerge w:val="restart"/>
            <w:shd w:val="clear" w:color="auto" w:fill="EEEEEE"/>
          </w:tcPr>
          <w:p>
            <w:pPr>
              <w:jc w:val="center"/>
              <w:ind w:right="160"/>
              <w:spacing w:after="0"/>
              <w:rPr>
                <w:sz w:val="20"/>
                <w:szCs w:val="20"/>
                <w:color w:val="auto"/>
              </w:rPr>
            </w:pPr>
            <w:r>
              <w:rPr>
                <w:rFonts w:ascii="Arial" w:cs="Arial" w:eastAsia="Arial" w:hAnsi="Arial"/>
                <w:sz w:val="18"/>
                <w:szCs w:val="18"/>
                <w:color w:val="auto"/>
                <w:w w:val="91"/>
              </w:rPr>
              <w:t>April 2023 and January 2023</w:t>
            </w:r>
          </w:p>
        </w:tc>
        <w:tc>
          <w:tcPr>
            <w:tcW w:w="980" w:type="dxa"/>
            <w:vAlign w:val="bottom"/>
            <w:shd w:val="clear" w:color="auto" w:fill="EEEEEE"/>
          </w:tcPr>
          <w:p>
            <w:pPr>
              <w:spacing w:after="0"/>
              <w:rPr>
                <w:sz w:val="9"/>
                <w:szCs w:val="9"/>
                <w:color w:val="auto"/>
              </w:rPr>
            </w:pPr>
          </w:p>
        </w:tc>
        <w:tc>
          <w:tcPr>
            <w:tcW w:w="5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98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20" w:type="dxa"/>
            <w:vAlign w:val="bottom"/>
            <w:shd w:val="clear" w:color="auto" w:fill="EEEEEE"/>
          </w:tcPr>
          <w:p>
            <w:pPr>
              <w:spacing w:after="0"/>
              <w:rPr>
                <w:sz w:val="9"/>
                <w:szCs w:val="9"/>
                <w:color w:val="auto"/>
              </w:rPr>
            </w:pPr>
          </w:p>
        </w:tc>
        <w:tc>
          <w:tcPr>
            <w:tcW w:w="840" w:type="dxa"/>
            <w:vAlign w:val="bottom"/>
            <w:shd w:val="clear" w:color="auto" w:fill="EEEEEE"/>
          </w:tcPr>
          <w:p>
            <w:pPr>
              <w:spacing w:after="0"/>
              <w:rPr>
                <w:sz w:val="9"/>
                <w:szCs w:val="9"/>
                <w:color w:val="auto"/>
              </w:rPr>
            </w:pPr>
          </w:p>
        </w:tc>
        <w:tc>
          <w:tcPr>
            <w:tcW w:w="800" w:type="dxa"/>
            <w:vAlign w:val="bottom"/>
            <w:shd w:val="clear" w:color="auto" w:fill="EEEEEE"/>
          </w:tcPr>
          <w:p>
            <w:pPr>
              <w:spacing w:after="0"/>
              <w:rPr>
                <w:sz w:val="9"/>
                <w:szCs w:val="9"/>
                <w:color w:val="auto"/>
              </w:rPr>
            </w:pPr>
          </w:p>
        </w:tc>
        <w:tc>
          <w:tcPr>
            <w:tcW w:w="2580" w:type="dxa"/>
            <w:vAlign w:val="bottom"/>
            <w:gridSpan w:val="3"/>
            <w:vMerge w:val="restart"/>
            <w:shd w:val="clear" w:color="auto" w:fill="EEEEEE"/>
          </w:tcPr>
          <w:p>
            <w:pPr>
              <w:jc w:val="center"/>
              <w:ind w:right="60"/>
              <w:spacing w:after="0"/>
              <w:rPr>
                <w:sz w:val="20"/>
                <w:szCs w:val="20"/>
                <w:color w:val="auto"/>
              </w:rPr>
            </w:pPr>
            <w:r>
              <w:rPr>
                <w:rFonts w:ascii="Arial" w:cs="Arial" w:eastAsia="Arial" w:hAnsi="Arial"/>
                <w:sz w:val="18"/>
                <w:szCs w:val="18"/>
                <w:color w:val="auto"/>
                <w:w w:val="89"/>
              </w:rPr>
              <w:t>9.67% and 10.09% at June 30,</w:t>
            </w:r>
          </w:p>
        </w:tc>
        <w:tc>
          <w:tcPr>
            <w:tcW w:w="2740" w:type="dxa"/>
            <w:vAlign w:val="bottom"/>
            <w:gridSpan w:val="3"/>
            <w:vMerge w:val="continue"/>
            <w:shd w:val="clear" w:color="auto" w:fill="EEEEEE"/>
          </w:tcPr>
          <w:p>
            <w:pPr>
              <w:spacing w:after="0"/>
              <w:rPr>
                <w:sz w:val="9"/>
                <w:szCs w:val="9"/>
                <w:color w:val="auto"/>
              </w:rPr>
            </w:pPr>
          </w:p>
        </w:tc>
        <w:tc>
          <w:tcPr>
            <w:tcW w:w="980" w:type="dxa"/>
            <w:vAlign w:val="bottom"/>
            <w:shd w:val="clear" w:color="auto" w:fill="EEEEEE"/>
          </w:tcPr>
          <w:p>
            <w:pPr>
              <w:spacing w:after="0"/>
              <w:rPr>
                <w:sz w:val="9"/>
                <w:szCs w:val="9"/>
                <w:color w:val="auto"/>
              </w:rPr>
            </w:pPr>
          </w:p>
        </w:tc>
        <w:tc>
          <w:tcPr>
            <w:tcW w:w="5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98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gridSpan w:val="3"/>
            <w:vMerge w:val="restart"/>
            <w:shd w:val="clear" w:color="auto" w:fill="EEEEEE"/>
          </w:tcPr>
          <w:p>
            <w:pPr>
              <w:spacing w:after="0"/>
              <w:rPr>
                <w:sz w:val="20"/>
                <w:szCs w:val="20"/>
                <w:color w:val="auto"/>
              </w:rPr>
            </w:pPr>
            <w:r>
              <w:rPr>
                <w:rFonts w:ascii="Arial" w:cs="Arial" w:eastAsia="Arial" w:hAnsi="Arial"/>
                <w:sz w:val="18"/>
                <w:szCs w:val="18"/>
                <w:color w:val="auto"/>
                <w:w w:val="95"/>
              </w:rPr>
              <w:t>Subordinated renewable notes</w:t>
            </w:r>
          </w:p>
        </w:tc>
        <w:tc>
          <w:tcPr>
            <w:tcW w:w="2580" w:type="dxa"/>
            <w:vAlign w:val="bottom"/>
            <w:gridSpan w:val="3"/>
            <w:vMerge w:val="continue"/>
            <w:shd w:val="clear" w:color="auto" w:fill="EEEEEE"/>
          </w:tcPr>
          <w:p>
            <w:pPr>
              <w:spacing w:after="0"/>
              <w:rPr>
                <w:sz w:val="9"/>
                <w:szCs w:val="9"/>
                <w:color w:val="auto"/>
              </w:rPr>
            </w:pPr>
          </w:p>
        </w:tc>
        <w:tc>
          <w:tcPr>
            <w:tcW w:w="2740" w:type="dxa"/>
            <w:vAlign w:val="bottom"/>
            <w:gridSpan w:val="3"/>
            <w:vMerge w:val="restart"/>
            <w:shd w:val="clear" w:color="auto" w:fill="EEEEEE"/>
          </w:tcPr>
          <w:p>
            <w:pPr>
              <w:jc w:val="center"/>
              <w:ind w:right="180"/>
              <w:spacing w:after="0"/>
              <w:rPr>
                <w:sz w:val="20"/>
                <w:szCs w:val="20"/>
                <w:color w:val="auto"/>
              </w:rPr>
            </w:pPr>
            <w:r>
              <w:rPr>
                <w:rFonts w:ascii="Arial" w:cs="Arial" w:eastAsia="Arial" w:hAnsi="Arial"/>
                <w:sz w:val="18"/>
                <w:szCs w:val="18"/>
                <w:color w:val="auto"/>
                <w:w w:val="87"/>
              </w:rPr>
              <w:t>at June 30, 2021 and</w:t>
            </w:r>
          </w:p>
        </w:tc>
        <w:tc>
          <w:tcPr>
            <w:tcW w:w="980" w:type="dxa"/>
            <w:vAlign w:val="bottom"/>
            <w:shd w:val="clear" w:color="auto" w:fill="EEEEEE"/>
          </w:tcPr>
          <w:p>
            <w:pPr>
              <w:spacing w:after="0"/>
              <w:rPr>
                <w:sz w:val="9"/>
                <w:szCs w:val="9"/>
                <w:color w:val="auto"/>
              </w:rPr>
            </w:pPr>
          </w:p>
        </w:tc>
        <w:tc>
          <w:tcPr>
            <w:tcW w:w="900" w:type="dxa"/>
            <w:vAlign w:val="bottom"/>
            <w:gridSpan w:val="2"/>
            <w:vMerge w:val="restart"/>
            <w:shd w:val="clear" w:color="auto" w:fill="EEEEEE"/>
          </w:tcPr>
          <w:p>
            <w:pPr>
              <w:jc w:val="right"/>
              <w:ind w:right="320"/>
              <w:spacing w:after="0"/>
              <w:rPr>
                <w:sz w:val="20"/>
                <w:szCs w:val="20"/>
                <w:color w:val="auto"/>
              </w:rPr>
            </w:pPr>
            <w:r>
              <w:rPr>
                <w:rFonts w:ascii="Arial" w:cs="Arial" w:eastAsia="Arial" w:hAnsi="Arial"/>
                <w:sz w:val="18"/>
                <w:szCs w:val="18"/>
                <w:color w:val="auto"/>
              </w:rPr>
              <w:t>26,005</w:t>
            </w:r>
          </w:p>
        </w:tc>
        <w:tc>
          <w:tcPr>
            <w:tcW w:w="980" w:type="dxa"/>
            <w:vAlign w:val="bottom"/>
            <w:shd w:val="clear" w:color="auto" w:fill="EEEEEE"/>
          </w:tcPr>
          <w:p>
            <w:pPr>
              <w:spacing w:after="0"/>
              <w:rPr>
                <w:sz w:val="9"/>
                <w:szCs w:val="9"/>
                <w:color w:val="auto"/>
              </w:rPr>
            </w:pPr>
          </w:p>
        </w:tc>
        <w:tc>
          <w:tcPr>
            <w:tcW w:w="7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21,323</w:t>
            </w:r>
          </w:p>
        </w:tc>
        <w:tc>
          <w:tcPr>
            <w:tcW w:w="0" w:type="dxa"/>
            <w:vAlign w:val="bottom"/>
          </w:tcPr>
          <w:p>
            <w:pPr>
              <w:spacing w:after="0"/>
              <w:rPr>
                <w:sz w:val="1"/>
                <w:szCs w:val="1"/>
                <w:color w:val="auto"/>
              </w:rPr>
            </w:pPr>
          </w:p>
        </w:tc>
      </w:tr>
      <w:tr>
        <w:trPr>
          <w:trHeight w:val="108"/>
        </w:trPr>
        <w:tc>
          <w:tcPr>
            <w:tcW w:w="2360" w:type="dxa"/>
            <w:vAlign w:val="bottom"/>
            <w:gridSpan w:val="3"/>
            <w:vMerge w:val="continue"/>
            <w:shd w:val="clear" w:color="auto" w:fill="EEEEEE"/>
          </w:tcPr>
          <w:p>
            <w:pPr>
              <w:spacing w:after="0"/>
              <w:rPr>
                <w:sz w:val="9"/>
                <w:szCs w:val="9"/>
                <w:color w:val="auto"/>
              </w:rPr>
            </w:pPr>
          </w:p>
        </w:tc>
        <w:tc>
          <w:tcPr>
            <w:tcW w:w="2580" w:type="dxa"/>
            <w:vAlign w:val="bottom"/>
            <w:gridSpan w:val="3"/>
            <w:vMerge w:val="restart"/>
            <w:shd w:val="clear" w:color="auto" w:fill="EEEEEE"/>
          </w:tcPr>
          <w:p>
            <w:pPr>
              <w:jc w:val="center"/>
              <w:ind w:right="60"/>
              <w:spacing w:after="0"/>
              <w:rPr>
                <w:sz w:val="20"/>
                <w:szCs w:val="20"/>
                <w:color w:val="auto"/>
              </w:rPr>
            </w:pPr>
            <w:r>
              <w:rPr>
                <w:rFonts w:ascii="Arial" w:cs="Arial" w:eastAsia="Arial" w:hAnsi="Arial"/>
                <w:sz w:val="18"/>
                <w:szCs w:val="18"/>
                <w:color w:val="auto"/>
                <w:w w:val="88"/>
              </w:rPr>
              <w:t>2021 and December 31, 2020,</w:t>
            </w:r>
          </w:p>
        </w:tc>
        <w:tc>
          <w:tcPr>
            <w:tcW w:w="2740" w:type="dxa"/>
            <w:vAlign w:val="bottom"/>
            <w:gridSpan w:val="3"/>
            <w:vMerge w:val="continue"/>
            <w:shd w:val="clear" w:color="auto" w:fill="EEEEEE"/>
          </w:tcPr>
          <w:p>
            <w:pPr>
              <w:spacing w:after="0"/>
              <w:rPr>
                <w:sz w:val="9"/>
                <w:szCs w:val="9"/>
                <w:color w:val="auto"/>
              </w:rPr>
            </w:pPr>
          </w:p>
        </w:tc>
        <w:tc>
          <w:tcPr>
            <w:tcW w:w="980" w:type="dxa"/>
            <w:vAlign w:val="bottom"/>
            <w:shd w:val="clear" w:color="auto" w:fill="EEEEEE"/>
          </w:tcPr>
          <w:p>
            <w:pPr>
              <w:spacing w:after="0"/>
              <w:rPr>
                <w:sz w:val="9"/>
                <w:szCs w:val="9"/>
                <w:color w:val="auto"/>
              </w:rPr>
            </w:pPr>
          </w:p>
        </w:tc>
        <w:tc>
          <w:tcPr>
            <w:tcW w:w="900" w:type="dxa"/>
            <w:vAlign w:val="bottom"/>
            <w:gridSpan w:val="2"/>
            <w:vMerge w:val="continue"/>
            <w:shd w:val="clear" w:color="auto" w:fill="EEEEEE"/>
          </w:tcPr>
          <w:p>
            <w:pPr>
              <w:spacing w:after="0"/>
              <w:rPr>
                <w:sz w:val="9"/>
                <w:szCs w:val="9"/>
                <w:color w:val="auto"/>
              </w:rPr>
            </w:pPr>
          </w:p>
        </w:tc>
        <w:tc>
          <w:tcPr>
            <w:tcW w:w="980" w:type="dxa"/>
            <w:vAlign w:val="bottom"/>
            <w:shd w:val="clear" w:color="auto" w:fill="EEEEEE"/>
          </w:tcPr>
          <w:p>
            <w:pPr>
              <w:spacing w:after="0"/>
              <w:rPr>
                <w:sz w:val="9"/>
                <w:szCs w:val="9"/>
                <w:color w:val="auto"/>
              </w:rPr>
            </w:pPr>
          </w:p>
        </w:tc>
        <w:tc>
          <w:tcPr>
            <w:tcW w:w="700" w:type="dxa"/>
            <w:vAlign w:val="bottom"/>
            <w:gridSpan w:val="2"/>
            <w:vMerge w:val="continue"/>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20" w:type="dxa"/>
            <w:vAlign w:val="bottom"/>
            <w:shd w:val="clear" w:color="auto" w:fill="EEEEEE"/>
          </w:tcPr>
          <w:p>
            <w:pPr>
              <w:spacing w:after="0"/>
              <w:rPr>
                <w:sz w:val="9"/>
                <w:szCs w:val="9"/>
                <w:color w:val="auto"/>
              </w:rPr>
            </w:pPr>
          </w:p>
        </w:tc>
        <w:tc>
          <w:tcPr>
            <w:tcW w:w="840" w:type="dxa"/>
            <w:vAlign w:val="bottom"/>
            <w:shd w:val="clear" w:color="auto" w:fill="EEEEEE"/>
          </w:tcPr>
          <w:p>
            <w:pPr>
              <w:spacing w:after="0"/>
              <w:rPr>
                <w:sz w:val="9"/>
                <w:szCs w:val="9"/>
                <w:color w:val="auto"/>
              </w:rPr>
            </w:pPr>
          </w:p>
        </w:tc>
        <w:tc>
          <w:tcPr>
            <w:tcW w:w="800" w:type="dxa"/>
            <w:vAlign w:val="bottom"/>
            <w:shd w:val="clear" w:color="auto" w:fill="EEEEEE"/>
          </w:tcPr>
          <w:p>
            <w:pPr>
              <w:spacing w:after="0"/>
              <w:rPr>
                <w:sz w:val="9"/>
                <w:szCs w:val="9"/>
                <w:color w:val="auto"/>
              </w:rPr>
            </w:pPr>
          </w:p>
        </w:tc>
        <w:tc>
          <w:tcPr>
            <w:tcW w:w="2580" w:type="dxa"/>
            <w:vAlign w:val="bottom"/>
            <w:gridSpan w:val="3"/>
            <w:vMerge w:val="continue"/>
            <w:shd w:val="clear" w:color="auto" w:fill="EEEEEE"/>
          </w:tcPr>
          <w:p>
            <w:pPr>
              <w:spacing w:after="0"/>
              <w:rPr>
                <w:sz w:val="9"/>
                <w:szCs w:val="9"/>
                <w:color w:val="auto"/>
              </w:rPr>
            </w:pPr>
          </w:p>
        </w:tc>
        <w:tc>
          <w:tcPr>
            <w:tcW w:w="2740" w:type="dxa"/>
            <w:vAlign w:val="bottom"/>
            <w:gridSpan w:val="3"/>
            <w:vMerge w:val="restart"/>
            <w:shd w:val="clear" w:color="auto" w:fill="EEEEEE"/>
          </w:tcPr>
          <w:p>
            <w:pPr>
              <w:jc w:val="center"/>
              <w:ind w:right="160"/>
              <w:spacing w:after="0"/>
              <w:rPr>
                <w:sz w:val="20"/>
                <w:szCs w:val="20"/>
                <w:color w:val="auto"/>
              </w:rPr>
            </w:pPr>
            <w:r>
              <w:rPr>
                <w:rFonts w:ascii="Arial" w:cs="Arial" w:eastAsia="Arial" w:hAnsi="Arial"/>
                <w:sz w:val="18"/>
                <w:szCs w:val="18"/>
                <w:color w:val="auto"/>
                <w:w w:val="89"/>
              </w:rPr>
              <w:t>December 31, 2020,</w:t>
            </w:r>
          </w:p>
        </w:tc>
        <w:tc>
          <w:tcPr>
            <w:tcW w:w="980" w:type="dxa"/>
            <w:vAlign w:val="bottom"/>
            <w:shd w:val="clear" w:color="auto" w:fill="EEEEEE"/>
          </w:tcPr>
          <w:p>
            <w:pPr>
              <w:spacing w:after="0"/>
              <w:rPr>
                <w:sz w:val="9"/>
                <w:szCs w:val="9"/>
                <w:color w:val="auto"/>
              </w:rPr>
            </w:pPr>
          </w:p>
        </w:tc>
        <w:tc>
          <w:tcPr>
            <w:tcW w:w="5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98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20" w:type="dxa"/>
            <w:vAlign w:val="bottom"/>
            <w:shd w:val="clear" w:color="auto" w:fill="EEEEEE"/>
          </w:tcPr>
          <w:p>
            <w:pPr>
              <w:spacing w:after="0"/>
              <w:rPr>
                <w:sz w:val="9"/>
                <w:szCs w:val="9"/>
                <w:color w:val="auto"/>
              </w:rPr>
            </w:pPr>
          </w:p>
        </w:tc>
        <w:tc>
          <w:tcPr>
            <w:tcW w:w="840" w:type="dxa"/>
            <w:vAlign w:val="bottom"/>
            <w:shd w:val="clear" w:color="auto" w:fill="EEEEEE"/>
          </w:tcPr>
          <w:p>
            <w:pPr>
              <w:spacing w:after="0"/>
              <w:rPr>
                <w:sz w:val="9"/>
                <w:szCs w:val="9"/>
                <w:color w:val="auto"/>
              </w:rPr>
            </w:pPr>
          </w:p>
        </w:tc>
        <w:tc>
          <w:tcPr>
            <w:tcW w:w="800" w:type="dxa"/>
            <w:vAlign w:val="bottom"/>
            <w:shd w:val="clear" w:color="auto" w:fill="EEEEEE"/>
          </w:tcPr>
          <w:p>
            <w:pPr>
              <w:spacing w:after="0"/>
              <w:rPr>
                <w:sz w:val="9"/>
                <w:szCs w:val="9"/>
                <w:color w:val="auto"/>
              </w:rPr>
            </w:pPr>
          </w:p>
        </w:tc>
        <w:tc>
          <w:tcPr>
            <w:tcW w:w="800" w:type="dxa"/>
            <w:vAlign w:val="bottom"/>
            <w:shd w:val="clear" w:color="auto" w:fill="EEEEEE"/>
          </w:tcPr>
          <w:p>
            <w:pPr>
              <w:spacing w:after="0"/>
              <w:rPr>
                <w:sz w:val="9"/>
                <w:szCs w:val="9"/>
                <w:color w:val="auto"/>
              </w:rPr>
            </w:pPr>
          </w:p>
        </w:tc>
        <w:tc>
          <w:tcPr>
            <w:tcW w:w="1780" w:type="dxa"/>
            <w:vAlign w:val="bottom"/>
            <w:gridSpan w:val="2"/>
            <w:vMerge w:val="restart"/>
            <w:shd w:val="clear" w:color="auto" w:fill="EEEEEE"/>
          </w:tcPr>
          <w:p>
            <w:pPr>
              <w:jc w:val="center"/>
              <w:ind w:right="860"/>
              <w:spacing w:after="0"/>
              <w:rPr>
                <w:sz w:val="20"/>
                <w:szCs w:val="20"/>
                <w:color w:val="auto"/>
              </w:rPr>
            </w:pPr>
            <w:r>
              <w:rPr>
                <w:rFonts w:ascii="Arial" w:cs="Arial" w:eastAsia="Arial" w:hAnsi="Arial"/>
                <w:sz w:val="18"/>
                <w:szCs w:val="18"/>
                <w:color w:val="auto"/>
                <w:w w:val="92"/>
              </w:rPr>
              <w:t>respectively</w:t>
            </w:r>
          </w:p>
        </w:tc>
        <w:tc>
          <w:tcPr>
            <w:tcW w:w="2740" w:type="dxa"/>
            <w:vAlign w:val="bottom"/>
            <w:gridSpan w:val="3"/>
            <w:vMerge w:val="continue"/>
            <w:shd w:val="clear" w:color="auto" w:fill="EEEEEE"/>
          </w:tcPr>
          <w:p>
            <w:pPr>
              <w:spacing w:after="0"/>
              <w:rPr>
                <w:sz w:val="9"/>
                <w:szCs w:val="9"/>
                <w:color w:val="auto"/>
              </w:rPr>
            </w:pPr>
          </w:p>
        </w:tc>
        <w:tc>
          <w:tcPr>
            <w:tcW w:w="980" w:type="dxa"/>
            <w:vAlign w:val="bottom"/>
            <w:shd w:val="clear" w:color="auto" w:fill="EEEEEE"/>
          </w:tcPr>
          <w:p>
            <w:pPr>
              <w:spacing w:after="0"/>
              <w:rPr>
                <w:sz w:val="9"/>
                <w:szCs w:val="9"/>
                <w:color w:val="auto"/>
              </w:rPr>
            </w:pPr>
          </w:p>
        </w:tc>
        <w:tc>
          <w:tcPr>
            <w:tcW w:w="5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98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20" w:type="dxa"/>
            <w:vAlign w:val="bottom"/>
            <w:shd w:val="clear" w:color="auto" w:fill="EEEEEE"/>
          </w:tcPr>
          <w:p>
            <w:pPr>
              <w:spacing w:after="0"/>
              <w:rPr>
                <w:sz w:val="10"/>
                <w:szCs w:val="10"/>
                <w:color w:val="auto"/>
              </w:rPr>
            </w:pPr>
          </w:p>
        </w:tc>
        <w:tc>
          <w:tcPr>
            <w:tcW w:w="840" w:type="dxa"/>
            <w:vAlign w:val="bottom"/>
            <w:shd w:val="clear" w:color="auto" w:fill="EEEEEE"/>
          </w:tcPr>
          <w:p>
            <w:pPr>
              <w:spacing w:after="0"/>
              <w:rPr>
                <w:sz w:val="10"/>
                <w:szCs w:val="10"/>
                <w:color w:val="auto"/>
              </w:rPr>
            </w:pPr>
          </w:p>
        </w:tc>
        <w:tc>
          <w:tcPr>
            <w:tcW w:w="800" w:type="dxa"/>
            <w:vAlign w:val="bottom"/>
            <w:shd w:val="clear" w:color="auto" w:fill="EEEEEE"/>
          </w:tcPr>
          <w:p>
            <w:pPr>
              <w:spacing w:after="0"/>
              <w:rPr>
                <w:sz w:val="10"/>
                <w:szCs w:val="10"/>
                <w:color w:val="auto"/>
              </w:rPr>
            </w:pPr>
          </w:p>
        </w:tc>
        <w:tc>
          <w:tcPr>
            <w:tcW w:w="800" w:type="dxa"/>
            <w:vAlign w:val="bottom"/>
            <w:shd w:val="clear" w:color="auto" w:fill="EEEEEE"/>
          </w:tcPr>
          <w:p>
            <w:pPr>
              <w:spacing w:after="0"/>
              <w:rPr>
                <w:sz w:val="10"/>
                <w:szCs w:val="10"/>
                <w:color w:val="auto"/>
              </w:rPr>
            </w:pPr>
          </w:p>
        </w:tc>
        <w:tc>
          <w:tcPr>
            <w:tcW w:w="1780" w:type="dxa"/>
            <w:vAlign w:val="bottom"/>
            <w:gridSpan w:val="2"/>
            <w:vMerge w:val="continue"/>
            <w:shd w:val="clear" w:color="auto" w:fill="EEEEEE"/>
          </w:tcPr>
          <w:p>
            <w:pPr>
              <w:spacing w:after="0"/>
              <w:rPr>
                <w:sz w:val="10"/>
                <w:szCs w:val="10"/>
                <w:color w:val="auto"/>
              </w:rPr>
            </w:pPr>
          </w:p>
        </w:tc>
        <w:tc>
          <w:tcPr>
            <w:tcW w:w="2740" w:type="dxa"/>
            <w:vAlign w:val="bottom"/>
            <w:gridSpan w:val="3"/>
            <w:vMerge w:val="restart"/>
            <w:shd w:val="clear" w:color="auto" w:fill="EEEEEE"/>
          </w:tcPr>
          <w:p>
            <w:pPr>
              <w:jc w:val="center"/>
              <w:ind w:right="160"/>
              <w:spacing w:after="0"/>
              <w:rPr>
                <w:sz w:val="20"/>
                <w:szCs w:val="20"/>
                <w:color w:val="auto"/>
              </w:rPr>
            </w:pPr>
            <w:r>
              <w:rPr>
                <w:rFonts w:ascii="Arial" w:cs="Arial" w:eastAsia="Arial" w:hAnsi="Arial"/>
                <w:sz w:val="18"/>
                <w:szCs w:val="18"/>
                <w:color w:val="auto"/>
                <w:w w:val="90"/>
              </w:rPr>
              <w:t>respectively</w:t>
            </w:r>
          </w:p>
        </w:tc>
        <w:tc>
          <w:tcPr>
            <w:tcW w:w="980" w:type="dxa"/>
            <w:vAlign w:val="bottom"/>
            <w:shd w:val="clear" w:color="auto" w:fill="EEEEEE"/>
          </w:tcPr>
          <w:p>
            <w:pPr>
              <w:spacing w:after="0"/>
              <w:rPr>
                <w:sz w:val="10"/>
                <w:szCs w:val="10"/>
                <w:color w:val="auto"/>
              </w:rPr>
            </w:pPr>
          </w:p>
        </w:tc>
        <w:tc>
          <w:tcPr>
            <w:tcW w:w="58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980" w:type="dxa"/>
            <w:vAlign w:val="bottom"/>
            <w:shd w:val="clear" w:color="auto" w:fill="EEEEEE"/>
          </w:tcPr>
          <w:p>
            <w:pPr>
              <w:spacing w:after="0"/>
              <w:rPr>
                <w:sz w:val="10"/>
                <w:szCs w:val="10"/>
                <w:color w:val="auto"/>
              </w:rPr>
            </w:pPr>
          </w:p>
        </w:tc>
        <w:tc>
          <w:tcPr>
            <w:tcW w:w="6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 w:type="dxa"/>
            <w:vAlign w:val="bottom"/>
            <w:shd w:val="clear" w:color="auto" w:fill="EEEEEE"/>
          </w:tcPr>
          <w:p>
            <w:pPr>
              <w:spacing w:after="0"/>
              <w:rPr>
                <w:sz w:val="9"/>
                <w:szCs w:val="9"/>
                <w:color w:val="auto"/>
              </w:rPr>
            </w:pPr>
          </w:p>
        </w:tc>
        <w:tc>
          <w:tcPr>
            <w:tcW w:w="840" w:type="dxa"/>
            <w:vAlign w:val="bottom"/>
            <w:shd w:val="clear" w:color="auto" w:fill="EEEEEE"/>
          </w:tcPr>
          <w:p>
            <w:pPr>
              <w:spacing w:after="0"/>
              <w:rPr>
                <w:sz w:val="9"/>
                <w:szCs w:val="9"/>
                <w:color w:val="auto"/>
              </w:rPr>
            </w:pPr>
          </w:p>
        </w:tc>
        <w:tc>
          <w:tcPr>
            <w:tcW w:w="800" w:type="dxa"/>
            <w:vAlign w:val="bottom"/>
            <w:shd w:val="clear" w:color="auto" w:fill="EEEEEE"/>
          </w:tcPr>
          <w:p>
            <w:pPr>
              <w:spacing w:after="0"/>
              <w:rPr>
                <w:sz w:val="9"/>
                <w:szCs w:val="9"/>
                <w:color w:val="auto"/>
              </w:rPr>
            </w:pPr>
          </w:p>
        </w:tc>
        <w:tc>
          <w:tcPr>
            <w:tcW w:w="800" w:type="dxa"/>
            <w:vAlign w:val="bottom"/>
            <w:shd w:val="clear" w:color="auto" w:fill="EEEEEE"/>
          </w:tcPr>
          <w:p>
            <w:pPr>
              <w:spacing w:after="0"/>
              <w:rPr>
                <w:sz w:val="9"/>
                <w:szCs w:val="9"/>
                <w:color w:val="auto"/>
              </w:rPr>
            </w:pPr>
          </w:p>
        </w:tc>
        <w:tc>
          <w:tcPr>
            <w:tcW w:w="920" w:type="dxa"/>
            <w:vAlign w:val="bottom"/>
            <w:shd w:val="clear" w:color="auto" w:fill="EEEEEE"/>
          </w:tcPr>
          <w:p>
            <w:pPr>
              <w:spacing w:after="0"/>
              <w:rPr>
                <w:sz w:val="9"/>
                <w:szCs w:val="9"/>
                <w:color w:val="auto"/>
              </w:rPr>
            </w:pPr>
          </w:p>
        </w:tc>
        <w:tc>
          <w:tcPr>
            <w:tcW w:w="860" w:type="dxa"/>
            <w:vAlign w:val="bottom"/>
            <w:shd w:val="clear" w:color="auto" w:fill="EEEEEE"/>
          </w:tcPr>
          <w:p>
            <w:pPr>
              <w:spacing w:after="0"/>
              <w:rPr>
                <w:sz w:val="9"/>
                <w:szCs w:val="9"/>
                <w:color w:val="auto"/>
              </w:rPr>
            </w:pPr>
          </w:p>
        </w:tc>
        <w:tc>
          <w:tcPr>
            <w:tcW w:w="2740" w:type="dxa"/>
            <w:vAlign w:val="bottom"/>
            <w:gridSpan w:val="3"/>
            <w:vMerge w:val="continue"/>
            <w:shd w:val="clear" w:color="auto" w:fill="EEEEEE"/>
          </w:tcPr>
          <w:p>
            <w:pPr>
              <w:spacing w:after="0"/>
              <w:rPr>
                <w:sz w:val="9"/>
                <w:szCs w:val="9"/>
                <w:color w:val="auto"/>
              </w:rPr>
            </w:pPr>
          </w:p>
        </w:tc>
        <w:tc>
          <w:tcPr>
            <w:tcW w:w="980" w:type="dxa"/>
            <w:vAlign w:val="bottom"/>
            <w:shd w:val="clear" w:color="auto" w:fill="EEEEEE"/>
          </w:tcPr>
          <w:p>
            <w:pPr>
              <w:spacing w:after="0"/>
              <w:rPr>
                <w:sz w:val="9"/>
                <w:szCs w:val="9"/>
                <w:color w:val="auto"/>
              </w:rPr>
            </w:pPr>
          </w:p>
        </w:tc>
        <w:tc>
          <w:tcPr>
            <w:tcW w:w="58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980" w:type="dxa"/>
            <w:vAlign w:val="bottom"/>
            <w:shd w:val="clear" w:color="auto" w:fill="EEEEEE"/>
          </w:tcPr>
          <w:p>
            <w:pPr>
              <w:spacing w:after="0"/>
              <w:rPr>
                <w:sz w:val="9"/>
                <w:szCs w:val="9"/>
                <w:color w:val="auto"/>
              </w:rPr>
            </w:pPr>
          </w:p>
        </w:tc>
        <w:tc>
          <w:tcPr>
            <w:tcW w:w="6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720" w:type="dxa"/>
            <w:vAlign w:val="bottom"/>
            <w:tcBorders>
              <w:bottom w:val="single" w:sz="8" w:color="EEEEEE"/>
            </w:tcBorders>
          </w:tcPr>
          <w:p>
            <w:pPr>
              <w:spacing w:after="0"/>
              <w:rPr>
                <w:sz w:val="19"/>
                <w:szCs w:val="19"/>
                <w:color w:val="auto"/>
              </w:rPr>
            </w:pPr>
          </w:p>
        </w:tc>
        <w:tc>
          <w:tcPr>
            <w:tcW w:w="840" w:type="dxa"/>
            <w:vAlign w:val="bottom"/>
            <w:tcBorders>
              <w:bottom w:val="single" w:sz="8" w:color="EEEEEE"/>
            </w:tcBorders>
          </w:tcPr>
          <w:p>
            <w:pPr>
              <w:spacing w:after="0"/>
              <w:rPr>
                <w:sz w:val="19"/>
                <w:szCs w:val="19"/>
                <w:color w:val="auto"/>
              </w:rPr>
            </w:pPr>
          </w:p>
        </w:tc>
        <w:tc>
          <w:tcPr>
            <w:tcW w:w="800" w:type="dxa"/>
            <w:vAlign w:val="bottom"/>
            <w:tcBorders>
              <w:bottom w:val="single" w:sz="8" w:color="EEEEEE"/>
            </w:tcBorders>
          </w:tcPr>
          <w:p>
            <w:pPr>
              <w:spacing w:after="0"/>
              <w:rPr>
                <w:sz w:val="19"/>
                <w:szCs w:val="19"/>
                <w:color w:val="auto"/>
              </w:rPr>
            </w:pPr>
          </w:p>
        </w:tc>
        <w:tc>
          <w:tcPr>
            <w:tcW w:w="800" w:type="dxa"/>
            <w:vAlign w:val="bottom"/>
            <w:tcBorders>
              <w:bottom w:val="single" w:sz="8" w:color="EEEEEE"/>
            </w:tcBorders>
          </w:tcPr>
          <w:p>
            <w:pPr>
              <w:spacing w:after="0"/>
              <w:rPr>
                <w:sz w:val="19"/>
                <w:szCs w:val="19"/>
                <w:color w:val="auto"/>
              </w:rPr>
            </w:pPr>
          </w:p>
        </w:tc>
        <w:tc>
          <w:tcPr>
            <w:tcW w:w="920" w:type="dxa"/>
            <w:vAlign w:val="bottom"/>
            <w:tcBorders>
              <w:bottom w:val="single" w:sz="8" w:color="EEEEEE"/>
            </w:tcBorders>
          </w:tcPr>
          <w:p>
            <w:pPr>
              <w:spacing w:after="0"/>
              <w:rPr>
                <w:sz w:val="19"/>
                <w:szCs w:val="19"/>
                <w:color w:val="auto"/>
              </w:rPr>
            </w:pPr>
          </w:p>
        </w:tc>
        <w:tc>
          <w:tcPr>
            <w:tcW w:w="860" w:type="dxa"/>
            <w:vAlign w:val="bottom"/>
            <w:tcBorders>
              <w:bottom w:val="single" w:sz="8" w:color="EEEEEE"/>
            </w:tcBorders>
          </w:tcPr>
          <w:p>
            <w:pPr>
              <w:spacing w:after="0"/>
              <w:rPr>
                <w:sz w:val="19"/>
                <w:szCs w:val="19"/>
                <w:color w:val="auto"/>
              </w:rPr>
            </w:pPr>
          </w:p>
        </w:tc>
        <w:tc>
          <w:tcPr>
            <w:tcW w:w="900" w:type="dxa"/>
            <w:vAlign w:val="bottom"/>
            <w:tcBorders>
              <w:bottom w:val="single" w:sz="8" w:color="EEEEEE"/>
            </w:tcBorders>
          </w:tcPr>
          <w:p>
            <w:pPr>
              <w:spacing w:after="0"/>
              <w:rPr>
                <w:sz w:val="19"/>
                <w:szCs w:val="19"/>
                <w:color w:val="auto"/>
              </w:rPr>
            </w:pPr>
          </w:p>
        </w:tc>
        <w:tc>
          <w:tcPr>
            <w:tcW w:w="640" w:type="dxa"/>
            <w:vAlign w:val="bottom"/>
            <w:tcBorders>
              <w:bottom w:val="single" w:sz="8" w:color="EEEEEE"/>
            </w:tcBorders>
          </w:tcPr>
          <w:p>
            <w:pPr>
              <w:spacing w:after="0"/>
              <w:rPr>
                <w:sz w:val="19"/>
                <w:szCs w:val="19"/>
                <w:color w:val="auto"/>
              </w:rPr>
            </w:pPr>
          </w:p>
        </w:tc>
        <w:tc>
          <w:tcPr>
            <w:tcW w:w="1200" w:type="dxa"/>
            <w:vAlign w:val="bottom"/>
            <w:tcBorders>
              <w:bottom w:val="single" w:sz="8" w:color="EEEEEE"/>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Borders>
              <w:bottom w:val="single" w:sz="8" w:color="EEEEEE"/>
            </w:tcBorders>
            <w:shd w:val="clear" w:color="auto" w:fill="EEEEEE"/>
          </w:tcPr>
          <w:p>
            <w:pPr>
              <w:spacing w:after="0"/>
              <w:rPr>
                <w:sz w:val="19"/>
                <w:szCs w:val="19"/>
                <w:color w:val="auto"/>
              </w:rPr>
            </w:pPr>
          </w:p>
        </w:tc>
        <w:tc>
          <w:tcPr>
            <w:tcW w:w="840" w:type="dxa"/>
            <w:vAlign w:val="bottom"/>
            <w:tcBorders>
              <w:bottom w:val="single" w:sz="8" w:color="EEEEEE"/>
            </w:tcBorders>
            <w:shd w:val="clear" w:color="auto" w:fill="EEEEEE"/>
          </w:tcPr>
          <w:p>
            <w:pPr>
              <w:spacing w:after="0"/>
              <w:rPr>
                <w:sz w:val="19"/>
                <w:szCs w:val="19"/>
                <w:color w:val="auto"/>
              </w:rPr>
            </w:pPr>
          </w:p>
        </w:tc>
        <w:tc>
          <w:tcPr>
            <w:tcW w:w="800" w:type="dxa"/>
            <w:vAlign w:val="bottom"/>
            <w:tcBorders>
              <w:bottom w:val="single" w:sz="8" w:color="EEEEEE"/>
            </w:tcBorders>
            <w:shd w:val="clear" w:color="auto" w:fill="EEEEEE"/>
          </w:tcPr>
          <w:p>
            <w:pPr>
              <w:spacing w:after="0"/>
              <w:rPr>
                <w:sz w:val="19"/>
                <w:szCs w:val="19"/>
                <w:color w:val="auto"/>
              </w:rPr>
            </w:pPr>
          </w:p>
        </w:tc>
        <w:tc>
          <w:tcPr>
            <w:tcW w:w="800" w:type="dxa"/>
            <w:vAlign w:val="bottom"/>
            <w:tcBorders>
              <w:bottom w:val="single" w:sz="8" w:color="EEEEEE"/>
            </w:tcBorders>
            <w:shd w:val="clear" w:color="auto" w:fill="EEEEEE"/>
          </w:tcPr>
          <w:p>
            <w:pPr>
              <w:spacing w:after="0"/>
              <w:rPr>
                <w:sz w:val="19"/>
                <w:szCs w:val="19"/>
                <w:color w:val="auto"/>
              </w:rPr>
            </w:pPr>
          </w:p>
        </w:tc>
        <w:tc>
          <w:tcPr>
            <w:tcW w:w="920" w:type="dxa"/>
            <w:vAlign w:val="bottom"/>
            <w:tcBorders>
              <w:bottom w:val="single" w:sz="8" w:color="EEEEEE"/>
            </w:tcBorders>
            <w:shd w:val="clear" w:color="auto" w:fill="EEEEEE"/>
          </w:tcPr>
          <w:p>
            <w:pPr>
              <w:spacing w:after="0"/>
              <w:rPr>
                <w:sz w:val="19"/>
                <w:szCs w:val="19"/>
                <w:color w:val="auto"/>
              </w:rPr>
            </w:pPr>
          </w:p>
        </w:tc>
        <w:tc>
          <w:tcPr>
            <w:tcW w:w="860" w:type="dxa"/>
            <w:vAlign w:val="bottom"/>
            <w:tcBorders>
              <w:bottom w:val="single" w:sz="8" w:color="EEEEEE"/>
            </w:tcBorders>
            <w:shd w:val="clear" w:color="auto" w:fill="EEEEEE"/>
          </w:tcPr>
          <w:p>
            <w:pPr>
              <w:spacing w:after="0"/>
              <w:rPr>
                <w:sz w:val="19"/>
                <w:szCs w:val="19"/>
                <w:color w:val="auto"/>
              </w:rPr>
            </w:pPr>
          </w:p>
        </w:tc>
        <w:tc>
          <w:tcPr>
            <w:tcW w:w="900" w:type="dxa"/>
            <w:vAlign w:val="bottom"/>
            <w:tcBorders>
              <w:bottom w:val="single" w:sz="8" w:color="EEEEEE"/>
            </w:tcBorders>
            <w:shd w:val="clear" w:color="auto" w:fill="EEEEEE"/>
          </w:tcPr>
          <w:p>
            <w:pPr>
              <w:spacing w:after="0"/>
              <w:rPr>
                <w:sz w:val="19"/>
                <w:szCs w:val="19"/>
                <w:color w:val="auto"/>
              </w:rPr>
            </w:pPr>
          </w:p>
        </w:tc>
        <w:tc>
          <w:tcPr>
            <w:tcW w:w="640" w:type="dxa"/>
            <w:vAlign w:val="bottom"/>
            <w:tcBorders>
              <w:bottom w:val="single" w:sz="8" w:color="EEEEEE"/>
            </w:tcBorders>
            <w:shd w:val="clear" w:color="auto" w:fill="EEEEEE"/>
          </w:tcPr>
          <w:p>
            <w:pPr>
              <w:spacing w:after="0"/>
              <w:rPr>
                <w:sz w:val="19"/>
                <w:szCs w:val="19"/>
                <w:color w:val="auto"/>
              </w:rPr>
            </w:pPr>
          </w:p>
        </w:tc>
        <w:tc>
          <w:tcPr>
            <w:tcW w:w="1200" w:type="dxa"/>
            <w:vAlign w:val="bottom"/>
            <w:tcBorders>
              <w:bottom w:val="single" w:sz="8" w:color="EEEEEE"/>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jc w:val="right"/>
              <w:ind w:right="813"/>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6"/>
              </w:rPr>
              <w:t>171,865</w:t>
            </w:r>
          </w:p>
        </w:tc>
        <w:tc>
          <w:tcPr>
            <w:tcW w:w="320" w:type="dxa"/>
            <w:vAlign w:val="bottom"/>
            <w:tcBorders>
              <w:bottom w:val="single" w:sz="8" w:color="EEEEEE"/>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9"/>
              </w:rPr>
              <w:t>167,411</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we had short-term funding capacity of $300 million, comprising three credit facilities. We repaid the outstanding balance for the facility first established in April 2015 at its maturity date in February 2021 and elected not to renew it. As of June 30, 2021, our short-term funding capacity is $200 million, comprising two credit facilities.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30, 2021, we completed a $50 million securitization of residual interests from previously issued securitizations. In this residual interest financing transaction, qualified institutional buyers purchased $50.0 million of asset-backed notes secured by residual interests in eleven CPS securitizations consecutively issued from January 2018 and September 2020. The sold notes, issued by CPS Auto Securitization Trust 2021-1, consist of a single class with a coupon of 7.86%.</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Unamortized debt issuance costs of $755,000 and $150,000 as of June 30, 2021 and December 31, 2020, respectively, have been excluded from the amount reported above for residual interest financing. Similarly, unamortized debt issuance costs of $907,000 and $1.5 million as of June 30, 2021 and December 31, 2020, respectively, have been excluded from the Warehouse lines of credit amounts in the table above. These debt issuance costs are presented as a direct deduction to the carrying amount of the debt on our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Interest Income and 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interest income: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80" w:type="dxa"/>
            <w:vAlign w:val="bottom"/>
            <w:gridSpan w:val="6"/>
          </w:tcPr>
          <w:p>
            <w:pPr>
              <w:jc w:val="right"/>
              <w:ind w:right="104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9"/>
                <w:szCs w:val="19"/>
                <w:color w:val="auto"/>
              </w:rPr>
            </w:pPr>
          </w:p>
        </w:tc>
        <w:tc>
          <w:tcPr>
            <w:tcW w:w="278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26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2020</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Interest on finance receivables</w:t>
            </w:r>
          </w:p>
        </w:tc>
        <w:tc>
          <w:tcPr>
            <w:tcW w:w="320" w:type="dxa"/>
            <w:vAlign w:val="bottom"/>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18,491</w:t>
            </w:r>
          </w:p>
        </w:tc>
        <w:tc>
          <w:tcPr>
            <w:tcW w:w="680" w:type="dxa"/>
            <w:vAlign w:val="bottom"/>
            <w:gridSpan w:val="2"/>
            <w:shd w:val="clear" w:color="auto" w:fill="EEEEEE"/>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33,773</w:t>
            </w:r>
          </w:p>
        </w:tc>
        <w:tc>
          <w:tcPr>
            <w:tcW w:w="320" w:type="dxa"/>
            <w:vAlign w:val="bottom"/>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40,590</w:t>
            </w:r>
          </w:p>
        </w:tc>
        <w:tc>
          <w:tcPr>
            <w:tcW w:w="640" w:type="dxa"/>
            <w:vAlign w:val="bottom"/>
            <w:gridSpan w:val="2"/>
            <w:shd w:val="clear" w:color="auto" w:fill="EEEEEE"/>
          </w:tcPr>
          <w:p>
            <w:pPr>
              <w:jc w:val="right"/>
              <w:ind w:right="34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71,580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Interest on finance receivables at fair value</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46,943</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41,659</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90,931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82,465</w:t>
            </w: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Mark to finance receivables measured at fair value</w:t>
            </w:r>
          </w:p>
        </w:tc>
        <w:tc>
          <w:tcPr>
            <w:tcW w:w="3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(9,549)</w:t>
            </w:r>
          </w:p>
        </w:tc>
        <w:tc>
          <w:tcPr>
            <w:tcW w:w="3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(4,417)</w:t>
            </w: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(19,899)</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Other interest income</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644</w:t>
            </w:r>
          </w:p>
        </w:tc>
      </w:tr>
      <w:tr>
        <w:trPr>
          <w:trHeight w:val="223"/>
        </w:trPr>
        <w:tc>
          <w:tcPr>
            <w:tcW w:w="47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320" w:type="dxa"/>
            <w:vAlign w:val="bottom"/>
            <w:tcBorders>
              <w:top w:val="single" w:sz="8" w:color="auto"/>
              <w:bottom w:val="single" w:sz="8" w:color="auto"/>
            </w:tcBorders>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65,440</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520" w:type="dxa"/>
            <w:vAlign w:val="bottom"/>
            <w:tcBorders>
              <w:top w:val="single" w:sz="8" w:color="auto"/>
              <w:bottom w:val="single" w:sz="8" w:color="auto"/>
            </w:tcBorders>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66,003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127,116</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500" w:type="dxa"/>
            <w:vAlign w:val="bottom"/>
            <w:tcBorders>
              <w:top w:val="single" w:sz="8" w:color="auto"/>
              <w:bottom w:val="single" w:sz="8" w:color="auto"/>
            </w:tcBorders>
            <w:shd w:val="clear" w:color="auto" w:fill="EEEEEE"/>
          </w:tcPr>
          <w:p>
            <w:pPr>
              <w:jc w:val="right"/>
              <w:ind w:right="3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134,790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interest expense: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2580" w:type="dxa"/>
            <w:vAlign w:val="bottom"/>
            <w:gridSpan w:val="5"/>
          </w:tcPr>
          <w:p>
            <w:pPr>
              <w:jc w:val="center"/>
              <w:ind w:left="418"/>
              <w:spacing w:after="0"/>
              <w:rPr>
                <w:sz w:val="20"/>
                <w:szCs w:val="20"/>
                <w:color w:val="auto"/>
              </w:rPr>
            </w:pPr>
            <w:r>
              <w:rPr>
                <w:rFonts w:ascii="Arial" w:cs="Arial" w:eastAsia="Arial" w:hAnsi="Arial"/>
                <w:sz w:val="18"/>
                <w:szCs w:val="18"/>
                <w:b w:val="1"/>
                <w:bCs w:val="1"/>
                <w:color w:val="auto"/>
                <w:w w:val="92"/>
              </w:rPr>
              <w:t>Three Months Ended</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7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right="270"/>
              <w:spacing w:after="0"/>
              <w:rPr>
                <w:sz w:val="20"/>
                <w:szCs w:val="20"/>
                <w:color w:val="auto"/>
              </w:rPr>
            </w:pPr>
            <w:r>
              <w:rPr>
                <w:rFonts w:ascii="Arial" w:cs="Arial" w:eastAsia="Arial" w:hAnsi="Arial"/>
                <w:sz w:val="18"/>
                <w:szCs w:val="18"/>
                <w:b w:val="1"/>
                <w:bCs w:val="1"/>
                <w:color w:val="auto"/>
                <w:w w:val="88"/>
              </w:rPr>
              <w:t>June 30,</w:t>
            </w:r>
          </w:p>
        </w:tc>
        <w:tc>
          <w:tcPr>
            <w:tcW w:w="5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19"/>
                <w:szCs w:val="19"/>
                <w:color w:val="auto"/>
              </w:rPr>
            </w:pPr>
          </w:p>
        </w:tc>
      </w:tr>
      <w:tr>
        <w:trPr>
          <w:trHeight w:val="209"/>
        </w:trPr>
        <w:tc>
          <w:tcPr>
            <w:tcW w:w="4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88"/>
              </w:rPr>
              <w:t>(In thousands)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0"/>
              </w:rPr>
              <w:t>(In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860" w:type="dxa"/>
            <w:vAlign w:val="bottom"/>
            <w:shd w:val="clear" w:color="auto" w:fill="EEEEEE"/>
          </w:tcPr>
          <w:p>
            <w:pPr>
              <w:jc w:val="right"/>
              <w:ind w:right="698"/>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7"/>
              </w:rPr>
              <w:t>16,823</w:t>
            </w:r>
          </w:p>
        </w:tc>
        <w:tc>
          <w:tcPr>
            <w:tcW w:w="1040" w:type="dxa"/>
            <w:vAlign w:val="bottom"/>
            <w:gridSpan w:val="2"/>
            <w:shd w:val="clear" w:color="auto" w:fill="EEEEEE"/>
          </w:tcPr>
          <w:p>
            <w:pPr>
              <w:jc w:val="right"/>
              <w:ind w:right="6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7"/>
              </w:rPr>
              <w:t>22,367</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35,276</w:t>
            </w:r>
          </w:p>
        </w:tc>
        <w:tc>
          <w:tcPr>
            <w:tcW w:w="600" w:type="dxa"/>
            <w:vAlign w:val="bottom"/>
            <w:gridSpan w:val="2"/>
            <w:shd w:val="clear" w:color="auto" w:fill="EEEEEE"/>
          </w:tcPr>
          <w:p>
            <w:pPr>
              <w:jc w:val="right"/>
              <w:ind w:right="28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46,165</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8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1,021</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2,675</w:t>
            </w: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2,335</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4,437</w:t>
            </w: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86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467</w:t>
            </w: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920</w:t>
            </w:r>
          </w:p>
        </w:tc>
        <w:tc>
          <w:tcPr>
            <w:tcW w:w="2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1,033</w:t>
            </w:r>
          </w:p>
        </w:tc>
        <w:tc>
          <w:tcPr>
            <w:tcW w:w="1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1,857</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8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669</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523</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1,281</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1,017</w:t>
            </w:r>
          </w:p>
        </w:tc>
      </w:tr>
      <w:tr>
        <w:trPr>
          <w:trHeight w:val="223"/>
        </w:trPr>
        <w:tc>
          <w:tcPr>
            <w:tcW w:w="47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860" w:type="dxa"/>
            <w:vAlign w:val="bottom"/>
            <w:tcBorders>
              <w:top w:val="single" w:sz="8" w:color="auto"/>
              <w:bottom w:val="single" w:sz="8" w:color="auto"/>
            </w:tcBorders>
            <w:shd w:val="clear" w:color="auto" w:fill="EEEEEE"/>
          </w:tcPr>
          <w:p>
            <w:pPr>
              <w:jc w:val="right"/>
              <w:ind w:right="69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18,980</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880" w:type="dxa"/>
            <w:vAlign w:val="bottom"/>
            <w:tcBorders>
              <w:top w:val="single" w:sz="8" w:color="auto"/>
              <w:bottom w:val="single" w:sz="8" w:color="auto"/>
            </w:tcBorders>
            <w:shd w:val="clear" w:color="auto" w:fill="EEEEEE"/>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26,485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39,925</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53,476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Earnings per share for the three-month and six-month periods ended June 30, 2021 and 2020 were calculated using the weighted average number of shares outstanding for the related period. The following table reconciles the number of shares used in the computations of basic and diluted earnings per share for the three-month and six-month periods ended June 30, 2021 and 2020:</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80" w:right="60" w:hanging="179"/>
        <w:spacing w:after="0" w:line="342" w:lineRule="auto"/>
        <w:rPr>
          <w:sz w:val="20"/>
          <w:szCs w:val="20"/>
          <w:color w:val="auto"/>
        </w:rPr>
      </w:pPr>
      <w:r>
        <w:rPr>
          <w:rFonts w:ascii="Arial" w:cs="Arial" w:eastAsia="Arial" w:hAnsi="Arial"/>
          <w:sz w:val="16"/>
          <w:szCs w:val="16"/>
          <w:color w:val="auto"/>
        </w:rPr>
        <w:t>Weighted average number of common shares outstanding during the period used to compute basic earnings per share</w:t>
      </w:r>
    </w:p>
    <w:p>
      <w:pPr>
        <w:spacing w:after="0" w:line="124" w:lineRule="exact"/>
        <w:rPr>
          <w:sz w:val="20"/>
          <w:szCs w:val="20"/>
          <w:color w:val="auto"/>
        </w:rPr>
      </w:pPr>
    </w:p>
    <w:p>
      <w:pPr>
        <w:ind w:left="180" w:right="560" w:hanging="179"/>
        <w:spacing w:after="0" w:line="277" w:lineRule="auto"/>
        <w:rPr>
          <w:sz w:val="20"/>
          <w:szCs w:val="20"/>
          <w:color w:val="auto"/>
        </w:rPr>
      </w:pPr>
      <w:r>
        <w:rPr>
          <w:rFonts w:ascii="Arial" w:cs="Arial" w:eastAsia="Arial" w:hAnsi="Arial"/>
          <w:sz w:val="18"/>
          <w:szCs w:val="18"/>
          <w:color w:val="auto"/>
        </w:rPr>
        <w:t>Incremental common shares attributable to exercise of outstanding options and warrants</w:t>
      </w:r>
    </w:p>
    <w:p>
      <w:pPr>
        <w:spacing w:after="0" w:line="197" w:lineRule="exact"/>
        <w:rPr>
          <w:sz w:val="20"/>
          <w:szCs w:val="20"/>
          <w:color w:val="auto"/>
        </w:rPr>
      </w:pPr>
    </w:p>
    <w:p>
      <w:pPr>
        <w:ind w:left="180" w:hanging="179"/>
        <w:spacing w:after="0" w:line="277" w:lineRule="auto"/>
        <w:rPr>
          <w:sz w:val="20"/>
          <w:szCs w:val="20"/>
          <w:color w:val="auto"/>
        </w:rPr>
      </w:pPr>
      <w:r>
        <w:rPr>
          <w:rFonts w:ascii="Arial" w:cs="Arial" w:eastAsia="Arial" w:hAnsi="Arial"/>
          <w:sz w:val="18"/>
          <w:szCs w:val="18"/>
          <w:color w:val="auto"/>
        </w:rPr>
        <w:t>Weighted average number of common shares used to compute diluted earnings per share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3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3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210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20" w:type="dxa"/>
            <w:vAlign w:val="bottom"/>
            <w:tcBorders>
              <w:bottom w:val="single" w:sz="8" w:color="auto"/>
            </w:tcBorders>
            <w:gridSpan w:val="3"/>
          </w:tcPr>
          <w:p>
            <w:pPr>
              <w:jc w:val="center"/>
              <w:ind w:left="930"/>
              <w:spacing w:after="0"/>
              <w:rPr>
                <w:sz w:val="20"/>
                <w:szCs w:val="20"/>
                <w:color w:val="auto"/>
              </w:rPr>
            </w:pPr>
            <w:r>
              <w:rPr>
                <w:rFonts w:ascii="Arial" w:cs="Arial" w:eastAsia="Arial" w:hAnsi="Arial"/>
                <w:sz w:val="18"/>
                <w:szCs w:val="18"/>
                <w:b w:val="1"/>
                <w:bCs w:val="1"/>
                <w:color w:val="auto"/>
                <w:w w:val="88"/>
              </w:rPr>
              <w:t>June 30,</w:t>
            </w:r>
          </w:p>
        </w:tc>
        <w:tc>
          <w:tcPr>
            <w:tcW w:w="1000" w:type="dxa"/>
            <w:vAlign w:val="bottom"/>
            <w:tcBorders>
              <w:bottom w:val="single" w:sz="8" w:color="auto"/>
            </w:tcBorders>
          </w:tcPr>
          <w:p>
            <w:pPr>
              <w:spacing w:after="0"/>
              <w:rPr>
                <w:sz w:val="20"/>
                <w:szCs w:val="20"/>
                <w:color w:val="auto"/>
              </w:rPr>
            </w:pPr>
          </w:p>
        </w:tc>
      </w:tr>
      <w:tr>
        <w:trPr>
          <w:trHeight w:val="223"/>
        </w:trPr>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2020</w:t>
            </w:r>
          </w:p>
        </w:tc>
        <w:tc>
          <w:tcPr>
            <w:tcW w:w="320" w:type="dxa"/>
            <w:vAlign w:val="bottom"/>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2020</w:t>
            </w:r>
          </w:p>
        </w:tc>
      </w:tr>
      <w:tr>
        <w:trPr>
          <w:trHeight w:val="228"/>
        </w:trPr>
        <w:tc>
          <w:tcPr>
            <w:tcW w:w="210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0"/>
              </w:rPr>
              <w:t>(In thousands)</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2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90"/>
              </w:rPr>
              <w:t>(In thousands)</w:t>
            </w:r>
          </w:p>
        </w:tc>
        <w:tc>
          <w:tcPr>
            <w:tcW w:w="1000" w:type="dxa"/>
            <w:vAlign w:val="bottom"/>
          </w:tcPr>
          <w:p>
            <w:pPr>
              <w:spacing w:after="0"/>
              <w:rPr>
                <w:sz w:val="19"/>
                <w:szCs w:val="19"/>
                <w:color w:val="auto"/>
              </w:rPr>
            </w:pPr>
          </w:p>
        </w:tc>
      </w:tr>
      <w:tr>
        <w:trPr>
          <w:trHeight w:val="414"/>
        </w:trPr>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22,842</w:t>
            </w:r>
          </w:p>
        </w:tc>
        <w:tc>
          <w:tcPr>
            <w:tcW w:w="44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22,685</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22,791</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22,612</w:t>
            </w:r>
          </w:p>
        </w:tc>
      </w:tr>
      <w:tr>
        <w:trPr>
          <w:trHeight w:val="661"/>
        </w:trPr>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2,288</w:t>
            </w:r>
          </w:p>
        </w:tc>
        <w:tc>
          <w:tcPr>
            <w:tcW w:w="44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1,002</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2,257</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1,171</w:t>
            </w:r>
          </w:p>
        </w:tc>
      </w:tr>
      <w:tr>
        <w:trPr>
          <w:trHeight w:val="20"/>
        </w:trPr>
        <w:tc>
          <w:tcPr>
            <w:tcW w:w="1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668"/>
        </w:trPr>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25,130</w:t>
            </w:r>
          </w:p>
        </w:tc>
        <w:tc>
          <w:tcPr>
            <w:tcW w:w="44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23,687</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25,048</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23,783</w:t>
            </w:r>
          </w:p>
        </w:tc>
      </w:tr>
      <w:tr>
        <w:trPr>
          <w:trHeight w:val="20"/>
        </w:trPr>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-1156970</wp:posOffset>
            </wp:positionV>
            <wp:extent cx="713232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-744855</wp:posOffset>
            </wp:positionV>
            <wp:extent cx="7132320" cy="282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-316865</wp:posOffset>
            </wp:positionV>
            <wp:extent cx="7132320" cy="300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220"/>
            <w:col w:w="6540"/>
          </w:cols>
          <w:pgMar w:left="320" w:top="796" w:right="339" w:bottom="1440" w:gutter="0" w:footer="0" w:header="0"/>
          <w:type w:val="continuous"/>
        </w:sect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anti-dilutive effects of common stock equivalents were considered, shares included in the diluted earnings per share calculation for the three-month and six-month periods ended June 30, 2021 would have included an additional 6.0 million and 6.9 million shares, respectively, attributable to the exercise of outstanding options and warrants. For the three-month and six-month periods ended June 30, 2020, an additional 13.3 million and 13.1 million shares, respectively, would be included in the diluted earnings per share calculation.</w:t>
      </w:r>
    </w:p>
    <w:p>
      <w:pPr>
        <w:spacing w:after="0" w:line="187"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2013.</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27, 2020, the Coronavirus Aid, Relief and Economic Security (“CARES”) Act was adopted, providing wide ranging economic relief for individuals and businesses. One component of the CARES Act provides the Company with an opportunity to carry back net operating losses (“NOLs”) arising from 2018, 2019 and 2020 to the prior five tax years. The Company has such NOLs reflected on its balance sheet as a portion of deferred tax assets. The Company has previously valued its NOLs at the federal corporate income tax rate of 21%. However, the provisions of the CARES Act provide for NOL carryback claims to be calculated based on a rate of 35%, which was the federal corporate tax rate in effect for the carryback years. Consequently, the Company has revalued the benefit from its NOLs to reflect a 35% tax rate. The result of the revaluation of NOLs and other tax adjustments is a net tax benefit of $8.8 million, which is reflected in income taxes for the six-month period ending June 30, 2020.</w:t>
      </w:r>
    </w:p>
    <w:p>
      <w:pPr>
        <w:spacing w:after="0" w:line="17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June 30, 2021, and December 31, 2020,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$27.1 million as of June 30, 2021 is more likely than not based on forecasted future net earnings. Our net deferred tax asset of $27.1 million consists of approximately $15.9 million of net U.S. federal deferred tax assets and $11.2 million of net state deferred tax assets.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was $4.2 million and $6.9 million for the three months and six months ended June 30, 2021, representing effective income tax rates of 30% and 32%, respectively. Income tax expense was $1.7 million for the three months ended June 30, 2020. Income tax benefit was $6.0 million for the six months ended June 30, 2020, which includes net tax benefits of $8.8 million. Excluding the tax benefit, income tax expense would have been $2.8 million for the six months ended June 30, 2020, representing an effective income tax rate of 36%.</w:t>
      </w:r>
    </w:p>
    <w:p>
      <w:pPr>
        <w:spacing w:after="0" w:line="18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Consumer Litigation. </w:t>
      </w:r>
      <w:r>
        <w:rPr>
          <w:rFonts w:ascii="Arial" w:cs="Arial" w:eastAsia="Arial" w:hAnsi="Arial"/>
          <w:sz w:val="18"/>
          <w:szCs w:val="18"/>
          <w:color w:val="auto"/>
        </w:rPr>
        <w:t>We are routinely involved in various legal proceedings resulting from our consumer finance activities and practices, both continuing</w:t>
      </w:r>
      <w:r>
        <w:rPr>
          <w:rFonts w:ascii="Arial" w:cs="Arial" w:eastAsia="Arial" w:hAnsi="Arial"/>
          <w:sz w:val="18"/>
          <w:szCs w:val="18"/>
          <w:i w:val="1"/>
          <w:iCs w:val="1"/>
          <w:color w:val="auto"/>
        </w:rPr>
        <w:t xml:space="preserve"> </w:t>
      </w:r>
      <w:r>
        <w:rPr>
          <w:rFonts w:ascii="Arial" w:cs="Arial" w:eastAsia="Arial" w:hAnsi="Arial"/>
          <w:sz w:val="18"/>
          <w:szCs w:val="18"/>
          <w:color w:val="auto"/>
        </w:rPr>
        <w:t>and discontinued. Consumers can and do initiate lawsuits against us alleging violations of law applicable to collection of receivables, and such lawsuits sometimes allege that resolution as a class action is appropriate.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most part, we have legal and factual defenses to consumer claims, which we routinely contest or settle (for immaterial amounts) depending on the particular circumstances of each case.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Wage and Hour Claim. </w:t>
      </w:r>
      <w:r>
        <w:rPr>
          <w:rFonts w:ascii="Arial" w:cs="Arial" w:eastAsia="Arial" w:hAnsi="Arial"/>
          <w:sz w:val="18"/>
          <w:szCs w:val="18"/>
          <w:color w:val="auto"/>
        </w:rPr>
        <w:t>On September 24, 2018, a former employee filed a lawsuit against us in the Superior Court of Orange County, California, alleging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incorrectly classified our sales representatives as outside salespersons exempt from overtime wages, mandatory break periods and certain other employee protective provisions of California and federal law. The complaint seeks injunctive relief, an award of unpaid wages, liquidated damages, and attorney fees and interest. The plaintiff purports to act on behalf of a class of similarly situated employees and ex-employees. As of the date of this report, no motion for class certification has been filed or granted.</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believe that our compensation practices with respect to our sales representatives are compliant with applicable law. Accordingly, we have defended and intend to continue to defend this lawsuit. We have not recorded a liability with respect to this claim on the accompanying consolidated financial statements.</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In General. </w:t>
      </w:r>
      <w:r>
        <w:rPr>
          <w:rFonts w:ascii="Arial" w:cs="Arial" w:eastAsia="Arial" w:hAnsi="Arial"/>
          <w:sz w:val="16"/>
          <w:szCs w:val="16"/>
          <w:color w:val="auto"/>
        </w:rPr>
        <w:t>There can be no assurance as to the outcomes of the matters described or referenced above. We record at each measurement date, most recently</w:t>
      </w:r>
      <w:r>
        <w:rPr>
          <w:rFonts w:ascii="Arial" w:cs="Arial" w:eastAsia="Arial" w:hAnsi="Arial"/>
          <w:sz w:val="16"/>
          <w:szCs w:val="16"/>
          <w:i w:val="1"/>
          <w:iCs w:val="1"/>
          <w:color w:val="auto"/>
        </w:rPr>
        <w:t xml:space="preserve"> </w:t>
      </w:r>
      <w:r>
        <w:rPr>
          <w:rFonts w:ascii="Arial" w:cs="Arial" w:eastAsia="Arial" w:hAnsi="Arial"/>
          <w:sz w:val="16"/>
          <w:szCs w:val="16"/>
          <w:color w:val="auto"/>
        </w:rPr>
        <w:t>as of June 30, 2020, our best estimate of probable incurred losses for legal contingencies, including the matters identified above, and consumer claims. The amount of losses that may ultimately be incurred cannot be estimated with certainty. However, based on such information as is available to us, we believe that the total of probable incurred losses for legal contingencies as of June 30, 2021 is immaterial, and that the range of reasonably possible losses for the legal proceedings and contingencies we face, including those described or identified above, as of June 30, 2021 does not exceed $3 million.</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Fair Value Measurements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Effective January 2018 we have elected to use the fair value method to value our portfolio of finance receivables acquired in January 2018 and thereafter.</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Significant changes in any of those inputs in isolation would have a significant effect on our fair value measurement.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quarter ended June 30, 2021, the Company evaluated the appropriate fair value and future earnings rate of existing receivables compared to recently acquired receivables and our assessment of potential additional future net losses on the portfolio of finance receivables carried at fair value and did not record a mark down to that portfolio.</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a reconciliation of the finance receivables measured at fair value on a recurring basis using significant unobservable inputs: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80" w:type="dxa"/>
            <w:vAlign w:val="bottom"/>
            <w:gridSpan w:val="6"/>
          </w:tcPr>
          <w:p>
            <w:pPr>
              <w:jc w:val="right"/>
              <w:ind w:right="104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9"/>
                <w:szCs w:val="19"/>
                <w:color w:val="auto"/>
              </w:rPr>
            </w:pPr>
          </w:p>
        </w:tc>
        <w:tc>
          <w:tcPr>
            <w:tcW w:w="2780" w:type="dxa"/>
            <w:vAlign w:val="bottom"/>
            <w:gridSpan w:val="7"/>
          </w:tcPr>
          <w:p>
            <w:pPr>
              <w:jc w:val="right"/>
              <w:ind w:right="9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289"/>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2020</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4"/>
          </w:tcPr>
          <w:p>
            <w:pPr>
              <w:jc w:val="right"/>
              <w:ind w:right="9"/>
              <w:spacing w:after="0"/>
              <w:rPr>
                <w:sz w:val="20"/>
                <w:szCs w:val="20"/>
                <w:color w:val="auto"/>
              </w:rPr>
            </w:pPr>
            <w:r>
              <w:rPr>
                <w:rFonts w:ascii="Arial" w:cs="Arial" w:eastAsia="Arial" w:hAnsi="Arial"/>
                <w:sz w:val="18"/>
                <w:szCs w:val="18"/>
                <w:b w:val="1"/>
                <w:bCs w:val="1"/>
                <w:color w:val="auto"/>
              </w:rPr>
              <w:t>(In thousands)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320" w:type="dxa"/>
            <w:vAlign w:val="bottom"/>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1,533,723</w:t>
            </w:r>
          </w:p>
        </w:tc>
        <w:tc>
          <w:tcPr>
            <w:tcW w:w="660" w:type="dxa"/>
            <w:vAlign w:val="bottom"/>
            <w:gridSpan w:val="2"/>
            <w:shd w:val="clear" w:color="auto" w:fill="EEEEEE"/>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1,559,697</w:t>
            </w:r>
          </w:p>
        </w:tc>
        <w:tc>
          <w:tcPr>
            <w:tcW w:w="320" w:type="dxa"/>
            <w:vAlign w:val="bottom"/>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1,523,726</w:t>
            </w:r>
          </w:p>
        </w:tc>
        <w:tc>
          <w:tcPr>
            <w:tcW w:w="500" w:type="dxa"/>
            <w:vAlign w:val="bottom"/>
            <w:gridSpan w:val="2"/>
            <w:shd w:val="clear" w:color="auto" w:fill="EEEEEE"/>
          </w:tcPr>
          <w:p>
            <w:pPr>
              <w:jc w:val="right"/>
              <w:ind w:right="369"/>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1,444,038</w:t>
            </w: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Finance receivables at fair value acquired during period</w:t>
            </w: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279,658</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134,447</w:t>
            </w:r>
          </w:p>
        </w:tc>
        <w:tc>
          <w:tcPr>
            <w:tcW w:w="3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485,117</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399,729</w:t>
            </w:r>
          </w:p>
        </w:tc>
        <w:tc>
          <w:tcPr>
            <w:tcW w:w="8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Payments received on finance receivables at fair value</w:t>
            </w:r>
          </w:p>
        </w:tc>
        <w:tc>
          <w:tcPr>
            <w:tcW w:w="3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(199,419)</w:t>
            </w:r>
          </w:p>
        </w:tc>
        <w:tc>
          <w:tcPr>
            <w:tcW w:w="1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(112,505)</w:t>
            </w:r>
          </w:p>
        </w:tc>
        <w:tc>
          <w:tcPr>
            <w:tcW w:w="3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(355,439)</w:t>
            </w:r>
          </w:p>
        </w:tc>
        <w:tc>
          <w:tcPr>
            <w:tcW w:w="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(222,063)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interest income accretion on fair value receivables</w:t>
            </w:r>
          </w:p>
        </w:tc>
        <w:tc>
          <w:tcPr>
            <w:tcW w:w="3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(31,787)</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(34,441)</w:t>
            </w:r>
          </w:p>
        </w:tc>
        <w:tc>
          <w:tcPr>
            <w:tcW w:w="3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(66,812)</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(64,156)</w:t>
            </w:r>
          </w:p>
        </w:tc>
      </w:tr>
      <w:tr>
        <w:trPr>
          <w:trHeight w:val="229"/>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Mark to fair value</w:t>
            </w:r>
          </w:p>
        </w:tc>
        <w:tc>
          <w:tcPr>
            <w:tcW w:w="32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(9,549)</w:t>
            </w:r>
          </w:p>
        </w:tc>
        <w:tc>
          <w:tcPr>
            <w:tcW w:w="3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(4,417)</w:t>
            </w:r>
          </w:p>
        </w:tc>
        <w:tc>
          <w:tcPr>
            <w:tcW w:w="2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9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(19,899)</w:t>
            </w: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1,582,175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1,537,649</w:t>
            </w:r>
          </w:p>
        </w:tc>
        <w:tc>
          <w:tcPr>
            <w:tcW w:w="3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1,582,175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1,537,649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40" w:type="dxa"/>
            <w:vAlign w:val="bottom"/>
            <w:gridSpan w:val="8"/>
          </w:tcPr>
          <w:p>
            <w:pPr>
              <w:spacing w:after="0"/>
              <w:rPr>
                <w:sz w:val="20"/>
                <w:szCs w:val="20"/>
                <w:color w:val="auto"/>
              </w:rPr>
            </w:pPr>
            <w:r>
              <w:rPr>
                <w:rFonts w:ascii="Arial" w:cs="Arial" w:eastAsia="Arial" w:hAnsi="Arial"/>
                <w:sz w:val="18"/>
                <w:szCs w:val="18"/>
                <w:color w:val="auto"/>
                <w:w w:val="99"/>
              </w:rPr>
              <w:t>The table below compares the fair values of these finance receivables to their contractual balances for the periods shown:</w:t>
            </w: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4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b w:val="1"/>
                <w:bCs w:val="1"/>
                <w:color w:val="auto"/>
              </w:rPr>
              <w:t>June 30, 2021</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gridSpan w:val="4"/>
          </w:tcPr>
          <w:p>
            <w:pPr>
              <w:ind w:left="620"/>
              <w:spacing w:after="0"/>
              <w:rPr>
                <w:sz w:val="20"/>
                <w:szCs w:val="20"/>
                <w:color w:val="auto"/>
              </w:rPr>
            </w:pPr>
            <w:r>
              <w:rPr>
                <w:rFonts w:ascii="Arial" w:cs="Arial" w:eastAsia="Arial" w:hAnsi="Arial"/>
                <w:sz w:val="18"/>
                <w:szCs w:val="18"/>
                <w:b w:val="1"/>
                <w:bCs w:val="1"/>
                <w:color w:val="auto"/>
              </w:rPr>
              <w:t>December 31, 2020</w:t>
            </w:r>
          </w:p>
        </w:tc>
      </w:tr>
      <w:tr>
        <w:trPr>
          <w:trHeight w:val="205"/>
        </w:trPr>
        <w:tc>
          <w:tcPr>
            <w:tcW w:w="47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230"/>
              <w:spacing w:after="0" w:line="205" w:lineRule="exact"/>
              <w:rPr>
                <w:sz w:val="20"/>
                <w:szCs w:val="20"/>
                <w:color w:val="auto"/>
              </w:rPr>
            </w:pPr>
            <w:r>
              <w:rPr>
                <w:rFonts w:ascii="Arial" w:cs="Arial" w:eastAsia="Arial" w:hAnsi="Arial"/>
                <w:sz w:val="18"/>
                <w:szCs w:val="18"/>
                <w:b w:val="1"/>
                <w:bCs w:val="1"/>
                <w:color w:val="auto"/>
                <w:w w:val="91"/>
              </w:rPr>
              <w:t>Contractual</w:t>
            </w:r>
          </w:p>
        </w:tc>
        <w:tc>
          <w:tcPr>
            <w:tcW w:w="5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330"/>
              <w:spacing w:after="0" w:line="205" w:lineRule="exact"/>
              <w:rPr>
                <w:sz w:val="20"/>
                <w:szCs w:val="20"/>
                <w:color w:val="auto"/>
              </w:rPr>
            </w:pPr>
            <w:r>
              <w:rPr>
                <w:rFonts w:ascii="Arial" w:cs="Arial" w:eastAsia="Arial" w:hAnsi="Arial"/>
                <w:sz w:val="18"/>
                <w:szCs w:val="18"/>
                <w:b w:val="1"/>
                <w:bCs w:val="1"/>
                <w:color w:val="auto"/>
              </w:rPr>
              <w:t>Fair</w:t>
            </w: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ind w:right="230"/>
              <w:spacing w:after="0" w:line="205" w:lineRule="exact"/>
              <w:rPr>
                <w:sz w:val="20"/>
                <w:szCs w:val="20"/>
                <w:color w:val="auto"/>
              </w:rPr>
            </w:pPr>
            <w:r>
              <w:rPr>
                <w:rFonts w:ascii="Arial" w:cs="Arial" w:eastAsia="Arial" w:hAnsi="Arial"/>
                <w:sz w:val="18"/>
                <w:szCs w:val="18"/>
                <w:b w:val="1"/>
                <w:bCs w:val="1"/>
                <w:color w:val="auto"/>
                <w:w w:val="91"/>
              </w:rPr>
              <w:t>Contractual</w:t>
            </w:r>
          </w:p>
        </w:tc>
        <w:tc>
          <w:tcPr>
            <w:tcW w:w="4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5"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34"/>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Balance</w:t>
            </w:r>
          </w:p>
        </w:tc>
        <w:tc>
          <w:tcPr>
            <w:tcW w:w="580" w:type="dxa"/>
            <w:vAlign w:val="bottom"/>
          </w:tcPr>
          <w:p>
            <w:pPr>
              <w:spacing w:after="0"/>
              <w:rPr>
                <w:sz w:val="20"/>
                <w:szCs w:val="20"/>
                <w:color w:val="auto"/>
              </w:rPr>
            </w:pPr>
          </w:p>
        </w:tc>
        <w:tc>
          <w:tcPr>
            <w:tcW w:w="128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87"/>
              </w:rPr>
              <w:t>Value</w:t>
            </w:r>
          </w:p>
        </w:tc>
        <w:tc>
          <w:tcPr>
            <w:tcW w:w="140" w:type="dxa"/>
            <w:vAlign w:val="bottom"/>
          </w:tcPr>
          <w:p>
            <w:pPr>
              <w:spacing w:after="0"/>
              <w:rPr>
                <w:sz w:val="20"/>
                <w:szCs w:val="20"/>
                <w:color w:val="auto"/>
              </w:rPr>
            </w:pPr>
          </w:p>
        </w:tc>
        <w:tc>
          <w:tcPr>
            <w:tcW w:w="136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Balance</w:t>
            </w:r>
          </w:p>
        </w:tc>
        <w:tc>
          <w:tcPr>
            <w:tcW w:w="42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r>
      <w:tr>
        <w:trPr>
          <w:trHeight w:val="228"/>
        </w:trPr>
        <w:tc>
          <w:tcPr>
            <w:tcW w:w="47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780" w:type="dxa"/>
            <w:vAlign w:val="bottom"/>
            <w:tcBorders>
              <w:top w:val="single" w:sz="8" w:color="auto"/>
            </w:tcBorders>
            <w:gridSpan w:val="4"/>
          </w:tcPr>
          <w:p>
            <w:pPr>
              <w:jc w:val="right"/>
              <w:ind w:right="1050"/>
              <w:spacing w:after="0"/>
              <w:rPr>
                <w:sz w:val="20"/>
                <w:szCs w:val="20"/>
                <w:color w:val="auto"/>
              </w:rPr>
            </w:pPr>
            <w:r>
              <w:rPr>
                <w:rFonts w:ascii="Arial" w:cs="Arial" w:eastAsia="Arial" w:hAnsi="Arial"/>
                <w:sz w:val="18"/>
                <w:szCs w:val="18"/>
                <w:b w:val="1"/>
                <w:bCs w:val="1"/>
                <w:color w:val="auto"/>
              </w:rPr>
              <w:t>(In thousands)</w:t>
            </w:r>
          </w:p>
        </w:tc>
        <w:tc>
          <w:tcPr>
            <w:tcW w:w="4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1,768,988</w:t>
            </w:r>
          </w:p>
        </w:tc>
        <w:tc>
          <w:tcPr>
            <w:tcW w:w="58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1,582,175</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1,668,076</w:t>
            </w:r>
          </w:p>
        </w:tc>
        <w:tc>
          <w:tcPr>
            <w:tcW w:w="42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1,523,726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qualitative information about our level 3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126365</wp:posOffset>
            </wp:positionV>
            <wp:extent cx="285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3724275</wp:posOffset>
            </wp:positionH>
            <wp:positionV relativeFrom="paragraph">
              <wp:posOffset>126365</wp:posOffset>
            </wp:positionV>
            <wp:extent cx="285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Financial Instrument</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80" w:type="dxa"/>
            <w:vAlign w:val="bottom"/>
            <w:gridSpan w:val="8"/>
          </w:tcPr>
          <w:p>
            <w:pPr>
              <w:jc w:val="center"/>
              <w:ind w:right="680"/>
              <w:spacing w:after="0"/>
              <w:rPr>
                <w:sz w:val="20"/>
                <w:szCs w:val="20"/>
                <w:color w:val="auto"/>
              </w:rPr>
            </w:pPr>
            <w:r>
              <w:rPr>
                <w:rFonts w:ascii="Arial" w:cs="Arial" w:eastAsia="Arial" w:hAnsi="Arial"/>
                <w:sz w:val="18"/>
                <w:szCs w:val="18"/>
                <w:b w:val="1"/>
                <w:bCs w:val="1"/>
                <w:color w:val="auto"/>
                <w:w w:val="89"/>
              </w:rPr>
              <w:t>Fair Values as of</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3"/>
          </w:tcPr>
          <w:p>
            <w:pPr>
              <w:ind w:left="900"/>
              <w:spacing w:after="0"/>
              <w:rPr>
                <w:sz w:val="20"/>
                <w:szCs w:val="20"/>
                <w:color w:val="auto"/>
              </w:rPr>
            </w:pPr>
            <w:r>
              <w:rPr>
                <w:rFonts w:ascii="Arial" w:cs="Arial" w:eastAsia="Arial" w:hAnsi="Arial"/>
                <w:sz w:val="18"/>
                <w:szCs w:val="18"/>
                <w:b w:val="1"/>
                <w:bCs w:val="1"/>
                <w:color w:val="auto"/>
              </w:rPr>
              <w:t>Inputs as of</w:t>
            </w:r>
          </w:p>
        </w:tc>
        <w:tc>
          <w:tcPr>
            <w:tcW w:w="0" w:type="dxa"/>
            <w:vAlign w:val="bottom"/>
          </w:tcPr>
          <w:p>
            <w:pPr>
              <w:spacing w:after="0"/>
              <w:rPr>
                <w:sz w:val="1"/>
                <w:szCs w:val="1"/>
                <w:color w:val="auto"/>
              </w:rPr>
            </w:pPr>
          </w:p>
        </w:tc>
      </w:tr>
      <w:tr>
        <w:trPr>
          <w:trHeight w:val="20"/>
        </w:trPr>
        <w:tc>
          <w:tcPr>
            <w:tcW w:w="164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16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5"/>
          </w:tcPr>
          <w:p>
            <w:pPr>
              <w:jc w:val="center"/>
              <w:ind w:right="307"/>
              <w:spacing w:after="0" w:line="191" w:lineRule="exact"/>
              <w:rPr>
                <w:sz w:val="20"/>
                <w:szCs w:val="20"/>
                <w:color w:val="auto"/>
              </w:rPr>
            </w:pPr>
            <w:r>
              <w:rPr>
                <w:rFonts w:ascii="Arial" w:cs="Arial" w:eastAsia="Arial" w:hAnsi="Arial"/>
                <w:sz w:val="18"/>
                <w:szCs w:val="18"/>
                <w:b w:val="1"/>
                <w:bCs w:val="1"/>
                <w:color w:val="auto"/>
                <w:w w:val="88"/>
              </w:rPr>
              <w:t>June 30,</w:t>
            </w:r>
          </w:p>
        </w:tc>
        <w:tc>
          <w:tcPr>
            <w:tcW w:w="1120" w:type="dxa"/>
            <w:vAlign w:val="bottom"/>
            <w:gridSpan w:val="3"/>
          </w:tcPr>
          <w:p>
            <w:pPr>
              <w:ind w:left="4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20" w:type="dxa"/>
            <w:vAlign w:val="bottom"/>
            <w:vMerge w:val="continue"/>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360"/>
              <w:spacing w:after="0" w:line="191" w:lineRule="exact"/>
              <w:rPr>
                <w:sz w:val="20"/>
                <w:szCs w:val="20"/>
                <w:color w:val="auto"/>
              </w:rPr>
            </w:pPr>
            <w:r>
              <w:rPr>
                <w:rFonts w:ascii="Arial" w:cs="Arial" w:eastAsia="Arial" w:hAnsi="Arial"/>
                <w:sz w:val="18"/>
                <w:szCs w:val="18"/>
                <w:b w:val="1"/>
                <w:bCs w:val="1"/>
                <w:color w:val="auto"/>
              </w:rPr>
              <w:t>June 30,</w:t>
            </w:r>
          </w:p>
        </w:tc>
        <w:tc>
          <w:tcPr>
            <w:tcW w:w="1220" w:type="dxa"/>
            <w:vAlign w:val="bottom"/>
          </w:tcPr>
          <w:p>
            <w:pPr>
              <w:ind w:left="80"/>
              <w:spacing w:after="0" w:line="191" w:lineRule="exact"/>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194"/>
        </w:trPr>
        <w:tc>
          <w:tcPr>
            <w:tcW w:w="16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84"/>
              </w:rPr>
              <w:t>2021</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6"/>
                <w:szCs w:val="16"/>
                <w:color w:val="auto"/>
              </w:rPr>
            </w:pPr>
          </w:p>
        </w:tc>
        <w:tc>
          <w:tcPr>
            <w:tcW w:w="20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9"/>
              </w:rPr>
              <w:t>Unobservable Inputs</w:t>
            </w:r>
          </w:p>
        </w:tc>
        <w:tc>
          <w:tcPr>
            <w:tcW w:w="13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16"/>
                <w:szCs w:val="16"/>
                <w:color w:val="auto"/>
              </w:rPr>
            </w:pPr>
          </w:p>
        </w:tc>
        <w:tc>
          <w:tcPr>
            <w:tcW w:w="122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280" w:type="dxa"/>
            <w:vAlign w:val="bottom"/>
            <w:gridSpan w:val="8"/>
            <w:vMerge w:val="restart"/>
          </w:tcPr>
          <w:p>
            <w:pPr>
              <w:jc w:val="center"/>
              <w:ind w:right="680"/>
              <w:spacing w:after="0"/>
              <w:rPr>
                <w:sz w:val="20"/>
                <w:szCs w:val="20"/>
                <w:color w:val="auto"/>
              </w:rPr>
            </w:pPr>
            <w:r>
              <w:rPr>
                <w:rFonts w:ascii="Arial" w:cs="Arial" w:eastAsia="Arial" w:hAnsi="Arial"/>
                <w:sz w:val="18"/>
                <w:szCs w:val="18"/>
                <w:b w:val="1"/>
                <w:bCs w:val="1"/>
                <w:color w:val="auto"/>
                <w:w w:val="90"/>
              </w:rPr>
              <w:t>(In thousands)</w:t>
            </w: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4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2280" w:type="dxa"/>
            <w:vAlign w:val="bottom"/>
            <w:gridSpan w:val="8"/>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vMerge w:val="restart"/>
            <w:shd w:val="clear" w:color="auto" w:fill="EEEEEE"/>
          </w:tcPr>
          <w:p>
            <w:pPr>
              <w:spacing w:after="0"/>
              <w:rPr>
                <w:sz w:val="20"/>
                <w:szCs w:val="20"/>
                <w:color w:val="auto"/>
              </w:rPr>
            </w:pPr>
            <w:r>
              <w:rPr>
                <w:rFonts w:ascii="Arial" w:cs="Arial" w:eastAsia="Arial" w:hAnsi="Arial"/>
                <w:sz w:val="18"/>
                <w:szCs w:val="18"/>
                <w:color w:val="auto"/>
                <w:w w:val="98"/>
              </w:rPr>
              <w:t>Finance receivables measured at fair value</w:t>
            </w:r>
          </w:p>
        </w:tc>
        <w:tc>
          <w:tcPr>
            <w:tcW w:w="580" w:type="dxa"/>
            <w:vAlign w:val="bottom"/>
            <w:gridSpan w:val="2"/>
            <w:vMerge w:val="restart"/>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3"/>
            <w:vMerge w:val="restart"/>
            <w:shd w:val="clear" w:color="auto" w:fill="EEEEEE"/>
          </w:tcPr>
          <w:p>
            <w:pPr>
              <w:jc w:val="right"/>
              <w:spacing w:after="0"/>
              <w:rPr>
                <w:sz w:val="20"/>
                <w:szCs w:val="20"/>
                <w:color w:val="auto"/>
              </w:rPr>
            </w:pPr>
            <w:r>
              <w:rPr>
                <w:rFonts w:ascii="Arial" w:cs="Arial" w:eastAsia="Arial" w:hAnsi="Arial"/>
                <w:sz w:val="18"/>
                <w:szCs w:val="18"/>
                <w:color w:val="auto"/>
              </w:rPr>
              <w:t>1,582,175</w:t>
            </w:r>
          </w:p>
        </w:tc>
        <w:tc>
          <w:tcPr>
            <w:tcW w:w="120" w:type="dxa"/>
            <w:vAlign w:val="bottom"/>
            <w:shd w:val="clear" w:color="auto" w:fill="EEEEEE"/>
          </w:tcPr>
          <w:p>
            <w:pPr>
              <w:spacing w:after="0"/>
              <w:rPr>
                <w:sz w:val="18"/>
                <w:szCs w:val="18"/>
                <w:color w:val="auto"/>
              </w:rPr>
            </w:pPr>
          </w:p>
        </w:tc>
        <w:tc>
          <w:tcPr>
            <w:tcW w:w="120" w:type="dxa"/>
            <w:vAlign w:val="bottom"/>
            <w:vMerge w:val="restart"/>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vMerge w:val="restart"/>
            <w:shd w:val="clear" w:color="auto" w:fill="EEEEEE"/>
          </w:tcPr>
          <w:p>
            <w:pPr>
              <w:ind w:left="400"/>
              <w:spacing w:after="0"/>
              <w:rPr>
                <w:sz w:val="20"/>
                <w:szCs w:val="20"/>
                <w:color w:val="auto"/>
              </w:rPr>
            </w:pPr>
            <w:r>
              <w:rPr>
                <w:rFonts w:ascii="Arial" w:cs="Arial" w:eastAsia="Arial" w:hAnsi="Arial"/>
                <w:sz w:val="18"/>
                <w:szCs w:val="18"/>
                <w:color w:val="auto"/>
                <w:w w:val="87"/>
              </w:rPr>
              <w:t>1,523,726</w:t>
            </w:r>
          </w:p>
        </w:tc>
        <w:tc>
          <w:tcPr>
            <w:tcW w:w="12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3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11.0% - 11.3%</w:t>
            </w: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10.4% - 11.1%</w:t>
            </w:r>
          </w:p>
        </w:tc>
        <w:tc>
          <w:tcPr>
            <w:tcW w:w="0" w:type="dxa"/>
            <w:vAlign w:val="bottom"/>
          </w:tcPr>
          <w:p>
            <w:pPr>
              <w:spacing w:after="0"/>
              <w:rPr>
                <w:sz w:val="1"/>
                <w:szCs w:val="1"/>
                <w:color w:val="auto"/>
              </w:rPr>
            </w:pPr>
          </w:p>
        </w:tc>
      </w:tr>
      <w:tr>
        <w:trPr>
          <w:trHeight w:val="108"/>
        </w:trPr>
        <w:tc>
          <w:tcPr>
            <w:tcW w:w="3400" w:type="dxa"/>
            <w:vAlign w:val="bottom"/>
            <w:gridSpan w:val="2"/>
            <w:vMerge w:val="continue"/>
            <w:shd w:val="clear" w:color="auto" w:fill="EEEEEE"/>
          </w:tcPr>
          <w:p>
            <w:pPr>
              <w:spacing w:after="0"/>
              <w:rPr>
                <w:sz w:val="9"/>
                <w:szCs w:val="9"/>
                <w:color w:val="auto"/>
              </w:rPr>
            </w:pPr>
          </w:p>
        </w:tc>
        <w:tc>
          <w:tcPr>
            <w:tcW w:w="580" w:type="dxa"/>
            <w:vAlign w:val="bottom"/>
            <w:gridSpan w:val="2"/>
            <w:vMerge w:val="continue"/>
            <w:shd w:val="clear" w:color="auto" w:fill="EEEEEE"/>
          </w:tcPr>
          <w:p>
            <w:pPr>
              <w:spacing w:after="0"/>
              <w:rPr>
                <w:sz w:val="9"/>
                <w:szCs w:val="9"/>
                <w:color w:val="auto"/>
              </w:rPr>
            </w:pPr>
          </w:p>
        </w:tc>
        <w:tc>
          <w:tcPr>
            <w:tcW w:w="1100" w:type="dxa"/>
            <w:vAlign w:val="bottom"/>
            <w:gridSpan w:val="3"/>
            <w:vMerge w:val="continue"/>
            <w:shd w:val="clear" w:color="auto" w:fill="EEEEE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vMerge w:val="continue"/>
            <w:shd w:val="clear" w:color="auto" w:fill="EEEEEE"/>
          </w:tcPr>
          <w:p>
            <w:pPr>
              <w:spacing w:after="0"/>
              <w:rPr>
                <w:sz w:val="9"/>
                <w:szCs w:val="9"/>
                <w:color w:val="auto"/>
              </w:rPr>
            </w:pPr>
          </w:p>
        </w:tc>
        <w:tc>
          <w:tcPr>
            <w:tcW w:w="1120" w:type="dxa"/>
            <w:vAlign w:val="bottom"/>
            <w:gridSpan w:val="3"/>
            <w:vMerge w:val="continue"/>
            <w:shd w:val="clear" w:color="auto" w:fill="EEEEEE"/>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9"/>
              </w:rPr>
              <w:t>Cumulative net losses</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1"/>
              </w:rPr>
              <w:t>15.4% - 18.4%</w:t>
            </w:r>
          </w:p>
        </w:tc>
        <w:tc>
          <w:tcPr>
            <w:tcW w:w="120" w:type="dxa"/>
            <w:vAlign w:val="bottom"/>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1"/>
              </w:rPr>
              <w:t>15.3% - 18.4%</w:t>
            </w:r>
          </w:p>
        </w:tc>
        <w:tc>
          <w:tcPr>
            <w:tcW w:w="0" w:type="dxa"/>
            <w:vAlign w:val="bottom"/>
          </w:tcPr>
          <w:p>
            <w:pPr>
              <w:spacing w:after="0"/>
              <w:rPr>
                <w:sz w:val="1"/>
                <w:szCs w:val="1"/>
                <w:color w:val="auto"/>
              </w:rPr>
            </w:pPr>
          </w:p>
        </w:tc>
      </w:tr>
      <w:tr>
        <w:trPr>
          <w:trHeight w:val="108"/>
        </w:trPr>
        <w:tc>
          <w:tcPr>
            <w:tcW w:w="1640" w:type="dxa"/>
            <w:vAlign w:val="bottom"/>
            <w:shd w:val="clear" w:color="auto" w:fill="EEEEEE"/>
          </w:tcPr>
          <w:p>
            <w:pPr>
              <w:spacing w:after="0"/>
              <w:rPr>
                <w:sz w:val="9"/>
                <w:szCs w:val="9"/>
                <w:color w:val="auto"/>
              </w:rPr>
            </w:pPr>
          </w:p>
        </w:tc>
        <w:tc>
          <w:tcPr>
            <w:tcW w:w="17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30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delinquency status of these finance receivables measured at fair value as of June 30, 2021 and December 31,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0" w:type="dxa"/>
            <w:vAlign w:val="bottom"/>
            <w:gridSpan w:val="4"/>
          </w:tcPr>
          <w:p>
            <w:pPr>
              <w:jc w:val="right"/>
              <w:ind w:right="109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45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Delinquency Status</w:t>
            </w:r>
          </w:p>
        </w:tc>
        <w:tc>
          <w:tcPr>
            <w:tcW w:w="3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3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1,646,257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1,505,486</w:t>
            </w: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31</w:t>
            </w:r>
          </w:p>
        </w:tc>
        <w:tc>
          <w:tcPr>
            <w:tcW w:w="432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3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80,719</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96,296</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61</w:t>
            </w:r>
          </w:p>
        </w:tc>
        <w:tc>
          <w:tcPr>
            <w:tcW w:w="4320" w:type="dxa"/>
            <w:vAlign w:val="bottom"/>
          </w:tcPr>
          <w:p>
            <w:pPr>
              <w:ind w:left="20"/>
              <w:spacing w:after="0"/>
              <w:rPr>
                <w:sz w:val="20"/>
                <w:szCs w:val="20"/>
                <w:color w:val="auto"/>
              </w:rPr>
            </w:pPr>
            <w:r>
              <w:rPr>
                <w:rFonts w:ascii="Arial" w:cs="Arial" w:eastAsia="Arial" w:hAnsi="Arial"/>
                <w:sz w:val="18"/>
                <w:szCs w:val="18"/>
                <w:color w:val="auto"/>
              </w:rPr>
              <w:t>- 90 days</w:t>
            </w:r>
          </w:p>
        </w:tc>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23,034</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36,436</w:t>
            </w: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91</w:t>
            </w:r>
          </w:p>
        </w:tc>
        <w:tc>
          <w:tcPr>
            <w:tcW w:w="432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3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5,205</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9,607</w:t>
            </w:r>
          </w:p>
        </w:tc>
      </w:tr>
      <w:tr>
        <w:trPr>
          <w:trHeight w:val="229"/>
        </w:trPr>
        <w:tc>
          <w:tcPr>
            <w:tcW w:w="4540" w:type="dxa"/>
            <w:vAlign w:val="bottom"/>
            <w:gridSpan w:val="2"/>
          </w:tcPr>
          <w:p>
            <w:pPr>
              <w:spacing w:after="0"/>
              <w:rPr>
                <w:sz w:val="20"/>
                <w:szCs w:val="20"/>
                <w:color w:val="auto"/>
              </w:rPr>
            </w:pPr>
            <w:r>
              <w:rPr>
                <w:rFonts w:ascii="Arial" w:cs="Arial" w:eastAsia="Arial" w:hAnsi="Arial"/>
                <w:sz w:val="18"/>
                <w:szCs w:val="18"/>
                <w:color w:val="auto"/>
              </w:rPr>
              <w:t>Repo</w:t>
            </w:r>
          </w:p>
        </w:tc>
        <w:tc>
          <w:tcPr>
            <w:tcW w:w="3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13,773</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20,251</w:t>
            </w:r>
          </w:p>
        </w:tc>
      </w:tr>
      <w:tr>
        <w:trPr>
          <w:trHeight w:val="223"/>
        </w:trPr>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4320" w:type="dxa"/>
            <w:vAlign w:val="bottom"/>
            <w:tcBorders>
              <w:top w:val="single" w:sz="8" w:color="EEEEEE"/>
              <w:bottom w:val="single" w:sz="8" w:color="EEEEEE"/>
            </w:tcBorders>
            <w:shd w:val="clear" w:color="auto" w:fill="EEEEEE"/>
          </w:tcPr>
          <w:p>
            <w:pPr>
              <w:spacing w:after="0"/>
              <w:rPr>
                <w:sz w:val="19"/>
                <w:szCs w:val="19"/>
                <w:color w:val="auto"/>
              </w:rPr>
            </w:pPr>
          </w:p>
        </w:tc>
        <w:tc>
          <w:tcPr>
            <w:tcW w:w="31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1,768,988</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1,668,076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Repossessed vehicle inventory, which is included in Other assets on our unaudited condensed consolidated balance sheet, is measured at fair value using level 2 assumptions based on our actual loss experience on sale of repossessed vehicles. At June 30, 2021 the finance receivables related to the repossessed vehicles in inventory totaled $6.1 million. We have applied a valuation adjustment, or loss allowance, of $3.3 million, which is based on a recovery rate of approximately 46%, resulting in an estimated fair value and carrying amount of $2.8 million. The fair value and carrying amount of the repossessed inventory at December 31, 2020 was $3.8 million after applying a valuation adjustment of $11.8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 or out of level 1, level 2 or level 3 assets and liabilities for the six months ended June 30, 2021 and 2020.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gridSpan w:val="14"/>
          </w:tcPr>
          <w:p>
            <w:pPr>
              <w:spacing w:after="0"/>
              <w:rPr>
                <w:sz w:val="20"/>
                <w:szCs w:val="20"/>
                <w:color w:val="auto"/>
              </w:rPr>
            </w:pPr>
            <w:r>
              <w:rPr>
                <w:rFonts w:ascii="Arial" w:cs="Arial" w:eastAsia="Arial" w:hAnsi="Arial"/>
                <w:sz w:val="18"/>
                <w:szCs w:val="18"/>
                <w:color w:val="auto"/>
                <w:w w:val="92"/>
              </w:rPr>
              <w:t>The estimated fair values of financial assets and liabilities at June 30, 2021 and December 31, 2020, were as follows: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88"/>
              </w:rPr>
              <w:t>As of June 30, 2021</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22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gridSpan w:val="4"/>
          </w:tcPr>
          <w:p>
            <w:pPr>
              <w:jc w:val="center"/>
              <w:ind w:right="140"/>
              <w:spacing w:after="0" w:line="169" w:lineRule="exact"/>
              <w:rPr>
                <w:sz w:val="20"/>
                <w:szCs w:val="20"/>
                <w:color w:val="auto"/>
              </w:rPr>
            </w:pPr>
            <w:r>
              <w:rPr>
                <w:rFonts w:ascii="Arial" w:cs="Arial" w:eastAsia="Arial" w:hAnsi="Arial"/>
                <w:sz w:val="18"/>
                <w:szCs w:val="18"/>
                <w:b w:val="1"/>
                <w:bCs w:val="1"/>
                <w:color w:val="auto"/>
                <w:w w:val="90"/>
              </w:rPr>
              <w:t>(In thousands)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1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160" w:type="dxa"/>
            <w:vAlign w:val="bottom"/>
            <w:gridSpan w:val="9"/>
          </w:tcPr>
          <w:p>
            <w:pPr>
              <w:jc w:val="right"/>
              <w:ind w:right="1080"/>
              <w:spacing w:after="0"/>
              <w:rPr>
                <w:sz w:val="20"/>
                <w:szCs w:val="20"/>
                <w:color w:val="auto"/>
              </w:rPr>
            </w:pPr>
            <w:r>
              <w:rPr>
                <w:rFonts w:ascii="Arial" w:cs="Arial" w:eastAsia="Arial" w:hAnsi="Arial"/>
                <w:sz w:val="18"/>
                <w:szCs w:val="18"/>
                <w:b w:val="1"/>
                <w:bCs w:val="1"/>
                <w:color w:val="auto"/>
              </w:rPr>
              <w:t>Fair Value Measurements Using:</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22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43,131</w:t>
            </w:r>
          </w:p>
        </w:tc>
        <w:tc>
          <w:tcPr>
            <w:tcW w:w="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43,131</w:t>
            </w:r>
          </w:p>
        </w:tc>
        <w:tc>
          <w:tcPr>
            <w:tcW w:w="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43,131</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155,776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155,776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155,776</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268,228</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270,271</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270,271</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3,601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3,601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77,044</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77,044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77,044</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4,582</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4,582</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1,732,879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1,769,682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1,769,682</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26,005</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26,005</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26,005</w:t>
            </w:r>
          </w:p>
        </w:tc>
        <w:tc>
          <w:tcPr>
            <w:tcW w:w="0" w:type="dxa"/>
            <w:vAlign w:val="bottom"/>
          </w:tcPr>
          <w:p>
            <w:pPr>
              <w:spacing w:after="0"/>
              <w:rPr>
                <w:sz w:val="1"/>
                <w:szCs w:val="1"/>
                <w:color w:val="auto"/>
              </w:rPr>
            </w:pPr>
          </w:p>
        </w:tc>
      </w:tr>
      <w:tr>
        <w:trPr>
          <w:trHeight w:val="445"/>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center"/>
              <w:ind w:left="570"/>
              <w:spacing w:after="0"/>
              <w:rPr>
                <w:sz w:val="20"/>
                <w:szCs w:val="20"/>
                <w:color w:val="auto"/>
              </w:rPr>
            </w:pPr>
            <w:r>
              <w:rPr>
                <w:rFonts w:ascii="Arial" w:cs="Arial" w:eastAsia="Arial" w:hAnsi="Arial"/>
                <w:sz w:val="18"/>
                <w:szCs w:val="18"/>
                <w:b w:val="1"/>
                <w:bCs w:val="1"/>
                <w:color w:val="auto"/>
                <w:w w:val="89"/>
              </w:rPr>
              <w:t>As of December 31, 2020</w:t>
            </w: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22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gridSpan w:val="4"/>
          </w:tcPr>
          <w:p>
            <w:pPr>
              <w:jc w:val="center"/>
              <w:ind w:right="140"/>
              <w:spacing w:after="0" w:line="169" w:lineRule="exact"/>
              <w:rPr>
                <w:sz w:val="20"/>
                <w:szCs w:val="20"/>
                <w:color w:val="auto"/>
              </w:rPr>
            </w:pPr>
            <w:r>
              <w:rPr>
                <w:rFonts w:ascii="Arial" w:cs="Arial" w:eastAsia="Arial" w:hAnsi="Arial"/>
                <w:sz w:val="18"/>
                <w:szCs w:val="18"/>
                <w:b w:val="1"/>
                <w:bCs w:val="1"/>
                <w:color w:val="auto"/>
                <w:w w:val="90"/>
              </w:rPr>
              <w:t>(In thousands)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640" w:type="dxa"/>
            <w:vAlign w:val="bottom"/>
            <w:tcBorders>
              <w:top w:val="single" w:sz="8" w:color="auto"/>
            </w:tcBorders>
          </w:tcPr>
          <w:p>
            <w:pPr>
              <w:spacing w:after="0"/>
              <w:rPr>
                <w:sz w:val="22"/>
                <w:szCs w:val="22"/>
                <w:color w:val="auto"/>
              </w:rPr>
            </w:pPr>
          </w:p>
        </w:tc>
        <w:tc>
          <w:tcPr>
            <w:tcW w:w="1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160" w:type="dxa"/>
            <w:vAlign w:val="bottom"/>
            <w:gridSpan w:val="9"/>
          </w:tcPr>
          <w:p>
            <w:pPr>
              <w:jc w:val="right"/>
              <w:ind w:right="1080"/>
              <w:spacing w:after="0"/>
              <w:rPr>
                <w:sz w:val="20"/>
                <w:szCs w:val="20"/>
                <w:color w:val="auto"/>
              </w:rPr>
            </w:pPr>
            <w:r>
              <w:rPr>
                <w:rFonts w:ascii="Arial" w:cs="Arial" w:eastAsia="Arial" w:hAnsi="Arial"/>
                <w:sz w:val="18"/>
                <w:szCs w:val="18"/>
                <w:b w:val="1"/>
                <w:bCs w:val="1"/>
                <w:color w:val="auto"/>
              </w:rPr>
              <w:t>Fair Value Measurements Using:</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22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13,466</w:t>
            </w:r>
          </w:p>
        </w:tc>
        <w:tc>
          <w:tcPr>
            <w:tcW w:w="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13,466</w:t>
            </w:r>
          </w:p>
        </w:tc>
        <w:tc>
          <w:tcPr>
            <w:tcW w:w="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13,466</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130,686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130,686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130,686</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411,343</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429,972</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429,972</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5,017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5,017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118,999</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118,999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118,999</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4,919</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4,919</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4,919</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1,803,673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1,862,630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1,862,630</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21,323</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21,323</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21,323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also originate vehicle purchase money loans by lending directly to consumers and have (i) acquired installment purchase contracts in four merger and acquisition transactions, and (ii) purchased immaterial amounts of vehicle purchase money loans from non-affiliated lenders. In this report, we refer to all of such contracts and loans as "automobile contracts."</w:t>
      </w:r>
    </w:p>
    <w:p>
      <w:pPr>
        <w:spacing w:after="0" w:line="19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were incorporated and began our operations in March 1991. From inception through June 30, 2021, we have originated a total of approximately $17.5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2011. Recent contract purchase volumes and managed portfolio levels are shown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60" w:type="dxa"/>
            <w:vAlign w:val="bottom"/>
            <w:gridSpan w:val="4"/>
          </w:tcPr>
          <w:p>
            <w:pPr>
              <w:ind w:left="114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7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Contracts</w:t>
            </w:r>
          </w:p>
        </w:tc>
        <w:tc>
          <w:tcPr>
            <w:tcW w:w="15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Managed Portfolio</w:t>
            </w:r>
          </w:p>
        </w:tc>
        <w:tc>
          <w:tcPr>
            <w:tcW w:w="100" w:type="dxa"/>
            <w:vAlign w:val="bottom"/>
          </w:tcPr>
          <w:p>
            <w:pPr>
              <w:spacing w:after="0"/>
              <w:rPr>
                <w:sz w:val="16"/>
                <w:szCs w:val="16"/>
                <w:color w:val="auto"/>
              </w:rPr>
            </w:pPr>
          </w:p>
        </w:tc>
      </w:tr>
      <w:tr>
        <w:trPr>
          <w:trHeight w:val="234"/>
        </w:trPr>
        <w:tc>
          <w:tcPr>
            <w:tcW w:w="7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Period</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Purchased in Period</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at Period End</w:t>
            </w:r>
          </w:p>
        </w:tc>
      </w:tr>
      <w:tr>
        <w:trPr>
          <w:trHeight w:val="209"/>
        </w:trPr>
        <w:tc>
          <w:tcPr>
            <w:tcW w:w="76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2015</w:t>
            </w:r>
          </w:p>
        </w:tc>
        <w:tc>
          <w:tcPr>
            <w:tcW w:w="140" w:type="dxa"/>
            <w:vAlign w:val="bottom"/>
            <w:tcBorders>
              <w:top w:val="single" w:sz="8" w:color="EEEEEE"/>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jc w:val="center"/>
              <w:ind w:left="30"/>
              <w:spacing w:after="0"/>
              <w:rPr>
                <w:sz w:val="20"/>
                <w:szCs w:val="20"/>
                <w:color w:val="auto"/>
              </w:rPr>
            </w:pPr>
            <w:r>
              <w:rPr>
                <w:rFonts w:ascii="Arial" w:cs="Arial" w:eastAsia="Arial" w:hAnsi="Arial"/>
                <w:sz w:val="18"/>
                <w:szCs w:val="18"/>
                <w:color w:val="auto"/>
                <w:w w:val="89"/>
              </w:rPr>
              <w:t>1,060,538</w:t>
            </w:r>
          </w:p>
        </w:tc>
        <w:tc>
          <w:tcPr>
            <w:tcW w:w="2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ind w:right="290"/>
              <w:spacing w:after="0"/>
              <w:rPr>
                <w:sz w:val="20"/>
                <w:szCs w:val="20"/>
                <w:color w:val="auto"/>
              </w:rPr>
            </w:pPr>
            <w:r>
              <w:rPr>
                <w:rFonts w:ascii="Arial" w:cs="Arial" w:eastAsia="Arial" w:hAnsi="Arial"/>
                <w:sz w:val="18"/>
                <w:szCs w:val="18"/>
                <w:color w:val="auto"/>
              </w:rPr>
              <w:t>2,031,136</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64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40" w:type="dxa"/>
            <w:vAlign w:val="bottom"/>
          </w:tcPr>
          <w:p>
            <w:pPr>
              <w:spacing w:after="0"/>
              <w:rPr>
                <w:sz w:val="18"/>
                <w:szCs w:val="18"/>
                <w:color w:val="auto"/>
              </w:rPr>
            </w:pP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9"/>
              </w:rPr>
              <w:t>1,088,785</w:t>
            </w:r>
          </w:p>
        </w:tc>
        <w:tc>
          <w:tcPr>
            <w:tcW w:w="220" w:type="dxa"/>
            <w:vAlign w:val="bottom"/>
          </w:tcPr>
          <w:p>
            <w:pPr>
              <w:spacing w:after="0"/>
              <w:rPr>
                <w:sz w:val="18"/>
                <w:szCs w:val="18"/>
                <w:color w:val="auto"/>
              </w:rPr>
            </w:pP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2,308,070</w:t>
            </w:r>
          </w:p>
        </w:tc>
        <w:tc>
          <w:tcPr>
            <w:tcW w:w="100" w:type="dxa"/>
            <w:vAlign w:val="bottom"/>
          </w:tcPr>
          <w:p>
            <w:pPr>
              <w:spacing w:after="0"/>
              <w:rPr>
                <w:sz w:val="18"/>
                <w:szCs w:val="18"/>
                <w:color w:val="auto"/>
              </w:rPr>
            </w:pPr>
          </w:p>
        </w:tc>
      </w:tr>
      <w:tr>
        <w:trPr>
          <w:trHeight w:val="216"/>
        </w:trPr>
        <w:tc>
          <w:tcPr>
            <w:tcW w:w="76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2017</w:t>
            </w:r>
          </w:p>
        </w:tc>
        <w:tc>
          <w:tcPr>
            <w:tcW w:w="140" w:type="dxa"/>
            <w:vAlign w:val="bottom"/>
            <w:shd w:val="clear" w:color="auto" w:fill="EEEEEE"/>
          </w:tcPr>
          <w:p>
            <w:pPr>
              <w:spacing w:after="0"/>
              <w:rPr>
                <w:sz w:val="18"/>
                <w:szCs w:val="18"/>
                <w:color w:val="auto"/>
              </w:rPr>
            </w:pPr>
          </w:p>
        </w:tc>
        <w:tc>
          <w:tcPr>
            <w:tcW w:w="156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2"/>
              </w:rPr>
              <w:t>859,069</w:t>
            </w:r>
          </w:p>
        </w:tc>
        <w:tc>
          <w:tcPr>
            <w:tcW w:w="220" w:type="dxa"/>
            <w:vAlign w:val="bottom"/>
            <w:shd w:val="clear" w:color="auto" w:fill="EEEEEE"/>
          </w:tcPr>
          <w:p>
            <w:pPr>
              <w:spacing w:after="0"/>
              <w:rPr>
                <w:sz w:val="18"/>
                <w:szCs w:val="18"/>
                <w:color w:val="auto"/>
              </w:rPr>
            </w:pPr>
          </w:p>
        </w:tc>
        <w:tc>
          <w:tcPr>
            <w:tcW w:w="158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rPr>
              <w:t>2,333,530</w:t>
            </w:r>
          </w:p>
        </w:tc>
        <w:tc>
          <w:tcPr>
            <w:tcW w:w="100" w:type="dxa"/>
            <w:vAlign w:val="bottom"/>
            <w:shd w:val="clear" w:color="auto" w:fill="EEEEEE"/>
          </w:tcPr>
          <w:p>
            <w:pPr>
              <w:spacing w:after="0"/>
              <w:rPr>
                <w:sz w:val="18"/>
                <w:szCs w:val="18"/>
                <w:color w:val="auto"/>
              </w:rPr>
            </w:pPr>
          </w:p>
        </w:tc>
      </w:tr>
      <w:tr>
        <w:trPr>
          <w:trHeight w:val="216"/>
        </w:trPr>
        <w:tc>
          <w:tcPr>
            <w:tcW w:w="76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40" w:type="dxa"/>
            <w:vAlign w:val="bottom"/>
          </w:tcPr>
          <w:p>
            <w:pPr>
              <w:spacing w:after="0"/>
              <w:rPr>
                <w:sz w:val="18"/>
                <w:szCs w:val="18"/>
                <w:color w:val="auto"/>
              </w:rPr>
            </w:pP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92"/>
              </w:rPr>
              <w:t>902,416</w:t>
            </w:r>
          </w:p>
        </w:tc>
        <w:tc>
          <w:tcPr>
            <w:tcW w:w="220" w:type="dxa"/>
            <w:vAlign w:val="bottom"/>
          </w:tcPr>
          <w:p>
            <w:pPr>
              <w:spacing w:after="0"/>
              <w:rPr>
                <w:sz w:val="18"/>
                <w:szCs w:val="18"/>
                <w:color w:val="auto"/>
              </w:rPr>
            </w:pP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2,380,847</w:t>
            </w:r>
          </w:p>
        </w:tc>
        <w:tc>
          <w:tcPr>
            <w:tcW w:w="100" w:type="dxa"/>
            <w:vAlign w:val="bottom"/>
          </w:tcPr>
          <w:p>
            <w:pPr>
              <w:spacing w:after="0"/>
              <w:rPr>
                <w:sz w:val="18"/>
                <w:szCs w:val="18"/>
                <w:color w:val="auto"/>
              </w:rPr>
            </w:pPr>
          </w:p>
        </w:tc>
      </w:tr>
      <w:tr>
        <w:trPr>
          <w:trHeight w:val="216"/>
        </w:trPr>
        <w:tc>
          <w:tcPr>
            <w:tcW w:w="76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2019</w:t>
            </w:r>
          </w:p>
        </w:tc>
        <w:tc>
          <w:tcPr>
            <w:tcW w:w="140" w:type="dxa"/>
            <w:vAlign w:val="bottom"/>
            <w:shd w:val="clear" w:color="auto" w:fill="EEEEEE"/>
          </w:tcPr>
          <w:p>
            <w:pPr>
              <w:spacing w:after="0"/>
              <w:rPr>
                <w:sz w:val="18"/>
                <w:szCs w:val="18"/>
                <w:color w:val="auto"/>
              </w:rPr>
            </w:pPr>
          </w:p>
        </w:tc>
        <w:tc>
          <w:tcPr>
            <w:tcW w:w="156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89"/>
              </w:rPr>
              <w:t>1,002,782</w:t>
            </w:r>
          </w:p>
        </w:tc>
        <w:tc>
          <w:tcPr>
            <w:tcW w:w="220" w:type="dxa"/>
            <w:vAlign w:val="bottom"/>
            <w:shd w:val="clear" w:color="auto" w:fill="EEEEEE"/>
          </w:tcPr>
          <w:p>
            <w:pPr>
              <w:spacing w:after="0"/>
              <w:rPr>
                <w:sz w:val="18"/>
                <w:szCs w:val="18"/>
                <w:color w:val="auto"/>
              </w:rPr>
            </w:pPr>
          </w:p>
        </w:tc>
        <w:tc>
          <w:tcPr>
            <w:tcW w:w="158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rPr>
              <w:t>2,416,042</w:t>
            </w:r>
          </w:p>
        </w:tc>
        <w:tc>
          <w:tcPr>
            <w:tcW w:w="100" w:type="dxa"/>
            <w:vAlign w:val="bottom"/>
            <w:shd w:val="clear" w:color="auto" w:fill="EEEEEE"/>
          </w:tcPr>
          <w:p>
            <w:pPr>
              <w:spacing w:after="0"/>
              <w:rPr>
                <w:sz w:val="18"/>
                <w:szCs w:val="18"/>
                <w:color w:val="auto"/>
              </w:rPr>
            </w:pPr>
          </w:p>
        </w:tc>
      </w:tr>
      <w:tr>
        <w:trPr>
          <w:trHeight w:val="216"/>
        </w:trPr>
        <w:tc>
          <w:tcPr>
            <w:tcW w:w="764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40" w:type="dxa"/>
            <w:vAlign w:val="bottom"/>
          </w:tcPr>
          <w:p>
            <w:pPr>
              <w:spacing w:after="0"/>
              <w:rPr>
                <w:sz w:val="18"/>
                <w:szCs w:val="18"/>
                <w:color w:val="auto"/>
              </w:rPr>
            </w:pP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92"/>
              </w:rPr>
              <w:t>742,584</w:t>
            </w:r>
          </w:p>
        </w:tc>
        <w:tc>
          <w:tcPr>
            <w:tcW w:w="220" w:type="dxa"/>
            <w:vAlign w:val="bottom"/>
          </w:tcPr>
          <w:p>
            <w:pPr>
              <w:spacing w:after="0"/>
              <w:rPr>
                <w:sz w:val="18"/>
                <w:szCs w:val="18"/>
                <w:color w:val="auto"/>
              </w:rPr>
            </w:pP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2,174,972</w:t>
            </w: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88"/>
              </w:rPr>
              <w:t>Six months ended June 30, 2021</w:t>
            </w:r>
          </w:p>
        </w:tc>
        <w:tc>
          <w:tcPr>
            <w:tcW w:w="156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2"/>
              </w:rPr>
              <w:t>491,492</w:t>
            </w:r>
          </w:p>
        </w:tc>
        <w:tc>
          <w:tcPr>
            <w:tcW w:w="220" w:type="dxa"/>
            <w:vAlign w:val="bottom"/>
            <w:shd w:val="clear" w:color="auto" w:fill="EEEEEE"/>
          </w:tcPr>
          <w:p>
            <w:pPr>
              <w:spacing w:after="0"/>
              <w:rPr>
                <w:sz w:val="18"/>
                <w:szCs w:val="18"/>
                <w:color w:val="auto"/>
              </w:rPr>
            </w:pPr>
          </w:p>
        </w:tc>
        <w:tc>
          <w:tcPr>
            <w:tcW w:w="158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rPr>
              <w:t>2,121,135</w:t>
            </w:r>
          </w:p>
        </w:tc>
        <w:tc>
          <w:tcPr>
            <w:tcW w:w="100" w:type="dxa"/>
            <w:vAlign w:val="bottom"/>
            <w:shd w:val="clear" w:color="auto" w:fill="EEEEEE"/>
          </w:tcPr>
          <w:p>
            <w:pPr>
              <w:spacing w:after="0"/>
              <w:rPr>
                <w:sz w:val="18"/>
                <w:szCs w:val="18"/>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May 2021, we entered into arrangements with two partners for whom we originate certain receivables with the intention of selling them to the partners. Depending on the partner, we may or may not continue to service receivables after they are sold. Under these programs, we earn fees for originating the receivable and also servicing fees in the case where we retain the servicing. For the six months ended June 30, 2021, we originated $5.7 million under these third-party programs. As of June 30, 2021, our managed portfolio includes $5.5 million of such third-party receivables.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and Nevada branches. We service our automobile contracts from our California, Nevada, Virginia, Florida and Illinois branches.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 All of our active securitizations are structured as secured financings.</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after 2017 we take account of estimated credit losses in our computation of a level yield used to determine recognition of interest on the contracts. For contracts acquired before 2018, we adopted CECL on January 1, 2020 and we may, as circumstances warrant, record as expense provisions for credit losses, as we did during the year ended December 31, 2020 because of the uncertainty related to the pandemic.</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Since 1994 we have conducted 89 term securitizations of automobile contracts that we originated. As of June 30, 2021, 21 of those securitizations are active and all are structured as secured financings. Since September 2010 we have utilized senior subordinated structures without any financial guarantees. We have generally conducted our securitizations on a quarterly basis, near the end of each calendar quarter, resulting in four securitizations per calendar year. However, in 2015 and 2020, we closed only three term securitization transactions in each calendar year rather than four.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Our recent history of term securitizations is summarized in the table below:</w:t>
            </w: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80" w:type="dxa"/>
            <w:vAlign w:val="bottom"/>
            <w:gridSpan w:val="2"/>
          </w:tcPr>
          <w:p>
            <w:pPr>
              <w:ind w:left="3940"/>
              <w:spacing w:after="0"/>
              <w:rPr>
                <w:sz w:val="20"/>
                <w:szCs w:val="20"/>
                <w:color w:val="auto"/>
              </w:rPr>
            </w:pPr>
            <w:r>
              <w:rPr>
                <w:rFonts w:ascii="Arial" w:cs="Arial" w:eastAsia="Arial" w:hAnsi="Arial"/>
                <w:sz w:val="18"/>
                <w:szCs w:val="18"/>
                <w:b w:val="1"/>
                <w:bCs w:val="1"/>
                <w:color w:val="auto"/>
              </w:rPr>
              <w:t>Recent Asset-Backed Term Securitizations</w:t>
            </w:r>
          </w:p>
        </w:tc>
        <w:tc>
          <w:tcPr>
            <w:tcW w:w="3460" w:type="dxa"/>
            <w:vAlign w:val="bottom"/>
            <w:gridSpan w:val="5"/>
            <w:vMerge w:val="restart"/>
          </w:tcPr>
          <w:p>
            <w:pPr>
              <w:ind w:left="1140"/>
              <w:spacing w:after="0"/>
              <w:rPr>
                <w:sz w:val="20"/>
                <w:szCs w:val="20"/>
                <w:color w:val="auto"/>
              </w:rPr>
            </w:pPr>
            <w:r>
              <w:rPr>
                <w:rFonts w:ascii="Arial" w:cs="Arial" w:eastAsia="Arial" w:hAnsi="Arial"/>
                <w:sz w:val="18"/>
                <w:szCs w:val="18"/>
                <w:i w:val="1"/>
                <w:iCs w:val="1"/>
                <w:color w:val="auto"/>
              </w:rPr>
              <w:t>$ in thousands</w:t>
            </w:r>
          </w:p>
        </w:tc>
        <w:tc>
          <w:tcPr>
            <w:tcW w:w="0" w:type="dxa"/>
            <w:vAlign w:val="bottom"/>
          </w:tcPr>
          <w:p>
            <w:pPr>
              <w:spacing w:after="0"/>
              <w:rPr>
                <w:sz w:val="1"/>
                <w:szCs w:val="1"/>
                <w:color w:val="auto"/>
              </w:rPr>
            </w:pPr>
          </w:p>
        </w:tc>
      </w:tr>
      <w:tr>
        <w:trPr>
          <w:trHeight w:val="229"/>
        </w:trPr>
        <w:tc>
          <w:tcPr>
            <w:tcW w:w="7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6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5"/>
              </w:rPr>
              <w:t>Receivables Pledged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Number of Term</w:t>
            </w: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in Term</w:t>
            </w:r>
          </w:p>
        </w:tc>
        <w:tc>
          <w:tcPr>
            <w:tcW w:w="0" w:type="dxa"/>
            <w:vAlign w:val="bottom"/>
          </w:tcPr>
          <w:p>
            <w:pPr>
              <w:spacing w:after="0"/>
              <w:rPr>
                <w:sz w:val="1"/>
                <w:szCs w:val="1"/>
                <w:color w:val="auto"/>
              </w:rPr>
            </w:pPr>
          </w:p>
        </w:tc>
      </w:tr>
      <w:tr>
        <w:trPr>
          <w:trHeight w:val="234"/>
        </w:trPr>
        <w:tc>
          <w:tcPr>
            <w:tcW w:w="7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Period</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Securitizations</w:t>
            </w:r>
          </w:p>
        </w:tc>
        <w:tc>
          <w:tcPr>
            <w:tcW w:w="16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Securitizations</w:t>
            </w:r>
          </w:p>
        </w:tc>
        <w:tc>
          <w:tcPr>
            <w:tcW w:w="0" w:type="dxa"/>
            <w:vAlign w:val="bottom"/>
          </w:tcPr>
          <w:p>
            <w:pPr>
              <w:spacing w:after="0"/>
              <w:rPr>
                <w:sz w:val="1"/>
                <w:szCs w:val="1"/>
                <w:color w:val="auto"/>
              </w:rPr>
            </w:pPr>
          </w:p>
        </w:tc>
      </w:tr>
      <w:tr>
        <w:trPr>
          <w:trHeight w:val="210"/>
        </w:trPr>
        <w:tc>
          <w:tcPr>
            <w:tcW w:w="76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2015</w:t>
            </w:r>
          </w:p>
        </w:tc>
        <w:tc>
          <w:tcPr>
            <w:tcW w:w="140" w:type="dxa"/>
            <w:vAlign w:val="bottom"/>
            <w:tcBorders>
              <w:top w:val="single" w:sz="8" w:color="EEEEEE"/>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jc w:val="right"/>
              <w:ind w:right="590"/>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795,000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40" w:type="dxa"/>
            <w:vAlign w:val="bottom"/>
          </w:tcPr>
          <w:p>
            <w:pPr>
              <w:spacing w:after="0"/>
              <w:rPr>
                <w:sz w:val="18"/>
                <w:szCs w:val="18"/>
                <w:color w:val="auto"/>
              </w:rPr>
            </w:pPr>
          </w:p>
        </w:tc>
        <w:tc>
          <w:tcPr>
            <w:tcW w:w="1560" w:type="dxa"/>
            <w:vAlign w:val="bottom"/>
          </w:tcPr>
          <w:p>
            <w:pPr>
              <w:jc w:val="right"/>
              <w:ind w:right="59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1,214,997</w:t>
            </w:r>
          </w:p>
        </w:tc>
        <w:tc>
          <w:tcPr>
            <w:tcW w:w="0" w:type="dxa"/>
            <w:vAlign w:val="bottom"/>
          </w:tcPr>
          <w:p>
            <w:pPr>
              <w:spacing w:after="0"/>
              <w:rPr>
                <w:sz w:val="1"/>
                <w:szCs w:val="1"/>
                <w:color w:val="auto"/>
              </w:rPr>
            </w:pPr>
          </w:p>
        </w:tc>
      </w:tr>
      <w:tr>
        <w:trPr>
          <w:trHeight w:val="216"/>
        </w:trPr>
        <w:tc>
          <w:tcPr>
            <w:tcW w:w="76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2017</w:t>
            </w:r>
          </w:p>
        </w:tc>
        <w:tc>
          <w:tcPr>
            <w:tcW w:w="140" w:type="dxa"/>
            <w:vAlign w:val="bottom"/>
            <w:shd w:val="clear" w:color="auto" w:fill="EEEEEE"/>
          </w:tcPr>
          <w:p>
            <w:pPr>
              <w:spacing w:after="0"/>
              <w:rPr>
                <w:sz w:val="18"/>
                <w:szCs w:val="18"/>
                <w:color w:val="auto"/>
              </w:rPr>
            </w:pPr>
          </w:p>
        </w:tc>
        <w:tc>
          <w:tcPr>
            <w:tcW w:w="1560" w:type="dxa"/>
            <w:vAlign w:val="bottom"/>
            <w:shd w:val="clear" w:color="auto" w:fill="EEEEEE"/>
          </w:tcPr>
          <w:p>
            <w:pPr>
              <w:jc w:val="right"/>
              <w:ind w:right="590"/>
              <w:spacing w:after="0"/>
              <w:rPr>
                <w:sz w:val="20"/>
                <w:szCs w:val="20"/>
                <w:color w:val="auto"/>
              </w:rPr>
            </w:pPr>
            <w:r>
              <w:rPr>
                <w:rFonts w:ascii="Arial" w:cs="Arial" w:eastAsia="Arial" w:hAnsi="Arial"/>
                <w:sz w:val="18"/>
                <w:szCs w:val="18"/>
                <w:color w:val="auto"/>
              </w:rPr>
              <w:t>4</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870,000</w:t>
            </w:r>
          </w:p>
        </w:tc>
        <w:tc>
          <w:tcPr>
            <w:tcW w:w="0" w:type="dxa"/>
            <w:vAlign w:val="bottom"/>
          </w:tcPr>
          <w:p>
            <w:pPr>
              <w:spacing w:after="0"/>
              <w:rPr>
                <w:sz w:val="1"/>
                <w:szCs w:val="1"/>
                <w:color w:val="auto"/>
              </w:rPr>
            </w:pPr>
          </w:p>
        </w:tc>
      </w:tr>
      <w:tr>
        <w:trPr>
          <w:trHeight w:val="216"/>
        </w:trPr>
        <w:tc>
          <w:tcPr>
            <w:tcW w:w="76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40" w:type="dxa"/>
            <w:vAlign w:val="bottom"/>
          </w:tcPr>
          <w:p>
            <w:pPr>
              <w:spacing w:after="0"/>
              <w:rPr>
                <w:sz w:val="18"/>
                <w:szCs w:val="18"/>
                <w:color w:val="auto"/>
              </w:rPr>
            </w:pPr>
          </w:p>
        </w:tc>
        <w:tc>
          <w:tcPr>
            <w:tcW w:w="1560" w:type="dxa"/>
            <w:vAlign w:val="bottom"/>
          </w:tcPr>
          <w:p>
            <w:pPr>
              <w:jc w:val="right"/>
              <w:ind w:right="59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883,452</w:t>
            </w:r>
          </w:p>
        </w:tc>
        <w:tc>
          <w:tcPr>
            <w:tcW w:w="0" w:type="dxa"/>
            <w:vAlign w:val="bottom"/>
          </w:tcPr>
          <w:p>
            <w:pPr>
              <w:spacing w:after="0"/>
              <w:rPr>
                <w:sz w:val="1"/>
                <w:szCs w:val="1"/>
                <w:color w:val="auto"/>
              </w:rPr>
            </w:pPr>
          </w:p>
        </w:tc>
      </w:tr>
      <w:tr>
        <w:trPr>
          <w:trHeight w:val="216"/>
        </w:trPr>
        <w:tc>
          <w:tcPr>
            <w:tcW w:w="76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2019</w:t>
            </w:r>
          </w:p>
        </w:tc>
        <w:tc>
          <w:tcPr>
            <w:tcW w:w="140" w:type="dxa"/>
            <w:vAlign w:val="bottom"/>
            <w:shd w:val="clear" w:color="auto" w:fill="EEEEEE"/>
          </w:tcPr>
          <w:p>
            <w:pPr>
              <w:spacing w:after="0"/>
              <w:rPr>
                <w:sz w:val="18"/>
                <w:szCs w:val="18"/>
                <w:color w:val="auto"/>
              </w:rPr>
            </w:pPr>
          </w:p>
        </w:tc>
        <w:tc>
          <w:tcPr>
            <w:tcW w:w="1560" w:type="dxa"/>
            <w:vAlign w:val="bottom"/>
            <w:shd w:val="clear" w:color="auto" w:fill="EEEEEE"/>
          </w:tcPr>
          <w:p>
            <w:pPr>
              <w:jc w:val="right"/>
              <w:ind w:right="590"/>
              <w:spacing w:after="0"/>
              <w:rPr>
                <w:sz w:val="20"/>
                <w:szCs w:val="20"/>
                <w:color w:val="auto"/>
              </w:rPr>
            </w:pPr>
            <w:r>
              <w:rPr>
                <w:rFonts w:ascii="Arial" w:cs="Arial" w:eastAsia="Arial" w:hAnsi="Arial"/>
                <w:sz w:val="18"/>
                <w:szCs w:val="18"/>
                <w:color w:val="auto"/>
              </w:rPr>
              <w:t>4</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1,014,124</w:t>
            </w:r>
          </w:p>
        </w:tc>
        <w:tc>
          <w:tcPr>
            <w:tcW w:w="0" w:type="dxa"/>
            <w:vAlign w:val="bottom"/>
          </w:tcPr>
          <w:p>
            <w:pPr>
              <w:spacing w:after="0"/>
              <w:rPr>
                <w:sz w:val="1"/>
                <w:szCs w:val="1"/>
                <w:color w:val="auto"/>
              </w:rPr>
            </w:pPr>
          </w:p>
        </w:tc>
      </w:tr>
      <w:tr>
        <w:trPr>
          <w:trHeight w:val="216"/>
        </w:trPr>
        <w:tc>
          <w:tcPr>
            <w:tcW w:w="764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40" w:type="dxa"/>
            <w:vAlign w:val="bottom"/>
          </w:tcPr>
          <w:p>
            <w:pPr>
              <w:spacing w:after="0"/>
              <w:rPr>
                <w:sz w:val="18"/>
                <w:szCs w:val="18"/>
                <w:color w:val="auto"/>
              </w:rPr>
            </w:pPr>
          </w:p>
        </w:tc>
        <w:tc>
          <w:tcPr>
            <w:tcW w:w="1560" w:type="dxa"/>
            <w:vAlign w:val="bottom"/>
          </w:tcPr>
          <w:p>
            <w:pPr>
              <w:jc w:val="right"/>
              <w:ind w:right="59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741,867</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88"/>
              </w:rPr>
              <w:t>Three months ended June 30, 2021</w:t>
            </w:r>
          </w:p>
        </w:tc>
        <w:tc>
          <w:tcPr>
            <w:tcW w:w="1560" w:type="dxa"/>
            <w:vAlign w:val="bottom"/>
            <w:shd w:val="clear" w:color="auto" w:fill="EEEEEE"/>
          </w:tcPr>
          <w:p>
            <w:pPr>
              <w:jc w:val="right"/>
              <w:ind w:right="590"/>
              <w:spacing w:after="0"/>
              <w:rPr>
                <w:sz w:val="20"/>
                <w:szCs w:val="20"/>
                <w:color w:val="auto"/>
              </w:rPr>
            </w:pPr>
            <w:r>
              <w:rPr>
                <w:rFonts w:ascii="Arial" w:cs="Arial" w:eastAsia="Arial" w:hAnsi="Arial"/>
                <w:sz w:val="18"/>
                <w:szCs w:val="18"/>
                <w:color w:val="auto"/>
              </w:rPr>
              <w:t>2</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485,000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Generally, prior to a securitization transaction we fund our automobile contract purchases primarily with proceeds from warehouse credit facilities. We previously had short-term funding capacity of $300 million, comprising three credit facilities. The first $100 million credit facility was established in May 2012. This facility was most recently renewed in December 2020, extending the revolving period to December 2022, with an optional amortization period through December 2023. In November 2015, we entered into another $100 million facility. This facility was renewed in November 2017 and again in December 2019, extending the revolving period to December 2021, followed by an amortization period to December 2023. In April 2015, we entered into a $100 million facility that was renewed in April 2017 and again in February 2019. We repaid the outstanding balance for this facility at its maturity date in February 2021 and elected not to renew it. We currently have short-term funding capacity of $200 million.</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Receivables we originate and service for third-parties are not pledged to our warehouse facilities or included in our securitizations.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June 30, 2021, we were in compliance with all such covenants.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three months ended June 30, 2021 with the three months ended June 30, 2020</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Revenues</w:t>
      </w:r>
      <w:r>
        <w:rPr>
          <w:rFonts w:ascii="Arial" w:cs="Arial" w:eastAsia="Arial" w:hAnsi="Arial"/>
          <w:sz w:val="17"/>
          <w:szCs w:val="17"/>
          <w:color w:val="auto"/>
        </w:rPr>
        <w:t>. During the three months ended June 30, 2021, our revenues were $66.8 million, a decrease of $523,000, or 0.8%, from the prior year revenue of</w:t>
      </w:r>
      <w:r>
        <w:rPr>
          <w:rFonts w:ascii="Arial" w:cs="Arial" w:eastAsia="Arial" w:hAnsi="Arial"/>
          <w:sz w:val="17"/>
          <w:szCs w:val="17"/>
          <w:i w:val="1"/>
          <w:iCs w:val="1"/>
          <w:color w:val="auto"/>
        </w:rPr>
        <w:t xml:space="preserve"> </w:t>
      </w:r>
      <w:r>
        <w:rPr>
          <w:rFonts w:ascii="Arial" w:cs="Arial" w:eastAsia="Arial" w:hAnsi="Arial"/>
          <w:sz w:val="17"/>
          <w:szCs w:val="17"/>
          <w:color w:val="auto"/>
        </w:rPr>
        <w:t>$67.3 million. The primary reason for the decrease in revenues is a decrease in interest income. Interest income for the three months ended June 30, 2021 decreased $10.1 million, or 13.4%, to $65.4 million from $75.6 million in the prior year. The primary reason for the decrease in interest income is the continued runoff of our legacy portfolio of finance receivables originated prior to January 2018, the average balance of which decreased by 49.7% from the prior period. The decrease in interest from that legacy portion of our portfolio was partially offset by the increase in our portfolio of receivables measured at fair value, which are those originated since January 2018. The interest yield on receivables measured at fair value is reduced to take account of expected losses and is therefore less than the yield on other finance receivables. The table below shows the average balances and interest yields of the two components of our loan portfolio for the three months ended June 30, 2021 and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8"/>
                <w:szCs w:val="18"/>
                <w:b w:val="1"/>
                <w:bCs w:val="1"/>
                <w:color w:val="auto"/>
                <w:w w:val="90"/>
              </w:rPr>
              <w:t>Three Months Ended June 30,</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jc w:val="right"/>
              <w:ind w:right="64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Average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6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Average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2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Interest Earning Assets</w:t>
            </w:r>
          </w:p>
        </w:tc>
        <w:tc>
          <w:tcPr>
            <w:tcW w:w="1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8"/>
              </w:rPr>
              <w:t>Balance</w:t>
            </w:r>
          </w:p>
        </w:tc>
        <w:tc>
          <w:tcPr>
            <w:tcW w:w="18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Interest</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Yield</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Balance</w:t>
            </w:r>
          </w:p>
        </w:tc>
        <w:tc>
          <w:tcPr>
            <w:tcW w:w="1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Interest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Yield</w:t>
            </w: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2600" w:type="dxa"/>
            <w:vAlign w:val="bottom"/>
            <w:gridSpan w:val="2"/>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371,718</w:t>
            </w: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18,497</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732,325</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ind w:left="440"/>
              <w:spacing w:after="0"/>
              <w:rPr>
                <w:sz w:val="20"/>
                <w:szCs w:val="20"/>
                <w:color w:val="auto"/>
              </w:rPr>
            </w:pPr>
            <w:r>
              <w:rPr>
                <w:rFonts w:ascii="Arial" w:cs="Arial" w:eastAsia="Arial" w:hAnsi="Arial"/>
                <w:sz w:val="18"/>
                <w:szCs w:val="18"/>
                <w:color w:val="auto"/>
              </w:rPr>
              <w:t>33,893</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9"/>
        </w:trPr>
        <w:tc>
          <w:tcPr>
            <w:tcW w:w="3280" w:type="dxa"/>
            <w:vAlign w:val="bottom"/>
            <w:gridSpan w:val="3"/>
          </w:tcPr>
          <w:p>
            <w:pPr>
              <w:spacing w:after="0"/>
              <w:rPr>
                <w:sz w:val="20"/>
                <w:szCs w:val="20"/>
                <w:color w:val="auto"/>
              </w:rPr>
            </w:pPr>
            <w:r>
              <w:rPr>
                <w:rFonts w:ascii="Arial" w:cs="Arial" w:eastAsia="Arial" w:hAnsi="Arial"/>
                <w:sz w:val="18"/>
                <w:szCs w:val="18"/>
                <w:color w:val="auto"/>
                <w:w w:val="94"/>
              </w:rPr>
              <w:t>Finance receivables measured at fair value</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1,748,991</w:t>
            </w: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46,943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1,631,708</w:t>
            </w:r>
          </w:p>
        </w:tc>
        <w:tc>
          <w:tcPr>
            <w:tcW w:w="180" w:type="dxa"/>
            <w:vAlign w:val="bottom"/>
          </w:tcPr>
          <w:p>
            <w:pPr>
              <w:spacing w:after="0"/>
              <w:rPr>
                <w:sz w:val="19"/>
                <w:szCs w:val="19"/>
                <w:color w:val="auto"/>
              </w:rPr>
            </w:pP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41,659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3280" w:type="dxa"/>
            <w:vAlign w:val="bottom"/>
            <w:tcBorders>
              <w:top w:val="single" w:sz="8" w:color="EEEEEE"/>
              <w:bottom w:val="single" w:sz="8" w:color="EEEEEE"/>
            </w:tcBorders>
            <w:gridSpan w:val="3"/>
            <w:shd w:val="clear" w:color="auto" w:fill="EEEEEE"/>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2,120,709</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65,440</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2,364,033</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EEEEE"/>
          </w:tcPr>
          <w:p>
            <w:pPr>
              <w:ind w:left="440"/>
              <w:spacing w:after="0"/>
              <w:rPr>
                <w:sz w:val="20"/>
                <w:szCs w:val="20"/>
                <w:color w:val="auto"/>
              </w:rPr>
            </w:pPr>
            <w:r>
              <w:rPr>
                <w:rFonts w:ascii="Arial" w:cs="Arial" w:eastAsia="Arial" w:hAnsi="Arial"/>
                <w:sz w:val="18"/>
                <w:szCs w:val="18"/>
                <w:color w:val="auto"/>
                <w:w w:val="83"/>
              </w:rPr>
              <w:t>75,552</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for the three months ended June 30, 2020 are net of a mark down of $9.5 million to the recorded value of the finance receivables measured at fair value. The mark downs are estimates based on our evaluation of the appropriate fair value and future earnings rate of existing receivables compared to recently acquired receivables and our assessment of potential additional future net losses arising from the pandemic. Our evaluation of these finance receivables measured at fair value for the three months ended June 30, 2021 indicated that no adjustment was required for the period. Although we have not yet seen a deterioration in the credit performance for these receivables as a result of the pandemic, we expect that the absence of any additional government stimulus payments, the expiration of the eviction moratorium and a reversion to the mean for used car pricing could negatively affect credit performance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Other income was $1.3 million for the three months ended June 30, 2021 and 2020.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8" w:name="page29"/>
    <w:bookmarkEnd w:id="28"/>
    <w:p>
      <w:pPr>
        <w:jc w:val="both"/>
        <w:spacing w:after="0" w:line="254"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interest expense, provision for credit losses, employee costs, sales and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internal rate of return or the recorded value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operating expenses were $52.9 million for the three months ended June 30, 2021, compared to $62.6 million for the prior period, a decrease of $9.8 million, or 15.6%. The decrease is primarily due to decreases in interest expense and provisions for credit losses.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Employee costs were $19.4 million during the three months ended June 30, 2021 compared to $19.8 million for the prior year. The table below summarizes our employees by category as well as contract purchases and units in our managed portfolio as of, and for the three-month periods ended, June 30, 2021 and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580" w:type="dxa"/>
            <w:vAlign w:val="bottom"/>
            <w:gridSpan w:val="7"/>
          </w:tcPr>
          <w:p>
            <w:pPr>
              <w:ind w:left="580"/>
              <w:spacing w:after="0"/>
              <w:rPr>
                <w:sz w:val="20"/>
                <w:szCs w:val="20"/>
                <w:color w:val="auto"/>
              </w:rPr>
            </w:pPr>
            <w:r>
              <w:rPr>
                <w:rFonts w:ascii="Arial" w:cs="Arial" w:eastAsia="Arial" w:hAnsi="Arial"/>
                <w:sz w:val="18"/>
                <w:szCs w:val="18"/>
                <w:b w:val="1"/>
                <w:bCs w:val="1"/>
                <w:color w:val="auto"/>
              </w:rPr>
              <w:t>Three Months Ended June 30,</w:t>
            </w:r>
          </w:p>
        </w:tc>
      </w:tr>
      <w:tr>
        <w:trPr>
          <w:trHeight w:val="223"/>
        </w:trPr>
        <w:tc>
          <w:tcPr>
            <w:tcW w:w="5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(Dollars in millions)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3360" w:type="dxa"/>
            <w:vAlign w:val="bottom"/>
            <w:gridSpan w:val="2"/>
            <w:shd w:val="clear" w:color="auto" w:fill="EEEEEE"/>
          </w:tcPr>
          <w:p>
            <w:pPr>
              <w:jc w:val="right"/>
              <w:ind w:right="79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286.0</w:t>
            </w:r>
          </w:p>
        </w:tc>
        <w:tc>
          <w:tcPr>
            <w:tcW w:w="600" w:type="dxa"/>
            <w:vAlign w:val="bottom"/>
            <w:shd w:val="clear" w:color="auto" w:fill="EEEEEE"/>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135.9</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14,452</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7,622</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3360" w:type="dxa"/>
            <w:vAlign w:val="bottom"/>
            <w:gridSpan w:val="2"/>
            <w:shd w:val="clear" w:color="auto" w:fill="EEEEEE"/>
          </w:tcPr>
          <w:p>
            <w:pPr>
              <w:jc w:val="right"/>
              <w:ind w:right="79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6"/>
              </w:rPr>
              <w:t>2,120.7</w:t>
            </w:r>
          </w:p>
        </w:tc>
        <w:tc>
          <w:tcPr>
            <w:tcW w:w="600" w:type="dxa"/>
            <w:vAlign w:val="bottom"/>
            <w:shd w:val="clear" w:color="auto" w:fill="EEEEEE"/>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2,326.4</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156,995</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173,214</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18"/>
                <w:szCs w:val="18"/>
                <w:color w:val="auto"/>
              </w:rPr>
            </w:pPr>
          </w:p>
        </w:tc>
        <w:tc>
          <w:tcPr>
            <w:tcW w:w="23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158</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Number of Sales staff</w:t>
            </w:r>
          </w:p>
        </w:tc>
        <w:tc>
          <w:tcPr>
            <w:tcW w:w="23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103</w:t>
            </w:r>
          </w:p>
        </w:tc>
        <w:tc>
          <w:tcPr>
            <w:tcW w:w="6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96</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424</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18"/>
                <w:szCs w:val="18"/>
                <w:color w:val="auto"/>
              </w:rPr>
            </w:pPr>
          </w:p>
        </w:tc>
      </w:tr>
      <w:tr>
        <w:trPr>
          <w:trHeight w:val="229"/>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238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76</w:t>
            </w:r>
          </w:p>
        </w:tc>
        <w:tc>
          <w:tcPr>
            <w:tcW w:w="60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74</w:t>
            </w:r>
          </w:p>
        </w:tc>
        <w:tc>
          <w:tcPr>
            <w:tcW w:w="80" w:type="dxa"/>
            <w:vAlign w:val="bottom"/>
            <w:shd w:val="clear" w:color="auto" w:fill="EEEEEE"/>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2380" w:type="dxa"/>
            <w:vAlign w:val="bottom"/>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$7.8 million for the three months ended June 30, 2021 and 2020.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for the three months ended June 30, 2021 were $19.0 million and represented 35.9% of total operating expenses, compared to $26.5 million in the previous year, when it was 42.3% of total operating expenses.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9" w:name="page30"/>
    <w:bookmarkEnd w:id="29"/>
    <w:p>
      <w:pPr>
        <w:jc w:val="both"/>
        <w:spacing w:after="0" w:line="271" w:lineRule="auto"/>
        <w:rPr>
          <w:sz w:val="20"/>
          <w:szCs w:val="20"/>
          <w:color w:val="auto"/>
        </w:rPr>
      </w:pPr>
      <w:r>
        <w:rPr>
          <w:rFonts w:ascii="Arial" w:cs="Arial" w:eastAsia="Arial" w:hAnsi="Arial"/>
          <w:sz w:val="17"/>
          <w:szCs w:val="17"/>
          <w:color w:val="auto"/>
        </w:rPr>
        <w:t>Interest on securitization trust debt decreased by $5.5 million for the three months ended June 30, 2021 compared to the prior period. The average balance of securitization trust debt decreased to $1,831.5 million for the three months ended June 30, 2021 compared to $2,008.0 million for the three months ended June 30, 2020. In addition, the blended interest rates on new term securitizations have declined in 2020 and 2021. The annualized average rate on our securitization trust debt was 3.7% for the three months ended June 30, 2021 compared to 4.5% in the prior year period.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Blended Cost of Funds on Recent Asset-Backed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Securitizations</w:t>
      </w:r>
    </w:p>
    <w:p>
      <w:pPr>
        <w:spacing w:after="0" w:line="220" w:lineRule="exact"/>
        <w:rPr>
          <w:sz w:val="20"/>
          <w:szCs w:val="20"/>
          <w:color w:val="auto"/>
        </w:rPr>
      </w:pPr>
    </w:p>
    <w:tbl>
      <w:tblPr>
        <w:tblLayout w:type="fixed"/>
        <w:tblInd w:w="2820" w:type="dxa"/>
        <w:tblCellMar>
          <w:top w:w="0" w:type="dxa"/>
          <w:left w:w="0" w:type="dxa"/>
          <w:bottom w:w="0" w:type="dxa"/>
          <w:right w:w="0" w:type="dxa"/>
        </w:tblCellMar>
      </w:tblPr>
      <w:tr>
        <w:trPr>
          <w:trHeight w:val="234"/>
        </w:trPr>
        <w:tc>
          <w:tcPr>
            <w:tcW w:w="3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Period</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8"/>
              </w:rPr>
              <w:t>Blended Cost of Funds</w:t>
            </w:r>
          </w:p>
        </w:tc>
      </w:tr>
      <w:tr>
        <w:trPr>
          <w:trHeight w:val="210"/>
        </w:trPr>
        <w:tc>
          <w:tcPr>
            <w:tcW w:w="28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7"/>
              </w:rPr>
              <w:t>January 2018</w:t>
            </w:r>
          </w:p>
        </w:tc>
        <w:tc>
          <w:tcPr>
            <w:tcW w:w="220" w:type="dxa"/>
            <w:vAlign w:val="bottom"/>
            <w:tcBorders>
              <w:top w:val="single" w:sz="8" w:color="EEEEEE"/>
            </w:tcBorders>
            <w:shd w:val="clear" w:color="auto" w:fill="EEEEEE"/>
          </w:tcPr>
          <w:p>
            <w:pPr>
              <w:spacing w:after="0"/>
              <w:rPr>
                <w:sz w:val="18"/>
                <w:szCs w:val="18"/>
                <w:color w:val="auto"/>
              </w:rPr>
            </w:pPr>
          </w:p>
        </w:tc>
        <w:tc>
          <w:tcPr>
            <w:tcW w:w="25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3.46%</w:t>
            </w:r>
          </w:p>
        </w:tc>
      </w:tr>
      <w:tr>
        <w:trPr>
          <w:trHeight w:val="216"/>
        </w:trPr>
        <w:tc>
          <w:tcPr>
            <w:tcW w:w="30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April 2018</w:t>
            </w:r>
          </w:p>
        </w:tc>
        <w:tc>
          <w:tcPr>
            <w:tcW w:w="2580" w:type="dxa"/>
            <w:vAlign w:val="bottom"/>
          </w:tcPr>
          <w:p>
            <w:pPr>
              <w:jc w:val="center"/>
              <w:spacing w:after="0"/>
              <w:rPr>
                <w:sz w:val="20"/>
                <w:szCs w:val="20"/>
                <w:color w:val="auto"/>
              </w:rPr>
            </w:pPr>
            <w:r>
              <w:rPr>
                <w:rFonts w:ascii="Arial" w:cs="Arial" w:eastAsia="Arial" w:hAnsi="Arial"/>
                <w:sz w:val="18"/>
                <w:szCs w:val="18"/>
                <w:color w:val="auto"/>
                <w:w w:val="90"/>
              </w:rPr>
              <w:t>3.98%</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July 2018</w:t>
            </w:r>
          </w:p>
        </w:tc>
        <w:tc>
          <w:tcPr>
            <w:tcW w:w="25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4.18%</w:t>
            </w:r>
          </w:p>
        </w:tc>
      </w:tr>
      <w:tr>
        <w:trPr>
          <w:trHeight w:val="216"/>
        </w:trPr>
        <w:tc>
          <w:tcPr>
            <w:tcW w:w="30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October 2018</w:t>
            </w:r>
          </w:p>
        </w:tc>
        <w:tc>
          <w:tcPr>
            <w:tcW w:w="2580" w:type="dxa"/>
            <w:vAlign w:val="bottom"/>
          </w:tcPr>
          <w:p>
            <w:pPr>
              <w:jc w:val="center"/>
              <w:spacing w:after="0"/>
              <w:rPr>
                <w:sz w:val="20"/>
                <w:szCs w:val="20"/>
                <w:color w:val="auto"/>
              </w:rPr>
            </w:pPr>
            <w:r>
              <w:rPr>
                <w:rFonts w:ascii="Arial" w:cs="Arial" w:eastAsia="Arial" w:hAnsi="Arial"/>
                <w:sz w:val="18"/>
                <w:szCs w:val="18"/>
                <w:color w:val="auto"/>
                <w:w w:val="90"/>
              </w:rPr>
              <w:t>4.25%</w:t>
            </w:r>
          </w:p>
        </w:tc>
      </w:tr>
      <w:tr>
        <w:trPr>
          <w:trHeight w:val="216"/>
        </w:trPr>
        <w:tc>
          <w:tcPr>
            <w:tcW w:w="304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7"/>
              </w:rPr>
              <w:t>January 2019</w:t>
            </w:r>
          </w:p>
        </w:tc>
        <w:tc>
          <w:tcPr>
            <w:tcW w:w="25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4.22%</w:t>
            </w:r>
          </w:p>
        </w:tc>
      </w:tr>
      <w:tr>
        <w:trPr>
          <w:trHeight w:val="216"/>
        </w:trPr>
        <w:tc>
          <w:tcPr>
            <w:tcW w:w="30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April 2019</w:t>
            </w:r>
          </w:p>
        </w:tc>
        <w:tc>
          <w:tcPr>
            <w:tcW w:w="2580" w:type="dxa"/>
            <w:vAlign w:val="bottom"/>
          </w:tcPr>
          <w:p>
            <w:pPr>
              <w:jc w:val="center"/>
              <w:spacing w:after="0"/>
              <w:rPr>
                <w:sz w:val="20"/>
                <w:szCs w:val="20"/>
                <w:color w:val="auto"/>
              </w:rPr>
            </w:pPr>
            <w:r>
              <w:rPr>
                <w:rFonts w:ascii="Arial" w:cs="Arial" w:eastAsia="Arial" w:hAnsi="Arial"/>
                <w:sz w:val="18"/>
                <w:szCs w:val="18"/>
                <w:color w:val="auto"/>
                <w:w w:val="90"/>
              </w:rPr>
              <w:t>3.95%</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July 2019</w:t>
            </w:r>
          </w:p>
        </w:tc>
        <w:tc>
          <w:tcPr>
            <w:tcW w:w="25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3.36%</w:t>
            </w:r>
          </w:p>
        </w:tc>
      </w:tr>
      <w:tr>
        <w:trPr>
          <w:trHeight w:val="216"/>
        </w:trPr>
        <w:tc>
          <w:tcPr>
            <w:tcW w:w="30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October 2019</w:t>
            </w:r>
          </w:p>
        </w:tc>
        <w:tc>
          <w:tcPr>
            <w:tcW w:w="2580" w:type="dxa"/>
            <w:vAlign w:val="bottom"/>
          </w:tcPr>
          <w:p>
            <w:pPr>
              <w:jc w:val="center"/>
              <w:spacing w:after="0"/>
              <w:rPr>
                <w:sz w:val="20"/>
                <w:szCs w:val="20"/>
                <w:color w:val="auto"/>
              </w:rPr>
            </w:pPr>
            <w:r>
              <w:rPr>
                <w:rFonts w:ascii="Arial" w:cs="Arial" w:eastAsia="Arial" w:hAnsi="Arial"/>
                <w:sz w:val="18"/>
                <w:szCs w:val="18"/>
                <w:color w:val="auto"/>
                <w:w w:val="90"/>
              </w:rPr>
              <w:t>2.95%</w:t>
            </w:r>
          </w:p>
        </w:tc>
      </w:tr>
      <w:tr>
        <w:trPr>
          <w:trHeight w:val="216"/>
        </w:trPr>
        <w:tc>
          <w:tcPr>
            <w:tcW w:w="304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7"/>
              </w:rPr>
              <w:t>January 2020</w:t>
            </w:r>
          </w:p>
        </w:tc>
        <w:tc>
          <w:tcPr>
            <w:tcW w:w="25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3.08%</w:t>
            </w:r>
          </w:p>
        </w:tc>
      </w:tr>
      <w:tr>
        <w:trPr>
          <w:trHeight w:val="216"/>
        </w:trPr>
        <w:tc>
          <w:tcPr>
            <w:tcW w:w="30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June 2020</w:t>
            </w:r>
          </w:p>
        </w:tc>
        <w:tc>
          <w:tcPr>
            <w:tcW w:w="2580" w:type="dxa"/>
            <w:vAlign w:val="bottom"/>
          </w:tcPr>
          <w:p>
            <w:pPr>
              <w:jc w:val="center"/>
              <w:spacing w:after="0"/>
              <w:rPr>
                <w:sz w:val="20"/>
                <w:szCs w:val="20"/>
                <w:color w:val="auto"/>
              </w:rPr>
            </w:pPr>
            <w:r>
              <w:rPr>
                <w:rFonts w:ascii="Arial" w:cs="Arial" w:eastAsia="Arial" w:hAnsi="Arial"/>
                <w:sz w:val="18"/>
                <w:szCs w:val="18"/>
                <w:color w:val="auto"/>
                <w:w w:val="90"/>
              </w:rPr>
              <w:t>4.09%</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8"/>
              </w:rPr>
              <w:t>September 2020</w:t>
            </w:r>
          </w:p>
        </w:tc>
        <w:tc>
          <w:tcPr>
            <w:tcW w:w="25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2.39%</w:t>
            </w:r>
          </w:p>
        </w:tc>
      </w:tr>
      <w:tr>
        <w:trPr>
          <w:trHeight w:val="216"/>
        </w:trPr>
        <w:tc>
          <w:tcPr>
            <w:tcW w:w="30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January 2021</w:t>
            </w:r>
          </w:p>
        </w:tc>
        <w:tc>
          <w:tcPr>
            <w:tcW w:w="2580" w:type="dxa"/>
            <w:vAlign w:val="bottom"/>
          </w:tcPr>
          <w:p>
            <w:pPr>
              <w:jc w:val="center"/>
              <w:spacing w:after="0"/>
              <w:rPr>
                <w:sz w:val="20"/>
                <w:szCs w:val="20"/>
                <w:color w:val="auto"/>
              </w:rPr>
            </w:pPr>
            <w:r>
              <w:rPr>
                <w:rFonts w:ascii="Arial" w:cs="Arial" w:eastAsia="Arial" w:hAnsi="Arial"/>
                <w:sz w:val="18"/>
                <w:szCs w:val="18"/>
                <w:color w:val="auto"/>
                <w:w w:val="90"/>
              </w:rPr>
              <w:t>1.11%</w:t>
            </w:r>
          </w:p>
        </w:tc>
      </w:tr>
      <w:tr>
        <w:trPr>
          <w:trHeight w:val="216"/>
        </w:trPr>
        <w:tc>
          <w:tcPr>
            <w:tcW w:w="30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6"/>
              </w:rPr>
              <w:t>April 2021</w:t>
            </w:r>
          </w:p>
        </w:tc>
        <w:tc>
          <w:tcPr>
            <w:tcW w:w="25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1.65%</w:t>
            </w: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Interest expense on warehouse credit line debt decreased by $1.7 million to $1.0 million for the three months ended June 30, 2021 compared to $2.7 million in the prior year period. The decrease was due to the lower utilization of our credit lines during the quarter compared to last year. The average balance of our warehouse debt was $50.5 million during the three months ended June 30, 2021 compared to $159.0 million for the same period in 2020.</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expense on subordinated renewable notes increased by $145,000. The average balance of the outstanding subordinated debt increased 32.6% to $24.8 million for the three months ended June 30, 2021 compared to $18.7 million for the three months ended June 30, 2020. The average yield of subordinated notes decreased to 10.8% in the three-month period ended June 30, 2021 compared to 11.2% in the prior period.</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16, 2018, we completed a $40.0 million securitization of residual interests from previously issued securitizations. On June 30, 2021, we completed a $50 million securitization of residual from other previously issued securitizations. Interest expense on these residual interest financings were $467,000 for the three months ended June 30, 2021 compared to $920,000 in the prior year period.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The following table presents the components of interest income and interest expense and a net interest yield analysis for the three-month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Three Months Ended June 30,</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6"/>
          </w:tcPr>
          <w:p>
            <w:pPr>
              <w:jc w:val="center"/>
              <w:ind w:left="1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Annualized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Average</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2300" w:type="dxa"/>
            <w:vAlign w:val="bottom"/>
            <w:gridSpan w:val="4"/>
            <w:vMerge w:val="restart"/>
          </w:tcPr>
          <w:p>
            <w:pPr>
              <w:ind w:left="120"/>
              <w:spacing w:after="0"/>
              <w:rPr>
                <w:sz w:val="20"/>
                <w:szCs w:val="20"/>
                <w:color w:val="auto"/>
              </w:rPr>
            </w:pPr>
            <w:r>
              <w:rPr>
                <w:rFonts w:ascii="Arial" w:cs="Arial" w:eastAsia="Arial" w:hAnsi="Arial"/>
                <w:sz w:val="18"/>
                <w:szCs w:val="18"/>
                <w:b w:val="1"/>
                <w:bCs w:val="1"/>
                <w:color w:val="auto"/>
              </w:rPr>
              <w:t>Interest Earning Assets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Balance (1)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Interest</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Yield/Rate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Balance (1)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Interest</w:t>
            </w: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230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5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 (2)</w:t>
            </w:r>
          </w:p>
        </w:tc>
        <w:tc>
          <w:tcPr>
            <w:tcW w:w="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371,718</w:t>
            </w: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18,497</w:t>
            </w:r>
          </w:p>
        </w:tc>
        <w:tc>
          <w:tcPr>
            <w:tcW w:w="12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19.9%</w:t>
            </w:r>
          </w:p>
        </w:tc>
        <w:tc>
          <w:tcPr>
            <w:tcW w:w="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732,325</w:t>
            </w:r>
          </w:p>
        </w:tc>
        <w:tc>
          <w:tcPr>
            <w:tcW w:w="320" w:type="dxa"/>
            <w:vAlign w:val="bottom"/>
            <w:gridSpan w:val="2"/>
            <w:shd w:val="clear" w:color="auto" w:fill="EEEEEE"/>
          </w:tcPr>
          <w:p>
            <w:pPr>
              <w:jc w:val="right"/>
              <w:ind w:right="2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33,893</w:t>
            </w: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gridSpan w:val="5"/>
          </w:tcPr>
          <w:p>
            <w:pPr>
              <w:spacing w:after="0"/>
              <w:rPr>
                <w:sz w:val="20"/>
                <w:szCs w:val="20"/>
                <w:color w:val="auto"/>
              </w:rPr>
            </w:pPr>
            <w:r>
              <w:rPr>
                <w:rFonts w:ascii="Arial" w:cs="Arial" w:eastAsia="Arial" w:hAnsi="Arial"/>
                <w:sz w:val="18"/>
                <w:szCs w:val="18"/>
                <w:color w:val="auto"/>
                <w:w w:val="96"/>
              </w:rPr>
              <w:t>Finance receivables at fair value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1,748,991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46,943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1,631,708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41,659</w:t>
            </w:r>
          </w:p>
        </w:tc>
        <w:tc>
          <w:tcPr>
            <w:tcW w:w="140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2,120,709</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65,440</w:t>
            </w:r>
          </w:p>
        </w:tc>
        <w:tc>
          <w:tcPr>
            <w:tcW w:w="320" w:type="dxa"/>
            <w:vAlign w:val="bottom"/>
            <w:tcBorders>
              <w:top w:val="single" w:sz="8" w:color="EEEEEE"/>
            </w:tcBorders>
            <w:shd w:val="clear" w:color="auto" w:fill="EEEEEE"/>
          </w:tcPr>
          <w:p>
            <w:pPr>
              <w:spacing w:after="0"/>
              <w:rPr>
                <w:sz w:val="18"/>
                <w:szCs w:val="18"/>
                <w:color w:val="auto"/>
              </w:rPr>
            </w:pPr>
          </w:p>
        </w:tc>
        <w:tc>
          <w:tcPr>
            <w:tcW w:w="1260" w:type="dxa"/>
            <w:vAlign w:val="bottom"/>
            <w:tcBorders>
              <w:top w:val="single" w:sz="8" w:color="EEEEEE"/>
            </w:tcBorders>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12.3%</w:t>
            </w:r>
          </w:p>
        </w:tc>
        <w:tc>
          <w:tcPr>
            <w:tcW w:w="1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2,364,033</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75,552</w:t>
            </w:r>
          </w:p>
        </w:tc>
        <w:tc>
          <w:tcPr>
            <w:tcW w:w="320" w:type="dxa"/>
            <w:vAlign w:val="bottom"/>
            <w:tcBorders>
              <w:top w:val="single" w:sz="8" w:color="EEEEEE"/>
            </w:tcBorders>
            <w:shd w:val="clear" w:color="auto" w:fill="EEEEEE"/>
          </w:tcPr>
          <w:p>
            <w:pPr>
              <w:spacing w:after="0"/>
              <w:rPr>
                <w:sz w:val="18"/>
                <w:szCs w:val="18"/>
                <w:color w:val="auto"/>
              </w:rPr>
            </w:pPr>
          </w:p>
        </w:tc>
        <w:tc>
          <w:tcPr>
            <w:tcW w:w="14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20" w:type="dxa"/>
            <w:vAlign w:val="bottom"/>
            <w:gridSpan w:val="5"/>
            <w:shd w:val="clear" w:color="auto" w:fill="EEEEEE"/>
          </w:tcPr>
          <w:p>
            <w:pPr>
              <w:ind w:left="220"/>
              <w:spacing w:after="0" w:line="176" w:lineRule="exact"/>
              <w:rPr>
                <w:sz w:val="20"/>
                <w:szCs w:val="20"/>
                <w:color w:val="auto"/>
              </w:rPr>
            </w:pPr>
            <w:r>
              <w:rPr>
                <w:rFonts w:ascii="Arial" w:cs="Arial" w:eastAsia="Arial" w:hAnsi="Arial"/>
                <w:sz w:val="18"/>
                <w:szCs w:val="18"/>
                <w:b w:val="1"/>
                <w:bCs w:val="1"/>
                <w:color w:val="auto"/>
              </w:rPr>
              <w:t>Interest Bearing Liabilities</w:t>
            </w:r>
          </w:p>
        </w:tc>
        <w:tc>
          <w:tcPr>
            <w:tcW w:w="18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0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94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10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0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9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400" w:type="dxa"/>
            <w:vAlign w:val="bottom"/>
            <w:shd w:val="clear" w:color="auto" w:fill="EEEEE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4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1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2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4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520" w:type="dxa"/>
            <w:vAlign w:val="bottom"/>
            <w:gridSpan w:val="5"/>
          </w:tcPr>
          <w:p>
            <w:pPr>
              <w:spacing w:after="0"/>
              <w:rPr>
                <w:sz w:val="20"/>
                <w:szCs w:val="20"/>
                <w:color w:val="auto"/>
              </w:rPr>
            </w:pPr>
            <w:r>
              <w:rPr>
                <w:rFonts w:ascii="Arial" w:cs="Arial" w:eastAsia="Arial" w:hAnsi="Arial"/>
                <w:sz w:val="18"/>
                <w:szCs w:val="18"/>
                <w:color w:val="auto"/>
              </w:rPr>
              <w:t>Warehouse lines of credit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50,478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1,021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158,966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2,675</w:t>
            </w:r>
          </w:p>
        </w:tc>
        <w:tc>
          <w:tcPr>
            <w:tcW w:w="140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18,973</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467</w:t>
            </w:r>
          </w:p>
        </w:tc>
        <w:tc>
          <w:tcPr>
            <w:tcW w:w="12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9.8%</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38,253</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920</w:t>
            </w: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1,831,487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16,823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2,008,006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22,366</w:t>
            </w:r>
          </w:p>
        </w:tc>
        <w:tc>
          <w:tcPr>
            <w:tcW w:w="140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24,810</w:t>
            </w: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669</w:t>
            </w:r>
          </w:p>
        </w:tc>
        <w:tc>
          <w:tcPr>
            <w:tcW w:w="12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18,718</w:t>
            </w:r>
          </w:p>
        </w:tc>
        <w:tc>
          <w:tcPr>
            <w:tcW w:w="1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524</w:t>
            </w: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1,925,748</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18,980</w:t>
            </w:r>
          </w:p>
        </w:tc>
        <w:tc>
          <w:tcPr>
            <w:tcW w:w="320" w:type="dxa"/>
            <w:vAlign w:val="bottom"/>
            <w:vMerge w:val="continue"/>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2,223,943</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26,485</w:t>
            </w:r>
          </w:p>
        </w:tc>
        <w:tc>
          <w:tcPr>
            <w:tcW w:w="32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bottom w:val="single" w:sz="8" w:color="auto"/>
            </w:tcBorders>
            <w:shd w:val="clear" w:color="auto" w:fill="EEEEEE"/>
          </w:tcPr>
          <w:p>
            <w:pPr>
              <w:spacing w:after="0"/>
              <w:rPr>
                <w:sz w:val="18"/>
                <w:szCs w:val="18"/>
                <w:color w:val="auto"/>
              </w:rPr>
            </w:pPr>
          </w:p>
        </w:tc>
        <w:tc>
          <w:tcPr>
            <w:tcW w:w="940" w:type="dxa"/>
            <w:vAlign w:val="bottom"/>
            <w:tcBorders>
              <w:top w:val="single" w:sz="8" w:color="EEEEEE"/>
              <w:bottom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bottom w:val="single" w:sz="8" w:color="auto"/>
            </w:tcBorders>
            <w:shd w:val="clear" w:color="auto" w:fill="EEEEEE"/>
          </w:tcPr>
          <w:p>
            <w:pPr>
              <w:spacing w:after="0"/>
              <w:rPr>
                <w:sz w:val="18"/>
                <w:szCs w:val="18"/>
                <w:color w:val="auto"/>
              </w:rPr>
            </w:pPr>
          </w:p>
        </w:tc>
        <w:tc>
          <w:tcPr>
            <w:tcW w:w="920" w:type="dxa"/>
            <w:vAlign w:val="bottom"/>
            <w:tcBorders>
              <w:top w:val="single" w:sz="8" w:color="EEEEEE"/>
              <w:bottom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400" w:type="dxa"/>
            <w:vAlign w:val="bottom"/>
            <w:tcBorders>
              <w:top w:val="single" w:sz="8" w:color="EEEEEE"/>
            </w:tcBorders>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520" w:type="dxa"/>
            <w:vAlign w:val="bottom"/>
            <w:tcBorders>
              <w:bottom w:val="single" w:sz="8" w:color="EEEEEE"/>
            </w:tcBorders>
            <w:gridSpan w:val="5"/>
          </w:tcPr>
          <w:p>
            <w:pPr>
              <w:spacing w:after="0"/>
              <w:rPr>
                <w:sz w:val="20"/>
                <w:szCs w:val="20"/>
                <w:color w:val="auto"/>
              </w:rPr>
            </w:pPr>
            <w:r>
              <w:rPr>
                <w:rFonts w:ascii="Arial" w:cs="Arial" w:eastAsia="Arial" w:hAnsi="Arial"/>
                <w:sz w:val="18"/>
                <w:szCs w:val="18"/>
                <w:color w:val="auto"/>
              </w:rPr>
              <w:t>Net interest income/spread</w:t>
            </w:r>
          </w:p>
        </w:tc>
        <w:tc>
          <w:tcPr>
            <w:tcW w:w="18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100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46,460</w:t>
            </w:r>
          </w:p>
        </w:tc>
        <w:tc>
          <w:tcPr>
            <w:tcW w:w="320" w:type="dxa"/>
            <w:vAlign w:val="bottom"/>
            <w:tcBorders>
              <w:bottom w:val="single" w:sz="8" w:color="EEEEEE"/>
            </w:tcBorders>
          </w:tcPr>
          <w:p>
            <w:pPr>
              <w:spacing w:after="0"/>
              <w:rPr>
                <w:sz w:val="22"/>
                <w:szCs w:val="22"/>
                <w:color w:val="auto"/>
              </w:rPr>
            </w:pPr>
          </w:p>
        </w:tc>
        <w:tc>
          <w:tcPr>
            <w:tcW w:w="110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00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49,067</w:t>
            </w:r>
          </w:p>
        </w:tc>
        <w:tc>
          <w:tcPr>
            <w:tcW w:w="320" w:type="dxa"/>
            <w:vAlign w:val="bottom"/>
            <w:tcBorders>
              <w:bottom w:val="single" w:sz="8" w:color="EEEEEE"/>
            </w:tcBorders>
          </w:tcPr>
          <w:p>
            <w:pPr>
              <w:spacing w:after="0"/>
              <w:rPr>
                <w:sz w:val="22"/>
                <w:szCs w:val="22"/>
                <w:color w:val="auto"/>
              </w:rPr>
            </w:pPr>
          </w:p>
        </w:tc>
        <w:tc>
          <w:tcPr>
            <w:tcW w:w="1400" w:type="dxa"/>
            <w:vAlign w:val="bottom"/>
            <w:tcBorders>
              <w:bottom w:val="single" w:sz="8" w:color="EEEEEE"/>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520" w:type="dxa"/>
            <w:vAlign w:val="bottom"/>
            <w:gridSpan w:val="5"/>
            <w:shd w:val="clear" w:color="auto" w:fill="EEEEEE"/>
          </w:tcPr>
          <w:p>
            <w:pPr>
              <w:spacing w:after="0" w:line="196" w:lineRule="exact"/>
              <w:rPr>
                <w:sz w:val="20"/>
                <w:szCs w:val="20"/>
                <w:color w:val="auto"/>
              </w:rPr>
            </w:pPr>
            <w:r>
              <w:rPr>
                <w:rFonts w:ascii="Arial" w:cs="Arial" w:eastAsia="Arial" w:hAnsi="Arial"/>
                <w:sz w:val="18"/>
                <w:szCs w:val="18"/>
                <w:color w:val="auto"/>
              </w:rPr>
              <w:t>Net interest yield (3)</w:t>
            </w:r>
          </w:p>
        </w:tc>
        <w:tc>
          <w:tcPr>
            <w:tcW w:w="1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60" w:type="dxa"/>
            <w:vAlign w:val="bottom"/>
            <w:gridSpan w:val="2"/>
            <w:shd w:val="clear" w:color="auto" w:fill="EEEEEE"/>
          </w:tcPr>
          <w:p>
            <w:pPr>
              <w:jc w:val="right"/>
              <w:ind w:right="160"/>
              <w:spacing w:after="0" w:line="196" w:lineRule="exact"/>
              <w:rPr>
                <w:sz w:val="20"/>
                <w:szCs w:val="20"/>
                <w:color w:val="auto"/>
              </w:rPr>
            </w:pPr>
            <w:r>
              <w:rPr>
                <w:rFonts w:ascii="Arial" w:cs="Arial" w:eastAsia="Arial" w:hAnsi="Arial"/>
                <w:sz w:val="18"/>
                <w:szCs w:val="18"/>
                <w:color w:val="auto"/>
              </w:rPr>
              <w:t>8.4%</w:t>
            </w: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400" w:type="dxa"/>
            <w:vAlign w:val="bottom"/>
            <w:shd w:val="clear" w:color="auto" w:fill="EEEEEE"/>
          </w:tcPr>
          <w:p>
            <w:pPr>
              <w:jc w:val="right"/>
              <w:spacing w:after="0" w:line="196"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20" w:type="dxa"/>
            <w:vAlign w:val="bottom"/>
            <w:gridSpan w:val="5"/>
          </w:tcPr>
          <w:p>
            <w:pPr>
              <w:spacing w:after="0" w:line="201" w:lineRule="exact"/>
              <w:rPr>
                <w:sz w:val="20"/>
                <w:szCs w:val="20"/>
                <w:color w:val="auto"/>
              </w:rPr>
            </w:pPr>
            <w:r>
              <w:rPr>
                <w:rFonts w:ascii="Arial" w:cs="Arial" w:eastAsia="Arial" w:hAnsi="Arial"/>
                <w:sz w:val="18"/>
                <w:szCs w:val="18"/>
                <w:color w:val="auto"/>
                <w:w w:val="95"/>
              </w:rPr>
              <w:t>Ratio of average interest earning</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gridSpan w:val="5"/>
          </w:tcPr>
          <w:p>
            <w:pPr>
              <w:ind w:left="180"/>
              <w:spacing w:after="0"/>
              <w:rPr>
                <w:sz w:val="20"/>
                <w:szCs w:val="20"/>
                <w:color w:val="auto"/>
              </w:rPr>
            </w:pPr>
            <w:r>
              <w:rPr>
                <w:rFonts w:ascii="Arial" w:cs="Arial" w:eastAsia="Arial" w:hAnsi="Arial"/>
                <w:sz w:val="18"/>
                <w:szCs w:val="18"/>
                <w:color w:val="auto"/>
              </w:rPr>
              <w:t>assets to average interest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gridSpan w:val="5"/>
          </w:tcPr>
          <w:p>
            <w:pPr>
              <w:ind w:left="180"/>
              <w:spacing w:after="0"/>
              <w:rPr>
                <w:sz w:val="20"/>
                <w:szCs w:val="20"/>
                <w:color w:val="auto"/>
              </w:rPr>
            </w:pPr>
            <w:r>
              <w:rPr>
                <w:rFonts w:ascii="Arial" w:cs="Arial" w:eastAsia="Arial" w:hAnsi="Arial"/>
                <w:sz w:val="18"/>
                <w:szCs w:val="18"/>
                <w:color w:val="auto"/>
              </w:rPr>
              <w:t>bearing liabilities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20" w:hanging="287"/>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540" w:hanging="307"/>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520" w:hanging="287"/>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80" w:type="dxa"/>
            <w:vAlign w:val="bottom"/>
            <w:gridSpan w:val="10"/>
          </w:tcPr>
          <w:p>
            <w:pPr>
              <w:jc w:val="center"/>
              <w:ind w:right="340"/>
              <w:spacing w:after="0"/>
              <w:rPr>
                <w:sz w:val="20"/>
                <w:szCs w:val="20"/>
                <w:color w:val="auto"/>
              </w:rPr>
            </w:pPr>
            <w:r>
              <w:rPr>
                <w:rFonts w:ascii="Arial" w:cs="Arial" w:eastAsia="Arial" w:hAnsi="Arial"/>
                <w:sz w:val="18"/>
                <w:szCs w:val="18"/>
                <w:b w:val="1"/>
                <w:bCs w:val="1"/>
                <w:color w:val="auto"/>
                <w:w w:val="90"/>
              </w:rPr>
              <w:t>Three Months Ended June 30, 2021</w:t>
            </w:r>
          </w:p>
        </w:tc>
      </w:tr>
      <w:tr>
        <w:trPr>
          <w:trHeight w:val="234"/>
        </w:trPr>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7"/>
          </w:tcPr>
          <w:p>
            <w:pPr>
              <w:jc w:val="center"/>
              <w:ind w:left="850"/>
              <w:spacing w:after="0"/>
              <w:rPr>
                <w:sz w:val="20"/>
                <w:szCs w:val="20"/>
                <w:color w:val="auto"/>
              </w:rPr>
            </w:pPr>
            <w:r>
              <w:rPr>
                <w:rFonts w:ascii="Arial" w:cs="Arial" w:eastAsia="Arial" w:hAnsi="Arial"/>
                <w:sz w:val="18"/>
                <w:szCs w:val="18"/>
                <w:b w:val="1"/>
                <w:bCs w:val="1"/>
                <w:color w:val="auto"/>
                <w:w w:val="90"/>
              </w:rPr>
              <w:t>Compared to June 30, 2020</w:t>
            </w:r>
          </w:p>
        </w:tc>
        <w:tc>
          <w:tcPr>
            <w:tcW w:w="1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5"/>
        </w:trPr>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right"/>
              <w:ind w:right="761"/>
              <w:spacing w:after="0" w:line="205" w:lineRule="exact"/>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7"/>
                <w:szCs w:val="17"/>
                <w:color w:val="auto"/>
              </w:rPr>
            </w:pPr>
          </w:p>
        </w:tc>
        <w:tc>
          <w:tcPr>
            <w:tcW w:w="1520" w:type="dxa"/>
            <w:vAlign w:val="bottom"/>
            <w:gridSpan w:val="2"/>
          </w:tcPr>
          <w:p>
            <w:pPr>
              <w:jc w:val="right"/>
              <w:ind w:right="441"/>
              <w:spacing w:after="0" w:line="205" w:lineRule="exact"/>
              <w:rPr>
                <w:sz w:val="20"/>
                <w:szCs w:val="20"/>
                <w:color w:val="auto"/>
              </w:rPr>
            </w:pPr>
            <w:r>
              <w:rPr>
                <w:rFonts w:ascii="Arial" w:cs="Arial" w:eastAsia="Arial" w:hAnsi="Arial"/>
                <w:sz w:val="18"/>
                <w:szCs w:val="18"/>
                <w:b w:val="1"/>
                <w:bCs w:val="1"/>
                <w:color w:val="auto"/>
                <w:w w:val="93"/>
              </w:rPr>
              <w:t>Change Due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110"/>
              <w:spacing w:after="0" w:line="205" w:lineRule="exact"/>
              <w:rPr>
                <w:sz w:val="20"/>
                <w:szCs w:val="20"/>
                <w:color w:val="auto"/>
              </w:rPr>
            </w:pPr>
            <w:r>
              <w:rPr>
                <w:rFonts w:ascii="Arial" w:cs="Arial" w:eastAsia="Arial" w:hAnsi="Arial"/>
                <w:sz w:val="18"/>
                <w:szCs w:val="18"/>
                <w:b w:val="1"/>
                <w:bCs w:val="1"/>
                <w:color w:val="auto"/>
                <w:w w:val="93"/>
              </w:rPr>
              <w:t>Change Due</w:t>
            </w:r>
          </w:p>
        </w:tc>
        <w:tc>
          <w:tcPr>
            <w:tcW w:w="100" w:type="dxa"/>
            <w:vAlign w:val="bottom"/>
            <w:gridSpan w:val="2"/>
          </w:tcPr>
          <w:p>
            <w:pPr>
              <w:spacing w:after="0"/>
              <w:rPr>
                <w:sz w:val="17"/>
                <w:szCs w:val="17"/>
                <w:color w:val="auto"/>
              </w:rPr>
            </w:pPr>
          </w:p>
        </w:tc>
      </w:tr>
      <w:tr>
        <w:trPr>
          <w:trHeight w:val="234"/>
        </w:trPr>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661"/>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1520" w:type="dxa"/>
            <w:vAlign w:val="bottom"/>
            <w:gridSpan w:val="2"/>
          </w:tcPr>
          <w:p>
            <w:pPr>
              <w:jc w:val="right"/>
              <w:ind w:right="521"/>
              <w:spacing w:after="0"/>
              <w:rPr>
                <w:sz w:val="20"/>
                <w:szCs w:val="20"/>
                <w:color w:val="auto"/>
              </w:rPr>
            </w:pPr>
            <w:r>
              <w:rPr>
                <w:rFonts w:ascii="Arial" w:cs="Arial" w:eastAsia="Arial" w:hAnsi="Arial"/>
                <w:sz w:val="18"/>
                <w:szCs w:val="18"/>
                <w:b w:val="1"/>
                <w:bCs w:val="1"/>
                <w:color w:val="auto"/>
              </w:rPr>
              <w:t>to Volume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to Rate</w:t>
            </w:r>
          </w:p>
        </w:tc>
      </w:tr>
      <w:tr>
        <w:trPr>
          <w:trHeight w:val="209"/>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3"/>
          </w:tcPr>
          <w:p>
            <w:pPr>
              <w:jc w:val="center"/>
              <w:ind w:right="301"/>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206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800" w:type="dxa"/>
            <w:vAlign w:val="bottom"/>
            <w:tcBorders>
              <w:bottom w:val="single" w:sz="8" w:color="auto"/>
            </w:tcBorders>
            <w:shd w:val="clear" w:color="auto" w:fill="EEEEEE"/>
          </w:tcPr>
          <w:p>
            <w:pPr>
              <w:jc w:val="center"/>
              <w:spacing w:after="0" w:line="176" w:lineRule="exact"/>
              <w:rPr>
                <w:sz w:val="20"/>
                <w:szCs w:val="20"/>
                <w:color w:val="auto"/>
              </w:rPr>
            </w:pPr>
            <w:r>
              <w:rPr>
                <w:rFonts w:ascii="Arial" w:cs="Arial" w:eastAsia="Arial" w:hAnsi="Arial"/>
                <w:sz w:val="18"/>
                <w:szCs w:val="18"/>
                <w:b w:val="1"/>
                <w:bCs w:val="1"/>
                <w:color w:val="auto"/>
                <w:w w:val="89"/>
              </w:rPr>
              <w:t>Interest Earning Assets</w:t>
            </w:r>
          </w:p>
        </w:tc>
        <w:tc>
          <w:tcPr>
            <w:tcW w:w="140" w:type="dxa"/>
            <w:vAlign w:val="bottom"/>
            <w:tcBorders>
              <w:bottom w:val="single" w:sz="8" w:color="EEEEEE"/>
            </w:tcBorders>
            <w:shd w:val="clear" w:color="auto" w:fill="EEEEEE"/>
          </w:tcPr>
          <w:p>
            <w:pPr>
              <w:spacing w:after="0"/>
              <w:rPr>
                <w:sz w:val="17"/>
                <w:szCs w:val="17"/>
                <w:color w:val="auto"/>
              </w:rPr>
            </w:pPr>
          </w:p>
        </w:tc>
        <w:tc>
          <w:tcPr>
            <w:tcW w:w="228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112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20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120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r>
      <w:tr>
        <w:trPr>
          <w:trHeight w:val="216"/>
        </w:trPr>
        <w:tc>
          <w:tcPr>
            <w:tcW w:w="4140" w:type="dxa"/>
            <w:vAlign w:val="bottom"/>
            <w:gridSpan w:val="4"/>
          </w:tcPr>
          <w:p>
            <w:pPr>
              <w:spacing w:after="0"/>
              <w:rPr>
                <w:sz w:val="20"/>
                <w:szCs w:val="20"/>
                <w:color w:val="auto"/>
              </w:rPr>
            </w:pPr>
            <w:r>
              <w:rPr>
                <w:rFonts w:ascii="Arial" w:cs="Arial" w:eastAsia="Arial" w:hAnsi="Arial"/>
                <w:sz w:val="18"/>
                <w:szCs w:val="18"/>
                <w:color w:val="auto"/>
              </w:rPr>
              <w:t>Finance receivables gross</w:t>
            </w:r>
          </w:p>
        </w:tc>
        <w:tc>
          <w:tcPr>
            <w:tcW w:w="2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1"/>
              <w:spacing w:after="0"/>
              <w:rPr>
                <w:sz w:val="20"/>
                <w:szCs w:val="20"/>
                <w:color w:val="auto"/>
              </w:rPr>
            </w:pPr>
            <w:r>
              <w:rPr>
                <w:rFonts w:ascii="Arial" w:cs="Arial" w:eastAsia="Arial" w:hAnsi="Arial"/>
                <w:sz w:val="18"/>
                <w:szCs w:val="18"/>
                <w:color w:val="auto"/>
              </w:rPr>
              <w:t>(15,396)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81"/>
              <w:spacing w:after="0"/>
              <w:rPr>
                <w:sz w:val="20"/>
                <w:szCs w:val="20"/>
                <w:color w:val="auto"/>
              </w:rPr>
            </w:pPr>
            <w:r>
              <w:rPr>
                <w:rFonts w:ascii="Arial" w:cs="Arial" w:eastAsia="Arial" w:hAnsi="Arial"/>
                <w:sz w:val="18"/>
                <w:szCs w:val="18"/>
                <w:color w:val="auto"/>
              </w:rPr>
              <w:t>(16,871)</w:t>
            </w: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1,475</w:t>
            </w:r>
          </w:p>
        </w:tc>
        <w:tc>
          <w:tcPr>
            <w:tcW w:w="80" w:type="dxa"/>
            <w:vAlign w:val="bottom"/>
          </w:tcPr>
          <w:p>
            <w:pPr>
              <w:spacing w:after="0"/>
              <w:rPr>
                <w:sz w:val="18"/>
                <w:szCs w:val="18"/>
                <w:color w:val="auto"/>
              </w:rPr>
            </w:pPr>
          </w:p>
        </w:tc>
      </w:tr>
      <w:tr>
        <w:trPr>
          <w:trHeight w:val="230"/>
        </w:trPr>
        <w:tc>
          <w:tcPr>
            <w:tcW w:w="41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Finance receivables at fair value</w:t>
            </w:r>
          </w:p>
        </w:tc>
        <w:tc>
          <w:tcPr>
            <w:tcW w:w="22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5,284</w:t>
            </w:r>
          </w:p>
        </w:tc>
        <w:tc>
          <w:tcPr>
            <w:tcW w:w="14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3,098</w:t>
            </w:r>
          </w:p>
        </w:tc>
        <w:tc>
          <w:tcPr>
            <w:tcW w:w="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2,186</w:t>
            </w:r>
          </w:p>
        </w:tc>
        <w:tc>
          <w:tcPr>
            <w:tcW w:w="80" w:type="dxa"/>
            <w:vAlign w:val="bottom"/>
            <w:shd w:val="clear" w:color="auto" w:fill="EEEEEE"/>
          </w:tcPr>
          <w:p>
            <w:pPr>
              <w:spacing w:after="0"/>
              <w:rPr>
                <w:sz w:val="19"/>
                <w:szCs w:val="19"/>
                <w:color w:val="auto"/>
              </w:rPr>
            </w:pPr>
          </w:p>
        </w:tc>
      </w:tr>
      <w:tr>
        <w:trPr>
          <w:trHeight w:val="209"/>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(10,112)</w:t>
            </w: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(13,773)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1"/>
        </w:trPr>
        <w:tc>
          <w:tcPr>
            <w:tcW w:w="2060" w:type="dxa"/>
            <w:vAlign w:val="bottom"/>
            <w:tcBorders>
              <w:bottom w:val="single" w:sz="8" w:color="EEEEEE"/>
            </w:tcBorders>
            <w:shd w:val="clear" w:color="auto" w:fill="EEEEEE"/>
          </w:tcPr>
          <w:p>
            <w:pPr>
              <w:spacing w:after="0"/>
              <w:rPr>
                <w:sz w:val="17"/>
                <w:szCs w:val="17"/>
                <w:color w:val="auto"/>
              </w:rPr>
            </w:pPr>
          </w:p>
        </w:tc>
        <w:tc>
          <w:tcPr>
            <w:tcW w:w="2080" w:type="dxa"/>
            <w:vAlign w:val="bottom"/>
            <w:tcBorders>
              <w:bottom w:val="single" w:sz="8" w:color="auto"/>
            </w:tcBorders>
            <w:gridSpan w:val="3"/>
            <w:shd w:val="clear" w:color="auto" w:fill="EEEEEE"/>
          </w:tcPr>
          <w:p>
            <w:pPr>
              <w:jc w:val="center"/>
              <w:spacing w:after="0" w:line="176" w:lineRule="exact"/>
              <w:rPr>
                <w:sz w:val="20"/>
                <w:szCs w:val="20"/>
                <w:color w:val="auto"/>
              </w:rPr>
            </w:pPr>
            <w:r>
              <w:rPr>
                <w:rFonts w:ascii="Arial" w:cs="Arial" w:eastAsia="Arial" w:hAnsi="Arial"/>
                <w:sz w:val="18"/>
                <w:szCs w:val="18"/>
                <w:b w:val="1"/>
                <w:bCs w:val="1"/>
                <w:color w:val="auto"/>
                <w:w w:val="92"/>
              </w:rPr>
              <w:t>Interest Bearing Liabilities</w:t>
            </w:r>
          </w:p>
        </w:tc>
        <w:tc>
          <w:tcPr>
            <w:tcW w:w="228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112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20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120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r>
      <w:tr>
        <w:trPr>
          <w:trHeight w:val="216"/>
        </w:trPr>
        <w:tc>
          <w:tcPr>
            <w:tcW w:w="4140" w:type="dxa"/>
            <w:vAlign w:val="bottom"/>
            <w:tcBorders>
              <w:top w:val="single" w:sz="8" w:color="EEEEEE"/>
            </w:tcBorders>
            <w:gridSpan w:val="4"/>
          </w:tcPr>
          <w:p>
            <w:pPr>
              <w:spacing w:after="0"/>
              <w:rPr>
                <w:sz w:val="20"/>
                <w:szCs w:val="20"/>
                <w:color w:val="auto"/>
              </w:rPr>
            </w:pPr>
            <w:r>
              <w:rPr>
                <w:rFonts w:ascii="Arial" w:cs="Arial" w:eastAsia="Arial" w:hAnsi="Arial"/>
                <w:sz w:val="18"/>
                <w:szCs w:val="18"/>
                <w:color w:val="auto"/>
              </w:rPr>
              <w:t>Warehouse lines of credit</w:t>
            </w:r>
          </w:p>
        </w:tc>
        <w:tc>
          <w:tcPr>
            <w:tcW w:w="228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1480" w:type="dxa"/>
            <w:vAlign w:val="bottom"/>
            <w:tcBorders>
              <w:top w:val="single" w:sz="8" w:color="EEEEEE"/>
            </w:tcBorders>
            <w:gridSpan w:val="2"/>
          </w:tcPr>
          <w:p>
            <w:pPr>
              <w:jc w:val="right"/>
              <w:ind w:right="221"/>
              <w:spacing w:after="0"/>
              <w:rPr>
                <w:sz w:val="20"/>
                <w:szCs w:val="20"/>
                <w:color w:val="auto"/>
              </w:rPr>
            </w:pPr>
            <w:r>
              <w:rPr>
                <w:rFonts w:ascii="Arial" w:cs="Arial" w:eastAsia="Arial" w:hAnsi="Arial"/>
                <w:sz w:val="18"/>
                <w:szCs w:val="18"/>
                <w:color w:val="auto"/>
              </w:rPr>
              <w:t>(1,654)</w:t>
            </w:r>
          </w:p>
        </w:tc>
        <w:tc>
          <w:tcPr>
            <w:tcW w:w="140" w:type="dxa"/>
            <w:vAlign w:val="bottom"/>
            <w:tcBorders>
              <w:top w:val="single" w:sz="8" w:color="EEEEEE"/>
            </w:tcBorders>
          </w:tcPr>
          <w:p>
            <w:pPr>
              <w:spacing w:after="0"/>
              <w:rPr>
                <w:sz w:val="18"/>
                <w:szCs w:val="18"/>
                <w:color w:val="auto"/>
              </w:rPr>
            </w:pPr>
          </w:p>
        </w:tc>
        <w:tc>
          <w:tcPr>
            <w:tcW w:w="1520" w:type="dxa"/>
            <w:vAlign w:val="bottom"/>
            <w:tcBorders>
              <w:top w:val="single" w:sz="8" w:color="EEEEEE"/>
            </w:tcBorders>
            <w:gridSpan w:val="2"/>
          </w:tcPr>
          <w:p>
            <w:pPr>
              <w:jc w:val="right"/>
              <w:ind w:right="181"/>
              <w:spacing w:after="0"/>
              <w:rPr>
                <w:sz w:val="20"/>
                <w:szCs w:val="20"/>
                <w:color w:val="auto"/>
              </w:rPr>
            </w:pPr>
            <w:r>
              <w:rPr>
                <w:rFonts w:ascii="Arial" w:cs="Arial" w:eastAsia="Arial" w:hAnsi="Arial"/>
                <w:sz w:val="18"/>
                <w:szCs w:val="18"/>
                <w:color w:val="auto"/>
              </w:rPr>
              <w:t>(1,831)</w:t>
            </w:r>
          </w:p>
        </w:tc>
        <w:tc>
          <w:tcPr>
            <w:tcW w:w="2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300" w:type="dxa"/>
            <w:vAlign w:val="bottom"/>
            <w:tcBorders>
              <w:top w:val="single" w:sz="8" w:color="EEEEEE"/>
            </w:tcBorders>
            <w:gridSpan w:val="3"/>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41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(453)</w:t>
            </w:r>
          </w:p>
        </w:tc>
        <w:tc>
          <w:tcPr>
            <w:tcW w:w="14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(462)</w:t>
            </w: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4140" w:type="dxa"/>
            <w:vAlign w:val="bottom"/>
            <w:gridSpan w:val="4"/>
          </w:tcPr>
          <w:p>
            <w:pPr>
              <w:spacing w:after="0"/>
              <w:rPr>
                <w:sz w:val="20"/>
                <w:szCs w:val="20"/>
                <w:color w:val="auto"/>
              </w:rPr>
            </w:pPr>
            <w:r>
              <w:rPr>
                <w:rFonts w:ascii="Arial" w:cs="Arial" w:eastAsia="Arial" w:hAnsi="Arial"/>
                <w:sz w:val="18"/>
                <w:szCs w:val="18"/>
                <w:color w:val="auto"/>
              </w:rPr>
              <w:t>Securitization trust debt</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21"/>
              <w:spacing w:after="0"/>
              <w:rPr>
                <w:sz w:val="20"/>
                <w:szCs w:val="20"/>
                <w:color w:val="auto"/>
              </w:rPr>
            </w:pPr>
            <w:r>
              <w:rPr>
                <w:rFonts w:ascii="Arial" w:cs="Arial" w:eastAsia="Arial" w:hAnsi="Arial"/>
                <w:sz w:val="18"/>
                <w:szCs w:val="18"/>
                <w:color w:val="auto"/>
              </w:rPr>
              <w:t>(5,543)</w:t>
            </w:r>
          </w:p>
        </w:tc>
        <w:tc>
          <w:tcPr>
            <w:tcW w:w="140" w:type="dxa"/>
            <w:vAlign w:val="bottom"/>
          </w:tcPr>
          <w:p>
            <w:pPr>
              <w:spacing w:after="0"/>
              <w:rPr>
                <w:sz w:val="18"/>
                <w:szCs w:val="18"/>
                <w:color w:val="auto"/>
              </w:rPr>
            </w:pPr>
          </w:p>
        </w:tc>
        <w:tc>
          <w:tcPr>
            <w:tcW w:w="1520" w:type="dxa"/>
            <w:vAlign w:val="bottom"/>
            <w:gridSpan w:val="2"/>
          </w:tcPr>
          <w:p>
            <w:pPr>
              <w:jc w:val="right"/>
              <w:ind w:right="181"/>
              <w:spacing w:after="0"/>
              <w:rPr>
                <w:sz w:val="20"/>
                <w:szCs w:val="20"/>
                <w:color w:val="auto"/>
              </w:rPr>
            </w:pPr>
            <w:r>
              <w:rPr>
                <w:rFonts w:ascii="Arial" w:cs="Arial" w:eastAsia="Arial" w:hAnsi="Arial"/>
                <w:sz w:val="18"/>
                <w:szCs w:val="18"/>
                <w:color w:val="auto"/>
              </w:rPr>
              <w:t>(1,880)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(3,663)</w:t>
            </w:r>
          </w:p>
        </w:tc>
      </w:tr>
      <w:tr>
        <w:trPr>
          <w:trHeight w:val="229"/>
        </w:trPr>
        <w:tc>
          <w:tcPr>
            <w:tcW w:w="41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2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170</w:t>
            </w:r>
          </w:p>
        </w:tc>
        <w:tc>
          <w:tcPr>
            <w:tcW w:w="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3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(25)</w:t>
            </w:r>
          </w:p>
        </w:tc>
      </w:tr>
      <w:tr>
        <w:trPr>
          <w:trHeight w:val="210"/>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(7,505)</w:t>
            </w: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(3,502)</w:t>
            </w:r>
          </w:p>
        </w:tc>
        <w:tc>
          <w:tcPr>
            <w:tcW w:w="100" w:type="dxa"/>
            <w:vAlign w:val="bottom"/>
            <w:gridSpan w:val="2"/>
          </w:tcPr>
          <w:p>
            <w:pPr>
              <w:spacing w:after="0"/>
              <w:rPr>
                <w:sz w:val="18"/>
                <w:szCs w:val="18"/>
                <w:color w:val="auto"/>
              </w:rPr>
            </w:pPr>
          </w:p>
        </w:tc>
      </w:tr>
      <w:tr>
        <w:trPr>
          <w:trHeight w:val="229"/>
        </w:trPr>
        <w:tc>
          <w:tcPr>
            <w:tcW w:w="20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8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280" w:type="dxa"/>
            <w:vAlign w:val="bottom"/>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spacing w:after="0"/>
              <w:rPr>
                <w:sz w:val="19"/>
                <w:szCs w:val="19"/>
                <w:color w:val="auto"/>
              </w:rPr>
            </w:pPr>
          </w:p>
        </w:tc>
        <w:tc>
          <w:tcPr>
            <w:tcW w:w="1120" w:type="dxa"/>
            <w:vAlign w:val="bottom"/>
            <w:tcBorders>
              <w:bottom w:val="single" w:sz="8" w:color="auto"/>
            </w:tcBorders>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20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120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r>
      <w:tr>
        <w:trPr>
          <w:trHeight w:val="223"/>
        </w:trPr>
        <w:tc>
          <w:tcPr>
            <w:tcW w:w="4140" w:type="dxa"/>
            <w:vAlign w:val="bottom"/>
            <w:gridSpan w:val="4"/>
          </w:tcPr>
          <w:p>
            <w:pPr>
              <w:spacing w:after="0"/>
              <w:rPr>
                <w:sz w:val="20"/>
                <w:szCs w:val="20"/>
                <w:color w:val="auto"/>
              </w:rPr>
            </w:pPr>
            <w:r>
              <w:rPr>
                <w:rFonts w:ascii="Arial" w:cs="Arial" w:eastAsia="Arial" w:hAnsi="Arial"/>
                <w:sz w:val="18"/>
                <w:szCs w:val="18"/>
                <w:color w:val="auto"/>
              </w:rPr>
              <w:t>Net interest income/spread</w:t>
            </w:r>
          </w:p>
        </w:tc>
        <w:tc>
          <w:tcPr>
            <w:tcW w:w="22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360" w:type="dxa"/>
            <w:vAlign w:val="bottom"/>
          </w:tcPr>
          <w:p>
            <w:pPr>
              <w:jc w:val="right"/>
              <w:ind w:right="22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(9,770</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reduction in the annualized yield on our finance receivables for the three months ended June 30, 2021 compared to the prior year period is the result of the lower interest yield on the receivables measured at fair value. The interest yield on receivables measured at fair value is reduced to take account of expected losses and is therefore less than the yield on other finance receivables. The average balance of these receivables was $1,749.0 million for the three months ended June 30, 2021 compared to $1,631.7 million in the prior year period.</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Effective January 1, 2020, the Company adopted </w:t>
      </w:r>
      <w:r>
        <w:rPr>
          <w:rFonts w:ascii="Arial" w:cs="Arial" w:eastAsia="Arial" w:hAnsi="Arial"/>
          <w:sz w:val="17"/>
          <w:szCs w:val="17"/>
          <w:i w:val="1"/>
          <w:iCs w:val="1"/>
          <w:color w:val="auto"/>
        </w:rPr>
        <w:t>Accounting Standards Update 2016-13 - Financial Instruments - Credit Losses: Measurement of 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Losses on Financial Instruments. </w:t>
      </w:r>
      <w:r>
        <w:rPr>
          <w:rFonts w:ascii="Arial" w:cs="Arial" w:eastAsia="Arial" w:hAnsi="Arial"/>
          <w:sz w:val="17"/>
          <w:szCs w:val="17"/>
          <w:color w:val="auto"/>
        </w:rPr>
        <w:t>The amendment introduces a new credit reserving model known as the Current Expected Credit Loss model,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referred to as CECL. Adoption of CECL required the establishment of an allowance for the remaining expected lifetime credit losses on the portion of the Company’s receivable portfolio that was originated prior to January 2018. The Company recorded an addition to its allowance for finance credit losses of $127.0 million at the adoption of CECL in January 2020. In accordance with the rules for adopting CECL, the offset to the addition to the allowance for finance credit losses was a tax affected reduction to retained earnings using the modified retrospective method.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Provision for credit losses was $3.1 million for the three months ended June 30, 2020. The provision represents our estimate of additional forecasted losses that may be incurred on the portfolio of finance receivables resulting from the pandemic. Such losses were not considered in our initial estimate of remaining lifetime losses that we recorded with the adoption of CECL in January 2020.</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evaluation of the allowance for credit losses indicated that the reserves against future losses are adequate as of June 30, 2021. As a result, no increases to or releases from our allowance for credit losses were taken for the three months ended June 30, 2021. Although we have not yet seen a deterioration in the credit performance for these receivables as a result of the pandemic, we expect that the absence of any additional government stimulus payments, the expiration of the eviction moratorium and a reversion to the mean for used car pricing could negatively affect credit performance in the future.</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2" w:name="page33"/>
    <w:bookmarkEnd w:id="32"/>
    <w:p>
      <w:pPr>
        <w:jc w:val="both"/>
        <w:spacing w:after="0" w:line="293" w:lineRule="auto"/>
        <w:rPr>
          <w:sz w:val="20"/>
          <w:szCs w:val="20"/>
          <w:color w:val="auto"/>
        </w:rPr>
      </w:pPr>
      <w:r>
        <w:rPr>
          <w:rFonts w:ascii="Arial" w:cs="Arial" w:eastAsia="Arial" w:hAnsi="Arial"/>
          <w:sz w:val="16"/>
          <w:szCs w:val="16"/>
          <w:color w:val="auto"/>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such as training programs, internet lead sales, and direct mail products. Sales expense increased by $1.1 million to $4.2 million during the three months ended June 30, 2021 and represented 7.9% of total operating expenses. We purchased $286.0 million of new contracts during the three months ended June 30, 2021 compared to $135.9 million in the prior year period. In our second quarter of 2020, we experienced a significant reduction in contract purchases due to the pandemic and partial shutdown of the economy. Since then, our contract purchase volumes have gradually increased to pre-pandemic levels.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Occupancy expenses was $2.0 million for the three months ending June 30, 2021 compared to $1.8 million in the prior year period.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expenses decreased to $417,000 compared to $487,000 in the previous year and represented 0.8% of total operating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June 30, 2021, we recorded income tax expense of $4.2 million, representing a 30% effective tax rate. In the prior period, our income tax expense was $1.7 million, representing a 36% effective tax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six months ended June 30, 2021 with the six months ended June 30, 2020</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Revenues</w:t>
      </w:r>
      <w:r>
        <w:rPr>
          <w:rFonts w:ascii="Arial" w:cs="Arial" w:eastAsia="Arial" w:hAnsi="Arial"/>
          <w:sz w:val="17"/>
          <w:szCs w:val="17"/>
          <w:color w:val="auto"/>
        </w:rPr>
        <w:t>. During the six months ended June 30, 2021, our revenues were $129.9 million, a decrease of $8.2 million, or 5.9%, from the prior year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of $138.1 million. The primary reason for the decrease in revenues is a decrease in interest income. Interest income for the six months ended June 30, 2021 decreased $23.2 million, or 15.0%, to $131.5 million from $154.7 million in the prior year. The primary reason for the decrease in interest income is the continued runoff of our legacy portfolio of finance receivables originated prior to January 2018, the average balance of which decreased by 49.7% from the prior period. The decrease in interest from that legacy portion of our portfolio was partially offset by the increase in our portfolio of receivables measured at fair value, which are those originated since January 2018. The interest yield on receivables measured at fair value is reduced to take account of expected losses and is therefore less than the yield on other finance receivables. The table below shows the average balances and interest yields of the two components of our loan portfolio for the six months ended June 30, 2021 and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8"/>
                <w:szCs w:val="18"/>
                <w:b w:val="1"/>
                <w:bCs w:val="1"/>
                <w:color w:val="auto"/>
                <w:w w:val="95"/>
              </w:rPr>
              <w:t>Six Months Ended June 30,</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jc w:val="right"/>
              <w:ind w:right="64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Average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6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Average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2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Interest Earning Assets</w:t>
            </w:r>
          </w:p>
        </w:tc>
        <w:tc>
          <w:tcPr>
            <w:tcW w:w="1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8"/>
              </w:rPr>
              <w:t>Balance</w:t>
            </w:r>
          </w:p>
        </w:tc>
        <w:tc>
          <w:tcPr>
            <w:tcW w:w="18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Interest</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Yield</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Balance</w:t>
            </w:r>
          </w:p>
        </w:tc>
        <w:tc>
          <w:tcPr>
            <w:tcW w:w="18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Interest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Yield</w:t>
            </w: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2600" w:type="dxa"/>
            <w:vAlign w:val="bottom"/>
            <w:gridSpan w:val="2"/>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411,571</w:t>
            </w: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40,602</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789,026</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72,224</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0"/>
        </w:trPr>
        <w:tc>
          <w:tcPr>
            <w:tcW w:w="3280" w:type="dxa"/>
            <w:vAlign w:val="bottom"/>
            <w:gridSpan w:val="3"/>
          </w:tcPr>
          <w:p>
            <w:pPr>
              <w:spacing w:after="0"/>
              <w:rPr>
                <w:sz w:val="20"/>
                <w:szCs w:val="20"/>
                <w:color w:val="auto"/>
              </w:rPr>
            </w:pPr>
            <w:r>
              <w:rPr>
                <w:rFonts w:ascii="Arial" w:cs="Arial" w:eastAsia="Arial" w:hAnsi="Arial"/>
                <w:sz w:val="18"/>
                <w:szCs w:val="18"/>
                <w:color w:val="auto"/>
                <w:w w:val="94"/>
              </w:rPr>
              <w:t>Finance receivables measured at fair value</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1,718,112</w:t>
            </w: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90,931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1,606,088</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82,465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3280" w:type="dxa"/>
            <w:vAlign w:val="bottom"/>
            <w:tcBorders>
              <w:top w:val="single" w:sz="8" w:color="EEEEEE"/>
              <w:bottom w:val="single" w:sz="8" w:color="EEEEEE"/>
            </w:tcBorders>
            <w:gridSpan w:val="3"/>
            <w:shd w:val="clear" w:color="auto" w:fill="EEEEEE"/>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2,129,683</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131,533</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2,395,114</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154,689</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for the six months ended June 30, 2021 and 2020 are net of a mark downs of $4.4 million and $19.9 million, respectively, to the recorded value of the finance receivables measured at fair value. The mark downs are estimates based on our evaluation of the appropriate fair value and future earnings rate of existing receivables compared to recently acquired receivables and our assessment of potential additional future net losses arising from the pandemic.</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was $2.8 million for the six months ended June 30, 2021. This marks a decrease of $504,000 from other income of $3.3 million for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3" w:name="page34"/>
    <w:bookmarkEnd w:id="33"/>
    <w:p>
      <w:pPr>
        <w:jc w:val="both"/>
        <w:spacing w:after="0" w:line="254"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interest expense, provision for credit losses, employee costs, sales and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internal rate of return or the recorded value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Total operating expenses were $108.1 million for the six months ended June 30, 2021, compared to $130.3 million for the prior period, a decrease of $22.2 million, or 17.1%. The decrease is primarily due to decreases in interest expense, provisions for credit losses and employee costs.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Employee costs decreased by $2.1 million or 5.0%, to $39.6 million during the six months ended June 30, 2021, representing 36.7% of operating expenses, from $41.7 million for the prior year. The table below summarizes our employees by category as well as contract purchases and units in our managed portfolio as of, and for the six-month periods ended, June 30, 2021 and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8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Six Months Ended June 30,</w:t>
            </w: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0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w w:val="89"/>
              </w:rPr>
              <w:t>(Dollars in millions)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3360" w:type="dxa"/>
            <w:vAlign w:val="bottom"/>
            <w:gridSpan w:val="2"/>
            <w:shd w:val="clear" w:color="auto" w:fill="EEEEEE"/>
          </w:tcPr>
          <w:p>
            <w:pPr>
              <w:jc w:val="right"/>
              <w:ind w:right="79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491.5</w:t>
            </w:r>
          </w:p>
        </w:tc>
        <w:tc>
          <w:tcPr>
            <w:tcW w:w="980" w:type="dxa"/>
            <w:vAlign w:val="bottom"/>
            <w:shd w:val="clear" w:color="auto" w:fill="EEEEEE"/>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401.9</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25,188</w:t>
            </w:r>
          </w:p>
        </w:tc>
        <w:tc>
          <w:tcPr>
            <w:tcW w:w="9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22,369</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3360" w:type="dxa"/>
            <w:vAlign w:val="bottom"/>
            <w:gridSpan w:val="2"/>
            <w:shd w:val="clear" w:color="auto" w:fill="EEEEEE"/>
          </w:tcPr>
          <w:p>
            <w:pPr>
              <w:jc w:val="right"/>
              <w:ind w:right="79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6"/>
              </w:rPr>
              <w:t>2,120.7</w:t>
            </w:r>
          </w:p>
        </w:tc>
        <w:tc>
          <w:tcPr>
            <w:tcW w:w="980" w:type="dxa"/>
            <w:vAlign w:val="bottom"/>
            <w:shd w:val="clear" w:color="auto" w:fill="EEEEEE"/>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6"/>
              </w:rPr>
              <w:t>2,326.4</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156,995</w:t>
            </w:r>
          </w:p>
        </w:tc>
        <w:tc>
          <w:tcPr>
            <w:tcW w:w="9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173,214</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18"/>
                <w:szCs w:val="18"/>
                <w:color w:val="auto"/>
              </w:rPr>
            </w:pPr>
          </w:p>
        </w:tc>
        <w:tc>
          <w:tcPr>
            <w:tcW w:w="23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158</w:t>
            </w:r>
          </w:p>
        </w:tc>
        <w:tc>
          <w:tcPr>
            <w:tcW w:w="9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Number of Sales staff</w:t>
            </w:r>
          </w:p>
        </w:tc>
        <w:tc>
          <w:tcPr>
            <w:tcW w:w="23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103</w:t>
            </w:r>
          </w:p>
        </w:tc>
        <w:tc>
          <w:tcPr>
            <w:tcW w:w="98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96</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424</w:t>
            </w:r>
          </w:p>
        </w:tc>
        <w:tc>
          <w:tcPr>
            <w:tcW w:w="9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18"/>
                <w:szCs w:val="18"/>
                <w:color w:val="auto"/>
              </w:rPr>
            </w:pPr>
          </w:p>
        </w:tc>
      </w:tr>
      <w:tr>
        <w:trPr>
          <w:trHeight w:val="230"/>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238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76</w:t>
            </w:r>
          </w:p>
        </w:tc>
        <w:tc>
          <w:tcPr>
            <w:tcW w:w="980" w:type="dxa"/>
            <w:vAlign w:val="bottom"/>
            <w:shd w:val="clear" w:color="auto" w:fill="EEEEEE"/>
          </w:tcPr>
          <w:p>
            <w:pPr>
              <w:spacing w:after="0"/>
              <w:rPr>
                <w:sz w:val="19"/>
                <w:szCs w:val="19"/>
                <w:color w:val="auto"/>
              </w:rPr>
            </w:pP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74</w:t>
            </w:r>
          </w:p>
        </w:tc>
        <w:tc>
          <w:tcPr>
            <w:tcW w:w="80" w:type="dxa"/>
            <w:vAlign w:val="bottom"/>
            <w:shd w:val="clear" w:color="auto" w:fill="EEEEEE"/>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2380" w:type="dxa"/>
            <w:vAlign w:val="bottom"/>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320" w:type="dxa"/>
            <w:vAlign w:val="bottom"/>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$15.6 million, a decrease from $16.5 million in the previous year and represented 14.4% of total operating expenses.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for the six months ended June 30, 2021 were $39.9 million and represented 36.9% of total operating expenses, compared to $53.5 million in the previous year, when it was 41.0% of total operating expenses.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4" w:name="page35"/>
    <w:bookmarkEnd w:id="34"/>
    <w:p>
      <w:pPr>
        <w:jc w:val="both"/>
        <w:spacing w:after="0" w:line="271" w:lineRule="auto"/>
        <w:rPr>
          <w:sz w:val="20"/>
          <w:szCs w:val="20"/>
          <w:color w:val="auto"/>
        </w:rPr>
      </w:pPr>
      <w:r>
        <w:rPr>
          <w:rFonts w:ascii="Arial" w:cs="Arial" w:eastAsia="Arial" w:hAnsi="Arial"/>
          <w:sz w:val="17"/>
          <w:szCs w:val="17"/>
          <w:color w:val="auto"/>
        </w:rPr>
        <w:t>Interest on securitization trust debt decreased by $10.9 million for the six months ended June 30, 2021 compared to the prior period. The average balance of securitization trust debt decreased to $1,854.1 million for the six months ended June 30, 2021 compared to $2,097.4 million for the six months ended June 30, 2020. In addition, the blended interest rates on new term securitizations have declined in 2020 and 2021. The annualized average rate on our securitization trust debt was 3.8% for the six months ended June 30, 2021 compared to 4.4% in the prior year period.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Blended Cost of Funds on Recent Asset-Backed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Securitizations</w:t>
      </w:r>
    </w:p>
    <w:p>
      <w:pPr>
        <w:spacing w:after="0" w:line="207" w:lineRule="exact"/>
        <w:rPr>
          <w:sz w:val="20"/>
          <w:szCs w:val="20"/>
          <w:color w:val="auto"/>
        </w:rPr>
      </w:pPr>
    </w:p>
    <w:tbl>
      <w:tblPr>
        <w:tblLayout w:type="fixed"/>
        <w:tblInd w:w="2820" w:type="dxa"/>
        <w:tblCellMar>
          <w:top w:w="0" w:type="dxa"/>
          <w:left w:w="0" w:type="dxa"/>
          <w:bottom w:w="0" w:type="dxa"/>
          <w:right w:w="0" w:type="dxa"/>
        </w:tblCellMar>
      </w:tblPr>
      <w:tr>
        <w:trPr>
          <w:trHeight w:val="248"/>
        </w:trPr>
        <w:tc>
          <w:tcPr>
            <w:tcW w:w="2900" w:type="dxa"/>
            <w:vAlign w:val="bottom"/>
            <w:tcBorders>
              <w:bottom w:val="single" w:sz="8" w:color="EEEEEE"/>
            </w:tcBorders>
          </w:tcPr>
          <w:p>
            <w:pPr>
              <w:jc w:val="center"/>
              <w:ind w:right="130"/>
              <w:spacing w:after="0"/>
              <w:rPr>
                <w:sz w:val="20"/>
                <w:szCs w:val="20"/>
                <w:color w:val="auto"/>
              </w:rPr>
            </w:pPr>
            <w:r>
              <w:rPr>
                <w:rFonts w:ascii="Arial" w:cs="Arial" w:eastAsia="Arial" w:hAnsi="Arial"/>
                <w:sz w:val="18"/>
                <w:szCs w:val="18"/>
                <w:b w:val="1"/>
                <w:bCs w:val="1"/>
                <w:color w:val="auto"/>
                <w:w w:val="92"/>
              </w:rPr>
              <w:t>Period</w:t>
            </w: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Blended Cost of Funds</w:t>
            </w:r>
          </w:p>
        </w:tc>
      </w:tr>
      <w:tr>
        <w:trPr>
          <w:trHeight w:val="209"/>
        </w:trPr>
        <w:tc>
          <w:tcPr>
            <w:tcW w:w="2900" w:type="dxa"/>
            <w:vAlign w:val="bottom"/>
            <w:shd w:val="clear" w:color="auto" w:fill="EEEEEE"/>
          </w:tcPr>
          <w:p>
            <w:pPr>
              <w:jc w:val="center"/>
              <w:ind w:right="130"/>
              <w:spacing w:after="0"/>
              <w:rPr>
                <w:sz w:val="20"/>
                <w:szCs w:val="20"/>
                <w:color w:val="auto"/>
              </w:rPr>
            </w:pPr>
            <w:r>
              <w:rPr>
                <w:rFonts w:ascii="Arial" w:cs="Arial" w:eastAsia="Arial" w:hAnsi="Arial"/>
                <w:sz w:val="18"/>
                <w:szCs w:val="18"/>
                <w:color w:val="auto"/>
                <w:w w:val="87"/>
              </w:rPr>
              <w:t>January 2018</w:t>
            </w:r>
          </w:p>
        </w:tc>
        <w:tc>
          <w:tcPr>
            <w:tcW w:w="2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3.46%</w:t>
            </w:r>
          </w:p>
        </w:tc>
      </w:tr>
      <w:tr>
        <w:trPr>
          <w:trHeight w:val="216"/>
        </w:trPr>
        <w:tc>
          <w:tcPr>
            <w:tcW w:w="2900" w:type="dxa"/>
            <w:vAlign w:val="bottom"/>
          </w:tcPr>
          <w:p>
            <w:pPr>
              <w:jc w:val="center"/>
              <w:ind w:right="130"/>
              <w:spacing w:after="0"/>
              <w:rPr>
                <w:sz w:val="20"/>
                <w:szCs w:val="20"/>
                <w:color w:val="auto"/>
              </w:rPr>
            </w:pPr>
            <w:r>
              <w:rPr>
                <w:rFonts w:ascii="Arial" w:cs="Arial" w:eastAsia="Arial" w:hAnsi="Arial"/>
                <w:sz w:val="18"/>
                <w:szCs w:val="18"/>
                <w:color w:val="auto"/>
                <w:w w:val="98"/>
              </w:rPr>
              <w:t>April 2018</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3.98%</w:t>
            </w:r>
          </w:p>
        </w:tc>
      </w:tr>
      <w:tr>
        <w:trPr>
          <w:trHeight w:val="216"/>
        </w:trPr>
        <w:tc>
          <w:tcPr>
            <w:tcW w:w="2900" w:type="dxa"/>
            <w:vAlign w:val="bottom"/>
            <w:shd w:val="clear" w:color="auto" w:fill="EEEEEE"/>
          </w:tcPr>
          <w:p>
            <w:pPr>
              <w:jc w:val="center"/>
              <w:ind w:right="130"/>
              <w:spacing w:after="0"/>
              <w:rPr>
                <w:sz w:val="20"/>
                <w:szCs w:val="20"/>
                <w:color w:val="auto"/>
              </w:rPr>
            </w:pPr>
            <w:r>
              <w:rPr>
                <w:rFonts w:ascii="Arial" w:cs="Arial" w:eastAsia="Arial" w:hAnsi="Arial"/>
                <w:sz w:val="18"/>
                <w:szCs w:val="18"/>
                <w:color w:val="auto"/>
                <w:w w:val="93"/>
              </w:rPr>
              <w:t>July 2018</w:t>
            </w:r>
          </w:p>
        </w:tc>
        <w:tc>
          <w:tcPr>
            <w:tcW w:w="2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4.18%</w:t>
            </w:r>
          </w:p>
        </w:tc>
      </w:tr>
      <w:tr>
        <w:trPr>
          <w:trHeight w:val="216"/>
        </w:trPr>
        <w:tc>
          <w:tcPr>
            <w:tcW w:w="2900" w:type="dxa"/>
            <w:vAlign w:val="bottom"/>
          </w:tcPr>
          <w:p>
            <w:pPr>
              <w:jc w:val="center"/>
              <w:ind w:right="130"/>
              <w:spacing w:after="0"/>
              <w:rPr>
                <w:sz w:val="20"/>
                <w:szCs w:val="20"/>
                <w:color w:val="auto"/>
              </w:rPr>
            </w:pPr>
            <w:r>
              <w:rPr>
                <w:rFonts w:ascii="Arial" w:cs="Arial" w:eastAsia="Arial" w:hAnsi="Arial"/>
                <w:sz w:val="18"/>
                <w:szCs w:val="18"/>
                <w:color w:val="auto"/>
                <w:w w:val="91"/>
              </w:rPr>
              <w:t>October 2018</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4.25%</w:t>
            </w:r>
          </w:p>
        </w:tc>
      </w:tr>
      <w:tr>
        <w:trPr>
          <w:trHeight w:val="216"/>
        </w:trPr>
        <w:tc>
          <w:tcPr>
            <w:tcW w:w="2900" w:type="dxa"/>
            <w:vAlign w:val="bottom"/>
            <w:shd w:val="clear" w:color="auto" w:fill="EEEEEE"/>
          </w:tcPr>
          <w:p>
            <w:pPr>
              <w:jc w:val="center"/>
              <w:ind w:right="130"/>
              <w:spacing w:after="0"/>
              <w:rPr>
                <w:sz w:val="20"/>
                <w:szCs w:val="20"/>
                <w:color w:val="auto"/>
              </w:rPr>
            </w:pPr>
            <w:r>
              <w:rPr>
                <w:rFonts w:ascii="Arial" w:cs="Arial" w:eastAsia="Arial" w:hAnsi="Arial"/>
                <w:sz w:val="18"/>
                <w:szCs w:val="18"/>
                <w:color w:val="auto"/>
                <w:w w:val="87"/>
              </w:rPr>
              <w:t>January 2019</w:t>
            </w:r>
          </w:p>
        </w:tc>
        <w:tc>
          <w:tcPr>
            <w:tcW w:w="2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4.22%</w:t>
            </w:r>
          </w:p>
        </w:tc>
      </w:tr>
      <w:tr>
        <w:trPr>
          <w:trHeight w:val="216"/>
        </w:trPr>
        <w:tc>
          <w:tcPr>
            <w:tcW w:w="2900" w:type="dxa"/>
            <w:vAlign w:val="bottom"/>
          </w:tcPr>
          <w:p>
            <w:pPr>
              <w:jc w:val="center"/>
              <w:ind w:right="130"/>
              <w:spacing w:after="0"/>
              <w:rPr>
                <w:sz w:val="20"/>
                <w:szCs w:val="20"/>
                <w:color w:val="auto"/>
              </w:rPr>
            </w:pPr>
            <w:r>
              <w:rPr>
                <w:rFonts w:ascii="Arial" w:cs="Arial" w:eastAsia="Arial" w:hAnsi="Arial"/>
                <w:sz w:val="18"/>
                <w:szCs w:val="18"/>
                <w:color w:val="auto"/>
                <w:w w:val="98"/>
              </w:rPr>
              <w:t>April 2019</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3.95%</w:t>
            </w:r>
          </w:p>
        </w:tc>
      </w:tr>
      <w:tr>
        <w:trPr>
          <w:trHeight w:val="216"/>
        </w:trPr>
        <w:tc>
          <w:tcPr>
            <w:tcW w:w="2900" w:type="dxa"/>
            <w:vAlign w:val="bottom"/>
            <w:shd w:val="clear" w:color="auto" w:fill="EEEEEE"/>
          </w:tcPr>
          <w:p>
            <w:pPr>
              <w:jc w:val="center"/>
              <w:ind w:right="130"/>
              <w:spacing w:after="0"/>
              <w:rPr>
                <w:sz w:val="20"/>
                <w:szCs w:val="20"/>
                <w:color w:val="auto"/>
              </w:rPr>
            </w:pPr>
            <w:r>
              <w:rPr>
                <w:rFonts w:ascii="Arial" w:cs="Arial" w:eastAsia="Arial" w:hAnsi="Arial"/>
                <w:sz w:val="18"/>
                <w:szCs w:val="18"/>
                <w:color w:val="auto"/>
                <w:w w:val="93"/>
              </w:rPr>
              <w:t>July 2019</w:t>
            </w:r>
          </w:p>
        </w:tc>
        <w:tc>
          <w:tcPr>
            <w:tcW w:w="2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3.36%</w:t>
            </w:r>
          </w:p>
        </w:tc>
      </w:tr>
      <w:tr>
        <w:trPr>
          <w:trHeight w:val="216"/>
        </w:trPr>
        <w:tc>
          <w:tcPr>
            <w:tcW w:w="2900" w:type="dxa"/>
            <w:vAlign w:val="bottom"/>
          </w:tcPr>
          <w:p>
            <w:pPr>
              <w:jc w:val="center"/>
              <w:ind w:right="130"/>
              <w:spacing w:after="0"/>
              <w:rPr>
                <w:sz w:val="20"/>
                <w:szCs w:val="20"/>
                <w:color w:val="auto"/>
              </w:rPr>
            </w:pPr>
            <w:r>
              <w:rPr>
                <w:rFonts w:ascii="Arial" w:cs="Arial" w:eastAsia="Arial" w:hAnsi="Arial"/>
                <w:sz w:val="18"/>
                <w:szCs w:val="18"/>
                <w:color w:val="auto"/>
                <w:w w:val="91"/>
              </w:rPr>
              <w:t>October 2019</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2.95%</w:t>
            </w:r>
          </w:p>
        </w:tc>
      </w:tr>
      <w:tr>
        <w:trPr>
          <w:trHeight w:val="216"/>
        </w:trPr>
        <w:tc>
          <w:tcPr>
            <w:tcW w:w="2900" w:type="dxa"/>
            <w:vAlign w:val="bottom"/>
            <w:shd w:val="clear" w:color="auto" w:fill="EEEEEE"/>
          </w:tcPr>
          <w:p>
            <w:pPr>
              <w:jc w:val="center"/>
              <w:ind w:right="130"/>
              <w:spacing w:after="0"/>
              <w:rPr>
                <w:sz w:val="20"/>
                <w:szCs w:val="20"/>
                <w:color w:val="auto"/>
              </w:rPr>
            </w:pPr>
            <w:r>
              <w:rPr>
                <w:rFonts w:ascii="Arial" w:cs="Arial" w:eastAsia="Arial" w:hAnsi="Arial"/>
                <w:sz w:val="18"/>
                <w:szCs w:val="18"/>
                <w:color w:val="auto"/>
                <w:w w:val="87"/>
              </w:rPr>
              <w:t>January 2020</w:t>
            </w:r>
          </w:p>
        </w:tc>
        <w:tc>
          <w:tcPr>
            <w:tcW w:w="2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3.08%</w:t>
            </w:r>
          </w:p>
        </w:tc>
      </w:tr>
      <w:tr>
        <w:trPr>
          <w:trHeight w:val="216"/>
        </w:trPr>
        <w:tc>
          <w:tcPr>
            <w:tcW w:w="2900" w:type="dxa"/>
            <w:vAlign w:val="bottom"/>
          </w:tcPr>
          <w:p>
            <w:pPr>
              <w:jc w:val="center"/>
              <w:ind w:right="130"/>
              <w:spacing w:after="0"/>
              <w:rPr>
                <w:sz w:val="20"/>
                <w:szCs w:val="20"/>
                <w:color w:val="auto"/>
              </w:rPr>
            </w:pPr>
            <w:r>
              <w:rPr>
                <w:rFonts w:ascii="Arial" w:cs="Arial" w:eastAsia="Arial" w:hAnsi="Arial"/>
                <w:sz w:val="18"/>
                <w:szCs w:val="18"/>
                <w:color w:val="auto"/>
                <w:w w:val="85"/>
              </w:rPr>
              <w:t>June 2020</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4.09%</w:t>
            </w:r>
          </w:p>
        </w:tc>
      </w:tr>
      <w:tr>
        <w:trPr>
          <w:trHeight w:val="216"/>
        </w:trPr>
        <w:tc>
          <w:tcPr>
            <w:tcW w:w="2900" w:type="dxa"/>
            <w:vAlign w:val="bottom"/>
            <w:shd w:val="clear" w:color="auto" w:fill="EEEEEE"/>
          </w:tcPr>
          <w:p>
            <w:pPr>
              <w:jc w:val="center"/>
              <w:ind w:right="130"/>
              <w:spacing w:after="0"/>
              <w:rPr>
                <w:sz w:val="20"/>
                <w:szCs w:val="20"/>
                <w:color w:val="auto"/>
              </w:rPr>
            </w:pPr>
            <w:r>
              <w:rPr>
                <w:rFonts w:ascii="Arial" w:cs="Arial" w:eastAsia="Arial" w:hAnsi="Arial"/>
                <w:sz w:val="18"/>
                <w:szCs w:val="18"/>
                <w:color w:val="auto"/>
                <w:w w:val="87"/>
              </w:rPr>
              <w:t>September 2020</w:t>
            </w:r>
          </w:p>
        </w:tc>
        <w:tc>
          <w:tcPr>
            <w:tcW w:w="2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2.39%</w:t>
            </w:r>
          </w:p>
        </w:tc>
      </w:tr>
      <w:tr>
        <w:trPr>
          <w:trHeight w:val="216"/>
        </w:trPr>
        <w:tc>
          <w:tcPr>
            <w:tcW w:w="2900" w:type="dxa"/>
            <w:vAlign w:val="bottom"/>
          </w:tcPr>
          <w:p>
            <w:pPr>
              <w:jc w:val="center"/>
              <w:ind w:right="130"/>
              <w:spacing w:after="0"/>
              <w:rPr>
                <w:sz w:val="20"/>
                <w:szCs w:val="20"/>
                <w:color w:val="auto"/>
              </w:rPr>
            </w:pPr>
            <w:r>
              <w:rPr>
                <w:rFonts w:ascii="Arial" w:cs="Arial" w:eastAsia="Arial" w:hAnsi="Arial"/>
                <w:sz w:val="18"/>
                <w:szCs w:val="18"/>
                <w:color w:val="auto"/>
                <w:w w:val="87"/>
              </w:rPr>
              <w:t>January 2021</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1.11%</w:t>
            </w:r>
          </w:p>
        </w:tc>
      </w:tr>
      <w:tr>
        <w:trPr>
          <w:trHeight w:val="216"/>
        </w:trPr>
        <w:tc>
          <w:tcPr>
            <w:tcW w:w="2900" w:type="dxa"/>
            <w:vAlign w:val="bottom"/>
            <w:shd w:val="clear" w:color="auto" w:fill="EEEEEE"/>
          </w:tcPr>
          <w:p>
            <w:pPr>
              <w:jc w:val="center"/>
              <w:ind w:right="130"/>
              <w:spacing w:after="0"/>
              <w:rPr>
                <w:sz w:val="20"/>
                <w:szCs w:val="20"/>
                <w:color w:val="auto"/>
              </w:rPr>
            </w:pPr>
            <w:r>
              <w:rPr>
                <w:rFonts w:ascii="Arial" w:cs="Arial" w:eastAsia="Arial" w:hAnsi="Arial"/>
                <w:sz w:val="18"/>
                <w:szCs w:val="18"/>
                <w:color w:val="auto"/>
                <w:w w:val="98"/>
              </w:rPr>
              <w:t>April 2021</w:t>
            </w:r>
          </w:p>
        </w:tc>
        <w:tc>
          <w:tcPr>
            <w:tcW w:w="2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1.65%</w:t>
            </w: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Interest expense on warehouse credit line debt decreased by $2.1 million to $2.3 million for the six months ended June 30, 2021 compared to $4.4 million in the prior year period. The decrease was primarily due to the lower utilization of our credit lines during the quarter compared to last year. The average balance of our warehouse debt was $50.4 million during the six months ended June 30, 2021 compared to $115.8 million for the same period in 2020.</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expense on subordinated renewable notes increased by $264,000. The average balance of the outstanding subordinated debt increased 27.8% to $23.5 million for the six months ended June 30, 2021 compared to $18.4 million for the six months ended June 30, 2020. The average yield of subordinated notes decreased to 10.9% in the six-month period ended June 30, 2021 compared to 11.1% in the prior period.</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16, 2018, we completed a $40.0 million securitization of residual interests from previously issued securitizations. On June 30, 2021, we completed a $50 million securitization of residual from other previously issued securitizations. Interest expense on these residual interest financings were $1.0 million for the six months ended June 30, 2021 compared to $1.9 million in the prior year period.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5" w:name="page36"/>
    <w:bookmarkEnd w:id="35"/>
    <w:p>
      <w:pPr>
        <w:ind w:right="20"/>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six-month periods ended June 30,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8"/>
                <w:szCs w:val="18"/>
                <w:b w:val="1"/>
                <w:bCs w:val="1"/>
                <w:color w:val="auto"/>
                <w:w w:val="96"/>
              </w:rPr>
              <w:t>Six Months Ended June 30,</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jc w:val="right"/>
              <w:ind w:right="82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Annualized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Average</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2320" w:type="dxa"/>
            <w:vAlign w:val="bottom"/>
            <w:gridSpan w:val="4"/>
            <w:vMerge w:val="restart"/>
          </w:tcPr>
          <w:p>
            <w:pPr>
              <w:jc w:val="center"/>
              <w:ind w:right="260"/>
              <w:spacing w:after="0"/>
              <w:rPr>
                <w:sz w:val="20"/>
                <w:szCs w:val="20"/>
                <w:color w:val="auto"/>
              </w:rPr>
            </w:pPr>
            <w:r>
              <w:rPr>
                <w:rFonts w:ascii="Arial" w:cs="Arial" w:eastAsia="Arial" w:hAnsi="Arial"/>
                <w:sz w:val="18"/>
                <w:szCs w:val="18"/>
                <w:b w:val="1"/>
                <w:bCs w:val="1"/>
                <w:color w:val="auto"/>
                <w:w w:val="88"/>
              </w:rPr>
              <w:t>Interest Earning Assets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Balance (1)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Interest</w:t>
            </w: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Yield/Rate</w:t>
            </w:r>
          </w:p>
        </w:tc>
        <w:tc>
          <w:tcPr>
            <w:tcW w:w="10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9"/>
              </w:rPr>
              <w:t>Balance (1)</w:t>
            </w:r>
          </w:p>
        </w:tc>
        <w:tc>
          <w:tcPr>
            <w:tcW w:w="160" w:type="dxa"/>
            <w:vAlign w:val="bottom"/>
          </w:tcPr>
          <w:p>
            <w:pPr>
              <w:spacing w:after="0"/>
              <w:rPr>
                <w:sz w:val="20"/>
                <w:szCs w:val="20"/>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Interest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Yield/Rate</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232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 (2)</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411,571</w:t>
            </w: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40,602</w:t>
            </w:r>
          </w:p>
        </w:tc>
        <w:tc>
          <w:tcPr>
            <w:tcW w:w="14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789,026</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72,224</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0"/>
        </w:trPr>
        <w:tc>
          <w:tcPr>
            <w:tcW w:w="2540" w:type="dxa"/>
            <w:vAlign w:val="bottom"/>
            <w:gridSpan w:val="5"/>
          </w:tcPr>
          <w:p>
            <w:pPr>
              <w:spacing w:after="0"/>
              <w:rPr>
                <w:sz w:val="20"/>
                <w:szCs w:val="20"/>
                <w:color w:val="auto"/>
              </w:rPr>
            </w:pPr>
            <w:r>
              <w:rPr>
                <w:rFonts w:ascii="Arial" w:cs="Arial" w:eastAsia="Arial" w:hAnsi="Arial"/>
                <w:sz w:val="18"/>
                <w:szCs w:val="18"/>
                <w:color w:val="auto"/>
                <w:w w:val="97"/>
              </w:rPr>
              <w:t>Finance receivables at fair value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1,718,112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90,931</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1,606,088</w:t>
            </w:r>
          </w:p>
        </w:tc>
        <w:tc>
          <w:tcPr>
            <w:tcW w:w="16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82,465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9"/>
        </w:trPr>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2,129,683</w:t>
            </w: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131,533</w:t>
            </w:r>
          </w:p>
        </w:tc>
        <w:tc>
          <w:tcPr>
            <w:tcW w:w="36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12.4%</w:t>
            </w:r>
          </w:p>
        </w:tc>
        <w:tc>
          <w:tcPr>
            <w:tcW w:w="3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2,395,114</w:t>
            </w: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154,689</w:t>
            </w:r>
          </w:p>
        </w:tc>
        <w:tc>
          <w:tcPr>
            <w:tcW w:w="32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40" w:type="dxa"/>
            <w:vAlign w:val="bottom"/>
            <w:gridSpan w:val="5"/>
            <w:shd w:val="clear" w:color="auto" w:fill="EEEEEE"/>
          </w:tcPr>
          <w:p>
            <w:pPr>
              <w:jc w:val="center"/>
              <w:ind w:right="4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8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0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96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112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00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94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11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178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94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1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540" w:type="dxa"/>
            <w:vAlign w:val="bottom"/>
            <w:gridSpan w:val="5"/>
          </w:tcPr>
          <w:p>
            <w:pPr>
              <w:spacing w:after="0"/>
              <w:rPr>
                <w:sz w:val="20"/>
                <w:szCs w:val="20"/>
                <w:color w:val="auto"/>
              </w:rPr>
            </w:pPr>
            <w:r>
              <w:rPr>
                <w:rFonts w:ascii="Arial" w:cs="Arial" w:eastAsia="Arial" w:hAnsi="Arial"/>
                <w:sz w:val="18"/>
                <w:szCs w:val="18"/>
                <w:color w:val="auto"/>
              </w:rPr>
              <w:t>Warehouse lines of credit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50,401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2,335</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115,826</w:t>
            </w: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4,437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20,484</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1,033</w:t>
            </w:r>
          </w:p>
        </w:tc>
        <w:tc>
          <w:tcPr>
            <w:tcW w:w="14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38,744</w:t>
            </w:r>
          </w:p>
        </w:tc>
        <w:tc>
          <w:tcPr>
            <w:tcW w:w="1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1,857</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54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1,854,147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35,276</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2,097,420</w:t>
            </w: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46,165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2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23,502</w:t>
            </w: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1,281</w:t>
            </w:r>
          </w:p>
        </w:tc>
        <w:tc>
          <w:tcPr>
            <w:tcW w:w="14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18,397</w:t>
            </w:r>
          </w:p>
        </w:tc>
        <w:tc>
          <w:tcPr>
            <w:tcW w:w="16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1,017</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46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1,948,534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39,925</w:t>
            </w:r>
          </w:p>
        </w:tc>
        <w:tc>
          <w:tcPr>
            <w:tcW w:w="360" w:type="dxa"/>
            <w:vAlign w:val="bottom"/>
            <w:vMerge w:val="continue"/>
          </w:tcPr>
          <w:p>
            <w:pPr>
              <w:spacing w:after="0"/>
              <w:rPr>
                <w:sz w:val="24"/>
                <w:szCs w:val="24"/>
                <w:color w:val="auto"/>
              </w:rPr>
            </w:pPr>
          </w:p>
        </w:tc>
        <w:tc>
          <w:tcPr>
            <w:tcW w:w="1460" w:type="dxa"/>
            <w:vAlign w:val="bottom"/>
            <w:gridSpan w:val="2"/>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2,270,387</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53,476</w:t>
            </w:r>
          </w:p>
        </w:tc>
        <w:tc>
          <w:tcPr>
            <w:tcW w:w="320" w:type="dxa"/>
            <w:vAlign w:val="bottom"/>
            <w:vMerge w:val="continue"/>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2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178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26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spacing w:after="0"/>
              <w:rPr>
                <w:sz w:val="17"/>
                <w:szCs w:val="17"/>
                <w:color w:val="auto"/>
              </w:rPr>
            </w:pPr>
          </w:p>
        </w:tc>
        <w:tc>
          <w:tcPr>
            <w:tcW w:w="1020" w:type="dxa"/>
            <w:vAlign w:val="bottom"/>
            <w:tcBorders>
              <w:top w:val="single" w:sz="8" w:color="auto"/>
            </w:tcBorders>
            <w:shd w:val="clear" w:color="auto" w:fill="EEEEEE"/>
          </w:tcPr>
          <w:p>
            <w:pPr>
              <w:spacing w:after="0"/>
              <w:rPr>
                <w:sz w:val="17"/>
                <w:szCs w:val="17"/>
                <w:color w:val="auto"/>
              </w:rPr>
            </w:pPr>
          </w:p>
        </w:tc>
        <w:tc>
          <w:tcPr>
            <w:tcW w:w="18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EEEEEE"/>
              <w:bottom w:val="single" w:sz="8" w:color="auto"/>
            </w:tcBorders>
            <w:shd w:val="clear" w:color="auto" w:fill="EEEEEE"/>
          </w:tcPr>
          <w:p>
            <w:pPr>
              <w:spacing w:after="0"/>
              <w:rPr>
                <w:sz w:val="17"/>
                <w:szCs w:val="17"/>
                <w:color w:val="auto"/>
              </w:rPr>
            </w:pPr>
          </w:p>
        </w:tc>
        <w:tc>
          <w:tcPr>
            <w:tcW w:w="960" w:type="dxa"/>
            <w:vAlign w:val="bottom"/>
            <w:tcBorders>
              <w:top w:val="single" w:sz="8" w:color="EEEEEE"/>
              <w:bottom w:val="single" w:sz="8" w:color="auto"/>
            </w:tcBorders>
            <w:shd w:val="clear" w:color="auto" w:fill="EEEEEE"/>
          </w:tcPr>
          <w:p>
            <w:pPr>
              <w:spacing w:after="0"/>
              <w:rPr>
                <w:sz w:val="17"/>
                <w:szCs w:val="17"/>
                <w:color w:val="auto"/>
              </w:rPr>
            </w:pPr>
          </w:p>
        </w:tc>
        <w:tc>
          <w:tcPr>
            <w:tcW w:w="360" w:type="dxa"/>
            <w:vAlign w:val="bottom"/>
            <w:tcBorders>
              <w:top w:val="single" w:sz="8" w:color="EEEEEE"/>
            </w:tcBorders>
            <w:shd w:val="clear" w:color="auto" w:fill="EEEEEE"/>
          </w:tcPr>
          <w:p>
            <w:pPr>
              <w:spacing w:after="0"/>
              <w:rPr>
                <w:sz w:val="17"/>
                <w:szCs w:val="17"/>
                <w:color w:val="auto"/>
              </w:rPr>
            </w:pPr>
          </w:p>
        </w:tc>
        <w:tc>
          <w:tcPr>
            <w:tcW w:w="1120" w:type="dxa"/>
            <w:vAlign w:val="bottom"/>
            <w:tcBorders>
              <w:top w:val="single" w:sz="8" w:color="EEEEEE"/>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auto"/>
            </w:tcBorders>
            <w:shd w:val="clear" w:color="auto" w:fill="EEEEEE"/>
          </w:tcPr>
          <w:p>
            <w:pPr>
              <w:spacing w:after="0"/>
              <w:rPr>
                <w:sz w:val="17"/>
                <w:szCs w:val="17"/>
                <w:color w:val="auto"/>
              </w:rPr>
            </w:pPr>
          </w:p>
        </w:tc>
        <w:tc>
          <w:tcPr>
            <w:tcW w:w="1000" w:type="dxa"/>
            <w:vAlign w:val="bottom"/>
            <w:tcBorders>
              <w:top w:val="single" w:sz="8" w:color="auto"/>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EEEEEE"/>
              <w:bottom w:val="single" w:sz="8" w:color="auto"/>
            </w:tcBorders>
            <w:shd w:val="clear" w:color="auto" w:fill="EEEEEE"/>
          </w:tcPr>
          <w:p>
            <w:pPr>
              <w:spacing w:after="0"/>
              <w:rPr>
                <w:sz w:val="17"/>
                <w:szCs w:val="17"/>
                <w:color w:val="auto"/>
              </w:rPr>
            </w:pPr>
          </w:p>
        </w:tc>
        <w:tc>
          <w:tcPr>
            <w:tcW w:w="940" w:type="dxa"/>
            <w:vAlign w:val="bottom"/>
            <w:tcBorders>
              <w:top w:val="single" w:sz="8" w:color="EEEEEE"/>
              <w:bottom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12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540" w:type="dxa"/>
            <w:vAlign w:val="bottom"/>
            <w:tcBorders>
              <w:bottom w:val="single" w:sz="8" w:color="EEEEEE"/>
            </w:tcBorders>
            <w:gridSpan w:val="5"/>
          </w:tcPr>
          <w:p>
            <w:pPr>
              <w:spacing w:after="0"/>
              <w:rPr>
                <w:sz w:val="20"/>
                <w:szCs w:val="20"/>
                <w:color w:val="auto"/>
              </w:rPr>
            </w:pPr>
            <w:r>
              <w:rPr>
                <w:rFonts w:ascii="Arial" w:cs="Arial" w:eastAsia="Arial" w:hAnsi="Arial"/>
                <w:sz w:val="18"/>
                <w:szCs w:val="18"/>
                <w:color w:val="auto"/>
              </w:rPr>
              <w:t>Net interest income/spread</w:t>
            </w:r>
          </w:p>
        </w:tc>
        <w:tc>
          <w:tcPr>
            <w:tcW w:w="18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02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91,608</w:t>
            </w:r>
          </w:p>
        </w:tc>
        <w:tc>
          <w:tcPr>
            <w:tcW w:w="360" w:type="dxa"/>
            <w:vAlign w:val="bottom"/>
            <w:tcBorders>
              <w:bottom w:val="single" w:sz="8" w:color="EEEEEE"/>
            </w:tcBorders>
          </w:tcPr>
          <w:p>
            <w:pPr>
              <w:spacing w:after="0"/>
              <w:rPr>
                <w:sz w:val="22"/>
                <w:szCs w:val="22"/>
                <w:color w:val="auto"/>
              </w:rPr>
            </w:pPr>
          </w:p>
        </w:tc>
        <w:tc>
          <w:tcPr>
            <w:tcW w:w="1120" w:type="dxa"/>
            <w:vAlign w:val="bottom"/>
            <w:tcBorders>
              <w:bottom w:val="single" w:sz="8" w:color="EEEEEE"/>
            </w:tcBorders>
          </w:tcPr>
          <w:p>
            <w:pPr>
              <w:spacing w:after="0"/>
              <w:rPr>
                <w:sz w:val="22"/>
                <w:szCs w:val="22"/>
                <w:color w:val="auto"/>
              </w:rPr>
            </w:pPr>
          </w:p>
        </w:tc>
        <w:tc>
          <w:tcPr>
            <w:tcW w:w="34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1000" w:type="dxa"/>
            <w:vAlign w:val="bottom"/>
            <w:tcBorders>
              <w:bottom w:val="single" w:sz="8" w:color="EEEEEE"/>
            </w:tcBorders>
          </w:tcPr>
          <w:p>
            <w:pPr>
              <w:spacing w:after="0"/>
              <w:rPr>
                <w:sz w:val="22"/>
                <w:szCs w:val="22"/>
                <w:color w:val="auto"/>
              </w:rPr>
            </w:pPr>
          </w:p>
        </w:tc>
        <w:tc>
          <w:tcPr>
            <w:tcW w:w="340" w:type="dxa"/>
            <w:vAlign w:val="bottom"/>
            <w:tcBorders>
              <w:bottom w:val="single" w:sz="8" w:color="EEEEEE"/>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101,213</w:t>
            </w:r>
          </w:p>
        </w:tc>
        <w:tc>
          <w:tcPr>
            <w:tcW w:w="320" w:type="dxa"/>
            <w:vAlign w:val="bottom"/>
            <w:tcBorders>
              <w:bottom w:val="single" w:sz="8" w:color="EEEEEE"/>
            </w:tcBorders>
          </w:tcPr>
          <w:p>
            <w:pPr>
              <w:spacing w:after="0"/>
              <w:rPr>
                <w:sz w:val="22"/>
                <w:szCs w:val="22"/>
                <w:color w:val="auto"/>
              </w:rPr>
            </w:pPr>
          </w:p>
        </w:tc>
        <w:tc>
          <w:tcPr>
            <w:tcW w:w="112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540" w:type="dxa"/>
            <w:vAlign w:val="bottom"/>
            <w:gridSpan w:val="5"/>
            <w:shd w:val="clear" w:color="auto" w:fill="EEEEEE"/>
          </w:tcPr>
          <w:p>
            <w:pPr>
              <w:spacing w:after="0" w:line="196" w:lineRule="exact"/>
              <w:rPr>
                <w:sz w:val="20"/>
                <w:szCs w:val="20"/>
                <w:color w:val="auto"/>
              </w:rPr>
            </w:pPr>
            <w:r>
              <w:rPr>
                <w:rFonts w:ascii="Arial" w:cs="Arial" w:eastAsia="Arial" w:hAnsi="Arial"/>
                <w:sz w:val="18"/>
                <w:szCs w:val="18"/>
                <w:color w:val="auto"/>
              </w:rPr>
              <w:t>Net interest yield (3)</w:t>
            </w:r>
          </w:p>
        </w:tc>
        <w:tc>
          <w:tcPr>
            <w:tcW w:w="1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460" w:type="dxa"/>
            <w:vAlign w:val="bottom"/>
            <w:gridSpan w:val="2"/>
            <w:shd w:val="clear" w:color="auto" w:fill="EEEEEE"/>
          </w:tcPr>
          <w:p>
            <w:pPr>
              <w:jc w:val="right"/>
              <w:ind w:right="340"/>
              <w:spacing w:after="0" w:line="196" w:lineRule="exact"/>
              <w:rPr>
                <w:sz w:val="20"/>
                <w:szCs w:val="20"/>
                <w:color w:val="auto"/>
              </w:rPr>
            </w:pPr>
            <w:r>
              <w:rPr>
                <w:rFonts w:ascii="Arial" w:cs="Arial" w:eastAsia="Arial" w:hAnsi="Arial"/>
                <w:sz w:val="18"/>
                <w:szCs w:val="18"/>
                <w:color w:val="auto"/>
              </w:rPr>
              <w:t>8.3%</w:t>
            </w: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20" w:type="dxa"/>
            <w:vAlign w:val="bottom"/>
            <w:gridSpan w:val="2"/>
            <w:shd w:val="clear" w:color="auto" w:fill="EEEEEE"/>
          </w:tcPr>
          <w:p>
            <w:pPr>
              <w:jc w:val="right"/>
              <w:ind w:right="10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4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6"/>
              </w:rPr>
              <w:t>Ratio of average interest earning</w:t>
            </w:r>
          </w:p>
        </w:tc>
        <w:tc>
          <w:tcPr>
            <w:tcW w:w="1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assets to average interest</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bearing liabilities</w:t>
            </w:r>
          </w:p>
        </w:tc>
        <w:tc>
          <w:tcPr>
            <w:tcW w:w="1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14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20" w:hanging="287"/>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540" w:hanging="307"/>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520" w:hanging="287"/>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00" w:type="dxa"/>
            <w:vAlign w:val="bottom"/>
            <w:gridSpan w:val="7"/>
          </w:tcPr>
          <w:p>
            <w:pPr>
              <w:jc w:val="right"/>
              <w:spacing w:after="0"/>
              <w:rPr>
                <w:sz w:val="20"/>
                <w:szCs w:val="20"/>
                <w:color w:val="auto"/>
              </w:rPr>
            </w:pPr>
            <w:r>
              <w:rPr>
                <w:rFonts w:ascii="Arial" w:cs="Arial" w:eastAsia="Arial" w:hAnsi="Arial"/>
                <w:sz w:val="18"/>
                <w:szCs w:val="18"/>
                <w:b w:val="1"/>
                <w:bCs w:val="1"/>
                <w:color w:val="auto"/>
              </w:rPr>
              <w:t>Six Months Ended June 30, 2021</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Compared to June 30, 2020</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right"/>
              <w:ind w:right="761"/>
              <w:spacing w:after="0" w:line="205" w:lineRule="exact"/>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7"/>
                <w:szCs w:val="17"/>
                <w:color w:val="auto"/>
              </w:rPr>
            </w:pPr>
          </w:p>
        </w:tc>
        <w:tc>
          <w:tcPr>
            <w:tcW w:w="1480" w:type="dxa"/>
            <w:vAlign w:val="bottom"/>
            <w:gridSpan w:val="2"/>
          </w:tcPr>
          <w:p>
            <w:pPr>
              <w:jc w:val="right"/>
              <w:ind w:right="401"/>
              <w:spacing w:after="0" w:line="205" w:lineRule="exact"/>
              <w:rPr>
                <w:sz w:val="20"/>
                <w:szCs w:val="20"/>
                <w:color w:val="auto"/>
              </w:rPr>
            </w:pPr>
            <w:r>
              <w:rPr>
                <w:rFonts w:ascii="Arial" w:cs="Arial" w:eastAsia="Arial" w:hAnsi="Arial"/>
                <w:sz w:val="18"/>
                <w:szCs w:val="18"/>
                <w:b w:val="1"/>
                <w:bCs w:val="1"/>
                <w:color w:val="auto"/>
                <w:w w:val="93"/>
              </w:rPr>
              <w:t>Change Due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110"/>
              <w:spacing w:after="0" w:line="205" w:lineRule="exact"/>
              <w:rPr>
                <w:sz w:val="20"/>
                <w:szCs w:val="20"/>
                <w:color w:val="auto"/>
              </w:rPr>
            </w:pPr>
            <w:r>
              <w:rPr>
                <w:rFonts w:ascii="Arial" w:cs="Arial" w:eastAsia="Arial" w:hAnsi="Arial"/>
                <w:sz w:val="18"/>
                <w:szCs w:val="18"/>
                <w:b w:val="1"/>
                <w:bCs w:val="1"/>
                <w:color w:val="auto"/>
                <w:w w:val="91"/>
              </w:rPr>
              <w:t>Change Due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661"/>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1480" w:type="dxa"/>
            <w:vAlign w:val="bottom"/>
            <w:gridSpan w:val="2"/>
          </w:tcPr>
          <w:p>
            <w:pPr>
              <w:jc w:val="right"/>
              <w:ind w:right="481"/>
              <w:spacing w:after="0"/>
              <w:rPr>
                <w:sz w:val="20"/>
                <w:szCs w:val="20"/>
                <w:color w:val="auto"/>
              </w:rPr>
            </w:pPr>
            <w:r>
              <w:rPr>
                <w:rFonts w:ascii="Arial" w:cs="Arial" w:eastAsia="Arial" w:hAnsi="Arial"/>
                <w:sz w:val="18"/>
                <w:szCs w:val="18"/>
                <w:b w:val="1"/>
                <w:bCs w:val="1"/>
                <w:color w:val="auto"/>
              </w:rPr>
              <w:t>to Volume</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210"/>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3"/>
          </w:tcPr>
          <w:p>
            <w:pPr>
              <w:jc w:val="right"/>
              <w:ind w:right="341"/>
              <w:spacing w:after="0"/>
              <w:rPr>
                <w:sz w:val="20"/>
                <w:szCs w:val="20"/>
                <w:color w:val="auto"/>
              </w:rPr>
            </w:pPr>
            <w:r>
              <w:rPr>
                <w:rFonts w:ascii="Arial" w:cs="Arial" w:eastAsia="Arial" w:hAnsi="Arial"/>
                <w:sz w:val="18"/>
                <w:szCs w:val="18"/>
                <w:b w:val="1"/>
                <w:bCs w:val="1"/>
                <w:color w:val="auto"/>
                <w:w w:val="95"/>
              </w:rPr>
              <w:t>(In thousands)</w:t>
            </w: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6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800" w:type="dxa"/>
            <w:vAlign w:val="bottom"/>
            <w:tcBorders>
              <w:bottom w:val="single" w:sz="8" w:color="auto"/>
            </w:tcBorders>
            <w:shd w:val="clear" w:color="auto" w:fill="EEEEEE"/>
          </w:tcPr>
          <w:p>
            <w:pPr>
              <w:jc w:val="center"/>
              <w:spacing w:after="0" w:line="176" w:lineRule="exact"/>
              <w:rPr>
                <w:sz w:val="20"/>
                <w:szCs w:val="20"/>
                <w:color w:val="auto"/>
              </w:rPr>
            </w:pPr>
            <w:r>
              <w:rPr>
                <w:rFonts w:ascii="Arial" w:cs="Arial" w:eastAsia="Arial" w:hAnsi="Arial"/>
                <w:sz w:val="18"/>
                <w:szCs w:val="18"/>
                <w:b w:val="1"/>
                <w:bCs w:val="1"/>
                <w:color w:val="auto"/>
                <w:w w:val="89"/>
              </w:rPr>
              <w:t>Interest Earning Assets</w:t>
            </w:r>
          </w:p>
        </w:tc>
        <w:tc>
          <w:tcPr>
            <w:tcW w:w="140" w:type="dxa"/>
            <w:vAlign w:val="bottom"/>
            <w:tcBorders>
              <w:bottom w:val="single" w:sz="8" w:color="EEEEEE"/>
            </w:tcBorders>
            <w:shd w:val="clear" w:color="auto" w:fill="EEEEEE"/>
          </w:tcPr>
          <w:p>
            <w:pPr>
              <w:spacing w:after="0"/>
              <w:rPr>
                <w:sz w:val="17"/>
                <w:szCs w:val="17"/>
                <w:color w:val="auto"/>
              </w:rPr>
            </w:pPr>
          </w:p>
        </w:tc>
        <w:tc>
          <w:tcPr>
            <w:tcW w:w="206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112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200" w:type="dxa"/>
            <w:vAlign w:val="bottom"/>
            <w:tcBorders>
              <w:bottom w:val="single" w:sz="8" w:color="EEEEEE"/>
            </w:tcBorders>
            <w:shd w:val="clear" w:color="auto" w:fill="EEEEEE"/>
          </w:tcPr>
          <w:p>
            <w:pPr>
              <w:spacing w:after="0"/>
              <w:rPr>
                <w:sz w:val="17"/>
                <w:szCs w:val="17"/>
                <w:color w:val="auto"/>
              </w:rPr>
            </w:pPr>
          </w:p>
        </w:tc>
        <w:tc>
          <w:tcPr>
            <w:tcW w:w="280" w:type="dxa"/>
            <w:vAlign w:val="bottom"/>
            <w:tcBorders>
              <w:bottom w:val="single" w:sz="8" w:color="EEEEEE"/>
            </w:tcBorders>
            <w:shd w:val="clear" w:color="auto" w:fill="EEEEEE"/>
          </w:tcPr>
          <w:p>
            <w:pPr>
              <w:spacing w:after="0"/>
              <w:rPr>
                <w:sz w:val="17"/>
                <w:szCs w:val="17"/>
                <w:color w:val="auto"/>
              </w:rPr>
            </w:pPr>
          </w:p>
        </w:tc>
        <w:tc>
          <w:tcPr>
            <w:tcW w:w="4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118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gridSpan w:val="4"/>
          </w:tcPr>
          <w:p>
            <w:pPr>
              <w:spacing w:after="0"/>
              <w:rPr>
                <w:sz w:val="20"/>
                <w:szCs w:val="20"/>
                <w:color w:val="auto"/>
              </w:rPr>
            </w:pPr>
            <w:r>
              <w:rPr>
                <w:rFonts w:ascii="Arial" w:cs="Arial" w:eastAsia="Arial" w:hAnsi="Arial"/>
                <w:sz w:val="18"/>
                <w:szCs w:val="18"/>
                <w:color w:val="auto"/>
              </w:rPr>
              <w:t>Finance receivables gross</w:t>
            </w:r>
          </w:p>
        </w:tc>
        <w:tc>
          <w:tcPr>
            <w:tcW w:w="25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1"/>
              <w:spacing w:after="0"/>
              <w:rPr>
                <w:sz w:val="20"/>
                <w:szCs w:val="20"/>
                <w:color w:val="auto"/>
              </w:rPr>
            </w:pPr>
            <w:r>
              <w:rPr>
                <w:rFonts w:ascii="Arial" w:cs="Arial" w:eastAsia="Arial" w:hAnsi="Arial"/>
                <w:sz w:val="18"/>
                <w:szCs w:val="18"/>
                <w:color w:val="auto"/>
              </w:rPr>
              <w:t>(31,622)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41"/>
              <w:spacing w:after="0"/>
              <w:rPr>
                <w:sz w:val="20"/>
                <w:szCs w:val="20"/>
                <w:color w:val="auto"/>
              </w:rPr>
            </w:pPr>
            <w:r>
              <w:rPr>
                <w:rFonts w:ascii="Arial" w:cs="Arial" w:eastAsia="Arial" w:hAnsi="Arial"/>
                <w:sz w:val="18"/>
                <w:szCs w:val="18"/>
                <w:color w:val="auto"/>
              </w:rPr>
              <w:t>(37,479)</w:t>
            </w:r>
          </w:p>
        </w:tc>
        <w:tc>
          <w:tcPr>
            <w:tcW w:w="200" w:type="dxa"/>
            <w:vAlign w:val="bottom"/>
            <w:gridSpan w:val="2"/>
          </w:tcPr>
          <w:p>
            <w:pPr>
              <w:jc w:val="right"/>
              <w:ind w:right="7"/>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5,857</w:t>
            </w:r>
          </w:p>
        </w:tc>
        <w:tc>
          <w:tcPr>
            <w:tcW w:w="0" w:type="dxa"/>
            <w:vAlign w:val="bottom"/>
          </w:tcPr>
          <w:p>
            <w:pPr>
              <w:spacing w:after="0"/>
              <w:rPr>
                <w:sz w:val="1"/>
                <w:szCs w:val="1"/>
                <w:color w:val="auto"/>
              </w:rPr>
            </w:pPr>
          </w:p>
        </w:tc>
      </w:tr>
      <w:tr>
        <w:trPr>
          <w:trHeight w:val="230"/>
        </w:trPr>
        <w:tc>
          <w:tcPr>
            <w:tcW w:w="41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Finance receivables at fair value</w:t>
            </w:r>
          </w:p>
        </w:tc>
        <w:tc>
          <w:tcPr>
            <w:tcW w:w="20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8,466</w:t>
            </w:r>
          </w:p>
        </w:tc>
        <w:tc>
          <w:tcPr>
            <w:tcW w:w="14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201"/>
              <w:spacing w:after="0"/>
              <w:rPr>
                <w:sz w:val="20"/>
                <w:szCs w:val="20"/>
                <w:color w:val="auto"/>
              </w:rPr>
            </w:pPr>
            <w:r>
              <w:rPr>
                <w:rFonts w:ascii="Arial" w:cs="Arial" w:eastAsia="Arial" w:hAnsi="Arial"/>
                <w:sz w:val="18"/>
                <w:szCs w:val="18"/>
                <w:color w:val="auto"/>
              </w:rPr>
              <w:t>3,038</w:t>
            </w:r>
          </w:p>
        </w:tc>
        <w:tc>
          <w:tcPr>
            <w:tcW w:w="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(23,156)</w:t>
            </w: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(34,441)</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60" w:type="dxa"/>
            <w:vAlign w:val="bottom"/>
            <w:tcBorders>
              <w:bottom w:val="single" w:sz="8" w:color="EEEEEE"/>
            </w:tcBorders>
            <w:shd w:val="clear" w:color="auto" w:fill="EEEEEE"/>
          </w:tcPr>
          <w:p>
            <w:pPr>
              <w:spacing w:after="0"/>
              <w:rPr>
                <w:sz w:val="17"/>
                <w:szCs w:val="17"/>
                <w:color w:val="auto"/>
              </w:rPr>
            </w:pPr>
          </w:p>
        </w:tc>
        <w:tc>
          <w:tcPr>
            <w:tcW w:w="2080" w:type="dxa"/>
            <w:vAlign w:val="bottom"/>
            <w:tcBorders>
              <w:bottom w:val="single" w:sz="8" w:color="auto"/>
            </w:tcBorders>
            <w:gridSpan w:val="3"/>
            <w:shd w:val="clear" w:color="auto" w:fill="EEEEEE"/>
          </w:tcPr>
          <w:p>
            <w:pPr>
              <w:jc w:val="center"/>
              <w:spacing w:after="0" w:line="176" w:lineRule="exact"/>
              <w:rPr>
                <w:sz w:val="20"/>
                <w:szCs w:val="20"/>
                <w:color w:val="auto"/>
              </w:rPr>
            </w:pPr>
            <w:r>
              <w:rPr>
                <w:rFonts w:ascii="Arial" w:cs="Arial" w:eastAsia="Arial" w:hAnsi="Arial"/>
                <w:sz w:val="18"/>
                <w:szCs w:val="18"/>
                <w:b w:val="1"/>
                <w:bCs w:val="1"/>
                <w:color w:val="auto"/>
                <w:w w:val="92"/>
              </w:rPr>
              <w:t>Interest Bearing Liabilities</w:t>
            </w:r>
          </w:p>
        </w:tc>
        <w:tc>
          <w:tcPr>
            <w:tcW w:w="206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112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200" w:type="dxa"/>
            <w:vAlign w:val="bottom"/>
            <w:tcBorders>
              <w:bottom w:val="single" w:sz="8" w:color="EEEEEE"/>
            </w:tcBorders>
            <w:shd w:val="clear" w:color="auto" w:fill="EEEEEE"/>
          </w:tcPr>
          <w:p>
            <w:pPr>
              <w:spacing w:after="0"/>
              <w:rPr>
                <w:sz w:val="17"/>
                <w:szCs w:val="17"/>
                <w:color w:val="auto"/>
              </w:rPr>
            </w:pPr>
          </w:p>
        </w:tc>
        <w:tc>
          <w:tcPr>
            <w:tcW w:w="280" w:type="dxa"/>
            <w:vAlign w:val="bottom"/>
            <w:tcBorders>
              <w:bottom w:val="single" w:sz="8" w:color="EEEEEE"/>
            </w:tcBorders>
            <w:shd w:val="clear" w:color="auto" w:fill="EEEEEE"/>
          </w:tcPr>
          <w:p>
            <w:pPr>
              <w:spacing w:after="0"/>
              <w:rPr>
                <w:sz w:val="17"/>
                <w:szCs w:val="17"/>
                <w:color w:val="auto"/>
              </w:rPr>
            </w:pPr>
          </w:p>
        </w:tc>
        <w:tc>
          <w:tcPr>
            <w:tcW w:w="4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118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Borders>
              <w:top w:val="single" w:sz="8" w:color="EEEEEE"/>
            </w:tcBorders>
            <w:gridSpan w:val="4"/>
          </w:tcPr>
          <w:p>
            <w:pPr>
              <w:spacing w:after="0"/>
              <w:rPr>
                <w:sz w:val="20"/>
                <w:szCs w:val="20"/>
                <w:color w:val="auto"/>
              </w:rPr>
            </w:pPr>
            <w:r>
              <w:rPr>
                <w:rFonts w:ascii="Arial" w:cs="Arial" w:eastAsia="Arial" w:hAnsi="Arial"/>
                <w:sz w:val="18"/>
                <w:szCs w:val="18"/>
                <w:color w:val="auto"/>
              </w:rPr>
              <w:t>Warehouse lines of credit</w:t>
            </w:r>
          </w:p>
        </w:tc>
        <w:tc>
          <w:tcPr>
            <w:tcW w:w="206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1480" w:type="dxa"/>
            <w:vAlign w:val="bottom"/>
            <w:tcBorders>
              <w:top w:val="single" w:sz="8" w:color="EEEEEE"/>
            </w:tcBorders>
            <w:gridSpan w:val="2"/>
          </w:tcPr>
          <w:p>
            <w:pPr>
              <w:jc w:val="right"/>
              <w:ind w:right="221"/>
              <w:spacing w:after="0"/>
              <w:rPr>
                <w:sz w:val="20"/>
                <w:szCs w:val="20"/>
                <w:color w:val="auto"/>
              </w:rPr>
            </w:pPr>
            <w:r>
              <w:rPr>
                <w:rFonts w:ascii="Arial" w:cs="Arial" w:eastAsia="Arial" w:hAnsi="Arial"/>
                <w:sz w:val="18"/>
                <w:szCs w:val="18"/>
                <w:color w:val="auto"/>
              </w:rPr>
              <w:t>(2,102)</w:t>
            </w:r>
          </w:p>
        </w:tc>
        <w:tc>
          <w:tcPr>
            <w:tcW w:w="140" w:type="dxa"/>
            <w:vAlign w:val="bottom"/>
            <w:tcBorders>
              <w:top w:val="single" w:sz="8" w:color="EEEEEE"/>
            </w:tcBorders>
          </w:tcPr>
          <w:p>
            <w:pPr>
              <w:spacing w:after="0"/>
              <w:rPr>
                <w:sz w:val="18"/>
                <w:szCs w:val="18"/>
                <w:color w:val="auto"/>
              </w:rPr>
            </w:pPr>
          </w:p>
        </w:tc>
        <w:tc>
          <w:tcPr>
            <w:tcW w:w="1480" w:type="dxa"/>
            <w:vAlign w:val="bottom"/>
            <w:tcBorders>
              <w:top w:val="single" w:sz="8" w:color="EEEEEE"/>
            </w:tcBorders>
            <w:gridSpan w:val="2"/>
          </w:tcPr>
          <w:p>
            <w:pPr>
              <w:jc w:val="right"/>
              <w:ind w:right="141"/>
              <w:spacing w:after="0"/>
              <w:rPr>
                <w:sz w:val="20"/>
                <w:szCs w:val="20"/>
                <w:color w:val="auto"/>
              </w:rPr>
            </w:pPr>
            <w:r>
              <w:rPr>
                <w:rFonts w:ascii="Arial" w:cs="Arial" w:eastAsia="Arial" w:hAnsi="Arial"/>
                <w:sz w:val="18"/>
                <w:szCs w:val="18"/>
                <w:color w:val="auto"/>
              </w:rPr>
              <w:t>(2,911)</w:t>
            </w:r>
          </w:p>
        </w:tc>
        <w:tc>
          <w:tcPr>
            <w:tcW w:w="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1280" w:type="dxa"/>
            <w:vAlign w:val="bottom"/>
            <w:tcBorders>
              <w:top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41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0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21"/>
              <w:spacing w:after="0"/>
              <w:rPr>
                <w:sz w:val="20"/>
                <w:szCs w:val="20"/>
                <w:color w:val="auto"/>
              </w:rPr>
            </w:pPr>
            <w:r>
              <w:rPr>
                <w:rFonts w:ascii="Arial" w:cs="Arial" w:eastAsia="Arial" w:hAnsi="Arial"/>
                <w:sz w:val="18"/>
                <w:szCs w:val="18"/>
                <w:color w:val="auto"/>
              </w:rPr>
              <w:t>(824)</w:t>
            </w:r>
          </w:p>
        </w:tc>
        <w:tc>
          <w:tcPr>
            <w:tcW w:w="14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(926)</w:t>
            </w:r>
          </w:p>
        </w:tc>
        <w:tc>
          <w:tcPr>
            <w:tcW w:w="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4140" w:type="dxa"/>
            <w:vAlign w:val="bottom"/>
            <w:gridSpan w:val="4"/>
          </w:tcPr>
          <w:p>
            <w:pPr>
              <w:spacing w:after="0"/>
              <w:rPr>
                <w:sz w:val="20"/>
                <w:szCs w:val="20"/>
                <w:color w:val="auto"/>
              </w:rPr>
            </w:pPr>
            <w:r>
              <w:rPr>
                <w:rFonts w:ascii="Arial" w:cs="Arial" w:eastAsia="Arial" w:hAnsi="Arial"/>
                <w:sz w:val="18"/>
                <w:szCs w:val="18"/>
                <w:color w:val="auto"/>
              </w:rPr>
              <w:t>Securitization trust debt</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21"/>
              <w:spacing w:after="0"/>
              <w:rPr>
                <w:sz w:val="20"/>
                <w:szCs w:val="20"/>
                <w:color w:val="auto"/>
              </w:rPr>
            </w:pPr>
            <w:r>
              <w:rPr>
                <w:rFonts w:ascii="Arial" w:cs="Arial" w:eastAsia="Arial" w:hAnsi="Arial"/>
                <w:sz w:val="18"/>
                <w:szCs w:val="18"/>
                <w:color w:val="auto"/>
              </w:rPr>
              <w:t>(10,889)</w:t>
            </w:r>
          </w:p>
        </w:tc>
        <w:tc>
          <w:tcPr>
            <w:tcW w:w="140" w:type="dxa"/>
            <w:vAlign w:val="bottom"/>
          </w:tcPr>
          <w:p>
            <w:pPr>
              <w:spacing w:after="0"/>
              <w:rPr>
                <w:sz w:val="18"/>
                <w:szCs w:val="18"/>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180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(11,069)</w:t>
            </w:r>
          </w:p>
        </w:tc>
        <w:tc>
          <w:tcPr>
            <w:tcW w:w="0" w:type="dxa"/>
            <w:vAlign w:val="bottom"/>
          </w:tcPr>
          <w:p>
            <w:pPr>
              <w:spacing w:after="0"/>
              <w:rPr>
                <w:sz w:val="1"/>
                <w:szCs w:val="1"/>
                <w:color w:val="auto"/>
              </w:rPr>
            </w:pPr>
          </w:p>
        </w:tc>
      </w:tr>
      <w:tr>
        <w:trPr>
          <w:trHeight w:val="230"/>
        </w:trPr>
        <w:tc>
          <w:tcPr>
            <w:tcW w:w="41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0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201"/>
              <w:spacing w:after="0"/>
              <w:rPr>
                <w:sz w:val="20"/>
                <w:szCs w:val="20"/>
                <w:color w:val="auto"/>
              </w:rPr>
            </w:pPr>
            <w:r>
              <w:rPr>
                <w:rFonts w:ascii="Arial" w:cs="Arial" w:eastAsia="Arial" w:hAnsi="Arial"/>
                <w:sz w:val="18"/>
                <w:szCs w:val="18"/>
                <w:color w:val="auto"/>
              </w:rPr>
              <w:t>300</w:t>
            </w:r>
          </w:p>
        </w:tc>
        <w:tc>
          <w:tcPr>
            <w:tcW w:w="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(13,551)</w:t>
            </w: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(3,357)</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8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0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spacing w:after="0"/>
              <w:rPr>
                <w:sz w:val="19"/>
                <w:szCs w:val="19"/>
                <w:color w:val="auto"/>
              </w:rPr>
            </w:pPr>
          </w:p>
        </w:tc>
        <w:tc>
          <w:tcPr>
            <w:tcW w:w="1120" w:type="dxa"/>
            <w:vAlign w:val="bottom"/>
            <w:tcBorders>
              <w:bottom w:val="single" w:sz="8" w:color="auto"/>
            </w:tcBorders>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200" w:type="dxa"/>
            <w:vAlign w:val="bottom"/>
            <w:tcBorders>
              <w:bottom w:val="single" w:sz="8" w:color="auto"/>
            </w:tcBorders>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4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gridSpan w:val="4"/>
          </w:tcPr>
          <w:p>
            <w:pPr>
              <w:spacing w:after="0"/>
              <w:rPr>
                <w:sz w:val="20"/>
                <w:szCs w:val="20"/>
                <w:color w:val="auto"/>
              </w:rPr>
            </w:pPr>
            <w:r>
              <w:rPr>
                <w:rFonts w:ascii="Arial" w:cs="Arial" w:eastAsia="Arial" w:hAnsi="Arial"/>
                <w:sz w:val="18"/>
                <w:szCs w:val="18"/>
                <w:color w:val="auto"/>
              </w:rPr>
              <w:t>Net interest income/spread</w:t>
            </w: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(9,605</w:t>
            </w:r>
          </w:p>
        </w:tc>
        <w:tc>
          <w:tcPr>
            <w:tcW w:w="360" w:type="dxa"/>
            <w:vAlign w:val="bottom"/>
          </w:tcPr>
          <w:p>
            <w:pPr>
              <w:jc w:val="right"/>
              <w:ind w:right="22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(31,084</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vMerge w:val="restart"/>
          </w:tcPr>
          <w:p>
            <w:pPr>
              <w:jc w:val="right"/>
              <w:ind w:right="39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2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00" w:right="3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8"/>
          <w:szCs w:val="18"/>
          <w:color w:val="auto"/>
        </w:rPr>
        <w:t>The reduction in the annualized yield on our finance receivables for the six months ended June 30, 2021 compared to the prior year period is the result of the lower interest yield on the receivables measured at fair value. The interest yield on receivables measured at fair value is reduced to take account of expected losses and is therefore less than the yield on other finance receivables. The average balance of these receivables was $1,718.1 million for the six months ended June 30, 2021 compared to $1,606.1 million in the prior year period.</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Effective January 1, 2020, the Company adopted </w:t>
      </w:r>
      <w:r>
        <w:rPr>
          <w:rFonts w:ascii="Arial" w:cs="Arial" w:eastAsia="Arial" w:hAnsi="Arial"/>
          <w:sz w:val="17"/>
          <w:szCs w:val="17"/>
          <w:i w:val="1"/>
          <w:iCs w:val="1"/>
          <w:color w:val="auto"/>
        </w:rPr>
        <w:t>Accounting Standards Update 2016-13 - Financial Instruments - Credit Losses: Measurement of 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Losses on Financial Instruments. </w:t>
      </w:r>
      <w:r>
        <w:rPr>
          <w:rFonts w:ascii="Arial" w:cs="Arial" w:eastAsia="Arial" w:hAnsi="Arial"/>
          <w:sz w:val="17"/>
          <w:szCs w:val="17"/>
          <w:color w:val="auto"/>
        </w:rPr>
        <w:t>The amendment introduces a new credit reserving model known as the Current Expected Credit Loss model,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referred to as CECL. Adoption of CECL required the establishment of an allowance for the remaining expected lifetime credit losses on the portion of the Company’s receivable portfolio that was originated prior to January 2018. The Company recorded an addition to its allowance for finance credit losses of $127.0 million at the adoption of CECL in January 2020. In accordance with the rules for adopting CECL, the offset to the addition to the allowance for finance credit losses was a tax affected reduction to retained earnings using the modified retrospective method.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additional provisions for credit losses for the six months ended June 30, 2021. Provision for credit losses was $6.7 million for the six months ended June 30, 2020. The provision represents our estimate of additional forecasted losses that may be incurred on the portfolio of finance receivables resulting from the pandemic. Such losses were not considered in our initial estimate of remaining lifetime losses that we recorded with the adoption of CECL in January 2020.</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such as training programs, internet lead sales, and direct mail products. Sales expense increased by $679,000 to $8.2 million during the six months ended June 30, 2021 and represented 7.6% of total operating expenses. We purchased $491.5 million of new contracts during the six months ended June 30, 2021 compared to $401.9 million in the prior year period. In our second quarter of 2020, we experienced a significant reduction in contract purchases due to the pandemic and partial shutdown of the economy. Since then, our contract purchase volumes have gradually increased to pre-pandemic levels.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Occupancy expenses was $3.9 million for the six months ending June 30, 2021 compared to $3.5 million in the prior year period.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expenses decreased to $845,000 compared to $906,000 in the previous year and represented 0.8% of total operating expenses.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six months ended June 30, 2021 we recorded income tax expense of $6.9 million, representing a 32% effective tax rate. For the six months ended June 30, 2020, we recorded a net income tax benefit of $6.0 million. On March 27, 2020, the Coronavirus Aid, Relief and Economic Security (“CARES”) Act was passed into law, providing wide ranging economic relief for individuals and businesses. One component of the CARES Act provides the Company with an opportunity to carry back net operating losses (“NOLs”) arising from 2018, 2019 and 2020 to the prior five tax years. The Company has previously valued its NOLs at the federal corporate income tax rate of 21%. However, the CARES Act provides for NOL carryback claims to be calculated based on a rate of 35%, which was the federal corporate tax rate in effect for the carryback years. The result of the revaluation of NOLs and other tax adjustments is a net tax benefit of $8.8 million. Excluding the tax benefit, income tax expense would have been $2.8 million, representing an effective income tax rate of 36%.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Experience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 Recent effects of the pandemic include higher volumes of payment extensions requested by our customers and, in some states, temporary suspension of our rights to repossess automobiles. The pandemic may have a negative effect on our delinquency and charge off experience in the future, which is not yet reflected in the tables below.</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June 30, 2021</w:t>
            </w:r>
          </w:p>
        </w:tc>
        <w:tc>
          <w:tcPr>
            <w:tcW w:w="26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June 30, 2020</w:t>
            </w:r>
          </w:p>
        </w:tc>
        <w:tc>
          <w:tcPr>
            <w:tcW w:w="2540" w:type="dxa"/>
            <w:vAlign w:val="bottom"/>
            <w:gridSpan w:val="5"/>
          </w:tcPr>
          <w:p>
            <w:pPr>
              <w:ind w:left="50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05"/>
        </w:trPr>
        <w:tc>
          <w:tcPr>
            <w:tcW w:w="3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400"/>
              <w:spacing w:after="0" w:line="205"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Borders>
              <w:top w:val="single" w:sz="8" w:color="auto"/>
            </w:tcBorders>
            <w:gridSpan w:val="2"/>
          </w:tcPr>
          <w:p>
            <w:pPr>
              <w:jc w:val="right"/>
              <w:ind w:right="360"/>
              <w:spacing w:after="0" w:line="205" w:lineRule="exact"/>
              <w:rPr>
                <w:sz w:val="20"/>
                <w:szCs w:val="20"/>
                <w:color w:val="auto"/>
              </w:rPr>
            </w:pPr>
            <w:r>
              <w:rPr>
                <w:rFonts w:ascii="Arial" w:cs="Arial" w:eastAsia="Arial" w:hAnsi="Arial"/>
                <w:sz w:val="18"/>
                <w:szCs w:val="18"/>
                <w:b w:val="1"/>
                <w:bCs w:val="1"/>
                <w:color w:val="auto"/>
              </w:rPr>
              <w:t>Number of</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top w:val="single" w:sz="8" w:color="auto"/>
            </w:tcBorders>
            <w:gridSpan w:val="2"/>
          </w:tcPr>
          <w:p>
            <w:pPr>
              <w:jc w:val="right"/>
              <w:ind w:right="340"/>
              <w:spacing w:after="0" w:line="205" w:lineRule="exact"/>
              <w:rPr>
                <w:sz w:val="20"/>
                <w:szCs w:val="20"/>
                <w:color w:val="auto"/>
              </w:rPr>
            </w:pPr>
            <w:r>
              <w:rPr>
                <w:rFonts w:ascii="Arial" w:cs="Arial" w:eastAsia="Arial" w:hAnsi="Arial"/>
                <w:sz w:val="18"/>
                <w:szCs w:val="18"/>
                <w:b w:val="1"/>
                <w:bCs w:val="1"/>
                <w:color w:val="auto"/>
              </w:rPr>
              <w:t>Number of</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95"/>
              </w:rPr>
              <w:t>Contracts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Amount</w:t>
            </w:r>
          </w:p>
        </w:tc>
        <w:tc>
          <w:tcPr>
            <w:tcW w:w="13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Contracts</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w w:val="99"/>
              </w:rPr>
              <w:t>Amount</w:t>
            </w:r>
          </w:p>
        </w:tc>
        <w:tc>
          <w:tcPr>
            <w:tcW w:w="13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Contracts</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0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Gross servicing portfolio (1)</w:t>
            </w:r>
          </w:p>
        </w:tc>
        <w:tc>
          <w:tcPr>
            <w:tcW w:w="12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156,701</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2,115,612</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173,214</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2,326,440</w:t>
            </w:r>
          </w:p>
        </w:tc>
        <w:tc>
          <w:tcPr>
            <w:tcW w:w="13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163,117</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2,174,972</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Period of delinquency (2)</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31-60 days</w:t>
            </w:r>
          </w:p>
        </w:tc>
        <w:tc>
          <w:tcPr>
            <w:tcW w:w="12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8,723</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115,156</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8,730</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118,172</w:t>
            </w:r>
          </w:p>
        </w:tc>
        <w:tc>
          <w:tcPr>
            <w:tcW w:w="13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11,357</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152,868</w:t>
            </w:r>
          </w:p>
        </w:tc>
        <w:tc>
          <w:tcPr>
            <w:tcW w:w="0" w:type="dxa"/>
            <w:vAlign w:val="bottom"/>
          </w:tcPr>
          <w:p>
            <w:pPr>
              <w:spacing w:after="0"/>
              <w:rPr>
                <w:sz w:val="1"/>
                <w:szCs w:val="1"/>
                <w:color w:val="auto"/>
              </w:rPr>
            </w:pPr>
          </w:p>
        </w:tc>
      </w:tr>
      <w:tr>
        <w:trPr>
          <w:trHeight w:val="216"/>
        </w:trPr>
        <w:tc>
          <w:tcPr>
            <w:tcW w:w="3400" w:type="dxa"/>
            <w:vAlign w:val="bottom"/>
            <w:gridSpan w:val="2"/>
          </w:tcPr>
          <w:p>
            <w:pPr>
              <w:ind w:left="180"/>
              <w:spacing w:after="0"/>
              <w:rPr>
                <w:sz w:val="20"/>
                <w:szCs w:val="20"/>
                <w:color w:val="auto"/>
              </w:rPr>
            </w:pPr>
            <w:r>
              <w:rPr>
                <w:rFonts w:ascii="Arial" w:cs="Arial" w:eastAsia="Arial" w:hAnsi="Arial"/>
                <w:sz w:val="18"/>
                <w:szCs w:val="18"/>
                <w:color w:val="auto"/>
              </w:rPr>
              <w:t>61-90 days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2,669</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33,127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3,408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45,445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4,525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59,096</w:t>
            </w:r>
          </w:p>
        </w:tc>
        <w:tc>
          <w:tcPr>
            <w:tcW w:w="0" w:type="dxa"/>
            <w:vAlign w:val="bottom"/>
          </w:tcPr>
          <w:p>
            <w:pPr>
              <w:spacing w:after="0"/>
              <w:rPr>
                <w:sz w:val="1"/>
                <w:szCs w:val="1"/>
                <w:color w:val="auto"/>
              </w:rPr>
            </w:pPr>
          </w:p>
        </w:tc>
      </w:tr>
      <w:tr>
        <w:trPr>
          <w:trHeight w:val="229"/>
        </w:trPr>
        <w:tc>
          <w:tcPr>
            <w:tcW w:w="34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91+ days</w:t>
            </w:r>
          </w:p>
        </w:tc>
        <w:tc>
          <w:tcPr>
            <w:tcW w:w="12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683</w:t>
            </w:r>
          </w:p>
        </w:tc>
        <w:tc>
          <w:tcPr>
            <w:tcW w:w="16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7,101</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1,449</w:t>
            </w:r>
          </w:p>
        </w:tc>
        <w:tc>
          <w:tcPr>
            <w:tcW w:w="16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16,591</w:t>
            </w:r>
          </w:p>
        </w:tc>
        <w:tc>
          <w:tcPr>
            <w:tcW w:w="13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1,290</w:t>
            </w:r>
          </w:p>
        </w:tc>
        <w:tc>
          <w:tcPr>
            <w:tcW w:w="16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14,989</w:t>
            </w:r>
          </w:p>
        </w:tc>
        <w:tc>
          <w:tcPr>
            <w:tcW w:w="0" w:type="dxa"/>
            <w:vAlign w:val="bottom"/>
          </w:tcPr>
          <w:p>
            <w:pPr>
              <w:spacing w:after="0"/>
              <w:rPr>
                <w:sz w:val="1"/>
                <w:szCs w:val="1"/>
                <w:color w:val="auto"/>
              </w:rPr>
            </w:pPr>
          </w:p>
        </w:tc>
      </w:tr>
      <w:tr>
        <w:trPr>
          <w:trHeight w:val="210"/>
        </w:trPr>
        <w:tc>
          <w:tcPr>
            <w:tcW w:w="3400" w:type="dxa"/>
            <w:vAlign w:val="bottom"/>
            <w:gridSpan w:val="2"/>
          </w:tcPr>
          <w:p>
            <w:pPr>
              <w:spacing w:after="0"/>
              <w:rPr>
                <w:sz w:val="20"/>
                <w:szCs w:val="20"/>
                <w:color w:val="auto"/>
              </w:rPr>
            </w:pPr>
            <w:r>
              <w:rPr>
                <w:rFonts w:ascii="Arial" w:cs="Arial" w:eastAsia="Arial" w:hAnsi="Arial"/>
                <w:sz w:val="18"/>
                <w:szCs w:val="18"/>
                <w:color w:val="auto"/>
              </w:rPr>
              <w:t>Total delinquencies (2)</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12,075</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155,384</w:t>
            </w:r>
          </w:p>
        </w:tc>
        <w:tc>
          <w:tcPr>
            <w:tcW w:w="2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13,587</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180,208</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17,172</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Amount in repossession (3)</w:t>
            </w:r>
          </w:p>
        </w:tc>
        <w:tc>
          <w:tcPr>
            <w:tcW w:w="12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1,796</w:t>
            </w:r>
          </w:p>
        </w:tc>
        <w:tc>
          <w:tcPr>
            <w:tcW w:w="16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19,928</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3,704</w:t>
            </w:r>
          </w:p>
        </w:tc>
        <w:tc>
          <w:tcPr>
            <w:tcW w:w="16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42,953</w:t>
            </w:r>
          </w:p>
        </w:tc>
        <w:tc>
          <w:tcPr>
            <w:tcW w:w="13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2,979</w:t>
            </w:r>
          </w:p>
        </w:tc>
        <w:tc>
          <w:tcPr>
            <w:tcW w:w="16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35,839</w:t>
            </w:r>
          </w:p>
        </w:tc>
        <w:tc>
          <w:tcPr>
            <w:tcW w:w="0" w:type="dxa"/>
            <w:vAlign w:val="bottom"/>
          </w:tcPr>
          <w:p>
            <w:pPr>
              <w:spacing w:after="0"/>
              <w:rPr>
                <w:sz w:val="1"/>
                <w:szCs w:val="1"/>
                <w:color w:val="auto"/>
              </w:rPr>
            </w:pPr>
          </w:p>
        </w:tc>
      </w:tr>
      <w:tr>
        <w:trPr>
          <w:trHeight w:val="182"/>
        </w:trPr>
        <w:tc>
          <w:tcPr>
            <w:tcW w:w="3400" w:type="dxa"/>
            <w:vAlign w:val="bottom"/>
            <w:gridSpan w:val="2"/>
          </w:tcPr>
          <w:p>
            <w:pPr>
              <w:spacing w:after="0" w:line="182" w:lineRule="exact"/>
              <w:rPr>
                <w:sz w:val="20"/>
                <w:szCs w:val="20"/>
                <w:color w:val="auto"/>
              </w:rPr>
            </w:pPr>
            <w:r>
              <w:rPr>
                <w:rFonts w:ascii="Arial" w:cs="Arial" w:eastAsia="Arial" w:hAnsi="Arial"/>
                <w:sz w:val="18"/>
                <w:szCs w:val="18"/>
                <w:color w:val="auto"/>
              </w:rPr>
              <w:t>Total delinquencies and amount in</w:t>
            </w: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3400" w:type="dxa"/>
            <w:vAlign w:val="bottom"/>
            <w:gridSpan w:val="2"/>
          </w:tcPr>
          <w:p>
            <w:pPr>
              <w:ind w:left="180"/>
              <w:spacing w:after="0"/>
              <w:rPr>
                <w:sz w:val="20"/>
                <w:szCs w:val="20"/>
                <w:color w:val="auto"/>
              </w:rPr>
            </w:pPr>
            <w:r>
              <w:rPr>
                <w:rFonts w:ascii="Arial" w:cs="Arial" w:eastAsia="Arial" w:hAnsi="Arial"/>
                <w:sz w:val="18"/>
                <w:szCs w:val="18"/>
                <w:color w:val="auto"/>
              </w:rPr>
              <w:t>repossession (2)</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13,871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175,312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17,291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223,161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20,151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262,792</w:t>
            </w:r>
          </w:p>
        </w:tc>
        <w:tc>
          <w:tcPr>
            <w:tcW w:w="0" w:type="dxa"/>
            <w:vAlign w:val="bottom"/>
          </w:tcPr>
          <w:p>
            <w:pPr>
              <w:spacing w:after="0"/>
              <w:rPr>
                <w:sz w:val="1"/>
                <w:szCs w:val="1"/>
                <w:color w:val="auto"/>
              </w:rPr>
            </w:pPr>
          </w:p>
        </w:tc>
      </w:tr>
      <w:tr>
        <w:trPr>
          <w:trHeight w:val="197"/>
        </w:trPr>
        <w:tc>
          <w:tcPr>
            <w:tcW w:w="328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1000" w:type="dxa"/>
            <w:vAlign w:val="bottom"/>
            <w:tcBorders>
              <w:top w:val="single" w:sz="8" w:color="auto"/>
            </w:tcBorders>
            <w:shd w:val="clear" w:color="auto" w:fill="EEEEEE"/>
          </w:tcPr>
          <w:p>
            <w:pPr>
              <w:spacing w:after="0"/>
              <w:rPr>
                <w:sz w:val="17"/>
                <w:szCs w:val="17"/>
                <w:color w:val="auto"/>
              </w:rPr>
            </w:pPr>
          </w:p>
        </w:tc>
        <w:tc>
          <w:tcPr>
            <w:tcW w:w="26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960" w:type="dxa"/>
            <w:vAlign w:val="bottom"/>
            <w:tcBorders>
              <w:top w:val="single" w:sz="8" w:color="auto"/>
            </w:tcBorders>
            <w:shd w:val="clear" w:color="auto" w:fill="EEEEEE"/>
          </w:tcPr>
          <w:p>
            <w:pPr>
              <w:spacing w:after="0"/>
              <w:rPr>
                <w:sz w:val="17"/>
                <w:szCs w:val="17"/>
                <w:color w:val="auto"/>
              </w:rPr>
            </w:pPr>
          </w:p>
        </w:tc>
        <w:tc>
          <w:tcPr>
            <w:tcW w:w="240" w:type="dxa"/>
            <w:vAlign w:val="bottom"/>
            <w:tcBorders>
              <w:top w:val="single" w:sz="8" w:color="EEEEEE"/>
            </w:tcBorders>
            <w:shd w:val="clear" w:color="auto" w:fill="EEEEEE"/>
          </w:tcPr>
          <w:p>
            <w:pPr>
              <w:spacing w:after="0"/>
              <w:rPr>
                <w:sz w:val="17"/>
                <w:szCs w:val="17"/>
                <w:color w:val="auto"/>
              </w:rPr>
            </w:pPr>
          </w:p>
        </w:tc>
        <w:tc>
          <w:tcPr>
            <w:tcW w:w="114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94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110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96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580" w:right="339" w:bottom="1440" w:gutter="0" w:footer="0" w:header="0"/>
        </w:sectPr>
      </w:pPr>
    </w:p>
    <w:p>
      <w:pPr>
        <w:ind w:left="180" w:right="240" w:hanging="179"/>
        <w:spacing w:after="0" w:line="260" w:lineRule="auto"/>
        <w:rPr>
          <w:sz w:val="20"/>
          <w:szCs w:val="20"/>
          <w:color w:val="auto"/>
        </w:rPr>
      </w:pPr>
      <w:r>
        <w:rPr>
          <w:rFonts w:ascii="Arial" w:cs="Arial" w:eastAsia="Arial" w:hAnsi="Arial"/>
          <w:sz w:val="18"/>
          <w:szCs w:val="18"/>
          <w:color w:val="auto"/>
        </w:rPr>
        <w:t>Delinquencies as a percentage of gross servicing portfolio</w:t>
      </w:r>
    </w:p>
    <w:p>
      <w:pPr>
        <w:spacing w:after="0" w:line="226" w:lineRule="exact"/>
        <w:rPr>
          <w:sz w:val="20"/>
          <w:szCs w:val="20"/>
          <w:color w:val="auto"/>
        </w:rPr>
      </w:pPr>
    </w:p>
    <w:p>
      <w:pPr>
        <w:ind w:left="180" w:right="180" w:hanging="179"/>
        <w:spacing w:after="0" w:line="263" w:lineRule="auto"/>
        <w:rPr>
          <w:sz w:val="20"/>
          <w:szCs w:val="20"/>
          <w:color w:val="auto"/>
        </w:rPr>
      </w:pPr>
      <w:r>
        <w:rPr>
          <w:rFonts w:ascii="Arial" w:cs="Arial" w:eastAsia="Arial" w:hAnsi="Arial"/>
          <w:sz w:val="18"/>
          <w:szCs w:val="18"/>
          <w:color w:val="auto"/>
        </w:rPr>
        <w:t>Total delinquencies and amount in repossession as a percentage of gross servicing portfolio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Experience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Contracts with one extension, accruing</w:t>
      </w:r>
    </w:p>
    <w:p>
      <w:pPr>
        <w:spacing w:after="0" w:line="47" w:lineRule="exact"/>
        <w:rPr>
          <w:sz w:val="20"/>
          <w:szCs w:val="20"/>
          <w:color w:val="auto"/>
        </w:rPr>
      </w:pPr>
    </w:p>
    <w:p>
      <w:pPr>
        <w:ind w:left="180" w:right="200" w:hanging="179"/>
        <w:spacing w:after="0" w:line="277" w:lineRule="auto"/>
        <w:rPr>
          <w:sz w:val="20"/>
          <w:szCs w:val="20"/>
          <w:color w:val="auto"/>
        </w:rPr>
      </w:pPr>
      <w:r>
        <w:rPr>
          <w:rFonts w:ascii="Arial" w:cs="Arial" w:eastAsia="Arial" w:hAnsi="Arial"/>
          <w:sz w:val="18"/>
          <w:szCs w:val="18"/>
          <w:color w:val="auto"/>
        </w:rPr>
        <w:t>Contracts with two or more extensions, accruing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Contracts with one extension, non-accrual</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180" w:right="200" w:hanging="179"/>
        <w:spacing w:after="0" w:line="260" w:lineRule="auto"/>
        <w:rPr>
          <w:sz w:val="20"/>
          <w:szCs w:val="20"/>
          <w:color w:val="auto"/>
        </w:rPr>
      </w:pPr>
      <w:r>
        <w:rPr>
          <w:rFonts w:ascii="Arial" w:cs="Arial" w:eastAsia="Arial" w:hAnsi="Arial"/>
          <w:sz w:val="18"/>
          <w:szCs w:val="18"/>
          <w:color w:val="auto"/>
        </w:rPr>
        <w:t>Contracts with two or more extensions, non-accrual (4)</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904"/>
        </w:trPr>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689"/>
        </w:trPr>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25,292</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340,500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31,321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450,677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29,709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417,347</w:t>
            </w:r>
          </w:p>
        </w:tc>
      </w:tr>
      <w:tr>
        <w:trPr>
          <w:trHeight w:val="445"/>
        </w:trPr>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50,977</w:t>
            </w:r>
          </w:p>
        </w:tc>
        <w:tc>
          <w:tcPr>
            <w:tcW w:w="3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582,353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145,831</w:t>
            </w:r>
          </w:p>
        </w:tc>
        <w:tc>
          <w:tcPr>
            <w:tcW w:w="2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1,845,323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55,885</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665,572</w:t>
            </w:r>
          </w:p>
        </w:tc>
      </w:tr>
      <w:tr>
        <w:trPr>
          <w:trHeight w:val="224"/>
        </w:trPr>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76,269</w:t>
            </w: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922,853</w:t>
            </w: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177,152</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2,296,000</w:t>
            </w:r>
          </w:p>
        </w:tc>
        <w:tc>
          <w:tcPr>
            <w:tcW w:w="22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85,594</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1,082,919</w:t>
            </w:r>
          </w:p>
        </w:tc>
      </w:tr>
      <w:tr>
        <w:trPr>
          <w:trHeight w:val="634"/>
        </w:trPr>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504</w:t>
            </w:r>
          </w:p>
        </w:tc>
        <w:tc>
          <w:tcPr>
            <w:tcW w:w="3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5,494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839</w:t>
            </w:r>
          </w:p>
        </w:tc>
        <w:tc>
          <w:tcPr>
            <w:tcW w:w="2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10,205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915</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12,408</w:t>
            </w:r>
          </w:p>
        </w:tc>
      </w:tr>
      <w:tr>
        <w:trPr>
          <w:trHeight w:val="443"/>
        </w:trPr>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1,161</w:t>
            </w:r>
          </w:p>
        </w:tc>
        <w:tc>
          <w:tcPr>
            <w:tcW w:w="3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11,973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3,243</w:t>
            </w:r>
          </w:p>
        </w:tc>
        <w:tc>
          <w:tcPr>
            <w:tcW w:w="2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36,458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2,502</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-2132330</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-1558290</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-1283970</wp:posOffset>
            </wp:positionV>
            <wp:extent cx="713232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-838200</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-554990</wp:posOffset>
            </wp:positionV>
            <wp:extent cx="7132320" cy="274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3040" w:space="360"/>
            <w:col w:w="7840"/>
          </w:cols>
          <w:pgMar w:left="320" w:top="580"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400" w:type="dxa"/>
            <w:vAlign w:val="bottom"/>
            <w:shd w:val="clear" w:color="auto" w:fill="EEEEEE"/>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00" w:type="dxa"/>
            <w:vAlign w:val="bottom"/>
            <w:shd w:val="clear" w:color="auto" w:fill="EEEEEE"/>
          </w:tcPr>
          <w:p>
            <w:pPr>
              <w:spacing w:after="0"/>
              <w:rPr>
                <w:sz w:val="16"/>
                <w:szCs w:val="16"/>
                <w:color w:val="auto"/>
              </w:rPr>
            </w:pPr>
          </w:p>
        </w:tc>
        <w:tc>
          <w:tcPr>
            <w:tcW w:w="1260" w:type="dxa"/>
            <w:vAlign w:val="bottom"/>
            <w:gridSpan w:val="2"/>
            <w:shd w:val="clear" w:color="auto" w:fill="EEEEEE"/>
          </w:tcPr>
          <w:p>
            <w:pPr>
              <w:jc w:val="right"/>
              <w:ind w:right="260"/>
              <w:spacing w:after="0" w:line="192" w:lineRule="exact"/>
              <w:rPr>
                <w:sz w:val="20"/>
                <w:szCs w:val="20"/>
                <w:color w:val="auto"/>
              </w:rPr>
            </w:pPr>
            <w:r>
              <w:rPr>
                <w:rFonts w:ascii="Arial" w:cs="Arial" w:eastAsia="Arial" w:hAnsi="Arial"/>
                <w:sz w:val="18"/>
                <w:szCs w:val="18"/>
                <w:color w:val="auto"/>
              </w:rPr>
              <w:t>1,665</w:t>
            </w:r>
          </w:p>
        </w:tc>
        <w:tc>
          <w:tcPr>
            <w:tcW w:w="320" w:type="dxa"/>
            <w:vAlign w:val="bottom"/>
            <w:shd w:val="clear" w:color="auto" w:fill="EEEEEE"/>
          </w:tcPr>
          <w:p>
            <w:pPr>
              <w:spacing w:after="0"/>
              <w:rPr>
                <w:sz w:val="16"/>
                <w:szCs w:val="16"/>
                <w:color w:val="auto"/>
              </w:rPr>
            </w:pPr>
          </w:p>
        </w:tc>
        <w:tc>
          <w:tcPr>
            <w:tcW w:w="1040" w:type="dxa"/>
            <w:vAlign w:val="bottom"/>
            <w:gridSpan w:val="2"/>
            <w:shd w:val="clear" w:color="auto" w:fill="EEEEEE"/>
          </w:tcPr>
          <w:p>
            <w:pPr>
              <w:jc w:val="right"/>
              <w:ind w:right="240"/>
              <w:spacing w:after="0" w:line="192" w:lineRule="exact"/>
              <w:rPr>
                <w:sz w:val="20"/>
                <w:szCs w:val="20"/>
                <w:color w:val="auto"/>
              </w:rPr>
            </w:pPr>
            <w:r>
              <w:rPr>
                <w:rFonts w:ascii="Arial" w:cs="Arial" w:eastAsia="Arial" w:hAnsi="Arial"/>
                <w:sz w:val="18"/>
                <w:szCs w:val="18"/>
                <w:color w:val="auto"/>
              </w:rPr>
              <w:t>17,467</w:t>
            </w:r>
          </w:p>
        </w:tc>
        <w:tc>
          <w:tcPr>
            <w:tcW w:w="1360" w:type="dxa"/>
            <w:vAlign w:val="bottom"/>
            <w:gridSpan w:val="2"/>
            <w:shd w:val="clear" w:color="auto" w:fill="EEEEEE"/>
          </w:tcPr>
          <w:p>
            <w:pPr>
              <w:jc w:val="right"/>
              <w:ind w:right="220"/>
              <w:spacing w:after="0" w:line="192" w:lineRule="exact"/>
              <w:rPr>
                <w:sz w:val="20"/>
                <w:szCs w:val="20"/>
                <w:color w:val="auto"/>
              </w:rPr>
            </w:pPr>
            <w:r>
              <w:rPr>
                <w:rFonts w:ascii="Arial" w:cs="Arial" w:eastAsia="Arial" w:hAnsi="Arial"/>
                <w:sz w:val="18"/>
                <w:szCs w:val="18"/>
                <w:color w:val="auto"/>
              </w:rPr>
              <w:t>4,082</w:t>
            </w:r>
          </w:p>
        </w:tc>
        <w:tc>
          <w:tcPr>
            <w:tcW w:w="240" w:type="dxa"/>
            <w:vAlign w:val="bottom"/>
            <w:shd w:val="clear" w:color="auto" w:fill="EEEEEE"/>
          </w:tcPr>
          <w:p>
            <w:pPr>
              <w:spacing w:after="0"/>
              <w:rPr>
                <w:sz w:val="16"/>
                <w:szCs w:val="16"/>
                <w:color w:val="auto"/>
              </w:rPr>
            </w:pPr>
          </w:p>
        </w:tc>
        <w:tc>
          <w:tcPr>
            <w:tcW w:w="1080" w:type="dxa"/>
            <w:vAlign w:val="bottom"/>
            <w:gridSpan w:val="2"/>
            <w:shd w:val="clear" w:color="auto" w:fill="EEEEEE"/>
          </w:tcPr>
          <w:p>
            <w:pPr>
              <w:jc w:val="right"/>
              <w:ind w:right="220"/>
              <w:spacing w:after="0" w:line="192" w:lineRule="exact"/>
              <w:rPr>
                <w:sz w:val="20"/>
                <w:szCs w:val="20"/>
                <w:color w:val="auto"/>
              </w:rPr>
            </w:pPr>
            <w:r>
              <w:rPr>
                <w:rFonts w:ascii="Arial" w:cs="Arial" w:eastAsia="Arial" w:hAnsi="Arial"/>
                <w:sz w:val="18"/>
                <w:szCs w:val="18"/>
                <w:color w:val="auto"/>
              </w:rPr>
              <w:t>46,663</w:t>
            </w:r>
          </w:p>
        </w:tc>
        <w:tc>
          <w:tcPr>
            <w:tcW w:w="1320" w:type="dxa"/>
            <w:vAlign w:val="bottom"/>
            <w:gridSpan w:val="2"/>
            <w:shd w:val="clear" w:color="auto" w:fill="EEEEEE"/>
          </w:tcPr>
          <w:p>
            <w:pPr>
              <w:jc w:val="right"/>
              <w:ind w:right="220"/>
              <w:spacing w:after="0" w:line="192" w:lineRule="exact"/>
              <w:rPr>
                <w:sz w:val="20"/>
                <w:szCs w:val="20"/>
                <w:color w:val="auto"/>
              </w:rPr>
            </w:pPr>
            <w:r>
              <w:rPr>
                <w:rFonts w:ascii="Arial" w:cs="Arial" w:eastAsia="Arial" w:hAnsi="Arial"/>
                <w:sz w:val="18"/>
                <w:szCs w:val="18"/>
                <w:color w:val="auto"/>
              </w:rPr>
              <w:t>3,417</w:t>
            </w:r>
          </w:p>
        </w:tc>
        <w:tc>
          <w:tcPr>
            <w:tcW w:w="240" w:type="dxa"/>
            <w:vAlign w:val="bottom"/>
            <w:shd w:val="clear" w:color="auto" w:fill="EEEEEE"/>
          </w:tcPr>
          <w:p>
            <w:pPr>
              <w:spacing w:after="0"/>
              <w:rPr>
                <w:sz w:val="16"/>
                <w:szCs w:val="16"/>
                <w:color w:val="auto"/>
              </w:rPr>
            </w:pPr>
          </w:p>
        </w:tc>
        <w:tc>
          <w:tcPr>
            <w:tcW w:w="980" w:type="dxa"/>
            <w:vAlign w:val="bottom"/>
            <w:gridSpan w:val="2"/>
            <w:shd w:val="clear" w:color="auto" w:fill="EEEEEE"/>
          </w:tcPr>
          <w:p>
            <w:pPr>
              <w:jc w:val="right"/>
              <w:ind w:right="100"/>
              <w:spacing w:after="0" w:line="192" w:lineRule="exact"/>
              <w:rPr>
                <w:sz w:val="20"/>
                <w:szCs w:val="20"/>
                <w:color w:val="auto"/>
              </w:rPr>
            </w:pPr>
            <w:r>
              <w:rPr>
                <w:rFonts w:ascii="Arial" w:cs="Arial" w:eastAsia="Arial" w:hAnsi="Arial"/>
                <w:sz w:val="18"/>
                <w:szCs w:val="18"/>
                <w:color w:val="auto"/>
              </w:rPr>
              <w:t>40,597</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EEEEEE"/>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6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contracts with extensions</w:t>
            </w:r>
          </w:p>
        </w:tc>
        <w:tc>
          <w:tcPr>
            <w:tcW w:w="10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77,934</w:t>
            </w:r>
          </w:p>
        </w:tc>
        <w:tc>
          <w:tcPr>
            <w:tcW w:w="26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940,320</w:t>
            </w:r>
          </w:p>
        </w:tc>
        <w:tc>
          <w:tcPr>
            <w:tcW w:w="24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181,234</w:t>
            </w:r>
          </w:p>
        </w:tc>
        <w:tc>
          <w:tcPr>
            <w:tcW w:w="22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2,342,663</w:t>
            </w:r>
          </w:p>
        </w:tc>
        <w:tc>
          <w:tcPr>
            <w:tcW w:w="220" w:type="dxa"/>
            <w:vAlign w:val="bottom"/>
            <w:tcBorders>
              <w:bottom w:val="single" w:sz="8" w:color="EEEEEE"/>
            </w:tcBorders>
            <w:shd w:val="clear" w:color="auto" w:fill="EEEEEE"/>
          </w:tcPr>
          <w:p>
            <w:pPr>
              <w:spacing w:after="0"/>
              <w:rPr>
                <w:sz w:val="19"/>
                <w:szCs w:val="19"/>
                <w:color w:val="auto"/>
              </w:rPr>
            </w:pPr>
          </w:p>
        </w:tc>
        <w:tc>
          <w:tcPr>
            <w:tcW w:w="11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89,011</w:t>
            </w:r>
          </w:p>
        </w:tc>
        <w:tc>
          <w:tcPr>
            <w:tcW w:w="22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1,123,516</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8"/>
                <w:szCs w:val="18"/>
                <w:b w:val="1"/>
                <w:bCs w:val="1"/>
                <w:color w:val="auto"/>
                <w:w w:val="93"/>
              </w:rPr>
              <w:t>____________________________________</w:t>
            </w: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54" w:lineRule="auto"/>
        <w:tabs>
          <w:tab w:leader="none" w:pos="27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spacing w:after="0" w:line="2" w:lineRule="exact"/>
        <w:rPr>
          <w:rFonts w:ascii="Arial" w:cs="Arial" w:eastAsia="Arial" w:hAnsi="Arial"/>
          <w:sz w:val="18"/>
          <w:szCs w:val="18"/>
          <w:i w:val="1"/>
          <w:iCs w:val="1"/>
          <w:color w:val="auto"/>
        </w:rPr>
      </w:pPr>
    </w:p>
    <w:p>
      <w:pPr>
        <w:jc w:val="both"/>
        <w:ind w:firstLine="8"/>
        <w:spacing w:after="0" w:line="250" w:lineRule="auto"/>
        <w:tabs>
          <w:tab w:leader="none" w:pos="26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Arial" w:cs="Arial" w:eastAsia="Arial" w:hAnsi="Arial"/>
          <w:sz w:val="18"/>
          <w:szCs w:val="18"/>
          <w:i w:val="1"/>
          <w:iCs w:val="1"/>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financed vehicles that have been repossessed but not yet liquidated.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and accounts past due more than 90 days are on non-accrual.</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Net Charge-Off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gridSpan w:val="4"/>
          </w:tcPr>
          <w:p>
            <w:pPr>
              <w:jc w:val="right"/>
              <w:spacing w:after="0"/>
              <w:rPr>
                <w:sz w:val="20"/>
                <w:szCs w:val="20"/>
                <w:color w:val="auto"/>
              </w:rPr>
            </w:pPr>
            <w:r>
              <w:rPr>
                <w:rFonts w:ascii="Arial" w:cs="Arial" w:eastAsia="Arial" w:hAnsi="Arial"/>
                <w:sz w:val="18"/>
                <w:szCs w:val="18"/>
                <w:b w:val="1"/>
                <w:bCs w:val="1"/>
                <w:color w:val="auto"/>
              </w:rPr>
              <w:t>Finance Receivables Portfolio</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19"/>
                <w:szCs w:val="19"/>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2"/>
              </w:rPr>
              <w:t>(Dollars in thousands)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6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371,718</w:t>
            </w:r>
          </w:p>
        </w:tc>
        <w:tc>
          <w:tcPr>
            <w:tcW w:w="52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732,325</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684,259</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w w:val="97"/>
              </w:rPr>
              <w:t>Annualized net charge-offs as a percentage of average servicing portfolio (2)</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0"/>
                <w:szCs w:val="20"/>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r>
      <w:tr>
        <w:trPr>
          <w:trHeight w:val="615"/>
        </w:trPr>
        <w:tc>
          <w:tcPr>
            <w:tcW w:w="5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0"/>
              </w:rPr>
              <w:t>Fair Value Receivables Portfolio</w:t>
            </w:r>
          </w:p>
        </w:tc>
      </w:tr>
      <w:tr>
        <w:trPr>
          <w:trHeight w:val="230"/>
        </w:trPr>
        <w:tc>
          <w:tcPr>
            <w:tcW w:w="5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June 30,</w:t>
            </w:r>
          </w:p>
        </w:tc>
        <w:tc>
          <w:tcPr>
            <w:tcW w:w="520" w:type="dxa"/>
            <w:vAlign w:val="bottom"/>
          </w:tcPr>
          <w:p>
            <w:pPr>
              <w:spacing w:after="0"/>
              <w:rPr>
                <w:sz w:val="19"/>
                <w:szCs w:val="19"/>
                <w:color w:val="auto"/>
              </w:rPr>
            </w:pPr>
          </w:p>
        </w:tc>
        <w:tc>
          <w:tcPr>
            <w:tcW w:w="1420" w:type="dxa"/>
            <w:vAlign w:val="bottom"/>
          </w:tcPr>
          <w:p>
            <w:pPr>
              <w:jc w:val="center"/>
              <w:ind w:right="33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Pr>
          <w:p>
            <w:pPr>
              <w:spacing w:after="0"/>
              <w:rPr>
                <w:sz w:val="19"/>
                <w:szCs w:val="19"/>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5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6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1,748,991</w:t>
            </w:r>
          </w:p>
        </w:tc>
        <w:tc>
          <w:tcPr>
            <w:tcW w:w="52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1,631,708</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1,631,491</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w w:val="97"/>
              </w:rPr>
              <w:t>Annualized net charge-offs as a percentage of average servicing portfolio (2)</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20"/>
                <w:szCs w:val="20"/>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615"/>
        </w:trPr>
        <w:tc>
          <w:tcPr>
            <w:tcW w:w="5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Total Managed Portfolio</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5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June 30,</w:t>
            </w:r>
          </w:p>
        </w:tc>
        <w:tc>
          <w:tcPr>
            <w:tcW w:w="520" w:type="dxa"/>
            <w:vAlign w:val="bottom"/>
          </w:tcPr>
          <w:p>
            <w:pPr>
              <w:spacing w:after="0"/>
              <w:rPr>
                <w:sz w:val="19"/>
                <w:szCs w:val="19"/>
                <w:color w:val="auto"/>
              </w:rPr>
            </w:pPr>
          </w:p>
        </w:tc>
        <w:tc>
          <w:tcPr>
            <w:tcW w:w="1420" w:type="dxa"/>
            <w:vAlign w:val="bottom"/>
          </w:tcPr>
          <w:p>
            <w:pPr>
              <w:jc w:val="center"/>
              <w:ind w:right="33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Pr>
          <w:p>
            <w:pPr>
              <w:spacing w:after="0"/>
              <w:rPr>
                <w:sz w:val="19"/>
                <w:szCs w:val="19"/>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5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6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2,118,673</w:t>
            </w:r>
          </w:p>
        </w:tc>
        <w:tc>
          <w:tcPr>
            <w:tcW w:w="52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2,364,033</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2,315,750</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w w:val="97"/>
              </w:rPr>
              <w:t>Annualized net charge-offs as a percentage of average servicing portfolio (2)</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520" w:type="dxa"/>
            <w:vAlign w:val="bottom"/>
          </w:tcPr>
          <w:p>
            <w:pPr>
              <w:spacing w:after="0"/>
              <w:rPr>
                <w:sz w:val="20"/>
                <w:szCs w:val="20"/>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_________________________</w:t>
      </w:r>
    </w:p>
    <w:p>
      <w:pPr>
        <w:spacing w:after="0" w:line="225" w:lineRule="exact"/>
        <w:rPr>
          <w:sz w:val="20"/>
          <w:szCs w:val="20"/>
          <w:color w:val="auto"/>
        </w:rPr>
      </w:pPr>
    </w:p>
    <w:p>
      <w:pPr>
        <w:ind w:firstLine="8"/>
        <w:spacing w:after="0" w:line="258" w:lineRule="auto"/>
        <w:tabs>
          <w:tab w:leader="none" w:pos="271"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net of unearned income on pre-computed automobile contracts.</w:t>
      </w:r>
    </w:p>
    <w:p>
      <w:pPr>
        <w:spacing w:after="0" w:line="1" w:lineRule="exact"/>
        <w:rPr>
          <w:rFonts w:ascii="Arial" w:cs="Arial" w:eastAsia="Arial" w:hAnsi="Arial"/>
          <w:sz w:val="18"/>
          <w:szCs w:val="18"/>
          <w:i w:val="1"/>
          <w:iCs w:val="1"/>
          <w:color w:val="auto"/>
        </w:rPr>
      </w:pPr>
    </w:p>
    <w:p>
      <w:pPr>
        <w:jc w:val="both"/>
        <w:ind w:firstLine="8"/>
        <w:spacing w:after="0" w:line="273" w:lineRule="auto"/>
        <w:tabs>
          <w:tab w:leader="none" w:pos="257"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June 30, 2021 and June 30, 2020 percentages represent three months ended June 30, 2021 and June 30, 2020 annualized. December 31, 2021 represents 12 months ended December 31,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certain circumstances we will grant obligors one-month payment extensions to assist them with temporary cash flow problems. In general, we are bound by our securitization agreements to refrain from agreeing to more than two such extensions in any 12-month period and to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 Because financial regulatory authorities have encouraged obligors to expect payment deferrals as a response to the pandemic, we may seek amendments or waivers of our securitization agreements to relax the limits on extensions; however, we have not sought such changes in terms as of the date of this report, and if we do seek such changes, there can be no assurance that the other parties to our securitization agreements will agree to such amendments or waivers, nor as to the effect on credit performance that may result if such amendments or waivers are agreed to.</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jc w:val="both"/>
        <w:spacing w:after="0" w:line="272" w:lineRule="auto"/>
        <w:rPr>
          <w:sz w:val="20"/>
          <w:szCs w:val="20"/>
          <w:color w:val="auto"/>
        </w:rPr>
      </w:pPr>
      <w:r>
        <w:rPr>
          <w:rFonts w:ascii="Arial" w:cs="Arial" w:eastAsia="Arial" w:hAnsi="Arial"/>
          <w:sz w:val="17"/>
          <w:szCs w:val="17"/>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so that the obligor might prioritize us over other creditors on future payments. Our servicing staff are trained to identify when a past due obligor is facing a temporary problem that may be resolved with an extension. In some cases, the extension will be granted in conjunction with our receiving all or a portion of a past due payment from the obligor, thereby indicating an additional monetary and psychological commitment to the contract on the obligor’s part.</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w:t>
      </w:r>
    </w:p>
    <w:p>
      <w:pPr>
        <w:jc w:val="both"/>
        <w:ind w:firstLine="8"/>
        <w:spacing w:after="0" w:line="270" w:lineRule="auto"/>
        <w:tabs>
          <w:tab w:leader="none" w:pos="256" w:val="left"/>
        </w:tabs>
        <w:numPr>
          <w:ilvl w:val="0"/>
          <w:numId w:val="17"/>
        </w:numPr>
        <w:rPr>
          <w:rFonts w:ascii="Arial" w:cs="Arial" w:eastAsia="Arial" w:hAnsi="Arial"/>
          <w:sz w:val="17"/>
          <w:szCs w:val="17"/>
          <w:color w:val="auto"/>
        </w:rPr>
      </w:pPr>
      <w:r>
        <w:rPr>
          <w:rFonts w:ascii="Arial" w:cs="Arial" w:eastAsia="Arial" w:hAnsi="Arial"/>
          <w:sz w:val="17"/>
          <w:szCs w:val="17"/>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(4) the obligor’s willingness to communicate and cooperate on resolving the delinquency; and (5) a numeric score from our internal risk assessment system that indicating the likelihood that the extension will prove beneficial. If the collector believes the obligor is a good candidate for an extension, an approval is obtained from a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a prudent extension program is an integral component to mitigating losses in our portfolio of sub-prime automobile receivables. The table below summarizes the status, as of June 30, 2021, for accounts that received extensions from 2008 through 2019 (2020 extension data are not included at this time due to insufficient passage of time for meaningful evaluation of results):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Charged Off</w:t>
            </w: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 Charged</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Charged Off</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 Charged</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Avg Months</w:t>
            </w:r>
          </w:p>
        </w:tc>
      </w:t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Active or Paid</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 Active or</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&gt; 6 Months</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Off &gt; 6</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&lt;= 6 Months</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Off &lt;= 6</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to Charge Off</w:t>
            </w:r>
          </w:p>
        </w:tc>
      </w:tr>
      <w:tr>
        <w:trPr>
          <w:trHeight w:val="216"/>
        </w:trPr>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Period of</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 Extensions</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Off at June 30,</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Paid Off at</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After</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Months After</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After</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Months After</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Post</w:t>
            </w:r>
          </w:p>
        </w:tc>
      </w:tr>
      <w:tr>
        <w:trPr>
          <w:trHeight w:val="230"/>
        </w:trPr>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Extension</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Granted</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2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June 30, 2021</w:t>
            </w: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Extension</w:t>
            </w: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Extension</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Extension</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Extension</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Extension</w:t>
            </w:r>
          </w:p>
        </w:tc>
      </w:tr>
      <w:tr>
        <w:trPr>
          <w:trHeight w:val="209"/>
        </w:trPr>
        <w:tc>
          <w:tcPr>
            <w:tcW w:w="10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2008</w:t>
            </w:r>
          </w:p>
        </w:tc>
        <w:tc>
          <w:tcPr>
            <w:tcW w:w="2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35,588</w:t>
            </w:r>
          </w:p>
        </w:tc>
        <w:tc>
          <w:tcPr>
            <w:tcW w:w="24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ind w:left="640"/>
              <w:spacing w:after="0"/>
              <w:rPr>
                <w:sz w:val="20"/>
                <w:szCs w:val="20"/>
                <w:color w:val="auto"/>
              </w:rPr>
            </w:pPr>
            <w:r>
              <w:rPr>
                <w:rFonts w:ascii="Arial" w:cs="Arial" w:eastAsia="Arial" w:hAnsi="Arial"/>
                <w:sz w:val="18"/>
                <w:szCs w:val="18"/>
                <w:color w:val="auto"/>
                <w:w w:val="83"/>
              </w:rPr>
              <w:t>10,710</w:t>
            </w:r>
          </w:p>
        </w:tc>
        <w:tc>
          <w:tcPr>
            <w:tcW w:w="24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20,059</w:t>
            </w:r>
          </w:p>
        </w:tc>
        <w:tc>
          <w:tcPr>
            <w:tcW w:w="22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56.4%</w:t>
            </w:r>
          </w:p>
        </w:tc>
        <w:tc>
          <w:tcPr>
            <w:tcW w:w="22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4,819</w:t>
            </w:r>
          </w:p>
        </w:tc>
        <w:tc>
          <w:tcPr>
            <w:tcW w:w="2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2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32,226</w:t>
            </w:r>
          </w:p>
        </w:tc>
        <w:tc>
          <w:tcPr>
            <w:tcW w:w="1360" w:type="dxa"/>
            <w:vAlign w:val="bottom"/>
            <w:gridSpan w:val="2"/>
          </w:tcPr>
          <w:p>
            <w:pPr>
              <w:ind w:left="640"/>
              <w:spacing w:after="0"/>
              <w:rPr>
                <w:sz w:val="20"/>
                <w:szCs w:val="20"/>
                <w:color w:val="auto"/>
              </w:rPr>
            </w:pPr>
            <w:r>
              <w:rPr>
                <w:rFonts w:ascii="Arial" w:cs="Arial" w:eastAsia="Arial" w:hAnsi="Arial"/>
                <w:sz w:val="18"/>
                <w:szCs w:val="18"/>
                <w:color w:val="auto"/>
              </w:rPr>
              <w:t>10,274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31.9%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16,170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50.2%</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5,783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2010</w:t>
            </w:r>
          </w:p>
        </w:tc>
        <w:tc>
          <w:tcPr>
            <w:tcW w:w="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26,167</w:t>
            </w:r>
          </w:p>
        </w:tc>
        <w:tc>
          <w:tcPr>
            <w:tcW w:w="1360" w:type="dxa"/>
            <w:vAlign w:val="bottom"/>
            <w:gridSpan w:val="2"/>
            <w:shd w:val="clear" w:color="auto" w:fill="EEEEEE"/>
          </w:tcPr>
          <w:p>
            <w:pPr>
              <w:ind w:left="640"/>
              <w:spacing w:after="0"/>
              <w:rPr>
                <w:sz w:val="20"/>
                <w:szCs w:val="20"/>
                <w:color w:val="auto"/>
              </w:rPr>
            </w:pPr>
            <w:r>
              <w:rPr>
                <w:rFonts w:ascii="Arial" w:cs="Arial" w:eastAsia="Arial" w:hAnsi="Arial"/>
                <w:sz w:val="18"/>
                <w:szCs w:val="18"/>
                <w:color w:val="auto"/>
              </w:rPr>
              <w:t>12,165</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46.5%</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12,003</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45.9%</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1,999</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7.6%</w:t>
            </w:r>
          </w:p>
        </w:tc>
        <w:tc>
          <w:tcPr>
            <w:tcW w:w="10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2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18,786</w:t>
            </w:r>
          </w:p>
        </w:tc>
        <w:tc>
          <w:tcPr>
            <w:tcW w:w="1360" w:type="dxa"/>
            <w:vAlign w:val="bottom"/>
            <w:gridSpan w:val="2"/>
          </w:tcPr>
          <w:p>
            <w:pPr>
              <w:ind w:left="640"/>
              <w:spacing w:after="0"/>
              <w:rPr>
                <w:sz w:val="20"/>
                <w:szCs w:val="20"/>
                <w:color w:val="auto"/>
              </w:rPr>
            </w:pPr>
            <w:r>
              <w:rPr>
                <w:rFonts w:ascii="Arial" w:cs="Arial" w:eastAsia="Arial" w:hAnsi="Arial"/>
                <w:sz w:val="18"/>
                <w:szCs w:val="18"/>
                <w:color w:val="auto"/>
              </w:rPr>
              <w:t>10,974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58.4%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6,881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36.6%</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932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2012</w:t>
            </w:r>
          </w:p>
        </w:tc>
        <w:tc>
          <w:tcPr>
            <w:tcW w:w="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18,783</w:t>
            </w:r>
          </w:p>
        </w:tc>
        <w:tc>
          <w:tcPr>
            <w:tcW w:w="1360" w:type="dxa"/>
            <w:vAlign w:val="bottom"/>
            <w:gridSpan w:val="2"/>
            <w:shd w:val="clear" w:color="auto" w:fill="EEEEEE"/>
          </w:tcPr>
          <w:p>
            <w:pPr>
              <w:ind w:left="640"/>
              <w:spacing w:after="0"/>
              <w:rPr>
                <w:sz w:val="20"/>
                <w:szCs w:val="20"/>
                <w:color w:val="auto"/>
              </w:rPr>
            </w:pPr>
            <w:r>
              <w:rPr>
                <w:rFonts w:ascii="Arial" w:cs="Arial" w:eastAsia="Arial" w:hAnsi="Arial"/>
                <w:sz w:val="18"/>
                <w:szCs w:val="18"/>
                <w:color w:val="auto"/>
              </w:rPr>
              <w:t>11,321</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60.3%</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6,666</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35.5%</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796</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4.2%</w:t>
            </w:r>
          </w:p>
        </w:tc>
        <w:tc>
          <w:tcPr>
            <w:tcW w:w="10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23,398</w:t>
            </w:r>
          </w:p>
        </w:tc>
        <w:tc>
          <w:tcPr>
            <w:tcW w:w="1360" w:type="dxa"/>
            <w:vAlign w:val="bottom"/>
            <w:gridSpan w:val="2"/>
          </w:tcPr>
          <w:p>
            <w:pPr>
              <w:ind w:left="640"/>
              <w:spacing w:after="0"/>
              <w:rPr>
                <w:sz w:val="20"/>
                <w:szCs w:val="20"/>
                <w:color w:val="auto"/>
              </w:rPr>
            </w:pPr>
            <w:r>
              <w:rPr>
                <w:rFonts w:ascii="Arial" w:cs="Arial" w:eastAsia="Arial" w:hAnsi="Arial"/>
                <w:sz w:val="18"/>
                <w:szCs w:val="18"/>
                <w:color w:val="auto"/>
              </w:rPr>
              <w:t>11,169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47.7%</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11,253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48.1%</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976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2014</w:t>
            </w:r>
          </w:p>
        </w:tc>
        <w:tc>
          <w:tcPr>
            <w:tcW w:w="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25,773</w:t>
            </w:r>
          </w:p>
        </w:tc>
        <w:tc>
          <w:tcPr>
            <w:tcW w:w="1360" w:type="dxa"/>
            <w:vAlign w:val="bottom"/>
            <w:gridSpan w:val="2"/>
            <w:shd w:val="clear" w:color="auto" w:fill="EEEEEE"/>
          </w:tcPr>
          <w:p>
            <w:pPr>
              <w:ind w:left="640"/>
              <w:spacing w:after="0"/>
              <w:rPr>
                <w:sz w:val="20"/>
                <w:szCs w:val="20"/>
                <w:color w:val="auto"/>
              </w:rPr>
            </w:pPr>
            <w:r>
              <w:rPr>
                <w:rFonts w:ascii="Arial" w:cs="Arial" w:eastAsia="Arial" w:hAnsi="Arial"/>
                <w:sz w:val="18"/>
                <w:szCs w:val="18"/>
                <w:color w:val="auto"/>
              </w:rPr>
              <w:t>10,583</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41.1%</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14,364</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55.7%</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826</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3.2%</w:t>
            </w:r>
          </w:p>
        </w:tc>
        <w:tc>
          <w:tcPr>
            <w:tcW w:w="10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2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53,319</w:t>
            </w:r>
          </w:p>
        </w:tc>
        <w:tc>
          <w:tcPr>
            <w:tcW w:w="1360" w:type="dxa"/>
            <w:vAlign w:val="bottom"/>
            <w:gridSpan w:val="2"/>
          </w:tcPr>
          <w:p>
            <w:pPr>
              <w:ind w:left="640"/>
              <w:spacing w:after="0"/>
              <w:rPr>
                <w:sz w:val="20"/>
                <w:szCs w:val="20"/>
                <w:color w:val="auto"/>
              </w:rPr>
            </w:pPr>
            <w:r>
              <w:rPr>
                <w:rFonts w:ascii="Arial" w:cs="Arial" w:eastAsia="Arial" w:hAnsi="Arial"/>
                <w:sz w:val="18"/>
                <w:szCs w:val="18"/>
                <w:color w:val="auto"/>
              </w:rPr>
              <w:t>22,879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42.9%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29,358</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55.1%</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1,082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2016</w:t>
            </w:r>
          </w:p>
        </w:tc>
        <w:tc>
          <w:tcPr>
            <w:tcW w:w="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80,897</w:t>
            </w:r>
          </w:p>
        </w:tc>
        <w:tc>
          <w:tcPr>
            <w:tcW w:w="1360" w:type="dxa"/>
            <w:vAlign w:val="bottom"/>
            <w:gridSpan w:val="2"/>
            <w:shd w:val="clear" w:color="auto" w:fill="EEEEEE"/>
          </w:tcPr>
          <w:p>
            <w:pPr>
              <w:ind w:left="640"/>
              <w:spacing w:after="0"/>
              <w:rPr>
                <w:sz w:val="20"/>
                <w:szCs w:val="20"/>
                <w:color w:val="auto"/>
              </w:rPr>
            </w:pPr>
            <w:r>
              <w:rPr>
                <w:rFonts w:ascii="Arial" w:cs="Arial" w:eastAsia="Arial" w:hAnsi="Arial"/>
                <w:sz w:val="18"/>
                <w:szCs w:val="18"/>
                <w:color w:val="auto"/>
              </w:rPr>
              <w:t>38,545</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47.6%</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40,419</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50.0%</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1,933</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2.4%</w:t>
            </w:r>
          </w:p>
        </w:tc>
        <w:tc>
          <w:tcPr>
            <w:tcW w:w="10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24</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2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133,881</w:t>
            </w:r>
          </w:p>
        </w:tc>
        <w:tc>
          <w:tcPr>
            <w:tcW w:w="1360" w:type="dxa"/>
            <w:vAlign w:val="bottom"/>
            <w:gridSpan w:val="2"/>
          </w:tcPr>
          <w:p>
            <w:pPr>
              <w:ind w:left="640"/>
              <w:spacing w:after="0"/>
              <w:rPr>
                <w:sz w:val="20"/>
                <w:szCs w:val="20"/>
                <w:color w:val="auto"/>
              </w:rPr>
            </w:pPr>
            <w:r>
              <w:rPr>
                <w:rFonts w:ascii="Arial" w:cs="Arial" w:eastAsia="Arial" w:hAnsi="Arial"/>
                <w:sz w:val="18"/>
                <w:szCs w:val="18"/>
                <w:color w:val="auto"/>
              </w:rPr>
              <w:t>66,030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49.3%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60,891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45.5%</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6,926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2018</w:t>
            </w:r>
          </w:p>
        </w:tc>
        <w:tc>
          <w:tcPr>
            <w:tcW w:w="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121,531</w:t>
            </w:r>
          </w:p>
        </w:tc>
        <w:tc>
          <w:tcPr>
            <w:tcW w:w="1360" w:type="dxa"/>
            <w:vAlign w:val="bottom"/>
            <w:gridSpan w:val="2"/>
            <w:shd w:val="clear" w:color="auto" w:fill="EEEEEE"/>
          </w:tcPr>
          <w:p>
            <w:pPr>
              <w:ind w:left="640"/>
              <w:spacing w:after="0"/>
              <w:rPr>
                <w:sz w:val="20"/>
                <w:szCs w:val="20"/>
                <w:color w:val="auto"/>
              </w:rPr>
            </w:pPr>
            <w:r>
              <w:rPr>
                <w:rFonts w:ascii="Arial" w:cs="Arial" w:eastAsia="Arial" w:hAnsi="Arial"/>
                <w:sz w:val="18"/>
                <w:szCs w:val="18"/>
                <w:color w:val="auto"/>
              </w:rPr>
              <w:t>71,987</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59.2%</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43,537</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35.8%</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6,007</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4.9%</w:t>
            </w:r>
          </w:p>
        </w:tc>
        <w:tc>
          <w:tcPr>
            <w:tcW w:w="10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16</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71,548</w:t>
            </w:r>
          </w:p>
        </w:tc>
        <w:tc>
          <w:tcPr>
            <w:tcW w:w="1360" w:type="dxa"/>
            <w:vAlign w:val="bottom"/>
            <w:gridSpan w:val="2"/>
          </w:tcPr>
          <w:p>
            <w:pPr>
              <w:ind w:left="640"/>
              <w:spacing w:after="0"/>
              <w:rPr>
                <w:sz w:val="20"/>
                <w:szCs w:val="20"/>
                <w:color w:val="auto"/>
              </w:rPr>
            </w:pPr>
            <w:r>
              <w:rPr>
                <w:rFonts w:ascii="Arial" w:cs="Arial" w:eastAsia="Arial" w:hAnsi="Arial"/>
                <w:sz w:val="18"/>
                <w:szCs w:val="18"/>
                <w:color w:val="auto"/>
              </w:rPr>
              <w:t>55,899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78.1%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13,707</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19.2%</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1,942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13</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Table excludes extensions on portfolios serviced for third parties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0" w:name="page41"/>
    <w:bookmarkEnd w:id="40"/>
    <w:p>
      <w:pPr>
        <w:jc w:val="both"/>
        <w:spacing w:after="0" w:line="259" w:lineRule="auto"/>
        <w:rPr>
          <w:sz w:val="20"/>
          <w:szCs w:val="20"/>
          <w:color w:val="auto"/>
        </w:rPr>
      </w:pPr>
      <w:r>
        <w:rPr>
          <w:rFonts w:ascii="Arial" w:cs="Arial" w:eastAsia="Arial" w:hAnsi="Arial"/>
          <w:sz w:val="18"/>
          <w:szCs w:val="18"/>
          <w:color w:val="auto"/>
        </w:rPr>
        <w:t>We view these results as a confirmation of the effectiveness of our extension program. For example, of the accounts granted extensions in 2018, 59.2% were either paid in full or active and performing at June 30, 2021. Each of these successful accounts represent continued payments of interest and principal (including payment in full in many cases), where without the extension we likely would have incurred a substantial loss and no interest revenue after the extension.</w:t>
      </w:r>
    </w:p>
    <w:p>
      <w:pPr>
        <w:spacing w:after="0" w:line="18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For the extension accounts that ultimately charge off, we consider any that charged off more than six months after the extension to be at least partially successful. For example, of the accounts granted extensions in 2012 that subsequently charged off, such charge offs occurred, on average, 18 months after the extension, indicating that even in the cases of an ultimate loss, the obligor serviced the account with additional payments of principal and interest.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about our extensions is provided in the tables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60" w:type="dxa"/>
            <w:vAlign w:val="bottom"/>
            <w:gridSpan w:val="8"/>
          </w:tcPr>
          <w:p>
            <w:pPr>
              <w:jc w:val="right"/>
              <w:ind w:right="760"/>
              <w:spacing w:after="0"/>
              <w:rPr>
                <w:sz w:val="20"/>
                <w:szCs w:val="20"/>
                <w:color w:val="auto"/>
              </w:rPr>
            </w:pPr>
            <w:r>
              <w:rPr>
                <w:rFonts w:ascii="Arial" w:cs="Arial" w:eastAsia="Arial" w:hAnsi="Arial"/>
                <w:sz w:val="18"/>
                <w:szCs w:val="18"/>
                <w:color w:val="auto"/>
              </w:rPr>
              <w:t>Six Months</w:t>
            </w:r>
          </w:p>
        </w:tc>
        <w:tc>
          <w:tcPr>
            <w:tcW w:w="1520" w:type="dxa"/>
            <w:vAlign w:val="bottom"/>
            <w:gridSpan w:val="4"/>
          </w:tcPr>
          <w:p>
            <w:pPr>
              <w:jc w:val="right"/>
              <w:ind w:right="580"/>
              <w:spacing w:after="0"/>
              <w:rPr>
                <w:sz w:val="20"/>
                <w:szCs w:val="20"/>
                <w:color w:val="auto"/>
              </w:rPr>
            </w:pPr>
            <w:r>
              <w:rPr>
                <w:rFonts w:ascii="Arial" w:cs="Arial" w:eastAsia="Arial" w:hAnsi="Arial"/>
                <w:sz w:val="18"/>
                <w:szCs w:val="18"/>
                <w:color w:val="auto"/>
                <w:w w:val="96"/>
              </w:rPr>
              <w:t>Year Ended</w:t>
            </w:r>
          </w:p>
        </w:tc>
        <w:tc>
          <w:tcPr>
            <w:tcW w:w="2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color w:val="auto"/>
              </w:rPr>
              <w:t>Six Months</w:t>
            </w:r>
          </w:p>
        </w:tc>
      </w:tr>
      <w:tr>
        <w:trPr>
          <w:trHeight w:val="230"/>
        </w:trPr>
        <w:tc>
          <w:tcPr>
            <w:tcW w:w="2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gridSpan w:val="8"/>
          </w:tcPr>
          <w:p>
            <w:pPr>
              <w:jc w:val="right"/>
              <w:ind w:right="620"/>
              <w:spacing w:after="0"/>
              <w:rPr>
                <w:sz w:val="20"/>
                <w:szCs w:val="20"/>
                <w:color w:val="auto"/>
              </w:rPr>
            </w:pPr>
            <w:r>
              <w:rPr>
                <w:rFonts w:ascii="Arial" w:cs="Arial" w:eastAsia="Arial" w:hAnsi="Arial"/>
                <w:sz w:val="18"/>
                <w:szCs w:val="18"/>
                <w:color w:val="auto"/>
                <w:w w:val="96"/>
              </w:rPr>
              <w:t>Ended June 30,</w:t>
            </w:r>
          </w:p>
        </w:tc>
        <w:tc>
          <w:tcPr>
            <w:tcW w:w="1520" w:type="dxa"/>
            <w:vAlign w:val="bottom"/>
            <w:gridSpan w:val="4"/>
          </w:tcPr>
          <w:p>
            <w:pPr>
              <w:jc w:val="right"/>
              <w:ind w:right="500"/>
              <w:spacing w:after="0"/>
              <w:rPr>
                <w:sz w:val="20"/>
                <w:szCs w:val="20"/>
                <w:color w:val="auto"/>
              </w:rPr>
            </w:pPr>
            <w:r>
              <w:rPr>
                <w:rFonts w:ascii="Arial" w:cs="Arial" w:eastAsia="Arial" w:hAnsi="Arial"/>
                <w:sz w:val="18"/>
                <w:szCs w:val="18"/>
                <w:color w:val="auto"/>
                <w:w w:val="88"/>
              </w:rPr>
              <w:t>December 31,</w:t>
            </w:r>
          </w:p>
        </w:tc>
        <w:tc>
          <w:tcPr>
            <w:tcW w:w="1440" w:type="dxa"/>
            <w:vAlign w:val="bottom"/>
            <w:gridSpan w:val="4"/>
          </w:tcPr>
          <w:p>
            <w:pPr>
              <w:ind w:left="120"/>
              <w:spacing w:after="0"/>
              <w:rPr>
                <w:sz w:val="20"/>
                <w:szCs w:val="20"/>
                <w:color w:val="auto"/>
              </w:rPr>
            </w:pPr>
            <w:r>
              <w:rPr>
                <w:rFonts w:ascii="Arial" w:cs="Arial" w:eastAsia="Arial" w:hAnsi="Arial"/>
                <w:sz w:val="18"/>
                <w:szCs w:val="18"/>
                <w:color w:val="auto"/>
              </w:rPr>
              <w:t>Ended June 30,</w:t>
            </w:r>
          </w:p>
        </w:tc>
      </w:tr>
      <w:tr>
        <w:trPr>
          <w:trHeight w:val="230"/>
        </w:trPr>
        <w:tc>
          <w:tcPr>
            <w:tcW w:w="2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09"/>
        </w:trPr>
        <w:tc>
          <w:tcPr>
            <w:tcW w:w="2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Average number of extensions granted per month</w:t>
            </w: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8"/>
              </w:rPr>
              <w:t>3,371</w:t>
            </w: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2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6,931</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8,283</w:t>
            </w:r>
          </w:p>
        </w:tc>
      </w:tr>
      <w:tr>
        <w:trPr>
          <w:trHeight w:val="216"/>
        </w:trPr>
        <w:tc>
          <w:tcPr>
            <w:tcW w:w="38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Average number of outstanding accounts</w:t>
            </w: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159,185</w:t>
            </w: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2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172,129</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176,968</w:t>
            </w:r>
          </w:p>
        </w:tc>
      </w:tr>
      <w:tr>
        <w:trPr>
          <w:trHeight w:val="216"/>
        </w:trPr>
        <w:tc>
          <w:tcPr>
            <w:tcW w:w="38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gridSpan w:val="3"/>
            <w:shd w:val="clear" w:color="auto" w:fill="EEEEEE"/>
          </w:tcPr>
          <w:p>
            <w:pPr>
              <w:spacing w:after="0"/>
              <w:rPr>
                <w:sz w:val="20"/>
                <w:szCs w:val="20"/>
                <w:color w:val="auto"/>
              </w:rPr>
            </w:pPr>
            <w:r>
              <w:rPr>
                <w:rFonts w:ascii="Arial" w:cs="Arial" w:eastAsia="Arial" w:hAnsi="Arial"/>
                <w:sz w:val="18"/>
                <w:szCs w:val="18"/>
                <w:color w:val="auto"/>
                <w:w w:val="89"/>
              </w:rPr>
              <w:t>Average monthly extensions as % of average outstandings</w:t>
            </w: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7"/>
              </w:rPr>
              <w:t>2.1%</w:t>
            </w: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2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4.7%</w:t>
            </w:r>
          </w:p>
        </w:tc>
      </w:tr>
      <w:tr>
        <w:trPr>
          <w:trHeight w:val="432"/>
        </w:trPr>
        <w:tc>
          <w:tcPr>
            <w:tcW w:w="2720" w:type="dxa"/>
            <w:vAlign w:val="bottom"/>
          </w:tcPr>
          <w:p>
            <w:pPr>
              <w:spacing w:after="0"/>
              <w:rPr>
                <w:sz w:val="20"/>
                <w:szCs w:val="20"/>
                <w:color w:val="auto"/>
              </w:rPr>
            </w:pPr>
            <w:r>
              <w:rPr>
                <w:rFonts w:ascii="Arial" w:cs="Arial" w:eastAsia="Arial" w:hAnsi="Arial"/>
                <w:sz w:val="18"/>
                <w:szCs w:val="18"/>
                <w:color w:val="auto"/>
              </w:rPr>
              <w:t>______________________</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700" w:type="dxa"/>
            <w:vAlign w:val="bottom"/>
            <w:gridSpan w:val="6"/>
          </w:tcPr>
          <w:p>
            <w:pPr>
              <w:spacing w:after="0"/>
              <w:rPr>
                <w:sz w:val="20"/>
                <w:szCs w:val="20"/>
                <w:color w:val="auto"/>
              </w:rPr>
            </w:pPr>
            <w:r>
              <w:rPr>
                <w:rFonts w:ascii="Arial" w:cs="Arial" w:eastAsia="Arial" w:hAnsi="Arial"/>
                <w:sz w:val="18"/>
                <w:szCs w:val="18"/>
                <w:i w:val="1"/>
                <w:iCs w:val="1"/>
                <w:color w:val="auto"/>
              </w:rPr>
              <w:t>Note: Table excludes portfolios originated and owned by third parties</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2720" w:type="dxa"/>
            <w:vAlign w:val="bottom"/>
          </w:tcPr>
          <w:p>
            <w:pPr>
              <w:spacing w:after="0"/>
              <w:rPr>
                <w:sz w:val="24"/>
                <w:szCs w:val="24"/>
                <w:color w:val="auto"/>
              </w:rPr>
            </w:pPr>
          </w:p>
        </w:tc>
        <w:tc>
          <w:tcPr>
            <w:tcW w:w="2980" w:type="dxa"/>
            <w:vAlign w:val="bottom"/>
            <w:gridSpan w:val="5"/>
          </w:tcPr>
          <w:p>
            <w:pPr>
              <w:jc w:val="right"/>
              <w:ind w:right="1160"/>
              <w:spacing w:after="0"/>
              <w:rPr>
                <w:sz w:val="20"/>
                <w:szCs w:val="20"/>
                <w:color w:val="auto"/>
              </w:rPr>
            </w:pPr>
            <w:r>
              <w:rPr>
                <w:rFonts w:ascii="Arial" w:cs="Arial" w:eastAsia="Arial" w:hAnsi="Arial"/>
                <w:sz w:val="18"/>
                <w:szCs w:val="18"/>
                <w:color w:val="auto"/>
              </w:rPr>
              <w:t>June 30, 2021</w:t>
            </w:r>
          </w:p>
        </w:tc>
        <w:tc>
          <w:tcPr>
            <w:tcW w:w="720" w:type="dxa"/>
            <w:vAlign w:val="bottom"/>
          </w:tcPr>
          <w:p>
            <w:pPr>
              <w:spacing w:after="0"/>
              <w:rPr>
                <w:sz w:val="24"/>
                <w:szCs w:val="24"/>
                <w:color w:val="auto"/>
              </w:rPr>
            </w:pPr>
          </w:p>
        </w:tc>
        <w:tc>
          <w:tcPr>
            <w:tcW w:w="1860" w:type="dxa"/>
            <w:vAlign w:val="bottom"/>
            <w:gridSpan w:val="8"/>
          </w:tcPr>
          <w:p>
            <w:pPr>
              <w:jc w:val="right"/>
              <w:ind w:right="800"/>
              <w:spacing w:after="0"/>
              <w:rPr>
                <w:sz w:val="20"/>
                <w:szCs w:val="20"/>
                <w:color w:val="auto"/>
              </w:rPr>
            </w:pPr>
            <w:r>
              <w:rPr>
                <w:rFonts w:ascii="Arial" w:cs="Arial" w:eastAsia="Arial" w:hAnsi="Arial"/>
                <w:sz w:val="18"/>
                <w:szCs w:val="18"/>
                <w:color w:val="auto"/>
                <w:w w:val="91"/>
              </w:rPr>
              <w:t>June 30, 2020</w:t>
            </w:r>
          </w:p>
        </w:tc>
        <w:tc>
          <w:tcPr>
            <w:tcW w:w="320" w:type="dxa"/>
            <w:vAlign w:val="bottom"/>
          </w:tcPr>
          <w:p>
            <w:pPr>
              <w:spacing w:after="0"/>
              <w:rPr>
                <w:sz w:val="24"/>
                <w:szCs w:val="24"/>
                <w:color w:val="auto"/>
              </w:rPr>
            </w:pPr>
          </w:p>
        </w:tc>
        <w:tc>
          <w:tcPr>
            <w:tcW w:w="2640" w:type="dxa"/>
            <w:vAlign w:val="bottom"/>
            <w:gridSpan w:val="7"/>
          </w:tcPr>
          <w:p>
            <w:pPr>
              <w:ind w:left="560"/>
              <w:spacing w:after="0"/>
              <w:rPr>
                <w:sz w:val="20"/>
                <w:szCs w:val="20"/>
                <w:color w:val="auto"/>
              </w:rPr>
            </w:pPr>
            <w:r>
              <w:rPr>
                <w:rFonts w:ascii="Arial" w:cs="Arial" w:eastAsia="Arial" w:hAnsi="Arial"/>
                <w:sz w:val="18"/>
                <w:szCs w:val="18"/>
                <w:color w:val="auto"/>
              </w:rPr>
              <w:t>December 31, 2020</w:t>
            </w:r>
          </w:p>
        </w:tc>
      </w:tr>
      <w:tr>
        <w:trPr>
          <w:trHeight w:val="195"/>
        </w:trPr>
        <w:tc>
          <w:tcPr>
            <w:tcW w:w="272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2"/>
              </w:rPr>
              <w:t>Number of</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Borders>
              <w:top w:val="single" w:sz="8" w:color="auto"/>
            </w:tcBorders>
            <w:gridSpan w:val="3"/>
          </w:tcPr>
          <w:p>
            <w:pPr>
              <w:jc w:val="right"/>
              <w:ind w:right="240"/>
              <w:spacing w:after="0" w:line="195" w:lineRule="exact"/>
              <w:rPr>
                <w:sz w:val="20"/>
                <w:szCs w:val="20"/>
                <w:color w:val="auto"/>
              </w:rPr>
            </w:pPr>
            <w:r>
              <w:rPr>
                <w:rFonts w:ascii="Arial" w:cs="Arial" w:eastAsia="Arial" w:hAnsi="Arial"/>
                <w:sz w:val="18"/>
                <w:szCs w:val="18"/>
                <w:color w:val="auto"/>
              </w:rPr>
              <w:t>Number of</w:t>
            </w:r>
          </w:p>
        </w:tc>
        <w:tc>
          <w:tcPr>
            <w:tcW w:w="2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Borders>
              <w:top w:val="single" w:sz="8" w:color="auto"/>
            </w:tcBorders>
            <w:gridSpan w:val="3"/>
          </w:tcPr>
          <w:p>
            <w:pPr>
              <w:jc w:val="right"/>
              <w:ind w:right="260"/>
              <w:spacing w:after="0" w:line="195" w:lineRule="exact"/>
              <w:rPr>
                <w:sz w:val="20"/>
                <w:szCs w:val="20"/>
                <w:color w:val="auto"/>
              </w:rPr>
            </w:pPr>
            <w:r>
              <w:rPr>
                <w:rFonts w:ascii="Arial" w:cs="Arial" w:eastAsia="Arial" w:hAnsi="Arial"/>
                <w:sz w:val="18"/>
                <w:szCs w:val="18"/>
                <w:color w:val="auto"/>
              </w:rPr>
              <w:t>Number of</w:t>
            </w: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72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Contracts</w:t>
            </w:r>
          </w:p>
        </w:tc>
        <w:tc>
          <w:tcPr>
            <w:tcW w:w="18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Amount</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Contracts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4"/>
          </w:tcPr>
          <w:p>
            <w:pPr>
              <w:jc w:val="right"/>
              <w:ind w:right="260"/>
              <w:spacing w:after="0"/>
              <w:rPr>
                <w:sz w:val="20"/>
                <w:szCs w:val="20"/>
                <w:color w:val="auto"/>
              </w:rPr>
            </w:pPr>
            <w:r>
              <w:rPr>
                <w:rFonts w:ascii="Arial" w:cs="Arial" w:eastAsia="Arial" w:hAnsi="Arial"/>
                <w:sz w:val="18"/>
                <w:szCs w:val="18"/>
                <w:color w:val="auto"/>
              </w:rPr>
              <w:t>Amount</w:t>
            </w:r>
          </w:p>
        </w:tc>
        <w:tc>
          <w:tcPr>
            <w:tcW w:w="320" w:type="dxa"/>
            <w:vAlign w:val="bottom"/>
          </w:tcPr>
          <w:p>
            <w:pPr>
              <w:spacing w:after="0"/>
              <w:rPr>
                <w:sz w:val="20"/>
                <w:szCs w:val="20"/>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Contracts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Amount</w:t>
            </w:r>
          </w:p>
        </w:tc>
      </w:tr>
      <w:tr>
        <w:trPr>
          <w:trHeight w:val="224"/>
        </w:trPr>
        <w:tc>
          <w:tcPr>
            <w:tcW w:w="27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560" w:type="dxa"/>
            <w:vAlign w:val="bottom"/>
            <w:tcBorders>
              <w:top w:val="single" w:sz="8" w:color="auto"/>
            </w:tcBorders>
            <w:gridSpan w:val="8"/>
          </w:tcPr>
          <w:p>
            <w:pPr>
              <w:jc w:val="right"/>
              <w:ind w:right="480"/>
              <w:spacing w:after="0"/>
              <w:rPr>
                <w:sz w:val="20"/>
                <w:szCs w:val="20"/>
                <w:color w:val="auto"/>
              </w:rPr>
            </w:pPr>
            <w:r>
              <w:rPr>
                <w:rFonts w:ascii="Arial" w:cs="Arial" w:eastAsia="Arial" w:hAnsi="Arial"/>
                <w:sz w:val="18"/>
                <w:szCs w:val="18"/>
                <w:color w:val="auto"/>
              </w:rPr>
              <w:t>(Dollars in thousands)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2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r>
      <w:tr>
        <w:trPr>
          <w:trHeight w:val="216"/>
        </w:trPr>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one extension</w:t>
            </w:r>
          </w:p>
        </w:tc>
        <w:tc>
          <w:tcPr>
            <w:tcW w:w="14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25,796</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345,995</w:t>
            </w:r>
          </w:p>
        </w:tc>
        <w:tc>
          <w:tcPr>
            <w:tcW w:w="120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32,160</w:t>
            </w:r>
          </w:p>
        </w:tc>
        <w:tc>
          <w:tcPr>
            <w:tcW w:w="46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460,882</w:t>
            </w:r>
          </w:p>
        </w:tc>
        <w:tc>
          <w:tcPr>
            <w:tcW w:w="152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30,624</w:t>
            </w:r>
          </w:p>
        </w:tc>
        <w:tc>
          <w:tcPr>
            <w:tcW w:w="40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429,754</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Contracts with two extensions</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17,638</w:t>
            </w:r>
          </w:p>
        </w:tc>
        <w:tc>
          <w:tcPr>
            <w:tcW w:w="1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229,674</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19,265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254,247</w:t>
            </w:r>
          </w:p>
        </w:tc>
        <w:tc>
          <w:tcPr>
            <w:tcW w:w="1520" w:type="dxa"/>
            <w:vAlign w:val="bottom"/>
            <w:gridSpan w:val="4"/>
          </w:tcPr>
          <w:p>
            <w:pPr>
              <w:jc w:val="right"/>
              <w:ind w:right="100"/>
              <w:spacing w:after="0"/>
              <w:rPr>
                <w:sz w:val="20"/>
                <w:szCs w:val="20"/>
                <w:color w:val="auto"/>
              </w:rPr>
            </w:pPr>
            <w:r>
              <w:rPr>
                <w:rFonts w:ascii="Arial" w:cs="Arial" w:eastAsia="Arial" w:hAnsi="Arial"/>
                <w:sz w:val="18"/>
                <w:szCs w:val="18"/>
                <w:color w:val="auto"/>
              </w:rPr>
              <w:t>19,381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259,236</w:t>
            </w:r>
          </w:p>
        </w:tc>
      </w:tr>
      <w:tr>
        <w:trPr>
          <w:trHeight w:val="216"/>
        </w:trPr>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three extensions</w:t>
            </w:r>
          </w:p>
        </w:tc>
        <w:tc>
          <w:tcPr>
            <w:tcW w:w="14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12,309</w:t>
            </w:r>
          </w:p>
        </w:tc>
        <w:tc>
          <w:tcPr>
            <w:tcW w:w="1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146,570</w:t>
            </w:r>
          </w:p>
        </w:tc>
        <w:tc>
          <w:tcPr>
            <w:tcW w:w="120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13,780</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169,137</w:t>
            </w:r>
          </w:p>
        </w:tc>
        <w:tc>
          <w:tcPr>
            <w:tcW w:w="152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13,117</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159,447</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Contracts with four extensions</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9,668</w:t>
            </w:r>
          </w:p>
        </w:tc>
        <w:tc>
          <w:tcPr>
            <w:tcW w:w="1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102,208</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11,964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141,288</w:t>
            </w:r>
          </w:p>
        </w:tc>
        <w:tc>
          <w:tcPr>
            <w:tcW w:w="1520" w:type="dxa"/>
            <w:vAlign w:val="bottom"/>
            <w:gridSpan w:val="4"/>
          </w:tcPr>
          <w:p>
            <w:pPr>
              <w:jc w:val="right"/>
              <w:ind w:right="100"/>
              <w:spacing w:after="0"/>
              <w:rPr>
                <w:sz w:val="20"/>
                <w:szCs w:val="20"/>
                <w:color w:val="auto"/>
              </w:rPr>
            </w:pPr>
            <w:r>
              <w:rPr>
                <w:rFonts w:ascii="Arial" w:cs="Arial" w:eastAsia="Arial" w:hAnsi="Arial"/>
                <w:sz w:val="18"/>
                <w:szCs w:val="18"/>
                <w:color w:val="auto"/>
              </w:rPr>
              <w:t>10,868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122,469</w:t>
            </w:r>
          </w:p>
        </w:tc>
      </w:tr>
      <w:tr>
        <w:trPr>
          <w:trHeight w:val="216"/>
        </w:trPr>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five extensions</w:t>
            </w:r>
          </w:p>
        </w:tc>
        <w:tc>
          <w:tcPr>
            <w:tcW w:w="14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7,199</w:t>
            </w:r>
          </w:p>
        </w:tc>
        <w:tc>
          <w:tcPr>
            <w:tcW w:w="1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69,841</w:t>
            </w:r>
          </w:p>
        </w:tc>
        <w:tc>
          <w:tcPr>
            <w:tcW w:w="120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9,082</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101,524</w:t>
            </w:r>
          </w:p>
        </w:tc>
        <w:tc>
          <w:tcPr>
            <w:tcW w:w="152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8,548</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90,322</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Contracts with six extensions</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5,324</w:t>
            </w:r>
          </w:p>
        </w:tc>
        <w:tc>
          <w:tcPr>
            <w:tcW w:w="18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46,033</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6,407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67,585</w:t>
            </w:r>
          </w:p>
        </w:tc>
        <w:tc>
          <w:tcPr>
            <w:tcW w:w="1520" w:type="dxa"/>
            <w:vAlign w:val="bottom"/>
            <w:gridSpan w:val="4"/>
          </w:tcPr>
          <w:p>
            <w:pPr>
              <w:jc w:val="right"/>
              <w:ind w:right="100"/>
              <w:spacing w:after="0"/>
              <w:rPr>
                <w:sz w:val="20"/>
                <w:szCs w:val="20"/>
                <w:color w:val="auto"/>
              </w:rPr>
            </w:pPr>
            <w:r>
              <w:rPr>
                <w:rFonts w:ascii="Arial" w:cs="Arial" w:eastAsia="Arial" w:hAnsi="Arial"/>
                <w:sz w:val="18"/>
                <w:szCs w:val="18"/>
                <w:color w:val="auto"/>
              </w:rPr>
              <w:t>6,473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62,288</w:t>
            </w:r>
          </w:p>
        </w:tc>
      </w:tr>
      <w:tr>
        <w:trPr>
          <w:trHeight w:val="223"/>
        </w:trPr>
        <w:tc>
          <w:tcPr>
            <w:tcW w:w="27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77,934</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940,321</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92,658</w:t>
            </w: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3"/>
            <w:shd w:val="clear" w:color="auto" w:fill="EEEEEE"/>
          </w:tcPr>
          <w:p>
            <w:pPr>
              <w:jc w:val="right"/>
              <w:spacing w:after="0"/>
              <w:rPr>
                <w:sz w:val="20"/>
                <w:szCs w:val="20"/>
                <w:color w:val="auto"/>
              </w:rPr>
            </w:pPr>
            <w:r>
              <w:rPr>
                <w:rFonts w:ascii="Arial" w:cs="Arial" w:eastAsia="Arial" w:hAnsi="Arial"/>
                <w:sz w:val="18"/>
                <w:szCs w:val="18"/>
                <w:color w:val="auto"/>
              </w:rPr>
              <w:t>1,194,663</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10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89,011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1,123,516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Managed portfolio (excluding</w:t>
            </w:r>
          </w:p>
        </w:tc>
        <w:tc>
          <w:tcPr>
            <w:tcW w:w="11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originated and owned by 3rd</w:t>
            </w:r>
          </w:p>
        </w:tc>
        <w:tc>
          <w:tcPr>
            <w:tcW w:w="1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parties)</w:t>
            </w:r>
          </w:p>
        </w:tc>
        <w:tc>
          <w:tcPr>
            <w:tcW w:w="14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156,701</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2,115,612</w:t>
            </w:r>
          </w:p>
        </w:tc>
        <w:tc>
          <w:tcPr>
            <w:tcW w:w="120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173,214</w:t>
            </w:r>
          </w:p>
        </w:tc>
        <w:tc>
          <w:tcPr>
            <w:tcW w:w="46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2,326,440</w:t>
            </w:r>
          </w:p>
        </w:tc>
        <w:tc>
          <w:tcPr>
            <w:tcW w:w="152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163,117</w:t>
            </w:r>
          </w:p>
        </w:tc>
        <w:tc>
          <w:tcPr>
            <w:tcW w:w="40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2,174,972</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Table excludes portfolios originated and owned by third parties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Since January of 2019, we have attempted to reduce extensions by working with our servicing staff to be more selective in granting extensions including, where appropriate, to exhaust all possibilities of payment by the customer before granting an extension.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Non-Accrual Receivables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for contracts that are greater than 90 days past due.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for the six-month period ended June 30, 2021 was $112.4 million, a decrease of $17.0 million, compared to net cash provided by operating activities for the six-month period ended June 30, 2020 of $129.4 million. Net cash from operating activities is generally provided by net income from operations adjusted for significant non-cash items such as our provision for credit losses and marks to finance receivables measured at fair value.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investing activities for the six-month period ended June 30, 2021 was $12.7 million compared to $4.9 million in the prior year period. Cash provided by investing activities primarily results from principal payments and other proceeds received on finance receivables. Cash used in investing activities generally relates to purchases of automobile contracts. Purchases of finance receivables excluding acquisition fees were $485.1 million and $399.7 million during the first six months of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2" w:name="page43"/>
    <w:bookmarkEnd w:id="42"/>
    <w:p>
      <w:pPr>
        <w:jc w:val="both"/>
        <w:spacing w:after="0" w:line="293" w:lineRule="auto"/>
        <w:rPr>
          <w:sz w:val="20"/>
          <w:szCs w:val="20"/>
          <w:color w:val="auto"/>
        </w:rPr>
      </w:pPr>
      <w:r>
        <w:rPr>
          <w:rFonts w:ascii="Arial" w:cs="Arial" w:eastAsia="Arial" w:hAnsi="Arial"/>
          <w:sz w:val="16"/>
          <w:szCs w:val="16"/>
          <w:color w:val="auto"/>
        </w:rPr>
        <w:t>Net cash used in financing activities for the six months ended June 30, 2021 was $70.4 million compared to $128.4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six months of 2021, we issued $470.5 million in new securitization trust debt compared to $462.3 million in the same period of 2020. We repaid $541.1 million in securitization trust debt in the six months ended June 30, 2021 compared to repayments of securitization trust debt of $508.9 million in the prior year period. In the three months ended June 30, 2021, we had net repayments on warehouse lines of credit of $42.6 million, compared to $78.8 million in the prior year’s period.</w:t>
      </w:r>
    </w:p>
    <w:p>
      <w:pPr>
        <w:spacing w:after="0" w:line="16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We have been dependent on warehouse credit facilities to purchase automobile contracts and our securitization transactions for long term financing of our contracts. In addition, we have accessed other sources, such as residual financings and subordinated debt in order to finance our continuing operations.</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and may in the future be limited in our ability to purchase automobile contracts due to limits on our capital. As of June 30, 2021, we had unrestricted cash of $43.1 million and $123.0 million aggregate available borrowings under our two warehouse credit facilities (assuming the availability of sufficient eligible collateral). As of June 30, 2021, we had approximately $100.0 million of such eligible collateral. Our plans to manage our liquidity include maintaining our rate of automobile contract purchases at a level that matches our available capital, and, as appropriate, minimizing our operating costs. During the six-month period ended June 30, 2021, we completed two securitizations aggregating $470.5 million of notes sold.</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June 30, 2021, we were in compliance with all such financial covenants.</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and will continue to have a substantial amount of indebtedness. At June 30, 2021, we had approximately $1,903.1 million of debt outstanding. Such debt consisted primarily of $1,732.9 million of securitization trust debt and $77.0 million of debt from warehouse lines of credit. Our securitization trust debt has decreased by $70.8 million while our warehouse lines of credit debt has decreased by $42.0 million since December 31, 2020 (each net of deferred financing costs). Since 2005, we have offered renewable subordinated notes to the public on a continuous basis, and such notes have maturities that range from six months to 10 years. We had $26.0 million and $21.3 million in subordinated renewable notes outstanding at June 30, 2021 and December 31, 2020, respectively. On May 16, 2018, we completed a $40.0 million securitization of residual interests from previously issued securitizations. At June 30, 2021, $17.9 million of this residual interest financing debt remains outstanding. On June 30, 2021, we completed a $50.0 million securitization of residual interests from other previously issued securitizations.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Our valuation of receivables measured at fair value is a forward-looking statement, as it is dependent, among other things, on our estimates of cash to be received in the future with respect to such receivables. Each of the factors listed above as affecting charge-offs and recovery rates could have a similar effect on cash to be received in the future with respect to receivables measured at fair value.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 The factors identified in this and other reports as “Risk Factors” could affect our revenues, expenses, liquidity and financial condition, and the timing and amount of cash received with respect to our automobile contracts.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(Jeffrey P. Fritz)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remind the reader that risk factors are set forth in Item 1A of our report on Form 10-K, filed with the U.S. Securities and Exchange Commission on March 10, 2021. Where we are aware of material changes to such risk factors as previously disclosed, we set forth below an updated discussion of such risks. The reader should note that the other risks identified in our report on Form 10-K remain applicable.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substantial indebtedness.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and will continue to have a substantial amount of indebtedness. At June 30, 2021, we had approximately $1,903.1 million of debt outstanding. Such debt consisted primarily of $1,732.9 million of securitization trust debt and $77.0 million of debt from warehouse lines of credit. Our securitization trust debt has decreased by $70.8 million while our warehouse lines of credit debt has decreased by $42.0 million since December 31, 2020 (each net of deferred financing costs). Since 2005, we have offered renewable subordinated notes to the public on a continuous basis, and such notes have maturities that range from six months to 10 years. We had $26.0 million and $21.3 million in subordinated renewable notes outstanding at June 30, 2021 and December 31, 2020, respectively. On May 16, 2018, we completed a $40.0 million securitization of residual interests from previously issued securitizations. At June 30, 2021, $17.9 million of this residual interest financing debt remains outstanding. On June 30, 2021, we completed a $50.0 million securitization of residual interests from other previously issued securitizations.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indebtedness could adversely affect our financial condition by, among other things:</w:t>
      </w:r>
    </w:p>
    <w:p>
      <w:pPr>
        <w:spacing w:after="0" w:line="22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25"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6"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or inability to obtain necessary financing, and the terms of any such financing;</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interest rates, especially as applicable to securitization trust debt;</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level of future provisioning for receivables losses;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levels of actual losses on receivables; and</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requirements.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Forward-looking statements in this report also include our recorded figures representing allowances for remaining expected lifetime credit losses, our markdown of the recorded value for the portion of our portfolio accounted for at fair value, our charge to the provision for credit losses for the our legacy portfolio, our estimates of fair value (most significantly for our receivables accounted for at fair value), our entries offsetting the preceding, and figures derived from any of the preceding. In each case, such figures are forward-looking statements because they are dependent on our estimates of cash to be received and losses to be incurred in the future. The accuracy of such estimates may be adversely affected by various factors, which include (in addition to risks relating to the COVD-19 pandemic and to the economy generally) the following: possible increased delinquencies; repossessions and losses on retail installment contracts; incorrect prepayment speed and/or discount rate assumptions; possible unavailability of qualified personnel, which could adversely affect our ability to service our portfolio; possible increases in the rate of consumer bankruptcy filings, which could adversely affect our rights to collect payments from our portfolio; other changes in government regulations affecting consumer credit; possible declines in the market price for used vehicles, which could adversely affect our realization upon repossessed vehicles; and economic conditions in geographic areas in which the Company's business is concentrated. The accuracy of such estimates may also be affected by the effects of the COVID-19 pandemic and of governmental responses to said pandemic, which have included prohibitions on certain means of enforcement of receivables, and may include additional restrictions, as yet unknown, in the future. Any or all of such factors also may affect our future financial results, as to which there can be no assurance. Any implication that past results or past consecutive earnings are indicative of future results or future earnings is disclaimed, and the reader should draw no such inference. Factors such as those identified above in relation to losses to be incurred in the future may affect future performance.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2021, we repurchased 163,084 shares from existing shareholders, as reflected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w w:val="90"/>
              </w:rPr>
              <w:t>Issuer Purchases of Equity Securities</w:t>
            </w:r>
          </w:p>
        </w:tc>
        <w:tc>
          <w:tcPr>
            <w:tcW w:w="1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Value of Shares that</w:t>
            </w: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6"/>
              </w:rPr>
              <w:t>Shares Purchased as</w:t>
            </w:r>
          </w:p>
        </w:tc>
        <w:tc>
          <w:tcPr>
            <w:tcW w:w="1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0"/>
              </w:rPr>
              <w:t>Average</w:t>
            </w:r>
          </w:p>
        </w:tc>
        <w:tc>
          <w:tcPr>
            <w:tcW w:w="21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Part of Publicly</w:t>
            </w:r>
          </w:p>
        </w:tc>
        <w:tc>
          <w:tcPr>
            <w:tcW w:w="1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Purchased</w:t>
            </w:r>
          </w:p>
        </w:tc>
      </w:tr>
      <w:tr>
        <w:trPr>
          <w:trHeight w:val="230"/>
        </w:trPr>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Price Paid</w:t>
            </w:r>
          </w:p>
        </w:tc>
        <w:tc>
          <w:tcPr>
            <w:tcW w:w="21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Announced Plans or</w:t>
            </w:r>
          </w:p>
        </w:tc>
        <w:tc>
          <w:tcPr>
            <w:tcW w:w="120" w:type="dxa"/>
            <w:vAlign w:val="bottom"/>
          </w:tcPr>
          <w:p>
            <w:pPr>
              <w:spacing w:after="0"/>
              <w:rPr>
                <w:sz w:val="19"/>
                <w:szCs w:val="19"/>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Under the Plans or</w:t>
            </w:r>
          </w:p>
        </w:tc>
      </w:tr>
      <w:tr>
        <w:trPr>
          <w:trHeight w:val="234"/>
        </w:trPr>
        <w:tc>
          <w:tcPr>
            <w:tcW w:w="2940" w:type="dxa"/>
            <w:vAlign w:val="bottom"/>
            <w:gridSpan w:val="2"/>
          </w:tcPr>
          <w:p>
            <w:pPr>
              <w:ind w:left="1000"/>
              <w:spacing w:after="0"/>
              <w:rPr>
                <w:sz w:val="20"/>
                <w:szCs w:val="20"/>
                <w:color w:val="auto"/>
              </w:rPr>
            </w:pPr>
            <w:r>
              <w:rPr>
                <w:rFonts w:ascii="Arial" w:cs="Arial" w:eastAsia="Arial" w:hAnsi="Arial"/>
                <w:sz w:val="18"/>
                <w:szCs w:val="18"/>
                <w:b w:val="1"/>
                <w:bCs w:val="1"/>
                <w:color w:val="auto"/>
              </w:rPr>
              <w:t>Period(1)</w:t>
            </w:r>
          </w:p>
        </w:tc>
        <w:tc>
          <w:tcPr>
            <w:tcW w:w="1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Purchased</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per Share</w:t>
            </w:r>
          </w:p>
        </w:tc>
        <w:tc>
          <w:tcPr>
            <w:tcW w:w="21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Programs</w:t>
            </w:r>
          </w:p>
        </w:tc>
        <w:tc>
          <w:tcPr>
            <w:tcW w:w="120" w:type="dxa"/>
            <w:vAlign w:val="bottom"/>
          </w:tcPr>
          <w:p>
            <w:pPr>
              <w:spacing w:after="0"/>
              <w:rPr>
                <w:sz w:val="20"/>
                <w:szCs w:val="20"/>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Programs (2)</w:t>
            </w:r>
          </w:p>
        </w:tc>
      </w:tr>
      <w:tr>
        <w:trPr>
          <w:trHeight w:val="209"/>
        </w:trPr>
        <w:tc>
          <w:tcPr>
            <w:tcW w:w="2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April 2021</w:t>
            </w:r>
          </w:p>
        </w:tc>
        <w:tc>
          <w:tcPr>
            <w:tcW w:w="19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3,209</w:t>
            </w:r>
          </w:p>
        </w:tc>
        <w:tc>
          <w:tcPr>
            <w:tcW w:w="480" w:type="dxa"/>
            <w:vAlign w:val="bottom"/>
            <w:gridSpan w:val="2"/>
            <w:shd w:val="clear" w:color="auto" w:fill="EEEEEE"/>
          </w:tcPr>
          <w:p>
            <w:pPr>
              <w:jc w:val="right"/>
              <w:ind w:right="147"/>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4.04</w:t>
            </w:r>
          </w:p>
        </w:tc>
        <w:tc>
          <w:tcPr>
            <w:tcW w:w="18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3,209</w:t>
            </w: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4,400,681</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May 2021</w:t>
            </w: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auto"/>
              </w:rPr>
              <w:t>73,897</w:t>
            </w:r>
          </w:p>
        </w:tc>
        <w:tc>
          <w:tcPr>
            <w:tcW w:w="4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4.45</w:t>
            </w:r>
          </w:p>
        </w:tc>
        <w:tc>
          <w:tcPr>
            <w:tcW w:w="2100" w:type="dxa"/>
            <w:vAlign w:val="bottom"/>
            <w:gridSpan w:val="3"/>
          </w:tcPr>
          <w:p>
            <w:pPr>
              <w:jc w:val="right"/>
              <w:ind w:right="320"/>
              <w:spacing w:after="0"/>
              <w:rPr>
                <w:sz w:val="20"/>
                <w:szCs w:val="20"/>
                <w:color w:val="auto"/>
              </w:rPr>
            </w:pPr>
            <w:r>
              <w:rPr>
                <w:rFonts w:ascii="Arial" w:cs="Arial" w:eastAsia="Arial" w:hAnsi="Arial"/>
                <w:sz w:val="18"/>
                <w:szCs w:val="18"/>
                <w:color w:val="auto"/>
              </w:rPr>
              <w:t>73,897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4,072,137</w:t>
            </w:r>
          </w:p>
        </w:tc>
      </w:tr>
      <w:tr>
        <w:trPr>
          <w:trHeight w:val="229"/>
        </w:trPr>
        <w:tc>
          <w:tcPr>
            <w:tcW w:w="2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June 2021</w:t>
            </w:r>
          </w:p>
        </w:tc>
        <w:tc>
          <w:tcPr>
            <w:tcW w:w="19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85,978</w:t>
            </w:r>
          </w:p>
        </w:tc>
        <w:tc>
          <w:tcPr>
            <w:tcW w:w="480" w:type="dxa"/>
            <w:vAlign w:val="bottom"/>
            <w:gridSpan w:val="2"/>
            <w:shd w:val="clear" w:color="auto" w:fill="EEEEEE"/>
          </w:tcPr>
          <w:p>
            <w:pPr>
              <w:jc w:val="right"/>
              <w:ind w:right="147"/>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4.75</w:t>
            </w:r>
          </w:p>
        </w:tc>
        <w:tc>
          <w:tcPr>
            <w:tcW w:w="210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85,978</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3,663,818</w:t>
            </w:r>
          </w:p>
        </w:tc>
      </w:tr>
      <w:tr>
        <w:trPr>
          <w:trHeight w:val="223"/>
        </w:trPr>
        <w:tc>
          <w:tcPr>
            <w:tcW w:w="2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163,084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34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163,084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25" w:lineRule="exact"/>
        <w:rPr>
          <w:sz w:val="20"/>
          <w:szCs w:val="20"/>
          <w:color w:val="auto"/>
        </w:rPr>
      </w:pPr>
    </w:p>
    <w:p>
      <w:pPr>
        <w:ind w:left="760" w:hanging="428"/>
        <w:spacing w:after="0"/>
        <w:tabs>
          <w:tab w:leader="none" w:pos="7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23" w:lineRule="exact"/>
        <w:rPr>
          <w:rFonts w:ascii="Arial" w:cs="Arial" w:eastAsia="Arial" w:hAnsi="Arial"/>
          <w:sz w:val="18"/>
          <w:szCs w:val="18"/>
          <w:i w:val="1"/>
          <w:iCs w:val="1"/>
          <w:color w:val="auto"/>
        </w:rPr>
      </w:pPr>
    </w:p>
    <w:p>
      <w:pPr>
        <w:jc w:val="both"/>
        <w:ind w:left="660" w:hanging="328"/>
        <w:spacing w:after="0" w:line="255" w:lineRule="auto"/>
        <w:tabs>
          <w:tab w:leader="none" w:pos="771"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Through June 30, 2021, our board of directors had authorized the purchase of up to $74.5 million of our outstanding securities, under a program first announced in our annual report for the year 2002, filed on June 26, 2003. All purchases described in the table above were under the program announced in June 2003, which has no fixed expiration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with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jc w:val="right"/>
              <w:ind w:right="950"/>
              <w:spacing w:after="0"/>
              <w:rPr>
                <w:sz w:val="20"/>
                <w:szCs w:val="20"/>
                <w:color w:val="auto"/>
              </w:rPr>
            </w:pPr>
            <w:r>
              <w:rPr>
                <w:rFonts w:ascii="Arial" w:cs="Arial" w:eastAsia="Arial" w:hAnsi="Arial"/>
                <w:sz w:val="18"/>
                <w:szCs w:val="18"/>
                <w:color w:val="auto"/>
                <w:w w:val="85"/>
              </w:rPr>
              <w:t>4.14</w:t>
            </w:r>
          </w:p>
        </w:tc>
        <w:tc>
          <w:tcPr>
            <w:tcW w:w="9880" w:type="dxa"/>
            <w:vAlign w:val="bottom"/>
            <w:gridSpan w:val="3"/>
          </w:tcPr>
          <w:p>
            <w:pPr>
              <w:spacing w:after="0"/>
              <w:rPr>
                <w:sz w:val="20"/>
                <w:szCs w:val="20"/>
                <w:color w:val="auto"/>
              </w:rPr>
            </w:pPr>
            <w:r>
              <w:rPr>
                <w:rFonts w:ascii="Arial" w:cs="Arial" w:eastAsia="Arial" w:hAnsi="Arial"/>
                <w:sz w:val="18"/>
                <w:szCs w:val="18"/>
                <w:color w:val="auto"/>
                <w:w w:val="92"/>
              </w:rPr>
              <w:t>Instruments defining the rights of holders of long-term debt of certain consolidated subsidiaries of the registrant are omitted pursuant to</w:t>
            </w:r>
          </w:p>
        </w:tc>
      </w:tr>
      <w:tr>
        <w:trPr>
          <w:trHeight w:val="216"/>
        </w:trPr>
        <w:tc>
          <w:tcPr>
            <w:tcW w:w="1360" w:type="dxa"/>
            <w:vAlign w:val="bottom"/>
          </w:tcPr>
          <w:p>
            <w:pPr>
              <w:spacing w:after="0"/>
              <w:rPr>
                <w:sz w:val="18"/>
                <w:szCs w:val="18"/>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w w:val="93"/>
              </w:rPr>
              <w:t>the exclusion set forth in subdivisions (b)(iv)(iii)(A) and (b)(v) of Item 601 of Regulation S-K (17 CFR 229.601). The registrant agrees</w:t>
            </w:r>
          </w:p>
        </w:tc>
      </w:tr>
      <w:tr>
        <w:trPr>
          <w:trHeight w:val="216"/>
        </w:trPr>
        <w:tc>
          <w:tcPr>
            <w:tcW w:w="1360" w:type="dxa"/>
            <w:vAlign w:val="bottom"/>
          </w:tcPr>
          <w:p>
            <w:pPr>
              <w:spacing w:after="0"/>
              <w:rPr>
                <w:sz w:val="18"/>
                <w:szCs w:val="18"/>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to provide copies of such instruments to the United States Securities and Exchange Commission upon request.</w:t>
            </w:r>
          </w:p>
        </w:tc>
      </w:tr>
      <w:tr>
        <w:trPr>
          <w:trHeight w:val="190"/>
        </w:trPr>
        <w:tc>
          <w:tcPr>
            <w:tcW w:w="1360" w:type="dxa"/>
            <w:vAlign w:val="bottom"/>
          </w:tcPr>
          <w:p>
            <w:pPr>
              <w:jc w:val="right"/>
              <w:ind w:right="950"/>
              <w:spacing w:after="0" w:line="190" w:lineRule="exact"/>
              <w:rPr>
                <w:sz w:val="20"/>
                <w:szCs w:val="20"/>
                <w:color w:val="auto"/>
              </w:rPr>
            </w:pPr>
            <w:r>
              <w:rPr>
                <w:rFonts w:ascii="Arial" w:cs="Arial" w:eastAsia="Arial" w:hAnsi="Arial"/>
                <w:sz w:val="18"/>
                <w:szCs w:val="18"/>
                <w:color w:val="auto"/>
                <w:w w:val="85"/>
              </w:rPr>
              <w:t>31.1</w:t>
            </w:r>
          </w:p>
        </w:tc>
        <w:tc>
          <w:tcPr>
            <w:tcW w:w="5500" w:type="dxa"/>
            <w:vAlign w:val="bottom"/>
            <w:tcBorders>
              <w:bottom w:val="single" w:sz="8" w:color="0000EE"/>
            </w:tcBorders>
            <w:gridSpan w:val="2"/>
          </w:tcPr>
          <w:p>
            <w:pPr>
              <w:spacing w:after="0" w:line="190"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Rule 13a-14(a) Certification of the Chief Executive Officer of the registrant.</w:t>
              </w:r>
            </w:hyperlink>
          </w:p>
        </w:tc>
        <w:tc>
          <w:tcPr>
            <w:tcW w:w="4380" w:type="dxa"/>
            <w:vAlign w:val="bottom"/>
          </w:tcPr>
          <w:p>
            <w:pPr>
              <w:spacing w:after="0"/>
              <w:rPr>
                <w:sz w:val="16"/>
                <w:szCs w:val="16"/>
                <w:color w:val="auto"/>
              </w:rPr>
            </w:pPr>
          </w:p>
        </w:tc>
      </w:tr>
      <w:tr>
        <w:trPr>
          <w:trHeight w:val="196"/>
        </w:trPr>
        <w:tc>
          <w:tcPr>
            <w:tcW w:w="1360" w:type="dxa"/>
            <w:vAlign w:val="bottom"/>
          </w:tcPr>
          <w:p>
            <w:pPr>
              <w:jc w:val="right"/>
              <w:ind w:right="950"/>
              <w:spacing w:after="0" w:line="196" w:lineRule="exact"/>
              <w:rPr>
                <w:sz w:val="20"/>
                <w:szCs w:val="20"/>
                <w:color w:val="auto"/>
              </w:rPr>
            </w:pPr>
            <w:r>
              <w:rPr>
                <w:rFonts w:ascii="Arial" w:cs="Arial" w:eastAsia="Arial" w:hAnsi="Arial"/>
                <w:sz w:val="18"/>
                <w:szCs w:val="18"/>
                <w:color w:val="auto"/>
                <w:w w:val="85"/>
              </w:rPr>
              <w:t>31.2</w:t>
            </w:r>
          </w:p>
        </w:tc>
        <w:tc>
          <w:tcPr>
            <w:tcW w:w="9880" w:type="dxa"/>
            <w:vAlign w:val="bottom"/>
            <w:gridSpan w:val="3"/>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Rule 13a-14(a) Certification of the Chief Financial Officer of the registrant.</w:t>
              </w:r>
            </w:hyperlink>
          </w:p>
        </w:tc>
      </w:tr>
      <w:tr>
        <w:trPr>
          <w:trHeight w:val="20"/>
        </w:trPr>
        <w:tc>
          <w:tcPr>
            <w:tcW w:w="1360" w:type="dxa"/>
            <w:vAlign w:val="bottom"/>
          </w:tcPr>
          <w:p>
            <w:pPr>
              <w:spacing w:after="0" w:line="20" w:lineRule="exact"/>
              <w:rPr>
                <w:sz w:val="1"/>
                <w:szCs w:val="1"/>
                <w:color w:val="auto"/>
              </w:rPr>
            </w:pPr>
          </w:p>
        </w:tc>
        <w:tc>
          <w:tcPr>
            <w:tcW w:w="5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bl>
    <w:p>
      <w:pPr>
        <w:spacing w:after="0" w:line="13" w:lineRule="exact"/>
        <w:rPr>
          <w:sz w:val="20"/>
          <w:szCs w:val="20"/>
          <w:color w:val="auto"/>
        </w:rPr>
      </w:pPr>
    </w:p>
    <w:p>
      <w:pPr>
        <w:ind w:left="1360" w:hanging="1352"/>
        <w:spacing w:after="0"/>
        <w:tabs>
          <w:tab w:leader="none" w:pos="1360" w:val="left"/>
        </w:tabs>
        <w:numPr>
          <w:ilvl w:val="0"/>
          <w:numId w:val="21"/>
        </w:numPr>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Section 1350 Certifications.*</w:t>
        </w:r>
      </w:hyperlink>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220" w:type="dxa"/>
            <w:vAlign w:val="bottom"/>
          </w:tcPr>
          <w:p>
            <w:pPr>
              <w:ind w:left="340"/>
              <w:spacing w:after="0"/>
              <w:rPr>
                <w:sz w:val="20"/>
                <w:szCs w:val="20"/>
                <w:color w:val="auto"/>
              </w:rPr>
            </w:pPr>
            <w:r>
              <w:rPr>
                <w:rFonts w:ascii="Arial" w:cs="Arial" w:eastAsia="Arial" w:hAnsi="Arial"/>
                <w:sz w:val="18"/>
                <w:szCs w:val="18"/>
                <w:color w:val="auto"/>
                <w:w w:val="97"/>
              </w:rPr>
              <w:t>Inline XBRL Instance Document (the instance document does not appear in the Interactive Data File because its XBRL tags are</w:t>
            </w:r>
          </w:p>
        </w:tc>
      </w:tr>
      <w:tr>
        <w:trPr>
          <w:trHeight w:val="216"/>
        </w:trPr>
        <w:tc>
          <w:tcPr>
            <w:tcW w:w="1020" w:type="dxa"/>
            <w:vAlign w:val="bottom"/>
          </w:tcPr>
          <w:p>
            <w:pPr>
              <w:spacing w:after="0"/>
              <w:rPr>
                <w:sz w:val="18"/>
                <w:szCs w:val="18"/>
                <w:color w:val="auto"/>
              </w:rPr>
            </w:pPr>
          </w:p>
        </w:tc>
        <w:tc>
          <w:tcPr>
            <w:tcW w:w="10220" w:type="dxa"/>
            <w:vAlign w:val="bottom"/>
          </w:tcPr>
          <w:p>
            <w:pPr>
              <w:ind w:left="340"/>
              <w:spacing w:after="0"/>
              <w:rPr>
                <w:sz w:val="20"/>
                <w:szCs w:val="20"/>
                <w:color w:val="auto"/>
              </w:rPr>
            </w:pPr>
            <w:r>
              <w:rPr>
                <w:rFonts w:ascii="Arial" w:cs="Arial" w:eastAsia="Arial" w:hAnsi="Arial"/>
                <w:sz w:val="18"/>
                <w:szCs w:val="18"/>
                <w:color w:val="auto"/>
              </w:rPr>
              <w:t>embedded within the Inline XBRL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220" w:type="dxa"/>
            <w:vAlign w:val="bottom"/>
          </w:tcPr>
          <w:p>
            <w:pPr>
              <w:ind w:left="34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220" w:type="dxa"/>
            <w:vAlign w:val="bottom"/>
          </w:tcPr>
          <w:p>
            <w:pPr>
              <w:ind w:left="34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220" w:type="dxa"/>
            <w:vAlign w:val="bottom"/>
          </w:tcPr>
          <w:p>
            <w:pPr>
              <w:ind w:left="34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220" w:type="dxa"/>
            <w:vAlign w:val="bottom"/>
          </w:tcPr>
          <w:p>
            <w:pPr>
              <w:ind w:left="3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tcPr>
          <w:p>
            <w:pPr>
              <w:ind w:left="340"/>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360" w:hanging="1352"/>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Cover Page Interactive Data File (formatted in IXBRL, and included in exhibit 101).</w:t>
      </w:r>
    </w:p>
    <w:p>
      <w:pPr>
        <w:spacing w:after="0" w:line="210" w:lineRule="exact"/>
        <w:rPr>
          <w:rFonts w:ascii="Arial" w:cs="Arial" w:eastAsia="Arial" w:hAnsi="Arial"/>
          <w:sz w:val="18"/>
          <w:szCs w:val="18"/>
          <w:color w:val="auto"/>
        </w:rPr>
      </w:pPr>
    </w:p>
    <w:p>
      <w:pPr>
        <w:jc w:val="both"/>
        <w:ind w:left="260" w:firstLine="311"/>
        <w:spacing w:after="0" w:line="259" w:lineRule="auto"/>
        <w:rPr>
          <w:rFonts w:ascii="Arial" w:cs="Arial" w:eastAsia="Arial" w:hAnsi="Arial"/>
          <w:sz w:val="18"/>
          <w:szCs w:val="18"/>
          <w:color w:val="auto"/>
        </w:rPr>
      </w:pPr>
      <w:r>
        <w:rPr>
          <w:rFonts w:ascii="Arial" w:cs="Arial" w:eastAsia="Arial" w:hAnsi="Arial"/>
          <w:sz w:val="18"/>
          <w:szCs w:val="18"/>
          <w:color w:val="auto"/>
        </w:rPr>
        <w:t>* 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duly caused this report to be signed on its behalf by the undersigned thereunto duly authorized.</w:t>
      </w:r>
    </w:p>
    <w:p>
      <w:pPr>
        <w:spacing w:after="0" w:line="386"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CONSUMER PORTFOLIO SERVICES, INC.</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(Registrant)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2021</w:t>
      </w:r>
    </w:p>
    <w:tbl>
      <w:tblPr>
        <w:tblLayout w:type="fixed"/>
        <w:tblInd w:w="0" w:type="dxa"/>
        <w:tblCellMar>
          <w:top w:w="0" w:type="dxa"/>
          <w:left w:w="0" w:type="dxa"/>
          <w:bottom w:w="0" w:type="dxa"/>
          <w:right w:w="0" w:type="dxa"/>
        </w:tblCellMar>
      </w:tblPr>
      <w:tr>
        <w:trPr>
          <w:trHeight w:val="185"/>
        </w:trPr>
        <w:tc>
          <w:tcPr>
            <w:tcW w:w="2540" w:type="dxa"/>
            <w:vAlign w:val="bottom"/>
          </w:tcPr>
          <w:p>
            <w:pPr>
              <w:spacing w:after="0"/>
              <w:rPr>
                <w:sz w:val="16"/>
                <w:szCs w:val="16"/>
                <w:color w:val="auto"/>
              </w:rPr>
            </w:pPr>
          </w:p>
        </w:tc>
        <w:tc>
          <w:tcPr>
            <w:tcW w:w="5200" w:type="dxa"/>
            <w:vAlign w:val="bottom"/>
            <w:gridSpan w:val="2"/>
          </w:tcPr>
          <w:p>
            <w:pPr>
              <w:ind w:left="880"/>
              <w:spacing w:after="0" w:line="184" w:lineRule="exact"/>
              <w:rPr>
                <w:sz w:val="20"/>
                <w:szCs w:val="20"/>
                <w:color w:val="auto"/>
              </w:rPr>
            </w:pPr>
            <w:r>
              <w:rPr>
                <w:rFonts w:ascii="Arial" w:cs="Arial" w:eastAsia="Arial" w:hAnsi="Arial"/>
                <w:sz w:val="18"/>
                <w:szCs w:val="18"/>
                <w:color w:val="auto"/>
              </w:rPr>
              <w:t>By: /s/  CHARLES E. BRADLEY, JR.</w:t>
            </w:r>
          </w:p>
        </w:tc>
      </w:tr>
      <w:tr>
        <w:trPr>
          <w:trHeight w:val="20"/>
        </w:trPr>
        <w:tc>
          <w:tcPr>
            <w:tcW w:w="2540" w:type="dxa"/>
            <w:vAlign w:val="bottom"/>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r>
      <w:tr>
        <w:trPr>
          <w:trHeight w:val="222"/>
        </w:trPr>
        <w:tc>
          <w:tcPr>
            <w:tcW w:w="2540" w:type="dxa"/>
            <w:vAlign w:val="bottom"/>
          </w:tcPr>
          <w:p>
            <w:pPr>
              <w:spacing w:after="0"/>
              <w:rPr>
                <w:sz w:val="19"/>
                <w:szCs w:val="19"/>
                <w:color w:val="auto"/>
              </w:rPr>
            </w:pPr>
          </w:p>
        </w:tc>
        <w:tc>
          <w:tcPr>
            <w:tcW w:w="5200" w:type="dxa"/>
            <w:vAlign w:val="bottom"/>
            <w:gridSpan w:val="2"/>
          </w:tcPr>
          <w:p>
            <w:pPr>
              <w:ind w:left="880"/>
              <w:spacing w:after="0"/>
              <w:rPr>
                <w:sz w:val="20"/>
                <w:szCs w:val="20"/>
                <w:color w:val="auto"/>
              </w:rPr>
            </w:pPr>
            <w:r>
              <w:rPr>
                <w:rFonts w:ascii="Arial" w:cs="Arial" w:eastAsia="Arial" w:hAnsi="Arial"/>
                <w:sz w:val="18"/>
                <w:szCs w:val="18"/>
                <w:color w:val="auto"/>
              </w:rPr>
              <w:t>Charles E. Bradley, Jr.</w:t>
            </w:r>
          </w:p>
        </w:tc>
      </w:tr>
      <w:tr>
        <w:trPr>
          <w:trHeight w:val="216"/>
        </w:trPr>
        <w:tc>
          <w:tcPr>
            <w:tcW w:w="2540" w:type="dxa"/>
            <w:vAlign w:val="bottom"/>
          </w:tcPr>
          <w:p>
            <w:pPr>
              <w:spacing w:after="0"/>
              <w:rPr>
                <w:sz w:val="18"/>
                <w:szCs w:val="18"/>
                <w:color w:val="auto"/>
              </w:rPr>
            </w:pPr>
          </w:p>
        </w:tc>
        <w:tc>
          <w:tcPr>
            <w:tcW w:w="5200" w:type="dxa"/>
            <w:vAlign w:val="bottom"/>
            <w:gridSpan w:val="2"/>
          </w:tcPr>
          <w:p>
            <w:pPr>
              <w:ind w:left="88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2540" w:type="dxa"/>
            <w:vAlign w:val="bottom"/>
          </w:tcPr>
          <w:p>
            <w:pPr>
              <w:spacing w:after="0"/>
              <w:rPr>
                <w:sz w:val="20"/>
                <w:szCs w:val="20"/>
                <w:color w:val="auto"/>
              </w:rPr>
            </w:pPr>
          </w:p>
        </w:tc>
        <w:tc>
          <w:tcPr>
            <w:tcW w:w="5200" w:type="dxa"/>
            <w:vAlign w:val="bottom"/>
            <w:gridSpan w:val="2"/>
          </w:tcPr>
          <w:p>
            <w:pPr>
              <w:ind w:left="880"/>
              <w:spacing w:after="0"/>
              <w:rPr>
                <w:sz w:val="20"/>
                <w:szCs w:val="20"/>
                <w:color w:val="auto"/>
              </w:rPr>
            </w:pPr>
            <w:r>
              <w:rPr>
                <w:rFonts w:ascii="Arial" w:cs="Arial" w:eastAsia="Arial" w:hAnsi="Arial"/>
                <w:sz w:val="18"/>
                <w:szCs w:val="18"/>
                <w:color w:val="auto"/>
              </w:rPr>
              <w:t>(Principal Executive Officer)</w:t>
            </w:r>
          </w:p>
        </w:tc>
      </w:tr>
      <w:tr>
        <w:trPr>
          <w:trHeight w:val="391"/>
        </w:trPr>
        <w:tc>
          <w:tcPr>
            <w:tcW w:w="2540" w:type="dxa"/>
            <w:vAlign w:val="bottom"/>
          </w:tcPr>
          <w:p>
            <w:pPr>
              <w:spacing w:after="0"/>
              <w:rPr>
                <w:sz w:val="20"/>
                <w:szCs w:val="20"/>
                <w:color w:val="auto"/>
              </w:rPr>
            </w:pPr>
            <w:r>
              <w:rPr>
                <w:rFonts w:ascii="Arial" w:cs="Arial" w:eastAsia="Arial" w:hAnsi="Arial"/>
                <w:sz w:val="18"/>
                <w:szCs w:val="18"/>
                <w:color w:val="auto"/>
              </w:rPr>
              <w:t>Date: August 12, 2021</w:t>
            </w:r>
          </w:p>
        </w:tc>
        <w:tc>
          <w:tcPr>
            <w:tcW w:w="5200" w:type="dxa"/>
            <w:vAlign w:val="bottom"/>
            <w:gridSpan w:val="2"/>
          </w:tcPr>
          <w:p>
            <w:pPr>
              <w:ind w:left="880"/>
              <w:spacing w:after="0"/>
              <w:rPr>
                <w:sz w:val="20"/>
                <w:szCs w:val="20"/>
                <w:color w:val="auto"/>
              </w:rPr>
            </w:pPr>
            <w:r>
              <w:rPr>
                <w:rFonts w:ascii="Arial" w:cs="Arial" w:eastAsia="Arial" w:hAnsi="Arial"/>
                <w:sz w:val="18"/>
                <w:szCs w:val="18"/>
                <w:color w:val="auto"/>
              </w:rPr>
              <w:t>By: /s/  JEFFREY P. FRITZ</w:t>
            </w:r>
          </w:p>
        </w:tc>
      </w:tr>
      <w:tr>
        <w:trPr>
          <w:trHeight w:val="20"/>
        </w:trPr>
        <w:tc>
          <w:tcPr>
            <w:tcW w:w="2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r>
      <w:tr>
        <w:trPr>
          <w:trHeight w:val="222"/>
        </w:trPr>
        <w:tc>
          <w:tcPr>
            <w:tcW w:w="2540" w:type="dxa"/>
            <w:vAlign w:val="bottom"/>
          </w:tcPr>
          <w:p>
            <w:pPr>
              <w:spacing w:after="0"/>
              <w:rPr>
                <w:sz w:val="19"/>
                <w:szCs w:val="19"/>
                <w:color w:val="auto"/>
              </w:rPr>
            </w:pPr>
          </w:p>
        </w:tc>
        <w:tc>
          <w:tcPr>
            <w:tcW w:w="5200" w:type="dxa"/>
            <w:vAlign w:val="bottom"/>
            <w:gridSpan w:val="2"/>
          </w:tcPr>
          <w:p>
            <w:pPr>
              <w:ind w:left="880"/>
              <w:spacing w:after="0"/>
              <w:rPr>
                <w:sz w:val="20"/>
                <w:szCs w:val="20"/>
                <w:color w:val="auto"/>
              </w:rPr>
            </w:pPr>
            <w:r>
              <w:rPr>
                <w:rFonts w:ascii="Arial" w:cs="Arial" w:eastAsia="Arial" w:hAnsi="Arial"/>
                <w:sz w:val="18"/>
                <w:szCs w:val="18"/>
                <w:color w:val="auto"/>
              </w:rPr>
              <w:t>Jeffrey P. Fritz</w:t>
            </w:r>
          </w:p>
        </w:tc>
      </w:tr>
      <w:tr>
        <w:trPr>
          <w:trHeight w:val="216"/>
        </w:trPr>
        <w:tc>
          <w:tcPr>
            <w:tcW w:w="2540" w:type="dxa"/>
            <w:vAlign w:val="bottom"/>
          </w:tcPr>
          <w:p>
            <w:pPr>
              <w:spacing w:after="0"/>
              <w:rPr>
                <w:sz w:val="18"/>
                <w:szCs w:val="18"/>
                <w:color w:val="auto"/>
              </w:rPr>
            </w:pPr>
          </w:p>
        </w:tc>
        <w:tc>
          <w:tcPr>
            <w:tcW w:w="5200" w:type="dxa"/>
            <w:vAlign w:val="bottom"/>
            <w:gridSpan w:val="2"/>
          </w:tcPr>
          <w:p>
            <w:pPr>
              <w:ind w:left="880"/>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230"/>
        </w:trPr>
        <w:tc>
          <w:tcPr>
            <w:tcW w:w="2540" w:type="dxa"/>
            <w:vAlign w:val="bottom"/>
          </w:tcPr>
          <w:p>
            <w:pPr>
              <w:spacing w:after="0"/>
              <w:rPr>
                <w:sz w:val="20"/>
                <w:szCs w:val="20"/>
                <w:color w:val="auto"/>
              </w:rPr>
            </w:pPr>
          </w:p>
        </w:tc>
        <w:tc>
          <w:tcPr>
            <w:tcW w:w="5200" w:type="dxa"/>
            <w:vAlign w:val="bottom"/>
            <w:gridSpan w:val="2"/>
          </w:tcPr>
          <w:p>
            <w:pPr>
              <w:ind w:left="88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8" w:name="page49"/>
    <w:bookmarkEnd w:id="48"/>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2021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1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4"/>
        <w:spacing w:after="0" w:line="308" w:lineRule="auto"/>
        <w:tabs>
          <w:tab w:leader="none" w:pos="938"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3" w:lineRule="auto"/>
        <w:tabs>
          <w:tab w:leader="none" w:pos="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06"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294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2943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 Chief Executive Officer</w:t>
      </w:r>
    </w:p>
    <w:p>
      <w:pPr>
        <w:sectPr>
          <w:pgSz w:w="11900" w:h="16838" w:orient="portrait"/>
          <w:cols w:equalWidth="0" w:num="1">
            <w:col w:w="11240"/>
          </w:cols>
          <w:pgMar w:left="320" w:top="121" w:right="339" w:bottom="1440" w:gutter="0" w:footer="0" w:header="0"/>
        </w:sectPr>
      </w:pPr>
    </w:p>
    <w:bookmarkStart w:id="49" w:name="page50"/>
    <w:bookmarkEnd w:id="49"/>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2021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1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4"/>
        <w:spacing w:after="0" w:line="308" w:lineRule="auto"/>
        <w:tabs>
          <w:tab w:leader="none" w:pos="938"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3" w:lineRule="auto"/>
        <w:tabs>
          <w:tab w:leader="none" w:pos="9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06"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3741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41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 Chief Financial Officer</w:t>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on Form 10-Q of Consumer Portfolio Services, Inc. (the “Company”) for the quarterly period ended June 30, 2021, as filed with the Securities and Exchange Commission on the date hereof (the “Report”), Charles E. Bradley, Jr., as Chief Executive Officer of the Company, and Jeffrey P. Fritz, as Chief Financial Officer of the Company, each hereby certifies, pursuant to 18 U.S.C. §1350, as adopted pursuant to §906 of the Sarbanes-Oxley Act of 2002, that:</w:t>
      </w:r>
    </w:p>
    <w:p>
      <w:pPr>
        <w:spacing w:after="0" w:line="187" w:lineRule="exact"/>
        <w:rPr>
          <w:sz w:val="20"/>
          <w:szCs w:val="20"/>
          <w:color w:val="auto"/>
        </w:rPr>
      </w:pPr>
    </w:p>
    <w:p>
      <w:pPr>
        <w:ind w:left="1040" w:hanging="348"/>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348"/>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7437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4371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2598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lowerRoman"/>
      <w:start w:val="3"/>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decimal"/>
      <w:start w:val="3"/>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4"/>
    </w:lvl>
  </w:abstractNum>
  <w:abstractNum w:abstractNumId="8">
    <w:nsid w:val="25E45D32"/>
    <w:multiLevelType w:val="hybridMultilevel"/>
    <w:lvl w:ilvl="0">
      <w:lvlJc w:val="left"/>
      <w:lvlText w:val="(%1)"/>
      <w:numFmt w:val="decimal"/>
      <w:start w:val="5"/>
    </w:lvl>
  </w:abstractNum>
  <w:abstractNum w:abstractNumId="9">
    <w:nsid w:val="519B500D"/>
    <w:multiLevelType w:val="hybridMultilevel"/>
    <w:lvl w:ilvl="0">
      <w:lvlJc w:val="left"/>
      <w:lvlText w:val="(%1)"/>
      <w:numFmt w:val="decimal"/>
      <w:start w:val="6"/>
    </w:lvl>
  </w:abstractNum>
  <w:abstractNum w:abstractNumId="10">
    <w:nsid w:val="431BD7B7"/>
    <w:multiLevelType w:val="hybridMultilevel"/>
    <w:lvl w:ilvl="0">
      <w:lvlJc w:val="left"/>
      <w:lvlText w:val="(%1)"/>
      <w:numFmt w:val="decimal"/>
      <w:start w:val="7"/>
    </w:lvl>
  </w:abstractNum>
  <w:abstractNum w:abstractNumId="11">
    <w:nsid w:val="3F2DBA31"/>
    <w:multiLevelType w:val="hybridMultilevel"/>
    <w:lvl w:ilvl="0">
      <w:lvlJc w:val="left"/>
      <w:lvlText w:val="(%1)"/>
      <w:numFmt w:val="decimal"/>
      <w:start w:val="8"/>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2"/>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32"/>
    </w:lvl>
  </w:abstractNum>
  <w:abstractNum w:abstractNumId="21">
    <w:nsid w:val="6763845E"/>
    <w:multiLevelType w:val="hybridMultilevel"/>
    <w:lvl w:ilvl="0">
      <w:lvlJc w:val="left"/>
      <w:lvlText w:val="%1"/>
      <w:numFmt w:val="decimal"/>
      <w:start w:val="104"/>
    </w:lvl>
    <w:lvl w:ilvl="1">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2021-08-12T16:42:38Z</dcterms:created>
  <dcterms:modified xsi:type="dcterms:W3CDTF">2021-08-12T16:42:38Z</dcterms:modified>
</cp:coreProperties>
</file>